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786" w:lineRule="exact" w:before="0"/>
        <w:ind w:left="134" w:right="1118" w:firstLine="0"/>
        <w:jc w:val="center"/>
        <w:rPr>
          <w:rFonts w:ascii="Microsoft JhengHei" w:hAnsi="Microsoft JhengHei" w:cs="Microsoft JhengHei" w:eastAsia="Microsoft JhengHei" w:hint="default"/>
          <w:sz w:val="48"/>
          <w:szCs w:val="48"/>
        </w:rPr>
      </w:pPr>
      <w:r>
        <w:rPr>
          <w:rFonts w:ascii="Microsoft JhengHei" w:hAnsi="Microsoft JhengHei" w:cs="Microsoft JhengHei" w:eastAsia="Microsoft JhengHei" w:hint="default"/>
          <w:b/>
          <w:bCs/>
          <w:sz w:val="48"/>
          <w:szCs w:val="48"/>
        </w:rPr>
        <w:t>深圳市金溢科技股份有限公司</w:t>
      </w:r>
      <w:r>
        <w:rPr>
          <w:rFonts w:ascii="Microsoft JhengHei" w:hAnsi="Microsoft JhengHei" w:cs="Microsoft JhengHei" w:eastAsia="Microsoft JhengHei" w:hint="default"/>
          <w:sz w:val="48"/>
          <w:szCs w:val="48"/>
        </w:rPr>
      </w:r>
    </w:p>
    <w:p>
      <w:pPr>
        <w:spacing w:before="239"/>
        <w:ind w:left="134" w:right="1117" w:firstLine="0"/>
        <w:jc w:val="center"/>
        <w:rPr>
          <w:rFonts w:ascii="Times New Roman" w:hAnsi="Times New Roman" w:cs="Times New Roman" w:eastAsia="Times New Roman" w:hint="default"/>
          <w:sz w:val="30"/>
          <w:szCs w:val="30"/>
        </w:rPr>
      </w:pPr>
      <w:r>
        <w:rPr>
          <w:rFonts w:ascii="Times New Roman"/>
          <w:b/>
          <w:w w:val="110"/>
          <w:sz w:val="30"/>
        </w:rPr>
        <w:t>Shenzhen Genvict Technologies Co., </w:t>
      </w:r>
      <w:r>
        <w:rPr>
          <w:rFonts w:ascii="Times New Roman"/>
          <w:b/>
          <w:spacing w:val="21"/>
          <w:w w:val="110"/>
          <w:sz w:val="30"/>
        </w:rPr>
        <w:t> </w:t>
      </w:r>
      <w:r>
        <w:rPr>
          <w:rFonts w:ascii="Times New Roman"/>
          <w:b/>
          <w:w w:val="110"/>
          <w:sz w:val="30"/>
        </w:rPr>
        <w:t>Ltd.</w:t>
      </w:r>
      <w:r>
        <w:rPr>
          <w:rFonts w:ascii="Times New Roman"/>
          <w:sz w:val="30"/>
        </w:rPr>
      </w:r>
    </w:p>
    <w:p>
      <w:pPr>
        <w:spacing w:line="240" w:lineRule="auto" w:before="11"/>
        <w:rPr>
          <w:rFonts w:ascii="Times New Roman" w:hAnsi="Times New Roman" w:cs="Times New Roman" w:eastAsia="Times New Roman" w:hint="default"/>
          <w:b/>
          <w:bCs/>
          <w:sz w:val="25"/>
          <w:szCs w:val="25"/>
        </w:rPr>
      </w:pPr>
    </w:p>
    <w:p>
      <w:pPr>
        <w:pStyle w:val="Heading3"/>
        <w:spacing w:line="240" w:lineRule="auto"/>
        <w:ind w:right="1111"/>
        <w:jc w:val="center"/>
      </w:pPr>
      <w:r>
        <w:rPr/>
        <w:t>（深圳市南山区粤海街道科技南路</w:t>
      </w:r>
      <w:r>
        <w:rPr>
          <w:rFonts w:ascii="宋体" w:hAnsi="宋体" w:cs="宋体" w:eastAsia="宋体" w:hint="default"/>
        </w:rPr>
        <w:t>16</w:t>
      </w:r>
      <w:r>
        <w:rPr/>
        <w:t>号深圳湾科技生态园</w:t>
      </w:r>
      <w:r>
        <w:rPr>
          <w:rFonts w:ascii="宋体" w:hAnsi="宋体" w:cs="宋体" w:eastAsia="宋体" w:hint="default"/>
        </w:rPr>
        <w:t>11</w:t>
      </w:r>
      <w:r>
        <w:rPr/>
        <w:t>栋</w:t>
      </w:r>
      <w:r>
        <w:rPr>
          <w:rFonts w:ascii="宋体" w:hAnsi="宋体" w:cs="宋体" w:eastAsia="宋体" w:hint="default"/>
        </w:rPr>
        <w:t>A</w:t>
      </w:r>
      <w:r>
        <w:rPr/>
        <w:t>座</w:t>
      </w:r>
      <w:r>
        <w:rPr>
          <w:rFonts w:ascii="宋体" w:hAnsi="宋体" w:cs="宋体" w:eastAsia="宋体" w:hint="default"/>
        </w:rPr>
        <w:t>18-20</w:t>
      </w:r>
      <w:r>
        <w:rPr/>
        <w:t>层</w:t>
      </w:r>
      <w:r>
        <w:rPr>
          <w:rFonts w:ascii="宋体" w:hAnsi="宋体" w:cs="宋体" w:eastAsia="宋体" w:hint="default"/>
        </w:rPr>
        <w:t>01-08</w:t>
      </w:r>
      <w:r>
        <w:rPr/>
        <w:t>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p>
      <w:pPr>
        <w:spacing w:line="1245" w:lineRule="exact"/>
        <w:ind w:left="1398" w:right="0" w:firstLine="0"/>
        <w:rPr>
          <w:rFonts w:ascii="宋体" w:hAnsi="宋体" w:cs="宋体" w:eastAsia="宋体" w:hint="default"/>
          <w:sz w:val="20"/>
          <w:szCs w:val="20"/>
        </w:rPr>
      </w:pPr>
      <w:r>
        <w:rPr>
          <w:rFonts w:ascii="宋体" w:hAnsi="宋体" w:cs="宋体" w:eastAsia="宋体" w:hint="default"/>
          <w:position w:val="-24"/>
          <w:sz w:val="20"/>
          <w:szCs w:val="20"/>
        </w:rPr>
        <w:drawing>
          <wp:inline distT="0" distB="0" distL="0" distR="0">
            <wp:extent cx="4528068" cy="790575"/>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4528068" cy="790575"/>
                    </a:xfrm>
                    <a:prstGeom prst="rect">
                      <a:avLst/>
                    </a:prstGeom>
                  </pic:spPr>
                </pic:pic>
              </a:graphicData>
            </a:graphic>
          </wp:inline>
        </w:drawing>
      </w:r>
      <w:r>
        <w:rPr>
          <w:rFonts w:ascii="宋体" w:hAnsi="宋体" w:cs="宋体" w:eastAsia="宋体" w:hint="default"/>
          <w:position w:val="-24"/>
          <w:sz w:val="20"/>
          <w:szCs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spacing w:line="589" w:lineRule="exact" w:before="0"/>
        <w:ind w:left="134" w:right="1119" w:firstLine="0"/>
        <w:jc w:val="center"/>
        <w:rPr>
          <w:rFonts w:ascii="Microsoft JhengHei" w:hAnsi="Microsoft JhengHei" w:cs="Microsoft JhengHei" w:eastAsia="Microsoft JhengHei" w:hint="default"/>
          <w:sz w:val="44"/>
          <w:szCs w:val="44"/>
        </w:rPr>
      </w:pPr>
      <w:r>
        <w:rPr>
          <w:rFonts w:ascii="Times New Roman" w:hAnsi="Times New Roman" w:cs="Times New Roman" w:eastAsia="Times New Roman" w:hint="default"/>
          <w:b/>
          <w:bCs/>
          <w:sz w:val="44"/>
          <w:szCs w:val="44"/>
        </w:rPr>
        <w:t>2019</w:t>
      </w:r>
      <w:r>
        <w:rPr>
          <w:rFonts w:ascii="Microsoft JhengHei" w:hAnsi="Microsoft JhengHei" w:cs="Microsoft JhengHei" w:eastAsia="Microsoft JhengHei" w:hint="default"/>
          <w:b/>
          <w:bCs/>
          <w:sz w:val="44"/>
          <w:szCs w:val="44"/>
        </w:rPr>
        <w:t>年年度报告</w:t>
      </w:r>
      <w:r>
        <w:rPr>
          <w:rFonts w:ascii="Microsoft JhengHei" w:hAnsi="Microsoft JhengHei" w:cs="Microsoft JhengHei" w:eastAsia="Microsoft JhengHei" w:hint="default"/>
          <w:sz w:val="44"/>
          <w:szCs w:val="44"/>
        </w:rPr>
      </w:r>
    </w:p>
    <w:p>
      <w:pPr>
        <w:spacing w:line="240" w:lineRule="auto" w:before="0"/>
        <w:rPr>
          <w:rFonts w:ascii="Microsoft JhengHei" w:hAnsi="Microsoft JhengHei" w:cs="Microsoft JhengHei" w:eastAsia="Microsoft JhengHei" w:hint="default"/>
          <w:b/>
          <w:bCs/>
          <w:sz w:val="46"/>
          <w:szCs w:val="46"/>
        </w:rPr>
      </w:pPr>
    </w:p>
    <w:p>
      <w:pPr>
        <w:spacing w:line="240" w:lineRule="auto" w:before="0"/>
        <w:rPr>
          <w:rFonts w:ascii="Microsoft JhengHei" w:hAnsi="Microsoft JhengHei" w:cs="Microsoft JhengHei" w:eastAsia="Microsoft JhengHei" w:hint="default"/>
          <w:b/>
          <w:bCs/>
          <w:sz w:val="46"/>
          <w:szCs w:val="46"/>
        </w:rPr>
      </w:pPr>
    </w:p>
    <w:p>
      <w:pPr>
        <w:spacing w:line="240" w:lineRule="auto" w:before="0"/>
        <w:rPr>
          <w:rFonts w:ascii="Microsoft JhengHei" w:hAnsi="Microsoft JhengHei" w:cs="Microsoft JhengHei" w:eastAsia="Microsoft JhengHei" w:hint="default"/>
          <w:b/>
          <w:bCs/>
          <w:sz w:val="46"/>
          <w:szCs w:val="46"/>
        </w:rPr>
      </w:pPr>
    </w:p>
    <w:p>
      <w:pPr>
        <w:spacing w:line="240" w:lineRule="auto" w:before="0"/>
        <w:rPr>
          <w:rFonts w:ascii="Microsoft JhengHei" w:hAnsi="Microsoft JhengHei" w:cs="Microsoft JhengHei" w:eastAsia="Microsoft JhengHei" w:hint="default"/>
          <w:b/>
          <w:bCs/>
          <w:sz w:val="46"/>
          <w:szCs w:val="46"/>
        </w:rPr>
      </w:pPr>
    </w:p>
    <w:p>
      <w:pPr>
        <w:spacing w:line="240" w:lineRule="auto" w:before="15"/>
        <w:rPr>
          <w:rFonts w:ascii="Microsoft JhengHei" w:hAnsi="Microsoft JhengHei" w:cs="Microsoft JhengHei" w:eastAsia="Microsoft JhengHei" w:hint="default"/>
          <w:b/>
          <w:bCs/>
          <w:sz w:val="48"/>
          <w:szCs w:val="48"/>
        </w:rPr>
      </w:pPr>
    </w:p>
    <w:p>
      <w:pPr>
        <w:spacing w:before="0"/>
        <w:ind w:left="134" w:right="1112" w:firstLine="0"/>
        <w:jc w:val="center"/>
        <w:rPr>
          <w:rFonts w:ascii="Microsoft JhengHei" w:hAnsi="Microsoft JhengHei" w:cs="Microsoft JhengHei" w:eastAsia="Microsoft JhengHei" w:hint="default"/>
          <w:sz w:val="30"/>
          <w:szCs w:val="30"/>
        </w:rPr>
      </w:pPr>
      <w:r>
        <w:rPr>
          <w:rFonts w:ascii="Microsoft JhengHei" w:hAnsi="Microsoft JhengHei" w:cs="Microsoft JhengHei" w:eastAsia="Microsoft JhengHei" w:hint="default"/>
          <w:b/>
          <w:bCs/>
          <w:sz w:val="30"/>
          <w:szCs w:val="30"/>
        </w:rPr>
        <w:t>二〇二〇年四月</w:t>
      </w:r>
      <w:r>
        <w:rPr>
          <w:rFonts w:ascii="Microsoft JhengHei" w:hAnsi="Microsoft JhengHei" w:cs="Microsoft JhengHei" w:eastAsia="Microsoft JhengHei" w:hint="default"/>
          <w:sz w:val="30"/>
          <w:szCs w:val="30"/>
        </w:rPr>
      </w:r>
    </w:p>
    <w:p>
      <w:pPr>
        <w:spacing w:after="0"/>
        <w:jc w:val="center"/>
        <w:rPr>
          <w:rFonts w:ascii="Microsoft JhengHei" w:hAnsi="Microsoft JhengHei" w:cs="Microsoft JhengHei" w:eastAsia="Microsoft JhengHei" w:hint="default"/>
          <w:sz w:val="30"/>
          <w:szCs w:val="30"/>
        </w:rPr>
        <w:sectPr>
          <w:headerReference w:type="default" r:id="rId5"/>
          <w:footerReference w:type="default" r:id="rId6"/>
          <w:type w:val="continuous"/>
          <w:pgSz w:w="11910" w:h="16840"/>
          <w:pgMar w:header="745" w:footer="979" w:top="1060" w:bottom="1160" w:left="980" w:right="0"/>
        </w:sectPr>
      </w:pPr>
    </w:p>
    <w:p>
      <w:pPr>
        <w:spacing w:line="240" w:lineRule="auto" w:before="2"/>
        <w:rPr>
          <w:rFonts w:ascii="Microsoft JhengHei" w:hAnsi="Microsoft JhengHei" w:cs="Microsoft JhengHei" w:eastAsia="Microsoft JhengHei" w:hint="default"/>
          <w:b/>
          <w:bCs/>
          <w:sz w:val="2"/>
          <w:szCs w:val="2"/>
        </w:rPr>
      </w:pP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24"/>
          <w:szCs w:val="24"/>
        </w:rPr>
      </w:pPr>
    </w:p>
    <w:p>
      <w:pPr>
        <w:pStyle w:val="Heading1"/>
        <w:spacing w:line="456" w:lineRule="exact"/>
        <w:ind w:left="2885" w:right="967"/>
        <w:jc w:val="left"/>
        <w:rPr>
          <w:b w:val="0"/>
          <w:bCs w:val="0"/>
        </w:rPr>
      </w:pPr>
      <w:bookmarkStart w:name="_TOC_250012" w:id="1"/>
      <w:r>
        <w:rPr/>
        <w:t>第一节重要提示、目录和释义</w:t>
      </w:r>
      <w:bookmarkEnd w:id="1"/>
      <w:r>
        <w:rPr>
          <w:b w:val="0"/>
          <w:bCs w:val="0"/>
        </w:rPr>
      </w:r>
    </w:p>
    <w:p>
      <w:pPr>
        <w:spacing w:line="240" w:lineRule="auto" w:before="3"/>
        <w:rPr>
          <w:rFonts w:ascii="Microsoft JhengHei" w:hAnsi="Microsoft JhengHei" w:cs="Microsoft JhengHei" w:eastAsia="Microsoft JhengHei" w:hint="default"/>
          <w:b/>
          <w:bCs/>
          <w:sz w:val="29"/>
          <w:szCs w:val="29"/>
        </w:rPr>
      </w:pPr>
    </w:p>
    <w:p>
      <w:pPr>
        <w:spacing w:line="307" w:lineRule="auto" w:before="0"/>
        <w:ind w:left="152" w:right="1136" w:firstLine="562"/>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公司董事会、监事会及董事、监事、高级管理人员保证年度报告内容的真</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pacing w:val="2"/>
          <w:sz w:val="28"/>
          <w:szCs w:val="28"/>
        </w:rPr>
        <w:t>实、准确、完整，不存在虚假记载、误导性陈述或重大遗漏，并承担个别和连</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z w:val="28"/>
          <w:szCs w:val="28"/>
        </w:rPr>
        <w:t>带的法律责任。</w:t>
      </w:r>
      <w:r>
        <w:rPr>
          <w:rFonts w:ascii="Microsoft JhengHei" w:hAnsi="Microsoft JhengHei" w:cs="Microsoft JhengHei" w:eastAsia="Microsoft JhengHei" w:hint="default"/>
          <w:sz w:val="28"/>
          <w:szCs w:val="28"/>
        </w:rPr>
      </w:r>
    </w:p>
    <w:p>
      <w:pPr>
        <w:spacing w:line="307" w:lineRule="auto" w:before="133"/>
        <w:ind w:left="152" w:right="1131" w:firstLine="562"/>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公司负责人罗瑞发、主管会计工作负责人聂磊及会计机构负责人</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会计主管</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z w:val="28"/>
          <w:szCs w:val="28"/>
        </w:rPr>
        <w:t>人员</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蔡伟明声明：保证年度报告中财务报告的真实、准确、完整。</w:t>
      </w:r>
      <w:r>
        <w:rPr>
          <w:rFonts w:ascii="Microsoft JhengHei" w:hAnsi="Microsoft JhengHei" w:cs="Microsoft JhengHei" w:eastAsia="Microsoft JhengHei" w:hint="default"/>
          <w:sz w:val="28"/>
          <w:szCs w:val="28"/>
        </w:rPr>
      </w:r>
    </w:p>
    <w:p>
      <w:pPr>
        <w:spacing w:line="355" w:lineRule="auto" w:before="133"/>
        <w:ind w:left="714" w:right="967"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所有董事均已出席了审议本报告的董事会会议。</w:t>
      </w:r>
      <w:r>
        <w:rPr>
          <w:rFonts w:ascii="Microsoft JhengHei" w:hAnsi="Microsoft JhengHei" w:cs="Microsoft JhengHei" w:eastAsia="Microsoft JhengHei" w:hint="default"/>
          <w:b/>
          <w:bCs/>
          <w:spacing w:val="-48"/>
          <w:sz w:val="28"/>
          <w:szCs w:val="28"/>
        </w:rPr>
        <w:t> </w:t>
      </w:r>
      <w:r>
        <w:rPr>
          <w:rFonts w:ascii="Microsoft JhengHei" w:hAnsi="Microsoft JhengHei" w:cs="Microsoft JhengHei" w:eastAsia="Microsoft JhengHei" w:hint="default"/>
          <w:b/>
          <w:bCs/>
          <w:spacing w:val="-48"/>
          <w:sz w:val="28"/>
          <w:szCs w:val="28"/>
        </w:rPr>
      </w:r>
      <w:r>
        <w:rPr>
          <w:rFonts w:ascii="Microsoft JhengHei" w:hAnsi="Microsoft JhengHei" w:cs="Microsoft JhengHei" w:eastAsia="Microsoft JhengHei" w:hint="default"/>
          <w:b/>
          <w:bCs/>
          <w:spacing w:val="2"/>
          <w:sz w:val="28"/>
          <w:szCs w:val="28"/>
        </w:rPr>
        <w:t>本报告中所涉及的发展战略、经营计划等前瞻性陈述属于计划性事项，该</w:t>
      </w:r>
      <w:r>
        <w:rPr>
          <w:rFonts w:ascii="Microsoft JhengHei" w:hAnsi="Microsoft JhengHei" w:cs="Microsoft JhengHei" w:eastAsia="Microsoft JhengHei" w:hint="default"/>
          <w:spacing w:val="2"/>
          <w:sz w:val="28"/>
          <w:szCs w:val="28"/>
        </w:rPr>
      </w:r>
    </w:p>
    <w:p>
      <w:pPr>
        <w:spacing w:line="445" w:lineRule="exact" w:before="0"/>
        <w:ind w:left="152" w:right="967"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计划不构成公司对投资者的实质承诺，投资者及相关人士均应当对此保持足够</w:t>
      </w:r>
      <w:r>
        <w:rPr>
          <w:rFonts w:ascii="Microsoft JhengHei" w:hAnsi="Microsoft JhengHei" w:cs="Microsoft JhengHei" w:eastAsia="Microsoft JhengHei" w:hint="default"/>
          <w:spacing w:val="2"/>
          <w:sz w:val="28"/>
          <w:szCs w:val="28"/>
        </w:rPr>
      </w:r>
    </w:p>
    <w:p>
      <w:pPr>
        <w:spacing w:line="307" w:lineRule="auto" w:before="137"/>
        <w:ind w:left="152" w:right="967"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的风险认识，并且应当理解计划、预测与承诺之间的差异，敬请投资者注意投</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z w:val="28"/>
          <w:szCs w:val="28"/>
        </w:rPr>
        <w:t>资风险。</w:t>
      </w:r>
      <w:r>
        <w:rPr>
          <w:rFonts w:ascii="Microsoft JhengHei" w:hAnsi="Microsoft JhengHei" w:cs="Microsoft JhengHei" w:eastAsia="Microsoft JhengHei" w:hint="default"/>
          <w:sz w:val="28"/>
          <w:szCs w:val="28"/>
        </w:rPr>
      </w:r>
    </w:p>
    <w:p>
      <w:pPr>
        <w:spacing w:line="307" w:lineRule="auto" w:before="133"/>
        <w:ind w:left="152" w:right="1132" w:firstLine="562"/>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公司在本报告</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第四节</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经营情况讨论与分析</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之</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九、公司未来发展的展望</w:t>
      </w:r>
      <w:r>
        <w:rPr>
          <w:rFonts w:ascii="Times New Roman" w:hAnsi="Times New Roman" w:cs="Times New Roman" w:eastAsia="Times New Roman" w:hint="default"/>
          <w:b/>
          <w:bCs/>
          <w:sz w:val="28"/>
          <w:szCs w:val="28"/>
        </w:rPr>
        <w:t>”</w:t>
      </w:r>
      <w:r>
        <w:rPr>
          <w:rFonts w:ascii="Times New Roman" w:hAnsi="Times New Roman" w:cs="Times New Roman" w:eastAsia="Times New Roman" w:hint="default"/>
          <w:b/>
          <w:bCs/>
          <w:w w:val="100"/>
          <w:sz w:val="28"/>
          <w:szCs w:val="28"/>
        </w:rPr>
        <w:t> </w:t>
      </w:r>
      <w:r>
        <w:rPr>
          <w:rFonts w:ascii="Microsoft JhengHei" w:hAnsi="Microsoft JhengHei" w:cs="Microsoft JhengHei" w:eastAsia="Microsoft JhengHei" w:hint="default"/>
          <w:b/>
          <w:bCs/>
          <w:spacing w:val="2"/>
          <w:sz w:val="28"/>
          <w:szCs w:val="28"/>
        </w:rPr>
        <w:t>中详细描述了公司未来经营中可能存在的风险和应对措施，敬请投资者关注相</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z w:val="28"/>
          <w:szCs w:val="28"/>
        </w:rPr>
        <w:t>关内容。</w:t>
      </w:r>
      <w:r>
        <w:rPr>
          <w:rFonts w:ascii="Microsoft JhengHei" w:hAnsi="Microsoft JhengHei" w:cs="Microsoft JhengHei" w:eastAsia="Microsoft JhengHei" w:hint="default"/>
          <w:sz w:val="28"/>
          <w:szCs w:val="28"/>
        </w:rPr>
      </w:r>
    </w:p>
    <w:p>
      <w:pPr>
        <w:spacing w:before="133"/>
        <w:ind w:left="714" w:right="967" w:firstLine="0"/>
        <w:jc w:val="left"/>
        <w:rPr>
          <w:rFonts w:ascii="Times New Roman" w:hAnsi="Times New Roman" w:cs="Times New Roman" w:eastAsia="Times New Roman" w:hint="default"/>
          <w:sz w:val="28"/>
          <w:szCs w:val="28"/>
        </w:rPr>
      </w:pPr>
      <w:r>
        <w:rPr>
          <w:rFonts w:ascii="Microsoft JhengHei" w:hAnsi="Microsoft JhengHei" w:cs="Microsoft JhengHei" w:eastAsia="Microsoft JhengHei" w:hint="default"/>
          <w:b/>
          <w:bCs/>
          <w:sz w:val="28"/>
          <w:szCs w:val="28"/>
        </w:rPr>
        <w:t>公司经本次董事会审议通过的利润分配预案为：以现有总股本</w:t>
      </w:r>
      <w:r>
        <w:rPr>
          <w:rFonts w:ascii="Microsoft JhengHei" w:hAnsi="Microsoft JhengHei" w:cs="Microsoft JhengHei" w:eastAsia="Microsoft JhengHei" w:hint="default"/>
          <w:b/>
          <w:bCs/>
          <w:spacing w:val="39"/>
          <w:sz w:val="28"/>
          <w:szCs w:val="28"/>
        </w:rPr>
        <w:t> </w:t>
      </w:r>
      <w:r>
        <w:rPr>
          <w:rFonts w:ascii="Times New Roman" w:hAnsi="Times New Roman" w:cs="Times New Roman" w:eastAsia="Times New Roman" w:hint="default"/>
          <w:b/>
          <w:bCs/>
          <w:sz w:val="28"/>
          <w:szCs w:val="28"/>
        </w:rPr>
        <w:t>120,518,161</w:t>
      </w:r>
      <w:r>
        <w:rPr>
          <w:rFonts w:ascii="Times New Roman" w:hAnsi="Times New Roman" w:cs="Times New Roman" w:eastAsia="Times New Roman" w:hint="default"/>
          <w:sz w:val="28"/>
          <w:szCs w:val="28"/>
        </w:rPr>
      </w:r>
    </w:p>
    <w:p>
      <w:pPr>
        <w:spacing w:before="136"/>
        <w:ind w:left="152" w:right="967"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w w:val="100"/>
          <w:sz w:val="28"/>
          <w:szCs w:val="28"/>
        </w:rPr>
        <w:t>股为</w:t>
      </w:r>
      <w:r>
        <w:rPr>
          <w:rFonts w:ascii="Microsoft JhengHei" w:hAnsi="Microsoft JhengHei" w:cs="Microsoft JhengHei" w:eastAsia="Microsoft JhengHei" w:hint="default"/>
          <w:b/>
          <w:bCs/>
          <w:spacing w:val="2"/>
          <w:w w:val="100"/>
          <w:sz w:val="28"/>
          <w:szCs w:val="28"/>
        </w:rPr>
        <w:t>基</w:t>
      </w:r>
      <w:r>
        <w:rPr>
          <w:rFonts w:ascii="Microsoft JhengHei" w:hAnsi="Microsoft JhengHei" w:cs="Microsoft JhengHei" w:eastAsia="Microsoft JhengHei" w:hint="default"/>
          <w:b/>
          <w:bCs/>
          <w:w w:val="100"/>
          <w:sz w:val="28"/>
          <w:szCs w:val="28"/>
        </w:rPr>
        <w:t>数，向全体股</w:t>
      </w:r>
      <w:r>
        <w:rPr>
          <w:rFonts w:ascii="Microsoft JhengHei" w:hAnsi="Microsoft JhengHei" w:cs="Microsoft JhengHei" w:eastAsia="Microsoft JhengHei" w:hint="default"/>
          <w:b/>
          <w:bCs/>
          <w:spacing w:val="2"/>
          <w:w w:val="100"/>
          <w:sz w:val="28"/>
          <w:szCs w:val="28"/>
        </w:rPr>
        <w:t>东</w:t>
      </w:r>
      <w:r>
        <w:rPr>
          <w:rFonts w:ascii="Microsoft JhengHei" w:hAnsi="Microsoft JhengHei" w:cs="Microsoft JhengHei" w:eastAsia="Microsoft JhengHei" w:hint="default"/>
          <w:b/>
          <w:bCs/>
          <w:w w:val="100"/>
          <w:sz w:val="28"/>
          <w:szCs w:val="28"/>
        </w:rPr>
        <w:t>每</w:t>
      </w:r>
      <w:r>
        <w:rPr>
          <w:rFonts w:ascii="Microsoft JhengHei" w:hAnsi="Microsoft JhengHei" w:cs="Microsoft JhengHei" w:eastAsia="Microsoft JhengHei" w:hint="default"/>
          <w:b/>
          <w:bCs/>
          <w:spacing w:val="3"/>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Microsoft JhengHei" w:hAnsi="Microsoft JhengHei" w:cs="Microsoft JhengHei" w:eastAsia="Microsoft JhengHei" w:hint="default"/>
          <w:b/>
          <w:bCs/>
          <w:w w:val="100"/>
          <w:sz w:val="28"/>
          <w:szCs w:val="28"/>
        </w:rPr>
        <w:t>股派发现金</w:t>
      </w:r>
      <w:r>
        <w:rPr>
          <w:rFonts w:ascii="Microsoft JhengHei" w:hAnsi="Microsoft JhengHei" w:cs="Microsoft JhengHei" w:eastAsia="Microsoft JhengHei" w:hint="default"/>
          <w:b/>
          <w:bCs/>
          <w:spacing w:val="2"/>
          <w:w w:val="100"/>
          <w:sz w:val="28"/>
          <w:szCs w:val="28"/>
        </w:rPr>
        <w:t>红</w:t>
      </w:r>
      <w:r>
        <w:rPr>
          <w:rFonts w:ascii="Microsoft JhengHei" w:hAnsi="Microsoft JhengHei" w:cs="Microsoft JhengHei" w:eastAsia="Microsoft JhengHei" w:hint="default"/>
          <w:b/>
          <w:bCs/>
          <w:w w:val="100"/>
          <w:sz w:val="28"/>
          <w:szCs w:val="28"/>
        </w:rPr>
        <w:t>利</w:t>
      </w:r>
      <w:r>
        <w:rPr>
          <w:rFonts w:ascii="Microsoft JhengHei" w:hAnsi="Microsoft JhengHei" w:cs="Microsoft JhengHei" w:eastAsia="Microsoft JhengHei" w:hint="default"/>
          <w:b/>
          <w:bCs/>
          <w:spacing w:val="2"/>
          <w:sz w:val="28"/>
          <w:szCs w:val="28"/>
        </w:rPr>
        <w:t> </w:t>
      </w:r>
      <w:r>
        <w:rPr>
          <w:rFonts w:ascii="Times New Roman" w:hAnsi="Times New Roman" w:cs="Times New Roman" w:eastAsia="Times New Roman" w:hint="default"/>
          <w:b/>
          <w:bCs/>
          <w:spacing w:val="-2"/>
          <w:w w:val="100"/>
          <w:sz w:val="28"/>
          <w:szCs w:val="28"/>
        </w:rPr>
        <w:t>2</w:t>
      </w:r>
      <w:r>
        <w:rPr>
          <w:rFonts w:ascii="Times New Roman" w:hAnsi="Times New Roman" w:cs="Times New Roman" w:eastAsia="Times New Roman" w:hint="default"/>
          <w:b/>
          <w:bCs/>
          <w:w w:val="100"/>
          <w:sz w:val="28"/>
          <w:szCs w:val="28"/>
        </w:rPr>
        <w:t>1.8</w:t>
      </w:r>
      <w:r>
        <w:rPr>
          <w:rFonts w:ascii="Times New Roman" w:hAnsi="Times New Roman" w:cs="Times New Roman" w:eastAsia="Times New Roman" w:hint="default"/>
          <w:b/>
          <w:bCs/>
          <w:sz w:val="28"/>
          <w:szCs w:val="28"/>
        </w:rPr>
        <w:t> </w:t>
      </w:r>
      <w:r>
        <w:rPr>
          <w:rFonts w:ascii="Microsoft JhengHei" w:hAnsi="Microsoft JhengHei" w:cs="Microsoft JhengHei" w:eastAsia="Microsoft JhengHei" w:hint="default"/>
          <w:b/>
          <w:bCs/>
          <w:w w:val="100"/>
          <w:sz w:val="28"/>
          <w:szCs w:val="28"/>
        </w:rPr>
        <w:t>元（含</w:t>
      </w:r>
      <w:r>
        <w:rPr>
          <w:rFonts w:ascii="Microsoft JhengHei" w:hAnsi="Microsoft JhengHei" w:cs="Microsoft JhengHei" w:eastAsia="Microsoft JhengHei" w:hint="default"/>
          <w:b/>
          <w:bCs/>
          <w:spacing w:val="2"/>
          <w:w w:val="100"/>
          <w:sz w:val="28"/>
          <w:szCs w:val="28"/>
        </w:rPr>
        <w:t>税</w:t>
      </w:r>
      <w:r>
        <w:rPr>
          <w:rFonts w:ascii="Microsoft JhengHei" w:hAnsi="Microsoft JhengHei" w:cs="Microsoft JhengHei" w:eastAsia="Microsoft JhengHei" w:hint="default"/>
          <w:b/>
          <w:bCs/>
          <w:spacing w:val="-142"/>
          <w:w w:val="100"/>
          <w:sz w:val="28"/>
          <w:szCs w:val="28"/>
        </w:rPr>
        <w:t>）</w:t>
      </w:r>
      <w:r>
        <w:rPr>
          <w:rFonts w:ascii="Microsoft JhengHei" w:hAnsi="Microsoft JhengHei" w:cs="Microsoft JhengHei" w:eastAsia="Microsoft JhengHei" w:hint="default"/>
          <w:b/>
          <w:bCs/>
          <w:w w:val="100"/>
          <w:sz w:val="28"/>
          <w:szCs w:val="28"/>
        </w:rPr>
        <w:t>，送红股</w:t>
      </w:r>
      <w:r>
        <w:rPr>
          <w:rFonts w:ascii="Microsoft JhengHei" w:hAnsi="Microsoft JhengHei" w:cs="Microsoft JhengHei" w:eastAsia="Microsoft JhengHei" w:hint="default"/>
          <w:b/>
          <w:bCs/>
          <w:spacing w:val="5"/>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Microsoft JhengHei" w:hAnsi="Microsoft JhengHei" w:cs="Microsoft JhengHei" w:eastAsia="Microsoft JhengHei" w:hint="default"/>
          <w:b/>
          <w:bCs/>
          <w:w w:val="100"/>
          <w:sz w:val="28"/>
          <w:szCs w:val="28"/>
        </w:rPr>
        <w:t>股（含</w:t>
      </w:r>
      <w:r>
        <w:rPr>
          <w:rFonts w:ascii="Microsoft JhengHei" w:hAnsi="Microsoft JhengHei" w:cs="Microsoft JhengHei" w:eastAsia="Microsoft JhengHei" w:hint="default"/>
          <w:w w:val="100"/>
          <w:sz w:val="28"/>
          <w:szCs w:val="28"/>
        </w:rPr>
      </w:r>
    </w:p>
    <w:p>
      <w:pPr>
        <w:spacing w:before="136"/>
        <w:ind w:left="152" w:right="967"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w w:val="100"/>
          <w:sz w:val="28"/>
          <w:szCs w:val="28"/>
        </w:rPr>
        <w:t>税</w:t>
      </w:r>
      <w:r>
        <w:rPr>
          <w:rFonts w:ascii="Microsoft JhengHei" w:hAnsi="Microsoft JhengHei" w:cs="Microsoft JhengHei" w:eastAsia="Microsoft JhengHei" w:hint="default"/>
          <w:b/>
          <w:bCs/>
          <w:spacing w:val="-142"/>
          <w:w w:val="100"/>
          <w:sz w:val="28"/>
          <w:szCs w:val="28"/>
        </w:rPr>
        <w:t>）</w:t>
      </w:r>
      <w:r>
        <w:rPr>
          <w:rFonts w:ascii="Microsoft JhengHei" w:hAnsi="Microsoft JhengHei" w:cs="Microsoft JhengHei" w:eastAsia="Microsoft JhengHei" w:hint="default"/>
          <w:b/>
          <w:bCs/>
          <w:w w:val="100"/>
          <w:sz w:val="28"/>
          <w:szCs w:val="28"/>
        </w:rPr>
        <w:t>，以资本公</w:t>
      </w:r>
      <w:r>
        <w:rPr>
          <w:rFonts w:ascii="Microsoft JhengHei" w:hAnsi="Microsoft JhengHei" w:cs="Microsoft JhengHei" w:eastAsia="Microsoft JhengHei" w:hint="default"/>
          <w:b/>
          <w:bCs/>
          <w:spacing w:val="2"/>
          <w:w w:val="100"/>
          <w:sz w:val="28"/>
          <w:szCs w:val="28"/>
        </w:rPr>
        <w:t>积</w:t>
      </w:r>
      <w:r>
        <w:rPr>
          <w:rFonts w:ascii="Microsoft JhengHei" w:hAnsi="Microsoft JhengHei" w:cs="Microsoft JhengHei" w:eastAsia="Microsoft JhengHei" w:hint="default"/>
          <w:b/>
          <w:bCs/>
          <w:w w:val="100"/>
          <w:sz w:val="28"/>
          <w:szCs w:val="28"/>
        </w:rPr>
        <w:t>金向全</w:t>
      </w:r>
      <w:r>
        <w:rPr>
          <w:rFonts w:ascii="Microsoft JhengHei" w:hAnsi="Microsoft JhengHei" w:cs="Microsoft JhengHei" w:eastAsia="Microsoft JhengHei" w:hint="default"/>
          <w:b/>
          <w:bCs/>
          <w:spacing w:val="2"/>
          <w:w w:val="100"/>
          <w:sz w:val="28"/>
          <w:szCs w:val="28"/>
        </w:rPr>
        <w:t>体</w:t>
      </w:r>
      <w:r>
        <w:rPr>
          <w:rFonts w:ascii="Microsoft JhengHei" w:hAnsi="Microsoft JhengHei" w:cs="Microsoft JhengHei" w:eastAsia="Microsoft JhengHei" w:hint="default"/>
          <w:b/>
          <w:bCs/>
          <w:w w:val="100"/>
          <w:sz w:val="28"/>
          <w:szCs w:val="28"/>
        </w:rPr>
        <w:t>股东每</w:t>
      </w:r>
      <w:r>
        <w:rPr>
          <w:rFonts w:ascii="Microsoft JhengHei" w:hAnsi="Microsoft JhengHei" w:cs="Microsoft JhengHei" w:eastAsia="Microsoft JhengHei" w:hint="default"/>
          <w:b/>
          <w:bCs/>
          <w:spacing w:val="1"/>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Microsoft JhengHei" w:hAnsi="Microsoft JhengHei" w:cs="Microsoft JhengHei" w:eastAsia="Microsoft JhengHei" w:hint="default"/>
          <w:b/>
          <w:bCs/>
          <w:w w:val="100"/>
          <w:sz w:val="28"/>
          <w:szCs w:val="28"/>
        </w:rPr>
        <w:t>股</w:t>
      </w:r>
      <w:r>
        <w:rPr>
          <w:rFonts w:ascii="Microsoft JhengHei" w:hAnsi="Microsoft JhengHei" w:cs="Microsoft JhengHei" w:eastAsia="Microsoft JhengHei" w:hint="default"/>
          <w:b/>
          <w:bCs/>
          <w:spacing w:val="2"/>
          <w:w w:val="100"/>
          <w:sz w:val="28"/>
          <w:szCs w:val="28"/>
        </w:rPr>
        <w:t>转</w:t>
      </w:r>
      <w:r>
        <w:rPr>
          <w:rFonts w:ascii="Microsoft JhengHei" w:hAnsi="Microsoft JhengHei" w:cs="Microsoft JhengHei" w:eastAsia="Microsoft JhengHei" w:hint="default"/>
          <w:b/>
          <w:bCs/>
          <w:w w:val="100"/>
          <w:sz w:val="28"/>
          <w:szCs w:val="28"/>
        </w:rPr>
        <w:t>增</w:t>
      </w:r>
      <w:r>
        <w:rPr>
          <w:rFonts w:ascii="Microsoft JhengHei" w:hAnsi="Microsoft JhengHei" w:cs="Microsoft JhengHei" w:eastAsia="Microsoft JhengHei" w:hint="default"/>
          <w:b/>
          <w:bCs/>
          <w:sz w:val="28"/>
          <w:szCs w:val="28"/>
        </w:rPr>
        <w:t> </w:t>
      </w:r>
      <w:r>
        <w:rPr>
          <w:rFonts w:ascii="Times New Roman" w:hAnsi="Times New Roman" w:cs="Times New Roman" w:eastAsia="Times New Roman" w:hint="default"/>
          <w:b/>
          <w:bCs/>
          <w:w w:val="100"/>
          <w:sz w:val="28"/>
          <w:szCs w:val="28"/>
        </w:rPr>
        <w:t>5</w:t>
      </w:r>
      <w:r>
        <w:rPr>
          <w:rFonts w:ascii="Times New Roman" w:hAnsi="Times New Roman" w:cs="Times New Roman" w:eastAsia="Times New Roman" w:hint="default"/>
          <w:b/>
          <w:bCs/>
          <w:spacing w:val="-2"/>
          <w:sz w:val="28"/>
          <w:szCs w:val="28"/>
        </w:rPr>
        <w:t> </w:t>
      </w:r>
      <w:r>
        <w:rPr>
          <w:rFonts w:ascii="Microsoft JhengHei" w:hAnsi="Microsoft JhengHei" w:cs="Microsoft JhengHei" w:eastAsia="Microsoft JhengHei" w:hint="default"/>
          <w:b/>
          <w:bCs/>
          <w:w w:val="100"/>
          <w:sz w:val="28"/>
          <w:szCs w:val="28"/>
        </w:rPr>
        <w:t>股。</w:t>
      </w:r>
      <w:r>
        <w:rPr>
          <w:rFonts w:ascii="Microsoft JhengHei" w:hAnsi="Microsoft JhengHei" w:cs="Microsoft JhengHei" w:eastAsia="Microsoft JhengHei" w:hint="default"/>
          <w:w w:val="100"/>
          <w:sz w:val="28"/>
          <w:szCs w:val="28"/>
        </w:rPr>
      </w:r>
    </w:p>
    <w:p>
      <w:pPr>
        <w:spacing w:after="0"/>
        <w:jc w:val="left"/>
        <w:rPr>
          <w:rFonts w:ascii="Microsoft JhengHei" w:hAnsi="Microsoft JhengHei" w:cs="Microsoft JhengHei" w:eastAsia="Microsoft JhengHei" w:hint="default"/>
          <w:sz w:val="28"/>
          <w:szCs w:val="28"/>
        </w:rPr>
        <w:sectPr>
          <w:footerReference w:type="default" r:id="rId8"/>
          <w:pgSz w:w="11910" w:h="16840"/>
          <w:pgMar w:footer="979" w:header="745" w:top="1060" w:bottom="1160" w:left="980" w:right="0"/>
          <w:pgNumType w:start="2"/>
        </w:sectPr>
      </w:pPr>
    </w:p>
    <w:p>
      <w:pPr>
        <w:spacing w:line="240" w:lineRule="auto" w:before="2"/>
        <w:rPr>
          <w:rFonts w:ascii="Microsoft JhengHei" w:hAnsi="Microsoft JhengHei" w:cs="Microsoft JhengHei" w:eastAsia="Microsoft JhengHei" w:hint="default"/>
          <w:b/>
          <w:bCs/>
          <w:sz w:val="2"/>
          <w:szCs w:val="2"/>
        </w:rPr>
      </w:pP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3"/>
        <w:rPr>
          <w:rFonts w:ascii="Microsoft JhengHei" w:hAnsi="Microsoft JhengHei" w:cs="Microsoft JhengHei" w:eastAsia="Microsoft JhengHei" w:hint="default"/>
          <w:b/>
          <w:bCs/>
          <w:sz w:val="14"/>
          <w:szCs w:val="14"/>
        </w:rPr>
      </w:pPr>
    </w:p>
    <w:p>
      <w:pPr>
        <w:spacing w:line="501" w:lineRule="exact" w:before="0"/>
        <w:ind w:left="134" w:right="1112"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目录</w:t>
      </w:r>
      <w:r>
        <w:rPr>
          <w:rFonts w:ascii="Microsoft JhengHei" w:hAnsi="Microsoft JhengHei" w:cs="Microsoft JhengHei" w:eastAsia="Microsoft JhengHei" w:hint="default"/>
          <w:sz w:val="36"/>
          <w:szCs w:val="36"/>
        </w:rPr>
      </w:r>
    </w:p>
    <w:p>
      <w:pPr>
        <w:spacing w:line="240" w:lineRule="auto" w:before="0"/>
        <w:rPr>
          <w:rFonts w:ascii="Microsoft JhengHei" w:hAnsi="Microsoft JhengHei" w:cs="Microsoft JhengHei" w:eastAsia="Microsoft JhengHei" w:hint="default"/>
          <w:b/>
          <w:bCs/>
          <w:sz w:val="36"/>
          <w:szCs w:val="36"/>
        </w:rPr>
      </w:pPr>
    </w:p>
    <w:p>
      <w:pPr>
        <w:spacing w:line="240" w:lineRule="auto" w:before="16"/>
        <w:rPr>
          <w:rFonts w:ascii="Microsoft JhengHei" w:hAnsi="Microsoft JhengHei" w:cs="Microsoft JhengHei" w:eastAsia="Microsoft JhengHei" w:hint="default"/>
          <w:b/>
          <w:bCs/>
          <w:sz w:val="42"/>
          <w:szCs w:val="42"/>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2">
            <w:r>
              <w:rPr/>
              <w:t>第一节</w:t>
            </w:r>
            <w:r>
              <w:rPr>
                <w:spacing w:val="43"/>
              </w:rPr>
              <w:t> </w:t>
            </w:r>
            <w:r>
              <w:rPr/>
              <w:t>重要提示、目录和释义</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11">
            <w:r>
              <w:rPr/>
              <w:t>第二节</w:t>
            </w:r>
            <w:r>
              <w:rPr>
                <w:spacing w:val="43"/>
              </w:rPr>
              <w:t> </w:t>
            </w:r>
            <w:r>
              <w:rPr/>
              <w:t>公司简介和主要财务指标</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第三节</w:t>
            </w:r>
            <w:r>
              <w:rPr>
                <w:spacing w:val="43"/>
              </w:rPr>
              <w:t> </w:t>
            </w:r>
            <w:r>
              <w:rPr/>
              <w:t>公司业务概要</w:t>
            </w:r>
            <w:r>
              <w:rPr>
                <w:rFonts w:ascii="Times New Roman" w:hAnsi="Times New Roman" w:cs="Times New Roman" w:eastAsia="Times New Roman" w:hint="default"/>
              </w:rPr>
              <w:tab/>
              <w:t>17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第四节</w:t>
            </w:r>
            <w:r>
              <w:rPr>
                <w:spacing w:val="43"/>
              </w:rPr>
              <w:t> </w:t>
            </w:r>
            <w:r>
              <w:rPr/>
              <w:t>经营情况讨论与分析</w:t>
            </w:r>
            <w:r>
              <w:rPr>
                <w:rFonts w:ascii="Times New Roman" w:hAnsi="Times New Roman" w:cs="Times New Roman" w:eastAsia="Times New Roman" w:hint="default"/>
              </w:rPr>
              <w:tab/>
              <w:t>40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第五节</w:t>
            </w:r>
            <w:r>
              <w:rPr>
                <w:spacing w:val="43"/>
              </w:rPr>
              <w:t> </w:t>
            </w:r>
            <w:r>
              <w:rPr/>
              <w:t>重要事项</w:t>
            </w:r>
            <w:r>
              <w:rPr>
                <w:rFonts w:ascii="Times New Roman" w:hAnsi="Times New Roman" w:cs="Times New Roman" w:eastAsia="Times New Roman" w:hint="default"/>
              </w:rPr>
              <w:tab/>
              <w:t>89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第六节</w:t>
            </w:r>
            <w:r>
              <w:rPr>
                <w:spacing w:val="43"/>
              </w:rPr>
              <w:t> </w:t>
            </w:r>
            <w:r>
              <w:rPr/>
              <w:t>股份变动及股东情况</w:t>
            </w:r>
            <w:r>
              <w:rPr>
                <w:rFonts w:ascii="Times New Roman" w:hAnsi="Times New Roman" w:cs="Times New Roman" w:eastAsia="Times New Roman" w:hint="default"/>
              </w:rPr>
              <w:tab/>
              <w:t>99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第七节</w:t>
            </w:r>
            <w:r>
              <w:rPr>
                <w:spacing w:val="43"/>
              </w:rPr>
              <w:t> </w:t>
            </w:r>
            <w:r>
              <w:rPr/>
              <w:t>优先股相关情况</w:t>
            </w:r>
            <w:r>
              <w:rPr>
                <w:rFonts w:ascii="Times New Roman" w:hAnsi="Times New Roman" w:cs="Times New Roman" w:eastAsia="Times New Roman" w:hint="default"/>
              </w:rPr>
              <w:tab/>
              <w:t>99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第八节</w:t>
            </w:r>
            <w:r>
              <w:rPr>
                <w:spacing w:val="43"/>
              </w:rPr>
              <w:t> </w:t>
            </w:r>
            <w:r>
              <w:rPr/>
              <w:t>可转换公司债券相关情况</w:t>
            </w:r>
            <w:r>
              <w:rPr>
                <w:rFonts w:ascii="Times New Roman" w:hAnsi="Times New Roman" w:cs="Times New Roman" w:eastAsia="Times New Roman" w:hint="default"/>
              </w:rPr>
              <w:tab/>
              <w:t>99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第九节</w:t>
            </w:r>
            <w:r>
              <w:rPr>
                <w:spacing w:val="43"/>
              </w:rPr>
              <w:t> </w:t>
            </w:r>
            <w:r>
              <w:rPr/>
              <w:t>董事、监事、高级管理人员和员工情况</w:t>
            </w:r>
            <w:r>
              <w:rPr>
                <w:rFonts w:ascii="Times New Roman" w:hAnsi="Times New Roman" w:cs="Times New Roman" w:eastAsia="Times New Roman" w:hint="default"/>
              </w:rPr>
              <w:tab/>
              <w:t>100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第十节</w:t>
            </w:r>
            <w:r>
              <w:rPr>
                <w:spacing w:val="43"/>
              </w:rPr>
              <w:t> </w:t>
            </w:r>
            <w:r>
              <w:rPr/>
              <w:t>公司治理</w:t>
            </w:r>
            <w:r>
              <w:rPr>
                <w:rFonts w:ascii="Times New Roman" w:hAnsi="Times New Roman" w:cs="Times New Roman" w:eastAsia="Times New Roman" w:hint="default"/>
              </w:rPr>
              <w:tab/>
              <w:t>101</w:t>
            </w:r>
            <w:r>
              <w:rPr>
                <w:rFonts w:ascii="Times New Roman" w:hAnsi="Times New Roman" w:cs="Times New Roman" w:eastAsia="Times New Roman" w:hint="default"/>
                <w:b w:val="0"/>
                <w:bCs w:val="0"/>
              </w:rPr>
            </w:r>
          </w:hyperlink>
        </w:p>
        <w:p>
          <w:pPr>
            <w:pStyle w:val="TOC1"/>
            <w:tabs>
              <w:tab w:pos="9766"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第十一节</w:t>
            </w:r>
            <w:r>
              <w:rPr>
                <w:spacing w:val="44"/>
              </w:rPr>
              <w:t> </w:t>
            </w:r>
            <w:r>
              <w:rPr/>
              <w:t>公司债券相关情况</w:t>
            </w:r>
            <w:r>
              <w:rPr>
                <w:rFonts w:ascii="Times New Roman" w:hAnsi="Times New Roman" w:cs="Times New Roman" w:eastAsia="Times New Roman" w:hint="default"/>
              </w:rPr>
              <w:tab/>
            </w:r>
            <w:r>
              <w:rPr>
                <w:rFonts w:ascii="Times New Roman" w:hAnsi="Times New Roman" w:cs="Times New Roman" w:eastAsia="Times New Roman" w:hint="default"/>
                <w:spacing w:val="-15"/>
              </w:rPr>
              <w:t>111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第十二节</w:t>
            </w:r>
            <w:r>
              <w:rPr>
                <w:spacing w:val="44"/>
              </w:rPr>
              <w:t> </w:t>
            </w:r>
            <w:r>
              <w:rPr/>
              <w:t>财务报告</w:t>
            </w:r>
            <w:r>
              <w:rPr>
                <w:rFonts w:ascii="Times New Roman" w:hAnsi="Times New Roman" w:cs="Times New Roman" w:eastAsia="Times New Roman" w:hint="default"/>
              </w:rPr>
              <w:tab/>
            </w:r>
            <w:r>
              <w:rPr>
                <w:rFonts w:ascii="Times New Roman" w:hAnsi="Times New Roman" w:cs="Times New Roman" w:eastAsia="Times New Roman" w:hint="default"/>
                <w:spacing w:val="-5"/>
              </w:rPr>
              <w:t>118</w:t>
            </w:r>
            <w:r>
              <w:rPr>
                <w:rFonts w:ascii="Times New Roman" w:hAnsi="Times New Roman" w:cs="Times New Roman" w:eastAsia="Times New Roman" w:hint="default"/>
                <w:b w:val="0"/>
                <w:bCs w:val="0"/>
                <w:spacing w:val="-5"/>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第十三节</w:t>
            </w:r>
            <w:r>
              <w:rPr>
                <w:spacing w:val="44"/>
              </w:rPr>
              <w:t> </w:t>
            </w:r>
            <w:r>
              <w:rPr/>
              <w:t>备查文件目录</w:t>
            </w:r>
            <w:r>
              <w:rPr>
                <w:rFonts w:ascii="Times New Roman" w:hAnsi="Times New Roman" w:cs="Times New Roman" w:eastAsia="Times New Roman" w:hint="default"/>
              </w:rPr>
              <w:tab/>
            </w:r>
            <w:r>
              <w:rPr>
                <w:rFonts w:ascii="Times New Roman" w:hAnsi="Times New Roman" w:cs="Times New Roman" w:eastAsia="Times New Roman" w:hint="default"/>
                <w:spacing w:val="-5"/>
              </w:rPr>
              <w:t>119</w:t>
            </w:r>
            <w:r>
              <w:rPr>
                <w:rFonts w:ascii="Times New Roman" w:hAnsi="Times New Roman" w:cs="Times New Roman" w:eastAsia="Times New Roman" w:hint="default"/>
                <w:b w:val="0"/>
                <w:bCs w:val="0"/>
                <w:spacing w:val="-5"/>
              </w:rPr>
            </w:r>
          </w:hyperlink>
        </w:p>
        <w:p>
          <w:pPr/>
          <w:r>
            <w:fldChar w:fldCharType="end"/>
          </w:r>
        </w:p>
      </w:sdtContent>
    </w:sdt>
    <w:p>
      <w:pPr>
        <w:spacing w:after="0"/>
        <w:sectPr>
          <w:pgSz w:w="11910" w:h="16840"/>
          <w:pgMar w:header="745" w:footer="979" w:top="1060" w:bottom="1160" w:left="980" w:right="0"/>
        </w:sectPr>
      </w:pPr>
    </w:p>
    <w:p>
      <w:pPr>
        <w:spacing w:before="843"/>
        <w:ind w:left="134" w:right="1112"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释义</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ind w:left="0" w:right="1136"/>
        <w:jc w:val="right"/>
      </w:pPr>
      <w:r>
        <w:rPr/>
        <w:pict>
          <v:shape style="position:absolute;margin-left:56.400002pt;margin-top:-364.778259pt;width:479.3pt;height:598.8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2"/>
                    <w:gridCol w:w="5425"/>
                  </w:tblGrid>
                  <w:tr>
                    <w:trPr>
                      <w:trHeight w:val="398"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金溢科技、公司、本公司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深圳市金溢科技股份有限公司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金溢有限</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深圳市金溢科技有限公司，公司前身</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青岛金溢</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青岛金溢科技有限公司，子公司</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佛山金溢</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佛山金溢科技有限公司，子公司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中交金溢</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北京中交金溢科技有限公司，子公司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华信金溢</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广东华信金溢信息技术有限公司，子公司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伟龙金溢</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伟龙金溢科技（深圳）有限公司，子公司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无锡金溢</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无锡金溢科技有限公司，子公司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敏行电子</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深圳市敏行电子有限公司，公司第一大股东</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至为投资</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深圳至为投资企业（有限合伙）</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致璞投资</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深圳致璞投资企业（有限合伙）</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新加坡伟龙</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3"/>
                            <w:sz w:val="18"/>
                          </w:rPr>
                          <w:t>WeiLong </w:t>
                        </w:r>
                        <w:r>
                          <w:rPr>
                            <w:rFonts w:ascii="Times New Roman"/>
                            <w:sz w:val="18"/>
                          </w:rPr>
                          <w:t>Electronics Engineering Pte</w:t>
                        </w:r>
                        <w:r>
                          <w:rPr>
                            <w:rFonts w:ascii="Times New Roman"/>
                            <w:spacing w:val="-1"/>
                            <w:sz w:val="18"/>
                          </w:rPr>
                          <w:t> </w:t>
                        </w:r>
                        <w:r>
                          <w:rPr>
                            <w:rFonts w:ascii="Times New Roman"/>
                            <w:sz w:val="18"/>
                          </w:rPr>
                          <w:t>Ltd.</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证监会、中国证监会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中华人民共和国证券监督管理委员会</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交通部</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中华人民共和国交通运输部</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工信部</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中华人民共和国工业和信息化部</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公安部</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中华人民共和国公安部</w:t>
                        </w:r>
                      </w:p>
                    </w:tc>
                  </w:tr>
                  <w:tr>
                    <w:trPr>
                      <w:trHeight w:val="102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RFID</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无线射频识别（</w:t>
                        </w:r>
                        <w:r>
                          <w:rPr>
                            <w:rFonts w:ascii="Times New Roman" w:hAnsi="Times New Roman" w:cs="Times New Roman" w:eastAsia="Times New Roman" w:hint="default"/>
                            <w:sz w:val="18"/>
                            <w:szCs w:val="18"/>
                          </w:rPr>
                          <w:t>Radio Frequency</w:t>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z w:val="18"/>
                            <w:szCs w:val="18"/>
                          </w:rPr>
                          <w:t>Identification</w:t>
                        </w:r>
                        <w:r>
                          <w:rPr>
                            <w:rFonts w:ascii="宋体" w:hAnsi="宋体" w:cs="宋体" w:eastAsia="宋体" w:hint="default"/>
                            <w:sz w:val="18"/>
                            <w:szCs w:val="18"/>
                          </w:rPr>
                          <w:t>）技术，一种通信技术</w:t>
                        </w:r>
                        <w:r>
                          <w:rPr>
                            <w:rFonts w:ascii="宋体" w:hAnsi="宋体" w:cs="宋体" w:eastAsia="宋体" w:hint="default"/>
                            <w:w w:val="99"/>
                            <w:sz w:val="18"/>
                            <w:szCs w:val="18"/>
                          </w:rPr>
                          <w:t> </w:t>
                        </w:r>
                        <w:r>
                          <w:rPr>
                            <w:rFonts w:ascii="宋体" w:hAnsi="宋体" w:cs="宋体" w:eastAsia="宋体" w:hint="default"/>
                            <w:spacing w:val="-2"/>
                            <w:sz w:val="18"/>
                            <w:szCs w:val="18"/>
                          </w:rPr>
                          <w:t>可通过无线电讯号识别特定目标并读写相关数据，而无需识别系统与</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特定目标之间建立机械或光学接触。</w:t>
                        </w:r>
                        <w:r>
                          <w:rPr>
                            <w:rFonts w:ascii="Times New Roman" w:hAnsi="Times New Roman" w:cs="Times New Roman" w:eastAsia="Times New Roman" w:hint="default"/>
                            <w:spacing w:val="-2"/>
                            <w:sz w:val="18"/>
                            <w:szCs w:val="18"/>
                          </w:rPr>
                          <w:t>RFID</w:t>
                        </w:r>
                        <w:r>
                          <w:rPr>
                            <w:rFonts w:ascii="Times New Roman" w:hAnsi="Times New Roman" w:cs="Times New Roman" w:eastAsia="Times New Roman" w:hint="default"/>
                            <w:spacing w:val="11"/>
                            <w:sz w:val="18"/>
                            <w:szCs w:val="18"/>
                          </w:rPr>
                          <w:t> </w:t>
                        </w:r>
                        <w:r>
                          <w:rPr>
                            <w:rFonts w:ascii="宋体" w:hAnsi="宋体" w:cs="宋体" w:eastAsia="宋体" w:hint="default"/>
                            <w:spacing w:val="-1"/>
                            <w:sz w:val="18"/>
                            <w:szCs w:val="18"/>
                          </w:rPr>
                          <w:t>技术属于射频技术的范畴</w:t>
                        </w:r>
                      </w:p>
                    </w:tc>
                  </w:tr>
                  <w:tr>
                    <w:trPr>
                      <w:trHeight w:val="1337"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DSRC</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9"/>
                          <w:jc w:val="both"/>
                          <w:rPr>
                            <w:rFonts w:ascii="宋体" w:hAnsi="宋体" w:cs="宋体" w:eastAsia="宋体" w:hint="default"/>
                            <w:sz w:val="18"/>
                            <w:szCs w:val="18"/>
                          </w:rPr>
                        </w:pPr>
                        <w:r>
                          <w:rPr>
                            <w:rFonts w:ascii="宋体" w:hAnsi="宋体" w:cs="宋体" w:eastAsia="宋体" w:hint="default"/>
                            <w:sz w:val="18"/>
                            <w:szCs w:val="18"/>
                          </w:rPr>
                          <w:t>专用短程通信技术（</w:t>
                        </w:r>
                        <w:r>
                          <w:rPr>
                            <w:rFonts w:ascii="Times New Roman" w:hAnsi="Times New Roman" w:cs="Times New Roman" w:eastAsia="Times New Roman" w:hint="default"/>
                            <w:sz w:val="18"/>
                            <w:szCs w:val="18"/>
                          </w:rPr>
                          <w:t>Dedicated Short Range</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Communications</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一种高 </w:t>
                        </w:r>
                        <w:r>
                          <w:rPr>
                            <w:rFonts w:ascii="宋体" w:hAnsi="宋体" w:cs="宋体" w:eastAsia="宋体" w:hint="default"/>
                            <w:spacing w:val="-1"/>
                            <w:sz w:val="18"/>
                            <w:szCs w:val="18"/>
                          </w:rPr>
                          <w:t>效的无线通信技术，它可以实现在特定小区域内（通常为数十米）对</w:t>
                        </w:r>
                        <w:r>
                          <w:rPr>
                            <w:rFonts w:ascii="宋体" w:hAnsi="宋体" w:cs="宋体" w:eastAsia="宋体" w:hint="default"/>
                            <w:sz w:val="18"/>
                            <w:szCs w:val="18"/>
                          </w:rPr>
                          <w:t> 高速运动下的移动目标的识别和双向通信。主要应用在不停车收费、 出入控制、信息服务等领域。</w:t>
                        </w:r>
                        <w:r>
                          <w:rPr>
                            <w:rFonts w:ascii="Times New Roman" w:hAnsi="Times New Roman" w:cs="Times New Roman" w:eastAsia="Times New Roman" w:hint="default"/>
                            <w:sz w:val="18"/>
                            <w:szCs w:val="18"/>
                          </w:rPr>
                          <w:t>DSRC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技术属于射频技术的范畴。</w:t>
                        </w:r>
                      </w:p>
                    </w:tc>
                  </w:tr>
                  <w:tr>
                    <w:trPr>
                      <w:trHeight w:val="1339"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ETC</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9"/>
                          <w:jc w:val="both"/>
                          <w:rPr>
                            <w:rFonts w:ascii="宋体" w:hAnsi="宋体" w:cs="宋体" w:eastAsia="宋体" w:hint="default"/>
                            <w:sz w:val="18"/>
                            <w:szCs w:val="18"/>
                          </w:rPr>
                        </w:pPr>
                        <w:r>
                          <w:rPr>
                            <w:rFonts w:ascii="宋体" w:hAnsi="宋体" w:cs="宋体" w:eastAsia="宋体" w:hint="default"/>
                            <w:spacing w:val="-1"/>
                            <w:sz w:val="18"/>
                            <w:szCs w:val="18"/>
                          </w:rPr>
                          <w:t>电子不停车收费系统（</w:t>
                        </w:r>
                        <w:r>
                          <w:rPr>
                            <w:rFonts w:ascii="Times New Roman" w:hAnsi="Times New Roman" w:cs="Times New Roman" w:eastAsia="Times New Roman" w:hint="default"/>
                            <w:spacing w:val="-1"/>
                            <w:sz w:val="18"/>
                            <w:szCs w:val="18"/>
                          </w:rPr>
                          <w:t>Electronic</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4"/>
                            <w:sz w:val="18"/>
                            <w:szCs w:val="18"/>
                          </w:rPr>
                          <w:t>Toll</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pacing w:val="-5"/>
                            <w:sz w:val="18"/>
                            <w:szCs w:val="18"/>
                          </w:rPr>
                          <w:t>Collection</w:t>
                        </w:r>
                        <w:r>
                          <w:rPr>
                            <w:rFonts w:ascii="宋体" w:hAnsi="宋体" w:cs="宋体" w:eastAsia="宋体" w:hint="default"/>
                            <w:spacing w:val="-5"/>
                            <w:sz w:val="18"/>
                            <w:szCs w:val="18"/>
                          </w:rPr>
                          <w:t>），实现了车辆在通过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收费节点时，通过专用短程通信技术实现车辆识别、信息写入并自动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从预先绑定的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IC </w:t>
                        </w:r>
                        <w:r>
                          <w:rPr>
                            <w:rFonts w:ascii="宋体" w:hAnsi="宋体" w:cs="宋体" w:eastAsia="宋体" w:hint="default"/>
                            <w:sz w:val="18"/>
                            <w:szCs w:val="18"/>
                          </w:rPr>
                          <w:t>卡或银行账户上扣除相应资金。这一技术使得道路 的通行能力与收费效率大幅度提高。</w:t>
                        </w:r>
                      </w:p>
                    </w:tc>
                  </w:tr>
                  <w:tr>
                    <w:trPr>
                      <w:trHeight w:val="102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RSU</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2"/>
                          <w:jc w:val="both"/>
                          <w:rPr>
                            <w:rFonts w:ascii="宋体" w:hAnsi="宋体" w:cs="宋体" w:eastAsia="宋体" w:hint="default"/>
                            <w:sz w:val="18"/>
                            <w:szCs w:val="18"/>
                          </w:rPr>
                        </w:pPr>
                        <w:r>
                          <w:rPr>
                            <w:rFonts w:ascii="宋体" w:hAnsi="宋体" w:cs="宋体" w:eastAsia="宋体" w:hint="default"/>
                            <w:spacing w:val="-1"/>
                            <w:sz w:val="18"/>
                            <w:szCs w:val="18"/>
                          </w:rPr>
                          <w:t>路侧单元（</w:t>
                        </w:r>
                        <w:r>
                          <w:rPr>
                            <w:rFonts w:ascii="Times New Roman" w:hAnsi="Times New Roman" w:cs="Times New Roman" w:eastAsia="Times New Roman" w:hint="default"/>
                            <w:spacing w:val="-1"/>
                            <w:sz w:val="18"/>
                            <w:szCs w:val="18"/>
                          </w:rPr>
                          <w:t>Road</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w w:val="99"/>
                            <w:sz w:val="18"/>
                            <w:szCs w:val="18"/>
                          </w:rPr>
                          <w:t>Side</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5"/>
                            <w:w w:val="99"/>
                            <w:sz w:val="18"/>
                            <w:szCs w:val="18"/>
                          </w:rPr>
                          <w:t>Unit</w:t>
                        </w:r>
                        <w:r>
                          <w:rPr>
                            <w:rFonts w:ascii="宋体" w:hAnsi="宋体" w:cs="宋体" w:eastAsia="宋体" w:hint="default"/>
                            <w:spacing w:val="-5"/>
                            <w:w w:val="99"/>
                            <w:sz w:val="18"/>
                            <w:szCs w:val="18"/>
                          </w:rPr>
                          <w:t>），又称路侧天线，电子不停车收费系统中</w:t>
                        </w:r>
                        <w:r>
                          <w:rPr>
                            <w:rFonts w:ascii="宋体" w:hAnsi="宋体" w:cs="宋体" w:eastAsia="宋体" w:hint="default"/>
                            <w:spacing w:val="-57"/>
                            <w:w w:val="99"/>
                            <w:sz w:val="18"/>
                            <w:szCs w:val="18"/>
                          </w:rPr>
                          <w:t> </w:t>
                        </w:r>
                        <w:r>
                          <w:rPr>
                            <w:rFonts w:ascii="宋体" w:hAnsi="宋体" w:cs="宋体" w:eastAsia="宋体" w:hint="default"/>
                            <w:spacing w:val="-57"/>
                            <w:w w:val="99"/>
                            <w:sz w:val="18"/>
                            <w:szCs w:val="18"/>
                          </w:rPr>
                        </w:r>
                        <w:r>
                          <w:rPr>
                            <w:rFonts w:ascii="宋体" w:hAnsi="宋体" w:cs="宋体" w:eastAsia="宋体" w:hint="default"/>
                            <w:spacing w:val="-2"/>
                            <w:sz w:val="18"/>
                            <w:szCs w:val="18"/>
                          </w:rPr>
                          <w:t>的路侧组成部分，由微波天线和读写控制器组成，实时采集和更新标</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签和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IC </w:t>
                        </w:r>
                        <w:r>
                          <w:rPr>
                            <w:rFonts w:ascii="宋体" w:hAnsi="宋体" w:cs="宋体" w:eastAsia="宋体" w:hint="default"/>
                            <w:sz w:val="18"/>
                            <w:szCs w:val="18"/>
                          </w:rPr>
                          <w:t>卡中的收费信息，并与计算机和网络连通。</w:t>
                        </w:r>
                      </w:p>
                    </w:tc>
                  </w:tr>
                </w:tbl>
                <w:p>
                  <w:pPr/>
                </w:p>
              </w:txbxContent>
            </v:textbox>
            <w10:wrap type="none"/>
          </v:shape>
        </w:pict>
      </w:r>
      <w:r>
        <w:rPr/>
        <w:t>，</w:t>
      </w:r>
    </w:p>
    <w:p>
      <w:pPr>
        <w:spacing w:line="240" w:lineRule="auto" w:before="4"/>
        <w:rPr>
          <w:rFonts w:ascii="宋体" w:hAnsi="宋体" w:cs="宋体" w:eastAsia="宋体" w:hint="default"/>
          <w:sz w:val="26"/>
          <w:szCs w:val="26"/>
        </w:rPr>
      </w:pPr>
    </w:p>
    <w:p>
      <w:pPr>
        <w:pStyle w:val="BodyText"/>
        <w:spacing w:line="240" w:lineRule="auto" w:before="44"/>
        <w:ind w:left="0" w:right="1138"/>
        <w:jc w:val="right"/>
      </w:pPr>
      <w:r>
        <w:rPr/>
        <w:t>。</w:t>
      </w:r>
    </w:p>
    <w:p>
      <w:pPr>
        <w:spacing w:after="0" w:line="240" w:lineRule="auto"/>
        <w:jc w:val="righ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before="44"/>
        <w:ind w:left="0" w:right="1138"/>
        <w:jc w:val="right"/>
      </w:pPr>
      <w:r>
        <w:rPr/>
        <w:pict>
          <v:shape style="position:absolute;margin-left:56.400002pt;margin-top:-83.188263pt;width:479.3pt;height:622.8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0"/>
                    <w:gridCol w:w="5425"/>
                  </w:tblGrid>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OBU</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67"/>
                          <w:jc w:val="both"/>
                          <w:rPr>
                            <w:rFonts w:ascii="宋体" w:hAnsi="宋体" w:cs="宋体" w:eastAsia="宋体" w:hint="default"/>
                            <w:sz w:val="18"/>
                            <w:szCs w:val="18"/>
                          </w:rPr>
                        </w:pPr>
                        <w:r>
                          <w:rPr>
                            <w:rFonts w:ascii="宋体" w:hAnsi="宋体" w:cs="宋体" w:eastAsia="宋体" w:hint="default"/>
                            <w:w w:val="99"/>
                            <w:sz w:val="18"/>
                            <w:szCs w:val="18"/>
                          </w:rPr>
                          <w:t>车载单元（</w:t>
                        </w:r>
                        <w:r>
                          <w:rPr>
                            <w:rFonts w:ascii="Times New Roman" w:hAnsi="Times New Roman" w:cs="Times New Roman" w:eastAsia="Times New Roman" w:hint="default"/>
                            <w:w w:val="99"/>
                            <w:sz w:val="18"/>
                            <w:szCs w:val="18"/>
                          </w:rPr>
                          <w:t>On</w:t>
                        </w:r>
                        <w:r>
                          <w:rPr>
                            <w:rFonts w:ascii="Times New Roman" w:hAnsi="Times New Roman" w:cs="Times New Roman" w:eastAsia="Times New Roman" w:hint="default"/>
                            <w:spacing w:val="9"/>
                            <w:w w:val="99"/>
                            <w:sz w:val="18"/>
                            <w:szCs w:val="18"/>
                          </w:rPr>
                          <w:t> </w:t>
                        </w:r>
                        <w:r>
                          <w:rPr>
                            <w:rFonts w:ascii="Times New Roman" w:hAnsi="Times New Roman" w:cs="Times New Roman" w:eastAsia="Times New Roman" w:hint="default"/>
                            <w:spacing w:val="-1"/>
                            <w:sz w:val="18"/>
                            <w:szCs w:val="18"/>
                          </w:rPr>
                          <w:t>Board</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pacing w:val="-5"/>
                            <w:w w:val="99"/>
                            <w:sz w:val="18"/>
                            <w:szCs w:val="18"/>
                          </w:rPr>
                          <w:t>Unit</w:t>
                        </w:r>
                        <w:r>
                          <w:rPr>
                            <w:rFonts w:ascii="宋体" w:hAnsi="宋体" w:cs="宋体" w:eastAsia="宋体" w:hint="default"/>
                            <w:spacing w:val="-5"/>
                            <w:w w:val="99"/>
                            <w:sz w:val="18"/>
                            <w:szCs w:val="18"/>
                          </w:rPr>
                          <w:t>），又称电子标签，安装于车辆前挡风玻璃</w:t>
                        </w:r>
                        <w:r>
                          <w:rPr>
                            <w:rFonts w:ascii="宋体" w:hAnsi="宋体" w:cs="宋体" w:eastAsia="宋体" w:hint="default"/>
                            <w:spacing w:val="-83"/>
                            <w:w w:val="99"/>
                            <w:sz w:val="18"/>
                            <w:szCs w:val="18"/>
                          </w:rPr>
                          <w:t> </w:t>
                        </w:r>
                        <w:r>
                          <w:rPr>
                            <w:rFonts w:ascii="宋体" w:hAnsi="宋体" w:cs="宋体" w:eastAsia="宋体" w:hint="default"/>
                            <w:spacing w:val="-83"/>
                            <w:w w:val="99"/>
                            <w:sz w:val="18"/>
                            <w:szCs w:val="18"/>
                          </w:rPr>
                        </w:r>
                        <w:r>
                          <w:rPr>
                            <w:rFonts w:ascii="宋体" w:hAnsi="宋体" w:cs="宋体" w:eastAsia="宋体" w:hint="default"/>
                            <w:sz w:val="18"/>
                            <w:szCs w:val="18"/>
                          </w:rPr>
                          <w:t>内侧、后视镜内、控制台上下等位置，通过 </w:t>
                        </w:r>
                        <w:r>
                          <w:rPr>
                            <w:rFonts w:ascii="Times New Roman" w:hAnsi="Times New Roman" w:cs="Times New Roman" w:eastAsia="Times New Roman" w:hint="default"/>
                            <w:sz w:val="18"/>
                            <w:szCs w:val="18"/>
                          </w:rPr>
                          <w:t>OBU </w:t>
                        </w:r>
                        <w:r>
                          <w:rPr>
                            <w:rFonts w:ascii="宋体" w:hAnsi="宋体" w:cs="宋体" w:eastAsia="宋体" w:hint="default"/>
                            <w:sz w:val="18"/>
                            <w:szCs w:val="18"/>
                          </w:rPr>
                          <w:t>与 </w:t>
                        </w:r>
                        <w:r>
                          <w:rPr>
                            <w:rFonts w:ascii="Times New Roman" w:hAnsi="Times New Roman" w:cs="Times New Roman" w:eastAsia="Times New Roman" w:hint="default"/>
                            <w:sz w:val="18"/>
                            <w:szCs w:val="18"/>
                          </w:rPr>
                          <w:t>RSU</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之间的通 信，实现不停车收费功能，可分为单片式和双片式。</w:t>
                        </w:r>
                      </w:p>
                    </w:tc>
                  </w:tr>
                  <w:tr>
                    <w:trPr>
                      <w:trHeight w:val="133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多义性路径识别</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车辆从高速公路网络中的某一入口进入，至某一出口离开，中间可能</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有多种行驶路径。多义性路径识别是利用技术手段对车辆的行驶路径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6"/>
                            <w:sz w:val="18"/>
                            <w:szCs w:val="18"/>
                          </w:rPr>
                          <w:t>进行识别，记录车辆的实际行驶路径信息。可用于收</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计费清算及拆分</w:t>
                        </w:r>
                        <w:r>
                          <w:rPr>
                            <w:rFonts w:ascii="宋体" w:hAnsi="宋体" w:cs="宋体" w:eastAsia="宋体" w:hint="default"/>
                            <w:spacing w:val="-78"/>
                            <w:sz w:val="18"/>
                            <w:szCs w:val="18"/>
                          </w:rPr>
                          <w:t> </w:t>
                        </w:r>
                        <w:r>
                          <w:rPr>
                            <w:rFonts w:ascii="宋体" w:hAnsi="宋体" w:cs="宋体" w:eastAsia="宋体" w:hint="default"/>
                            <w:sz w:val="18"/>
                            <w:szCs w:val="18"/>
                          </w:rPr>
                          <w:t>车流量调节。</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自由流</w:t>
                        </w:r>
                        <w:r>
                          <w:rPr>
                            <w:rFonts w:ascii="Times New Roman" w:hAnsi="Times New Roman" w:cs="Times New Roman" w:eastAsia="Times New Roman" w:hint="default"/>
                            <w:sz w:val="18"/>
                            <w:szCs w:val="18"/>
                          </w:rPr>
                          <w:t>/</w:t>
                        </w:r>
                        <w:r>
                          <w:rPr>
                            <w:rFonts w:ascii="宋体" w:hAnsi="宋体" w:cs="宋体" w:eastAsia="宋体" w:hint="default"/>
                            <w:sz w:val="18"/>
                            <w:szCs w:val="18"/>
                          </w:rPr>
                          <w:t>多车道自由流系统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Multi-lane Free</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Flow</w:t>
                        </w:r>
                        <w:r>
                          <w:rPr>
                            <w:rFonts w:ascii="宋体" w:hAnsi="宋体" w:cs="宋体" w:eastAsia="宋体" w:hint="default"/>
                            <w:sz w:val="18"/>
                            <w:szCs w:val="18"/>
                          </w:rPr>
                          <w:t>，车道上不设置物理隔离物，不影响车流的正常 </w:t>
                        </w:r>
                        <w:r>
                          <w:rPr>
                            <w:rFonts w:ascii="宋体" w:hAnsi="宋体" w:cs="宋体" w:eastAsia="宋体" w:hint="default"/>
                            <w:spacing w:val="-2"/>
                            <w:sz w:val="18"/>
                            <w:szCs w:val="18"/>
                          </w:rPr>
                          <w:t>通行的电子不停车收费系统；收费过程不对车辆行驶状态提出过多的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限制，如车速、并驰、跨线和并线等。</w:t>
                        </w:r>
                      </w:p>
                    </w:tc>
                  </w:tr>
                  <w:tr>
                    <w:trPr>
                      <w:trHeight w:val="227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智慧停车场</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9"/>
                          <w:jc w:val="both"/>
                          <w:rPr>
                            <w:rFonts w:ascii="宋体" w:hAnsi="宋体" w:cs="宋体" w:eastAsia="宋体" w:hint="default"/>
                            <w:sz w:val="18"/>
                            <w:szCs w:val="18"/>
                          </w:rPr>
                        </w:pPr>
                        <w:r>
                          <w:rPr>
                            <w:rFonts w:ascii="宋体" w:hAnsi="宋体" w:cs="宋体" w:eastAsia="宋体" w:hint="default"/>
                            <w:sz w:val="18"/>
                            <w:szCs w:val="18"/>
                          </w:rPr>
                          <w:t>智慧停车场管理系统，是融合了物联网、电子支付及云计算新技术， 能够实现全自动停车联网服务与收费管理的高科技机电一体化产品。 </w:t>
                        </w:r>
                        <w:r>
                          <w:rPr>
                            <w:rFonts w:ascii="宋体" w:hAnsi="宋体" w:cs="宋体" w:eastAsia="宋体" w:hint="default"/>
                            <w:spacing w:val="-2"/>
                            <w:sz w:val="18"/>
                            <w:szCs w:val="18"/>
                          </w:rPr>
                          <w:t>它以车载电子标签和车牌等特征为识别介质，通过物联网识别设备获</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取车辆及持卡人的相关信息，通过车辆感知、传输以及集中监控的停</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车联网远程服务，辅助以移动终端和监控人机界面，实现全自动无人</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值守、不停车通行、非现金收费、集中化联网车辆管理服务。具有管</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理高效、运作环保，以及更高服务质量，更好服务体验的特点。</w:t>
                        </w:r>
                      </w:p>
                    </w:tc>
                  </w:tr>
                  <w:tr>
                    <w:trPr>
                      <w:trHeight w:val="133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车联网</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2"/>
                          <w:jc w:val="both"/>
                          <w:rPr>
                            <w:rFonts w:ascii="宋体" w:hAnsi="宋体" w:cs="宋体" w:eastAsia="宋体" w:hint="default"/>
                            <w:sz w:val="18"/>
                            <w:szCs w:val="18"/>
                          </w:rPr>
                        </w:pPr>
                        <w:r>
                          <w:rPr>
                            <w:rFonts w:ascii="宋体" w:hAnsi="宋体" w:cs="宋体" w:eastAsia="宋体" w:hint="default"/>
                            <w:spacing w:val="-2"/>
                            <w:sz w:val="18"/>
                            <w:szCs w:val="18"/>
                          </w:rPr>
                          <w:t>利用先进传感技术、网络技术、计算技术、控制技术、智能技术，对</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道路和交通进行全面感知，实现多个系统间大范围、大容量数据的交</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互，对每一辆汽车进行交通全程控制，对每一条道路进行交通全时空</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控制，以提高交通效率和交通安全为主的网络与应用。</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质保期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指产品已经交付并经业主或系统集成商验收合格后，自验收合格之日</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起约定时间段内的产品质量保证期。</w:t>
                        </w:r>
                      </w:p>
                    </w:tc>
                  </w:tr>
                  <w:tr>
                    <w:trPr>
                      <w:trHeight w:val="133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联网收费</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9"/>
                          <w:jc w:val="both"/>
                          <w:rPr>
                            <w:rFonts w:ascii="宋体" w:hAnsi="宋体" w:cs="宋体" w:eastAsia="宋体" w:hint="default"/>
                            <w:sz w:val="18"/>
                            <w:szCs w:val="18"/>
                          </w:rPr>
                        </w:pPr>
                        <w:r>
                          <w:rPr>
                            <w:rFonts w:ascii="宋体" w:hAnsi="宋体" w:cs="宋体" w:eastAsia="宋体" w:hint="default"/>
                            <w:spacing w:val="-2"/>
                            <w:sz w:val="18"/>
                            <w:szCs w:val="18"/>
                          </w:rPr>
                          <w:t>也称为收费联网，在一定的收费路网范围内，将分属不同收费公路经</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营单位管理的若干条高速公路纳入一个统一的封闭式收费系统，对各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收费公路经营管理单位实行</w:t>
                        </w:r>
                        <w:r>
                          <w:rPr>
                            <w:rFonts w:ascii="Times New Roman" w:hAnsi="Times New Roman" w:cs="Times New Roman" w:eastAsia="Times New Roman" w:hint="default"/>
                            <w:sz w:val="18"/>
                            <w:szCs w:val="18"/>
                          </w:rPr>
                          <w:t>"</w:t>
                        </w:r>
                        <w:r>
                          <w:rPr>
                            <w:rFonts w:ascii="宋体" w:hAnsi="宋体" w:cs="宋体" w:eastAsia="宋体" w:hint="default"/>
                            <w:sz w:val="18"/>
                            <w:szCs w:val="18"/>
                          </w:rPr>
                          <w:t>统一收费、按比例分成</w:t>
                        </w:r>
                        <w:r>
                          <w:rPr>
                            <w:rFonts w:ascii="Times New Roman" w:hAnsi="Times New Roman" w:cs="Times New Roman" w:eastAsia="Times New Roman" w:hint="default"/>
                            <w:sz w:val="18"/>
                            <w:szCs w:val="18"/>
                          </w:rPr>
                          <w:t>"</w:t>
                        </w:r>
                        <w:r>
                          <w:rPr>
                            <w:rFonts w:ascii="宋体" w:hAnsi="宋体" w:cs="宋体" w:eastAsia="宋体" w:hint="default"/>
                            <w:sz w:val="18"/>
                            <w:szCs w:val="18"/>
                          </w:rPr>
                          <w:t>的收费运营和管 理方式。</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射频技术</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pacing w:val="-2"/>
                            <w:sz w:val="18"/>
                            <w:szCs w:val="18"/>
                          </w:rPr>
                          <w:t>采用无线电波来传送控制信号的通信技术，信号传播不具方向性，有</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效传播距离可达数十米，较常见的应用有无线射频识别。</w:t>
                        </w:r>
                      </w:p>
                    </w:tc>
                  </w:tr>
                  <w:tr>
                    <w:trPr>
                      <w:trHeight w:val="164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V2X</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V2X</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Vehicle </w:t>
                        </w:r>
                        <w:r>
                          <w:rPr>
                            <w:rFonts w:ascii="Times New Roman" w:hAnsi="Times New Roman" w:cs="Times New Roman" w:eastAsia="Times New Roman" w:hint="default"/>
                            <w:sz w:val="18"/>
                            <w:szCs w:val="18"/>
                          </w:rPr>
                          <w:t>to</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Everything)</w:t>
                        </w:r>
                        <w:r>
                          <w:rPr>
                            <w:rFonts w:ascii="宋体" w:hAnsi="宋体" w:cs="宋体" w:eastAsia="宋体" w:hint="default"/>
                            <w:sz w:val="18"/>
                            <w:szCs w:val="18"/>
                          </w:rPr>
                          <w:t>，即汽车之间、汽车与其它交通要素之间 的直接通信，是未来智能交通运输系统的关键技术。它使得车与车、 </w:t>
                        </w:r>
                        <w:r>
                          <w:rPr>
                            <w:rFonts w:ascii="宋体" w:hAnsi="宋体" w:cs="宋体" w:eastAsia="宋体" w:hint="default"/>
                            <w:spacing w:val="-5"/>
                            <w:sz w:val="18"/>
                            <w:szCs w:val="18"/>
                          </w:rPr>
                          <w:t>车与基站、基站与基站之间能够通信。从而获得实时路况、道路信息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1"/>
                            <w:sz w:val="18"/>
                            <w:szCs w:val="18"/>
                          </w:rPr>
                          <w:t>行人信息等一系列交通信息，从而提高驾驶安全性、减少拥堵、提高</w:t>
                        </w:r>
                        <w:r>
                          <w:rPr>
                            <w:rFonts w:ascii="宋体" w:hAnsi="宋体" w:cs="宋体" w:eastAsia="宋体" w:hint="default"/>
                            <w:sz w:val="18"/>
                            <w:szCs w:val="18"/>
                          </w:rPr>
                          <w:t> 交通效率、提供车载娱乐信息等。</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物联网</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物联网（</w:t>
                        </w:r>
                        <w:r>
                          <w:rPr>
                            <w:rFonts w:ascii="Times New Roman" w:hAnsi="Times New Roman" w:cs="Times New Roman" w:eastAsia="Times New Roman" w:hint="default"/>
                            <w:sz w:val="18"/>
                            <w:szCs w:val="18"/>
                          </w:rPr>
                          <w:t>Internet of things</w:t>
                        </w:r>
                        <w:r>
                          <w:rPr>
                            <w:rFonts w:ascii="宋体" w:hAnsi="宋体" w:cs="宋体" w:eastAsia="宋体" w:hint="default"/>
                            <w:sz w:val="18"/>
                            <w:szCs w:val="18"/>
                          </w:rPr>
                          <w:t>，简称</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IoT</w:t>
                        </w:r>
                        <w:r>
                          <w:rPr>
                            <w:rFonts w:ascii="宋体" w:hAnsi="宋体" w:cs="宋体" w:eastAsia="宋体" w:hint="default"/>
                            <w:sz w:val="18"/>
                            <w:szCs w:val="18"/>
                          </w:rPr>
                          <w:t>）是新一代信息技术的重要组成 </w:t>
                        </w:r>
                        <w:r>
                          <w:rPr>
                            <w:rFonts w:ascii="宋体" w:hAnsi="宋体" w:cs="宋体" w:eastAsia="宋体" w:hint="default"/>
                            <w:spacing w:val="-2"/>
                            <w:sz w:val="18"/>
                            <w:szCs w:val="18"/>
                          </w:rPr>
                          <w:t>部分，是物物相连的互联网。物联网通过智能感知、识别技术与普适</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计算等通信感知技术，广泛应用于网络的融合中。</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BodyText"/>
        <w:spacing w:line="240" w:lineRule="auto" w:before="44"/>
        <w:ind w:left="0" w:right="1139"/>
        <w:jc w:val="right"/>
      </w:pPr>
      <w:r>
        <w:rPr/>
        <w:t>、</w:t>
      </w:r>
    </w:p>
    <w:p>
      <w:pPr>
        <w:spacing w:after="0" w:line="240" w:lineRule="auto"/>
        <w:jc w:val="right"/>
        <w:sectPr>
          <w:pgSz w:w="11910" w:h="16840"/>
          <w:pgMar w:header="745" w:footer="979" w:top="1060" w:bottom="1160" w:left="980" w:right="0"/>
        </w:sectPr>
      </w:pPr>
    </w:p>
    <w:p>
      <w:pPr>
        <w:spacing w:line="240" w:lineRule="auto" w:before="8"/>
        <w:rPr>
          <w:rFonts w:ascii="宋体" w:hAnsi="宋体" w:cs="宋体" w:eastAsia="宋体" w:hint="default"/>
          <w:sz w:val="29"/>
          <w:szCs w:val="29"/>
        </w:rPr>
      </w:pPr>
    </w:p>
    <w:p>
      <w:pPr>
        <w:pStyle w:val="BodyText"/>
        <w:spacing w:line="240" w:lineRule="auto" w:before="44"/>
        <w:ind w:left="0" w:right="1138"/>
        <w:jc w:val="right"/>
      </w:pPr>
      <w:r>
        <w:rPr/>
        <w:pict>
          <v:shape style="position:absolute;margin-left:56.400002pt;margin-top:-.748259pt;width:479.3pt;height:504.6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0"/>
                    <w:gridCol w:w="5425"/>
                  </w:tblGrid>
                  <w:tr>
                    <w:trPr>
                      <w:trHeight w:val="164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汽车电子标识</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3"/>
                          <w:jc w:val="left"/>
                          <w:rPr>
                            <w:rFonts w:ascii="宋体" w:hAnsi="宋体" w:cs="宋体" w:eastAsia="宋体" w:hint="default"/>
                            <w:sz w:val="18"/>
                            <w:szCs w:val="18"/>
                          </w:rPr>
                        </w:pPr>
                        <w:r>
                          <w:rPr>
                            <w:rFonts w:ascii="宋体" w:hAnsi="宋体" w:cs="宋体" w:eastAsia="宋体" w:hint="default"/>
                            <w:spacing w:val="-4"/>
                            <w:sz w:val="18"/>
                            <w:szCs w:val="18"/>
                          </w:rPr>
                          <w:t>汽车电子标识（</w:t>
                        </w:r>
                        <w:r>
                          <w:rPr>
                            <w:rFonts w:ascii="Times New Roman" w:hAnsi="Times New Roman" w:cs="Times New Roman" w:eastAsia="Times New Roman" w:hint="default"/>
                            <w:spacing w:val="-4"/>
                            <w:sz w:val="18"/>
                            <w:szCs w:val="18"/>
                          </w:rPr>
                          <w:t>electronic </w:t>
                        </w:r>
                        <w:r>
                          <w:rPr>
                            <w:rFonts w:ascii="Times New Roman" w:hAnsi="Times New Roman" w:cs="Times New Roman" w:eastAsia="Times New Roman" w:hint="default"/>
                            <w:sz w:val="18"/>
                            <w:szCs w:val="18"/>
                          </w:rPr>
                          <w:t>registration identification of the motor</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vehicle</w:t>
                        </w:r>
                        <w:r>
                          <w:rPr>
                            <w:rFonts w:ascii="Times New Roman" w:hAnsi="Times New Roman" w:cs="Times New Roman" w:eastAsia="Times New Roman" w:hint="default"/>
                            <w:sz w:val="18"/>
                            <w:szCs w:val="18"/>
                          </w:rPr>
                          <w:t> </w:t>
                        </w:r>
                        <w:r>
                          <w:rPr>
                            <w:rFonts w:ascii="宋体" w:hAnsi="宋体" w:cs="宋体" w:eastAsia="宋体" w:hint="default"/>
                            <w:sz w:val="18"/>
                            <w:szCs w:val="18"/>
                          </w:rPr>
                          <w:t>简称</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ERI</w:t>
                        </w:r>
                        <w:r>
                          <w:rPr>
                            <w:rFonts w:ascii="宋体" w:hAnsi="宋体" w:cs="宋体" w:eastAsia="宋体" w:hint="default"/>
                            <w:spacing w:val="-3"/>
                            <w:sz w:val="18"/>
                            <w:szCs w:val="18"/>
                          </w:rPr>
                          <w:t>）也叫汽车电子身份证、汽车数字化标准信源、俗称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电子车</w:t>
                        </w:r>
                        <w:r>
                          <w:rPr>
                            <w:rFonts w:ascii="宋体" w:hAnsi="宋体" w:cs="宋体" w:eastAsia="宋体" w:hint="default"/>
                            <w:sz w:val="18"/>
                            <w:szCs w:val="18"/>
                          </w:rPr>
                          <w:t> 牌</w:t>
                        </w:r>
                        <w:r>
                          <w:rPr>
                            <w:rFonts w:ascii="Times New Roman" w:hAnsi="Times New Roman" w:cs="Times New Roman" w:eastAsia="Times New Roman" w:hint="default"/>
                            <w:sz w:val="18"/>
                            <w:szCs w:val="18"/>
                          </w:rPr>
                          <w:t>"</w:t>
                        </w:r>
                        <w:r>
                          <w:rPr>
                            <w:rFonts w:ascii="宋体" w:hAnsi="宋体" w:cs="宋体" w:eastAsia="宋体" w:hint="default"/>
                            <w:sz w:val="18"/>
                            <w:szCs w:val="18"/>
                          </w:rPr>
                          <w:t>，将车牌号码等信息存储在射频标签中，能够自动、非接触、不 停车地完成车辆的识别和监控，是基于物联网无源射频识别（</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在智慧交通领域的延伸。</w:t>
                        </w:r>
                      </w:p>
                    </w:tc>
                  </w:tr>
                  <w:tr>
                    <w:trPr>
                      <w:trHeight w:val="357" w:hRule="exact"/>
                    </w:trPr>
                    <w:tc>
                      <w:tcPr>
                        <w:tcW w:w="3525" w:type="dxa"/>
                        <w:tcBorders>
                          <w:top w:val="single" w:sz="4" w:space="0" w:color="000000"/>
                          <w:left w:val="single" w:sz="4" w:space="0" w:color="000000"/>
                          <w:bottom w:val="nil" w:sz="6" w:space="0" w:color="auto"/>
                          <w:right w:val="single" w:sz="4" w:space="0" w:color="000000"/>
                        </w:tcBorders>
                      </w:tcPr>
                      <w:p>
                        <w:pPr/>
                      </w:p>
                    </w:tc>
                    <w:tc>
                      <w:tcPr>
                        <w:tcW w:w="62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2"/>
                            <w:sz w:val="18"/>
                            <w:szCs w:val="18"/>
                          </w:rPr>
                          <w:t>车路协同是采用先进的无线通信和新一代互联网等技术，全方位实施</w:t>
                        </w:r>
                      </w:p>
                    </w:tc>
                  </w:tr>
                  <w:tr>
                    <w:trPr>
                      <w:trHeight w:val="311" w:hRule="exact"/>
                    </w:trPr>
                    <w:tc>
                      <w:tcPr>
                        <w:tcW w:w="3525" w:type="dxa"/>
                        <w:tcBorders>
                          <w:top w:val="nil" w:sz="6" w:space="0" w:color="auto"/>
                          <w:left w:val="single" w:sz="4" w:space="0" w:color="000000"/>
                          <w:bottom w:val="nil" w:sz="6" w:space="0" w:color="auto"/>
                          <w:right w:val="single" w:sz="4" w:space="0" w:color="000000"/>
                        </w:tcBorders>
                      </w:tcPr>
                      <w:p>
                        <w:pPr/>
                      </w:p>
                    </w:tc>
                    <w:tc>
                      <w:tcPr>
                        <w:tcW w:w="620" w:type="dxa"/>
                        <w:tcBorders>
                          <w:top w:val="nil" w:sz="6" w:space="0" w:color="auto"/>
                          <w:left w:val="single" w:sz="4" w:space="0" w:color="000000"/>
                          <w:bottom w:val="nil" w:sz="6" w:space="0" w:color="auto"/>
                          <w:right w:val="single" w:sz="4" w:space="0" w:color="000000"/>
                        </w:tcBorders>
                        <w:shd w:val="clear" w:color="auto" w:fill="D2D2D2"/>
                      </w:tcPr>
                      <w:p>
                        <w:pPr/>
                      </w:p>
                    </w:tc>
                    <w:tc>
                      <w:tcPr>
                        <w:tcW w:w="542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pacing w:val="-2"/>
                            <w:sz w:val="18"/>
                            <w:szCs w:val="18"/>
                          </w:rPr>
                          <w:t>车车、车路动态实时信息交互，并在全时空动态交通信息采集与融合</w:t>
                        </w:r>
                      </w:p>
                    </w:tc>
                  </w:tr>
                  <w:tr>
                    <w:trPr>
                      <w:trHeight w:val="313" w:hRule="exact"/>
                    </w:trPr>
                    <w:tc>
                      <w:tcPr>
                        <w:tcW w:w="3525"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车路协同</w:t>
                        </w:r>
                      </w:p>
                    </w:tc>
                    <w:tc>
                      <w:tcPr>
                        <w:tcW w:w="6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的基础上开展车辆主动安全控制和道路协同管理，充分实现人车路的</w:t>
                        </w:r>
                      </w:p>
                    </w:tc>
                  </w:tr>
                  <w:tr>
                    <w:trPr>
                      <w:trHeight w:val="311" w:hRule="exact"/>
                    </w:trPr>
                    <w:tc>
                      <w:tcPr>
                        <w:tcW w:w="3525" w:type="dxa"/>
                        <w:tcBorders>
                          <w:top w:val="nil" w:sz="6" w:space="0" w:color="auto"/>
                          <w:left w:val="single" w:sz="4" w:space="0" w:color="000000"/>
                          <w:bottom w:val="nil" w:sz="6" w:space="0" w:color="auto"/>
                          <w:right w:val="single" w:sz="4" w:space="0" w:color="000000"/>
                        </w:tcBorders>
                      </w:tcPr>
                      <w:p>
                        <w:pPr/>
                      </w:p>
                    </w:tc>
                    <w:tc>
                      <w:tcPr>
                        <w:tcW w:w="620" w:type="dxa"/>
                        <w:tcBorders>
                          <w:top w:val="nil" w:sz="6" w:space="0" w:color="auto"/>
                          <w:left w:val="single" w:sz="4" w:space="0" w:color="000000"/>
                          <w:bottom w:val="nil" w:sz="6" w:space="0" w:color="auto"/>
                          <w:right w:val="single" w:sz="4" w:space="0" w:color="000000"/>
                        </w:tcBorders>
                        <w:shd w:val="clear" w:color="auto" w:fill="D2D2D2"/>
                      </w:tcPr>
                      <w:p>
                        <w:pPr/>
                      </w:p>
                    </w:tc>
                    <w:tc>
                      <w:tcPr>
                        <w:tcW w:w="542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pacing w:val="-2"/>
                            <w:sz w:val="18"/>
                            <w:szCs w:val="18"/>
                          </w:rPr>
                          <w:t>有效协同，保证交通安全，提高通行效率，从而形成的安全、高效和</w:t>
                        </w:r>
                      </w:p>
                    </w:tc>
                  </w:tr>
                  <w:tr>
                    <w:trPr>
                      <w:trHeight w:val="360" w:hRule="exact"/>
                    </w:trPr>
                    <w:tc>
                      <w:tcPr>
                        <w:tcW w:w="3525" w:type="dxa"/>
                        <w:tcBorders>
                          <w:top w:val="nil" w:sz="6" w:space="0" w:color="auto"/>
                          <w:left w:val="single" w:sz="4" w:space="0" w:color="000000"/>
                          <w:bottom w:val="single" w:sz="4" w:space="0" w:color="000000"/>
                          <w:right w:val="single" w:sz="4" w:space="0" w:color="000000"/>
                        </w:tcBorders>
                      </w:tcPr>
                      <w:p>
                        <w:pPr/>
                      </w:p>
                    </w:tc>
                    <w:tc>
                      <w:tcPr>
                        <w:tcW w:w="62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环保的道路交通系统。</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pacing w:val="-3"/>
                            <w:sz w:val="18"/>
                          </w:rPr>
                          <w:t>LTE-V2X</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实现</w:t>
                        </w:r>
                        <w:r>
                          <w:rPr>
                            <w:rFonts w:ascii="宋体" w:hAnsi="宋体" w:cs="宋体" w:eastAsia="宋体" w:hint="default"/>
                            <w:spacing w:val="-39"/>
                            <w:sz w:val="18"/>
                            <w:szCs w:val="18"/>
                          </w:rPr>
                          <w:t> </w:t>
                        </w:r>
                        <w:r>
                          <w:rPr>
                            <w:rFonts w:ascii="Times New Roman" w:hAnsi="Times New Roman" w:cs="Times New Roman" w:eastAsia="Times New Roman" w:hint="default"/>
                            <w:spacing w:val="-6"/>
                            <w:sz w:val="18"/>
                            <w:szCs w:val="18"/>
                          </w:rPr>
                          <w:t>V2X</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Vehicle</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to</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4"/>
                            <w:sz w:val="18"/>
                            <w:szCs w:val="18"/>
                          </w:rPr>
                          <w:t>Everything</w:t>
                        </w:r>
                        <w:r>
                          <w:rPr>
                            <w:rFonts w:ascii="宋体" w:hAnsi="宋体" w:cs="宋体" w:eastAsia="宋体" w:hint="default"/>
                            <w:spacing w:val="-4"/>
                            <w:sz w:val="18"/>
                            <w:szCs w:val="18"/>
                          </w:rPr>
                          <w:t>）的两大技术阵营之一，是基于</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4.5G</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网络，以 </w:t>
                        </w:r>
                        <w:r>
                          <w:rPr>
                            <w:rFonts w:ascii="Times New Roman" w:hAnsi="Times New Roman" w:cs="Times New Roman" w:eastAsia="Times New Roman" w:hint="default"/>
                            <w:spacing w:val="-7"/>
                            <w:sz w:val="18"/>
                            <w:szCs w:val="18"/>
                          </w:rPr>
                          <w:t>LTE </w:t>
                        </w:r>
                        <w:r>
                          <w:rPr>
                            <w:rFonts w:ascii="宋体" w:hAnsi="宋体" w:cs="宋体" w:eastAsia="宋体" w:hint="default"/>
                            <w:sz w:val="18"/>
                            <w:szCs w:val="18"/>
                          </w:rPr>
                          <w:t>通信技术作为 </w:t>
                        </w:r>
                        <w:r>
                          <w:rPr>
                            <w:rFonts w:ascii="Times New Roman" w:hAnsi="Times New Roman" w:cs="Times New Roman" w:eastAsia="Times New Roman" w:hint="default"/>
                            <w:sz w:val="18"/>
                            <w:szCs w:val="18"/>
                          </w:rPr>
                          <w:t>V2X</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的基础，专门针对车间通讯的协 议。</w:t>
                        </w:r>
                      </w:p>
                    </w:tc>
                  </w:tr>
                  <w:tr>
                    <w:trPr>
                      <w:trHeight w:val="357" w:hRule="exact"/>
                    </w:trPr>
                    <w:tc>
                      <w:tcPr>
                        <w:tcW w:w="3525" w:type="dxa"/>
                        <w:tcBorders>
                          <w:top w:val="single" w:sz="4" w:space="0" w:color="000000"/>
                          <w:left w:val="single" w:sz="4" w:space="0" w:color="000000"/>
                          <w:bottom w:val="nil" w:sz="6" w:space="0" w:color="auto"/>
                          <w:right w:val="single" w:sz="4" w:space="0" w:color="000000"/>
                        </w:tcBorders>
                      </w:tcPr>
                      <w:p>
                        <w:pPr/>
                      </w:p>
                    </w:tc>
                    <w:tc>
                      <w:tcPr>
                        <w:tcW w:w="62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2"/>
                            <w:sz w:val="18"/>
                            <w:szCs w:val="18"/>
                          </w:rPr>
                          <w:t>也叫智能公路，可通过交通资讯信息的收集和传递，实现对车流在时</w:t>
                        </w:r>
                      </w:p>
                    </w:tc>
                  </w:tr>
                  <w:tr>
                    <w:trPr>
                      <w:trHeight w:val="623" w:hRule="exact"/>
                    </w:trPr>
                    <w:tc>
                      <w:tcPr>
                        <w:tcW w:w="352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智慧公路</w:t>
                        </w:r>
                      </w:p>
                    </w:tc>
                    <w:tc>
                      <w:tcPr>
                        <w:tcW w:w="6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3" w:right="20"/>
                          <w:jc w:val="left"/>
                          <w:rPr>
                            <w:rFonts w:ascii="宋体" w:hAnsi="宋体" w:cs="宋体" w:eastAsia="宋体" w:hint="default"/>
                            <w:sz w:val="18"/>
                            <w:szCs w:val="18"/>
                          </w:rPr>
                        </w:pPr>
                        <w:r>
                          <w:rPr>
                            <w:rFonts w:ascii="宋体" w:hAnsi="宋体" w:cs="宋体" w:eastAsia="宋体" w:hint="default"/>
                            <w:spacing w:val="-2"/>
                            <w:sz w:val="18"/>
                            <w:szCs w:val="18"/>
                          </w:rPr>
                          <w:t>间和空间上的引导、分流，避免公路堵塞，加强公路用户的安全，以</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减少交通事故的发生。并改善了高速公路交通运输环境，使车辆和司</w:t>
                        </w:r>
                      </w:p>
                    </w:tc>
                  </w:tr>
                  <w:tr>
                    <w:trPr>
                      <w:trHeight w:val="360" w:hRule="exact"/>
                    </w:trPr>
                    <w:tc>
                      <w:tcPr>
                        <w:tcW w:w="3525" w:type="dxa"/>
                        <w:tcBorders>
                          <w:top w:val="nil" w:sz="6" w:space="0" w:color="auto"/>
                          <w:left w:val="single" w:sz="4" w:space="0" w:color="000000"/>
                          <w:bottom w:val="single" w:sz="4" w:space="0" w:color="000000"/>
                          <w:right w:val="single" w:sz="4" w:space="0" w:color="000000"/>
                        </w:tcBorders>
                      </w:tcPr>
                      <w:p>
                        <w:pPr/>
                      </w:p>
                    </w:tc>
                    <w:tc>
                      <w:tcPr>
                        <w:tcW w:w="62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乘人员在高速公路上安全、快速、畅通、舒适地运行。</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Tier1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厂商</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2"/>
                            <w:sz w:val="18"/>
                            <w:szCs w:val="18"/>
                          </w:rPr>
                          <w:t>意为一级供应商，给设备厂商供货，也就是产品直接供应整车厂的汽</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车零部件供应商。</w:t>
                        </w:r>
                      </w:p>
                    </w:tc>
                  </w:tr>
                  <w:tr>
                    <w:trPr>
                      <w:trHeight w:val="362" w:hRule="exact"/>
                    </w:trPr>
                    <w:tc>
                      <w:tcPr>
                        <w:tcW w:w="3525" w:type="dxa"/>
                        <w:tcBorders>
                          <w:top w:val="single" w:sz="4" w:space="0" w:color="000000"/>
                          <w:left w:val="single" w:sz="4" w:space="0" w:color="000000"/>
                          <w:bottom w:val="nil" w:sz="6" w:space="0" w:color="auto"/>
                          <w:right w:val="single" w:sz="4" w:space="0" w:color="000000"/>
                        </w:tcBorders>
                      </w:tcPr>
                      <w:p>
                        <w:pPr/>
                      </w:p>
                    </w:tc>
                    <w:tc>
                      <w:tcPr>
                        <w:tcW w:w="62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2"/>
                            <w:sz w:val="18"/>
                            <w:szCs w:val="18"/>
                          </w:rPr>
                          <w:t>T</w:t>
                        </w:r>
                        <w:r>
                          <w:rPr>
                            <w:rFonts w:ascii="Times New Roman" w:hAnsi="Times New Roman" w:cs="Times New Roman" w:eastAsia="Times New Roman" w:hint="default"/>
                            <w:sz w:val="18"/>
                            <w:szCs w:val="18"/>
                          </w:rPr>
                          <w:t>C </w:t>
                        </w:r>
                        <w:r>
                          <w:rPr>
                            <w:rFonts w:ascii="宋体" w:hAnsi="宋体" w:cs="宋体" w:eastAsia="宋体" w:hint="default"/>
                            <w:sz w:val="18"/>
                            <w:szCs w:val="18"/>
                          </w:rPr>
                          <w:t>的车路协</w:t>
                        </w:r>
                        <w:r>
                          <w:rPr>
                            <w:rFonts w:ascii="宋体" w:hAnsi="宋体" w:cs="宋体" w:eastAsia="宋体" w:hint="default"/>
                            <w:spacing w:val="-68"/>
                            <w:sz w:val="18"/>
                            <w:szCs w:val="18"/>
                          </w:rPr>
                          <w:t>同</w:t>
                        </w:r>
                        <w:r>
                          <w:rPr>
                            <w:rFonts w:ascii="宋体" w:hAnsi="宋体" w:cs="宋体" w:eastAsia="宋体" w:hint="default"/>
                            <w:sz w:val="18"/>
                            <w:szCs w:val="18"/>
                          </w:rPr>
                          <w:t>（</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2"/>
                            <w:sz w:val="18"/>
                            <w:szCs w:val="18"/>
                          </w:rPr>
                          <w:t>T</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2"/>
                            <w:w w:val="99"/>
                            <w:sz w:val="18"/>
                            <w:szCs w:val="18"/>
                          </w:rPr>
                          <w:t>X</w:t>
                        </w:r>
                        <w:r>
                          <w:rPr>
                            <w:rFonts w:ascii="宋体" w:hAnsi="宋体" w:cs="宋体" w:eastAsia="宋体" w:hint="default"/>
                            <w:spacing w:val="-68"/>
                            <w:sz w:val="18"/>
                            <w:szCs w:val="18"/>
                          </w:rPr>
                          <w:t>，</w:t>
                        </w:r>
                        <w:r>
                          <w:rPr>
                            <w:rFonts w:ascii="Times New Roman" w:hAnsi="Times New Roman" w:cs="Times New Roman" w:eastAsia="Times New Roman" w:hint="default"/>
                            <w:w w:val="99"/>
                            <w:sz w:val="18"/>
                            <w:szCs w:val="18"/>
                          </w:rPr>
                          <w:t>X</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代表所有交通参与要素</w:t>
                        </w:r>
                        <w:r>
                          <w:rPr>
                            <w:rFonts w:ascii="宋体" w:hAnsi="宋体" w:cs="宋体" w:eastAsia="宋体" w:hint="default"/>
                            <w:spacing w:val="-92"/>
                            <w:sz w:val="18"/>
                            <w:szCs w:val="18"/>
                          </w:rPr>
                          <w:t>）</w:t>
                        </w:r>
                        <w:r>
                          <w:rPr>
                            <w:rFonts w:ascii="宋体" w:hAnsi="宋体" w:cs="宋体" w:eastAsia="宋体" w:hint="default"/>
                            <w:spacing w:val="-68"/>
                            <w:sz w:val="18"/>
                            <w:szCs w:val="18"/>
                          </w:rPr>
                          <w:t>，</w:t>
                        </w:r>
                        <w:r>
                          <w:rPr>
                            <w:rFonts w:ascii="宋体" w:hAnsi="宋体" w:cs="宋体" w:eastAsia="宋体" w:hint="default"/>
                            <w:spacing w:val="-3"/>
                            <w:sz w:val="18"/>
                            <w:szCs w:val="18"/>
                          </w:rPr>
                          <w:t>即</w:t>
                        </w:r>
                        <w:r>
                          <w:rPr>
                            <w:rFonts w:ascii="宋体" w:hAnsi="宋体" w:cs="宋体" w:eastAsia="宋体" w:hint="default"/>
                            <w:sz w:val="18"/>
                            <w:szCs w:val="18"/>
                          </w:rPr>
                          <w:t>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2"/>
                            <w:sz w:val="18"/>
                            <w:szCs w:val="18"/>
                          </w:rPr>
                          <w:t>T</w:t>
                        </w:r>
                        <w:r>
                          <w:rPr>
                            <w:rFonts w:ascii="Times New Roman" w:hAnsi="Times New Roman" w:cs="Times New Roman" w:eastAsia="Times New Roman" w:hint="default"/>
                            <w:sz w:val="18"/>
                            <w:szCs w:val="18"/>
                          </w:rPr>
                          <w:t>C</w:t>
                        </w:r>
                      </w:p>
                    </w:tc>
                  </w:tr>
                  <w:tr>
                    <w:trPr>
                      <w:trHeight w:val="618" w:hRule="exact"/>
                    </w:trPr>
                    <w:tc>
                      <w:tcPr>
                        <w:tcW w:w="352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ETC-X</w:t>
                        </w:r>
                      </w:p>
                    </w:tc>
                    <w:tc>
                      <w:tcPr>
                        <w:tcW w:w="6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nil" w:sz="6" w:space="0" w:color="auto"/>
                          <w:left w:val="single" w:sz="4" w:space="0" w:color="000000"/>
                          <w:bottom w:val="nil" w:sz="6" w:space="0" w:color="auto"/>
                          <w:right w:val="single" w:sz="4" w:space="0" w:color="000000"/>
                        </w:tcBorders>
                      </w:tcPr>
                      <w:p>
                        <w:pPr>
                          <w:pStyle w:val="TableParagraph"/>
                          <w:spacing w:line="300" w:lineRule="auto" w:before="4"/>
                          <w:ind w:left="23" w:right="22"/>
                          <w:jc w:val="left"/>
                          <w:rPr>
                            <w:rFonts w:ascii="宋体" w:hAnsi="宋体" w:cs="宋体" w:eastAsia="宋体" w:hint="default"/>
                            <w:sz w:val="18"/>
                            <w:szCs w:val="18"/>
                          </w:rPr>
                        </w:pPr>
                        <w:r>
                          <w:rPr>
                            <w:rFonts w:ascii="宋体" w:hAnsi="宋体" w:cs="宋体" w:eastAsia="宋体" w:hint="default"/>
                            <w:sz w:val="18"/>
                            <w:szCs w:val="18"/>
                          </w:rPr>
                          <w:t>专用短程通信技术为基础的车路协同应用拓展。基于已有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ETC</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网络 </w:t>
                        </w:r>
                        <w:r>
                          <w:rPr>
                            <w:rFonts w:ascii="宋体" w:hAnsi="宋体" w:cs="宋体" w:eastAsia="宋体" w:hint="default"/>
                            <w:spacing w:val="-2"/>
                            <w:sz w:val="18"/>
                            <w:szCs w:val="18"/>
                          </w:rPr>
                          <w:t>门架系统和基础设施，通过适度的技术升级，以较小代价和更快的速</w:t>
                        </w:r>
                      </w:p>
                    </w:tc>
                  </w:tr>
                  <w:tr>
                    <w:trPr>
                      <w:trHeight w:val="360" w:hRule="exact"/>
                    </w:trPr>
                    <w:tc>
                      <w:tcPr>
                        <w:tcW w:w="3525" w:type="dxa"/>
                        <w:tcBorders>
                          <w:top w:val="nil" w:sz="6" w:space="0" w:color="auto"/>
                          <w:left w:val="single" w:sz="4" w:space="0" w:color="000000"/>
                          <w:bottom w:val="single" w:sz="4" w:space="0" w:color="000000"/>
                          <w:right w:val="single" w:sz="4" w:space="0" w:color="000000"/>
                        </w:tcBorders>
                      </w:tcPr>
                      <w:p>
                        <w:pPr/>
                      </w:p>
                    </w:tc>
                    <w:tc>
                      <w:tcPr>
                        <w:tcW w:w="62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度实现对提升交通安全和效率有重大意义的车路协同应用。</w:t>
                        </w:r>
                      </w:p>
                    </w:tc>
                  </w:tr>
                  <w:tr>
                    <w:trPr>
                      <w:trHeight w:val="133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C-V2X</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Cellular</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V2X</w:t>
                        </w:r>
                        <w:r>
                          <w:rPr>
                            <w:rFonts w:ascii="宋体" w:hAnsi="宋体" w:cs="宋体" w:eastAsia="宋体" w:hint="default"/>
                            <w:sz w:val="18"/>
                            <w:szCs w:val="18"/>
                          </w:rPr>
                          <w:t>，是基于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3G/4G</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等蜂窝网通信技术演进形成的、主要基 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3GPP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全球统一标准的通信技术，有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PC5 </w:t>
                        </w:r>
                        <w:r>
                          <w:rPr>
                            <w:rFonts w:ascii="宋体" w:hAnsi="宋体" w:cs="宋体" w:eastAsia="宋体" w:hint="default"/>
                            <w:sz w:val="18"/>
                            <w:szCs w:val="18"/>
                          </w:rPr>
                          <w:t>和和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Uu</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两种通信模式， 包含</w:t>
                        </w:r>
                        <w:r>
                          <w:rPr>
                            <w:rFonts w:ascii="宋体" w:hAnsi="宋体" w:cs="宋体" w:eastAsia="宋体" w:hint="default"/>
                            <w:spacing w:val="-40"/>
                            <w:sz w:val="18"/>
                            <w:szCs w:val="18"/>
                          </w:rPr>
                          <w:t> </w:t>
                        </w:r>
                        <w:r>
                          <w:rPr>
                            <w:rFonts w:ascii="Times New Roman" w:hAnsi="Times New Roman" w:cs="Times New Roman" w:eastAsia="Times New Roman" w:hint="default"/>
                            <w:spacing w:val="-9"/>
                            <w:w w:val="99"/>
                            <w:sz w:val="18"/>
                            <w:szCs w:val="18"/>
                          </w:rPr>
                          <w:t>LTE-V2X</w:t>
                        </w:r>
                        <w:r>
                          <w:rPr>
                            <w:rFonts w:ascii="宋体" w:hAnsi="宋体" w:cs="宋体" w:eastAsia="宋体" w:hint="default"/>
                            <w:spacing w:val="-9"/>
                            <w:w w:val="99"/>
                            <w:sz w:val="18"/>
                            <w:szCs w:val="18"/>
                          </w:rPr>
                          <w:t>（</w:t>
                        </w:r>
                        <w:r>
                          <w:rPr>
                            <w:rFonts w:ascii="Times New Roman" w:hAnsi="Times New Roman" w:cs="Times New Roman" w:eastAsia="Times New Roman" w:hint="default"/>
                            <w:spacing w:val="-9"/>
                            <w:w w:val="99"/>
                            <w:sz w:val="18"/>
                            <w:szCs w:val="18"/>
                          </w:rPr>
                          <w:t>Long</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4"/>
                            <w:sz w:val="18"/>
                            <w:szCs w:val="18"/>
                          </w:rPr>
                          <w:t>Term</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11"/>
                            <w:sz w:val="18"/>
                            <w:szCs w:val="18"/>
                          </w:rPr>
                          <w:t>Evolution</w:t>
                        </w:r>
                        <w:r>
                          <w:rPr>
                            <w:rFonts w:ascii="宋体" w:hAnsi="宋体" w:cs="宋体" w:eastAsia="宋体" w:hint="default"/>
                            <w:spacing w:val="-11"/>
                            <w:sz w:val="18"/>
                            <w:szCs w:val="18"/>
                          </w:rPr>
                          <w:t>，长期演进）和</w:t>
                        </w:r>
                        <w:r>
                          <w:rPr>
                            <w:rFonts w:ascii="宋体" w:hAnsi="宋体" w:cs="宋体" w:eastAsia="宋体" w:hint="default"/>
                            <w:spacing w:val="-39"/>
                            <w:sz w:val="18"/>
                            <w:szCs w:val="18"/>
                          </w:rPr>
                          <w:t> </w:t>
                        </w:r>
                        <w:r>
                          <w:rPr>
                            <w:rFonts w:ascii="Times New Roman" w:hAnsi="Times New Roman" w:cs="Times New Roman" w:eastAsia="Times New Roman" w:hint="default"/>
                            <w:spacing w:val="-8"/>
                            <w:w w:val="99"/>
                            <w:sz w:val="18"/>
                            <w:szCs w:val="18"/>
                          </w:rPr>
                          <w:t>5G-V2X</w:t>
                        </w:r>
                        <w:r>
                          <w:rPr>
                            <w:rFonts w:ascii="宋体" w:hAnsi="宋体" w:cs="宋体" w:eastAsia="宋体" w:hint="default"/>
                            <w:spacing w:val="-8"/>
                            <w:w w:val="99"/>
                            <w:sz w:val="18"/>
                            <w:szCs w:val="18"/>
                          </w:rPr>
                          <w:t>。</w:t>
                        </w:r>
                        <w:r>
                          <w:rPr>
                            <w:rFonts w:ascii="Times New Roman" w:hAnsi="Times New Roman" w:cs="Times New Roman" w:eastAsia="Times New Roman" w:hint="default"/>
                            <w:spacing w:val="-8"/>
                            <w:w w:val="99"/>
                            <w:sz w:val="18"/>
                            <w:szCs w:val="18"/>
                          </w:rPr>
                          <w:t>LTE-V2X</w:t>
                        </w:r>
                        <w:r>
                          <w:rPr>
                            <w:rFonts w:ascii="Times New Roman" w:hAnsi="Times New Roman" w:cs="Times New Roman" w:eastAsia="Times New Roman" w:hint="default"/>
                            <w:spacing w:val="-42"/>
                            <w:w w:val="99"/>
                            <w:sz w:val="18"/>
                            <w:szCs w:val="18"/>
                          </w:rPr>
                          <w:t> </w:t>
                        </w:r>
                        <w:r>
                          <w:rPr>
                            <w:rFonts w:ascii="Times New Roman" w:hAnsi="Times New Roman" w:cs="Times New Roman" w:eastAsia="Times New Roman" w:hint="default"/>
                            <w:spacing w:val="-42"/>
                            <w:w w:val="99"/>
                            <w:sz w:val="18"/>
                            <w:szCs w:val="18"/>
                          </w:rPr>
                        </w:r>
                        <w:r>
                          <w:rPr>
                            <w:rFonts w:ascii="宋体" w:hAnsi="宋体" w:cs="宋体" w:eastAsia="宋体" w:hint="default"/>
                            <w:sz w:val="18"/>
                            <w:szCs w:val="18"/>
                          </w:rPr>
                          <w:t>支持向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5G-V2X</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平滑演进。</w:t>
                        </w:r>
                      </w:p>
                    </w:tc>
                  </w:tr>
                  <w:tr>
                    <w:trPr>
                      <w:trHeight w:val="361" w:hRule="exact"/>
                    </w:trPr>
                    <w:tc>
                      <w:tcPr>
                        <w:tcW w:w="3525" w:type="dxa"/>
                        <w:tcBorders>
                          <w:top w:val="single" w:sz="4" w:space="0" w:color="000000"/>
                          <w:left w:val="single" w:sz="4" w:space="0" w:color="000000"/>
                          <w:bottom w:val="nil" w:sz="6" w:space="0" w:color="auto"/>
                          <w:right w:val="single" w:sz="4" w:space="0" w:color="000000"/>
                        </w:tcBorders>
                      </w:tcPr>
                      <w:p>
                        <w:pPr/>
                      </w:p>
                    </w:tc>
                    <w:tc>
                      <w:tcPr>
                        <w:tcW w:w="62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MaaS</w:t>
                        </w:r>
                        <w:r>
                          <w:rPr>
                            <w:rFonts w:ascii="宋体" w:hAnsi="宋体" w:cs="宋体" w:eastAsia="宋体" w:hint="default"/>
                            <w:sz w:val="18"/>
                            <w:szCs w:val="18"/>
                          </w:rPr>
                          <w:t>（出行即服务）是基于现状已有的交通方式，利用技术综合匹</w:t>
                        </w:r>
                      </w:p>
                    </w:tc>
                  </w:tr>
                  <w:tr>
                    <w:trPr>
                      <w:trHeight w:val="312" w:hRule="exact"/>
                    </w:trPr>
                    <w:tc>
                      <w:tcPr>
                        <w:tcW w:w="3525"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sz w:val="18"/>
                          </w:rPr>
                          <w:t>MaaS</w:t>
                        </w:r>
                      </w:p>
                    </w:tc>
                    <w:tc>
                      <w:tcPr>
                        <w:tcW w:w="6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pacing w:val="-2"/>
                            <w:sz w:val="18"/>
                            <w:szCs w:val="18"/>
                          </w:rPr>
                          <w:t>配乘客出行的时间成本、金钱成本和对环境影响的基础上，采用一种</w:t>
                        </w:r>
                      </w:p>
                    </w:tc>
                  </w:tr>
                  <w:tr>
                    <w:trPr>
                      <w:trHeight w:val="354" w:hRule="exact"/>
                    </w:trPr>
                    <w:tc>
                      <w:tcPr>
                        <w:tcW w:w="3525" w:type="dxa"/>
                        <w:tcBorders>
                          <w:top w:val="nil" w:sz="6" w:space="0" w:color="auto"/>
                          <w:left w:val="single" w:sz="4" w:space="0" w:color="000000"/>
                          <w:bottom w:val="single" w:sz="4" w:space="0" w:color="000000"/>
                          <w:right w:val="single" w:sz="4" w:space="0" w:color="000000"/>
                        </w:tcBorders>
                      </w:tcPr>
                      <w:p>
                        <w:pPr/>
                      </w:p>
                    </w:tc>
                    <w:tc>
                      <w:tcPr>
                        <w:tcW w:w="62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或多种交通方式服务乘客空间位置移动的一站式出行服务方式。</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ind w:left="0" w:right="1145"/>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240" w:lineRule="auto" w:before="44"/>
        <w:ind w:left="0" w:right="1138"/>
        <w:jc w:val="right"/>
      </w:pPr>
      <w:r>
        <w:rPr/>
        <w:t>、</w:t>
      </w:r>
    </w:p>
    <w:p>
      <w:pPr>
        <w:spacing w:after="0" w:line="240" w:lineRule="auto"/>
        <w:jc w:val="right"/>
        <w:sectPr>
          <w:pgSz w:w="11910" w:h="16840"/>
          <w:pgMar w:header="745" w:footer="979" w:top="1060" w:bottom="1160" w:left="980" w:right="0"/>
        </w:sectPr>
      </w:pPr>
    </w:p>
    <w:p>
      <w:pPr>
        <w:spacing w:line="240" w:lineRule="auto" w:before="0"/>
        <w:rPr>
          <w:rFonts w:ascii="宋体" w:hAnsi="宋体" w:cs="宋体" w:eastAsia="宋体" w:hint="default"/>
          <w:sz w:val="20"/>
          <w:szCs w:val="20"/>
        </w:rPr>
      </w:pPr>
      <w:r>
        <w:rPr/>
        <w:pict>
          <v:shape style="position:absolute;margin-left:138pt;margin-top:278.329987pt;width:396.95pt;height:19.7pt;mso-position-horizontal-relative:page;mso-position-vertical-relative:page;z-index:-1532584" type="#_x0000_t202" filled="false" stroked="false">
            <v:textbox inset="0,0,0,0">
              <w:txbxContent>
                <w:p>
                  <w:pPr>
                    <w:pStyle w:val="BodyText"/>
                    <w:spacing w:line="240" w:lineRule="auto" w:before="49"/>
                    <w:ind w:left="0" w:right="0"/>
                    <w:jc w:val="left"/>
                  </w:pPr>
                  <w:r>
                    <w:rPr/>
                    <w:t>（如有）</w:t>
                  </w:r>
                </w:p>
              </w:txbxContent>
            </v:textbox>
            <w10:wrap type="none"/>
          </v:shape>
        </w:pict>
      </w:r>
    </w:p>
    <w:p>
      <w:pPr>
        <w:spacing w:line="240" w:lineRule="auto" w:before="12"/>
        <w:rPr>
          <w:rFonts w:ascii="宋体" w:hAnsi="宋体" w:cs="宋体" w:eastAsia="宋体" w:hint="default"/>
          <w:sz w:val="17"/>
          <w:szCs w:val="17"/>
        </w:rPr>
      </w:pPr>
    </w:p>
    <w:p>
      <w:pPr>
        <w:pStyle w:val="Heading1"/>
        <w:spacing w:line="456" w:lineRule="exact"/>
        <w:ind w:left="2723" w:right="967"/>
        <w:jc w:val="left"/>
        <w:rPr>
          <w:b w:val="0"/>
          <w:bCs w:val="0"/>
        </w:rPr>
      </w:pPr>
      <w:bookmarkStart w:name="_TOC_250011" w:id="2"/>
      <w:r>
        <w:rPr/>
        <w:t>第二节公司简介和主要财务指标</w:t>
      </w:r>
      <w:bookmarkEnd w:id="2"/>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967"/>
        <w:jc w:val="left"/>
        <w:rPr>
          <w:b w:val="0"/>
          <w:bCs w:val="0"/>
        </w:rPr>
      </w:pPr>
      <w:r>
        <w:rPr/>
        <w:t>一、公司信息</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2284"/>
        <w:gridCol w:w="2954"/>
        <w:gridCol w:w="2154"/>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金溢科技</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002869</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深圳市金溢科技股份有限公司</w:t>
            </w:r>
          </w:p>
        </w:tc>
      </w:tr>
      <w:tr>
        <w:trPr>
          <w:trHeight w:val="40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金溢科技</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Shenzhen Genvict Technologies Co.,</w:t>
            </w:r>
            <w:r>
              <w:rPr>
                <w:rFonts w:ascii="Times New Roman"/>
                <w:spacing w:val="-25"/>
                <w:sz w:val="18"/>
              </w:rPr>
              <w:t> </w:t>
            </w:r>
            <w:r>
              <w:rPr>
                <w:rFonts w:ascii="Times New Roman"/>
                <w:sz w:val="18"/>
              </w:rPr>
              <w:t>Ltd.</w:t>
            </w:r>
          </w:p>
        </w:tc>
      </w:tr>
      <w:tr>
        <w:trPr>
          <w:trHeight w:val="403" w:hRule="exact"/>
        </w:trPr>
        <w:tc>
          <w:tcPr>
            <w:tcW w:w="228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6" w:type="dxa"/>
            <w:gridSpan w:val="3"/>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GENVICT</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罗瑞发</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深圳市南山区粤海街道科技南路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号深圳湾科技生态园</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18-20 </w:t>
            </w:r>
            <w:r>
              <w:rPr>
                <w:rFonts w:ascii="宋体" w:hAnsi="宋体" w:cs="宋体" w:eastAsia="宋体" w:hint="default"/>
                <w:sz w:val="18"/>
                <w:szCs w:val="18"/>
              </w:rPr>
              <w:t>层</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01-08 </w:t>
            </w:r>
            <w:r>
              <w:rPr>
                <w:rFonts w:ascii="宋体" w:hAnsi="宋体" w:cs="宋体" w:eastAsia="宋体" w:hint="default"/>
                <w:sz w:val="18"/>
                <w:szCs w:val="18"/>
              </w:rPr>
              <w:t>号</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518052</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深圳市南山区粤海街道科技南路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号深圳湾科技生态园</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18-20 </w:t>
            </w:r>
            <w:r>
              <w:rPr>
                <w:rFonts w:ascii="宋体" w:hAnsi="宋体" w:cs="宋体" w:eastAsia="宋体" w:hint="default"/>
                <w:sz w:val="18"/>
                <w:szCs w:val="18"/>
              </w:rPr>
              <w:t>层</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01-08 </w:t>
            </w:r>
            <w:r>
              <w:rPr>
                <w:rFonts w:ascii="宋体" w:hAnsi="宋体" w:cs="宋体" w:eastAsia="宋体" w:hint="default"/>
                <w:sz w:val="18"/>
                <w:szCs w:val="18"/>
              </w:rPr>
              <w:t>号</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518052</w:t>
            </w:r>
          </w:p>
        </w:tc>
      </w:tr>
      <w:tr>
        <w:trPr>
          <w:trHeight w:val="40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9">
              <w:r>
                <w:rPr>
                  <w:rFonts w:ascii="Times New Roman"/>
                  <w:sz w:val="18"/>
                </w:rPr>
                <w:t>www.genvict.com</w:t>
              </w:r>
            </w:hyperlink>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ir@genvict.com</w:t>
              </w:r>
            </w:hyperlink>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967"/>
        <w:jc w:val="left"/>
        <w:rPr>
          <w:b w:val="0"/>
          <w:bCs w:val="0"/>
        </w:rPr>
      </w:pPr>
      <w:r>
        <w:rPr/>
        <w:t>二、联系人和联系方式</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郑映虹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冯卓琛</w:t>
            </w:r>
          </w:p>
        </w:tc>
      </w:tr>
      <w:tr>
        <w:trPr>
          <w:trHeight w:val="317"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深圳市南山区粤海街道科技南路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号深</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圳湾科技生态园</w:t>
            </w:r>
            <w:r>
              <w:rPr>
                <w:rFonts w:ascii="宋体" w:hAnsi="宋体" w:cs="宋体" w:eastAsia="宋体" w:hint="default"/>
                <w:spacing w:val="-6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栋</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座</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18-20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层</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深圳市南山区粤海街道科技南路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号深</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圳湾科技生态园</w:t>
            </w:r>
            <w:r>
              <w:rPr>
                <w:rFonts w:ascii="宋体" w:hAnsi="宋体" w:cs="宋体" w:eastAsia="宋体" w:hint="default"/>
                <w:spacing w:val="-6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栋</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座</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18-20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层</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0755-26624127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0755-26624127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0755-86936239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0755-86936239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0">
              <w:r>
                <w:rPr>
                  <w:rFonts w:ascii="Times New Roman"/>
                  <w:sz w:val="18"/>
                </w:rPr>
                <w:t>ir@genvict.com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0">
              <w:r>
                <w:rPr>
                  <w:rFonts w:ascii="Times New Roman"/>
                  <w:sz w:val="18"/>
                </w:rPr>
                <w:t>ir@genvict.com</w:t>
              </w:r>
            </w:hyperlink>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967"/>
        <w:jc w:val="left"/>
        <w:rPr>
          <w:b w:val="0"/>
          <w:bCs w:val="0"/>
        </w:rPr>
      </w:pPr>
      <w:r>
        <w:rPr/>
        <w:t>三、信息披露及备置地点</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《证券日</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《上海证券报》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董事会办公室</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4"/>
        <w:rPr>
          <w:rFonts w:ascii="Microsoft JhengHei" w:hAnsi="Microsoft JhengHei" w:cs="Microsoft JhengHei" w:eastAsia="Microsoft JhengHei" w:hint="default"/>
          <w:b/>
          <w:bCs/>
          <w:sz w:val="17"/>
          <w:szCs w:val="17"/>
        </w:rPr>
      </w:pPr>
    </w:p>
    <w:p>
      <w:pPr>
        <w:pStyle w:val="Heading2"/>
        <w:spacing w:line="367" w:lineRule="exact"/>
        <w:ind w:right="967"/>
        <w:jc w:val="left"/>
        <w:rPr>
          <w:b w:val="0"/>
          <w:bCs w:val="0"/>
        </w:rPr>
      </w:pPr>
      <w:r>
        <w:rPr/>
        <w:t>四、注册变更情况</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3189"/>
        <w:gridCol w:w="63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91440300761987321E</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967"/>
        <w:jc w:val="left"/>
        <w:rPr>
          <w:b w:val="0"/>
          <w:bCs w:val="0"/>
        </w:rPr>
      </w:pPr>
      <w:r>
        <w:rPr/>
        <w:t>五、其他有关资料</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967"/>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浙江省杭州市西湖区西溪路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楼</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赵国梁、龙海燕</w:t>
            </w:r>
          </w:p>
        </w:tc>
      </w:tr>
    </w:tbl>
    <w:p>
      <w:pPr>
        <w:pStyle w:val="BodyText"/>
        <w:spacing w:line="240" w:lineRule="auto" w:before="49"/>
        <w:ind w:right="967"/>
        <w:jc w:val="left"/>
      </w:pPr>
      <w:r>
        <w:rPr/>
        <w:t>公司聘请的报告期内履行持续督导职责的保荐机构</w:t>
      </w:r>
    </w:p>
    <w:p>
      <w:pPr>
        <w:pStyle w:val="BodyText"/>
        <w:spacing w:line="240" w:lineRule="auto" w:before="115"/>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深圳市罗湖区红岭中路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号国信证券大厦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金蕾、王鸿远</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49"/>
        <w:ind w:right="967"/>
        <w:jc w:val="left"/>
      </w:pPr>
      <w:r>
        <w:rPr/>
        <w:t>公司聘请的报告期内履行持续督导职责的财务顾问</w:t>
      </w:r>
    </w:p>
    <w:p>
      <w:pPr>
        <w:pStyle w:val="BodyText"/>
        <w:spacing w:line="240" w:lineRule="auto" w:before="117"/>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967"/>
        <w:jc w:val="left"/>
        <w:rPr>
          <w:b w:val="0"/>
          <w:bCs w:val="0"/>
        </w:rPr>
      </w:pPr>
      <w:r>
        <w:rPr/>
        <w:t>六、主要会计数据和财务指标</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967"/>
        <w:jc w:val="left"/>
      </w:pPr>
      <w:r>
        <w:rPr/>
        <w:t>公司是否需追溯调整或重述以前年度会计数据</w:t>
      </w:r>
    </w:p>
    <w:p>
      <w:pPr>
        <w:pStyle w:val="BodyText"/>
        <w:spacing w:line="348" w:lineRule="auto" w:before="117"/>
        <w:ind w:right="91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追溯调整或重述原因 会计差错更正</w:t>
      </w:r>
    </w:p>
    <w:p>
      <w:pPr>
        <w:spacing w:line="240" w:lineRule="auto" w:before="2"/>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360"/>
        <w:gridCol w:w="1201"/>
        <w:gridCol w:w="1202"/>
        <w:gridCol w:w="1200"/>
        <w:gridCol w:w="1202"/>
        <w:gridCol w:w="1201"/>
        <w:gridCol w:w="1202"/>
      </w:tblGrid>
      <w:tr>
        <w:trPr>
          <w:trHeight w:val="713" w:hRule="exact"/>
        </w:trPr>
        <w:tc>
          <w:tcPr>
            <w:tcW w:w="2360" w:type="dxa"/>
            <w:vMerge w:val="restart"/>
            <w:tcBorders>
              <w:top w:val="single" w:sz="4" w:space="0" w:color="000000"/>
              <w:left w:val="single" w:sz="4" w:space="0" w:color="000000"/>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06" w:right="55" w:hanging="452"/>
              <w:jc w:val="left"/>
              <w:rPr>
                <w:rFonts w:ascii="宋体" w:hAnsi="宋体" w:cs="宋体" w:eastAsia="宋体" w:hint="default"/>
                <w:sz w:val="18"/>
                <w:szCs w:val="18"/>
              </w:rPr>
            </w:pPr>
            <w:r>
              <w:rPr>
                <w:rFonts w:ascii="宋体" w:hAnsi="宋体" w:cs="宋体" w:eastAsia="宋体" w:hint="default"/>
                <w:sz w:val="18"/>
                <w:szCs w:val="18"/>
              </w:rPr>
              <w:t>本年比上年增 减</w:t>
            </w:r>
          </w:p>
        </w:tc>
        <w:tc>
          <w:tcPr>
            <w:tcW w:w="24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360" w:type="dxa"/>
            <w:vMerge/>
            <w:tcBorders>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71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2,860,155,936.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604,058,067.84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604,058,067.84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373.49%</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622,649,833.01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622,649,833.01</w:t>
            </w:r>
          </w:p>
        </w:tc>
      </w:tr>
      <w:tr>
        <w:trPr>
          <w:trHeight w:val="715"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875,264,934.64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21,649,120.59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21,649,120.59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3,942.96%</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89,417,850.55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89,417,850.55</w:t>
            </w:r>
          </w:p>
        </w:tc>
      </w:tr>
      <w:tr>
        <w:trPr>
          <w:trHeight w:val="71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非经常性损益的净利润（元）</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856,209,544.16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3,258,441.42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3,258,441.42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26,176.66%</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75,697,841.09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75,697,841.09</w:t>
            </w:r>
          </w:p>
        </w:tc>
      </w:tr>
      <w:tr>
        <w:trPr>
          <w:trHeight w:val="716"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1,372,033,945.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-28,074,145.14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-28,074,145.14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不适用</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15,374,820.84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15,374,820.84</w:t>
            </w:r>
          </w:p>
        </w:tc>
      </w:tr>
      <w:tr>
        <w:trPr>
          <w:trHeight w:val="401"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4,027.78%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0.85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0.85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60"/>
        <w:gridCol w:w="1201"/>
        <w:gridCol w:w="1202"/>
        <w:gridCol w:w="1200"/>
        <w:gridCol w:w="1202"/>
        <w:gridCol w:w="1201"/>
        <w:gridCol w:w="1202"/>
      </w:tblGrid>
      <w:tr>
        <w:trPr>
          <w:trHeight w:val="401"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0.18</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4,027.78%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0.85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0.85</w:t>
            </w:r>
          </w:p>
        </w:tc>
      </w:tr>
      <w:tr>
        <w:trPr>
          <w:trHeight w:val="40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60.57%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2.14%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2.14%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58.43%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pacing w:val="-1"/>
                <w:sz w:val="18"/>
              </w:rPr>
              <w:t>11.60%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pacing w:val="-1"/>
                <w:sz w:val="18"/>
              </w:rPr>
              <w:t>11.60%</w:t>
            </w:r>
          </w:p>
        </w:tc>
      </w:tr>
      <w:tr>
        <w:trPr>
          <w:trHeight w:val="714" w:hRule="exact"/>
        </w:trPr>
        <w:tc>
          <w:tcPr>
            <w:tcW w:w="2360" w:type="dxa"/>
            <w:vMerge w:val="restart"/>
            <w:tcBorders>
              <w:top w:val="single" w:sz="4" w:space="0" w:color="000000"/>
              <w:left w:val="single" w:sz="4" w:space="0" w:color="000000"/>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4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6" w:right="55" w:hanging="272"/>
              <w:jc w:val="left"/>
              <w:rPr>
                <w:rFonts w:ascii="宋体" w:hAnsi="宋体" w:cs="宋体" w:eastAsia="宋体" w:hint="default"/>
                <w:sz w:val="18"/>
                <w:szCs w:val="18"/>
              </w:rPr>
            </w:pPr>
            <w:r>
              <w:rPr>
                <w:rFonts w:ascii="宋体" w:hAnsi="宋体" w:cs="宋体" w:eastAsia="宋体" w:hint="default"/>
                <w:sz w:val="18"/>
                <w:szCs w:val="18"/>
              </w:rPr>
              <w:t>本年末比上年 末增减</w:t>
            </w:r>
          </w:p>
        </w:tc>
        <w:tc>
          <w:tcPr>
            <w:tcW w:w="24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2" w:hRule="exact"/>
        </w:trPr>
        <w:tc>
          <w:tcPr>
            <w:tcW w:w="2360" w:type="dxa"/>
            <w:vMerge/>
            <w:tcBorders>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71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3,936,724,335.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1,382,253,800.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1,383,753,800.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184.50%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1,379,681,672.</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73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1,379,681,672.</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73</w:t>
            </w:r>
          </w:p>
        </w:tc>
      </w:tr>
      <w:tr>
        <w:trPr>
          <w:trHeight w:val="715"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65"/>
              <w:jc w:val="left"/>
              <w:rPr>
                <w:rFonts w:ascii="宋体" w:hAnsi="宋体" w:cs="宋体" w:eastAsia="宋体" w:hint="default"/>
                <w:sz w:val="18"/>
                <w:szCs w:val="18"/>
              </w:rPr>
            </w:pPr>
            <w:r>
              <w:rPr>
                <w:rFonts w:ascii="宋体" w:hAnsi="宋体" w:cs="宋体" w:eastAsia="宋体" w:hint="default"/>
                <w:sz w:val="18"/>
                <w:szCs w:val="18"/>
              </w:rPr>
              <w:t>归属于上市公司股东的净资 产（元）</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1,902,654,233.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1,008,949,287.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1,008,949,287.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88.58%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1,022,640,167.</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1,022,640,167.</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w:t>
            </w:r>
          </w:p>
        </w:tc>
      </w:tr>
    </w:tbl>
    <w:p>
      <w:pPr>
        <w:pStyle w:val="BodyText"/>
        <w:spacing w:line="240" w:lineRule="auto" w:before="49"/>
        <w:ind w:right="967"/>
        <w:jc w:val="left"/>
      </w:pPr>
      <w:r>
        <w:rPr/>
        <w:t>会计政策变更的原因及会计差错更正的情况</w:t>
      </w:r>
    </w:p>
    <w:p>
      <w:pPr>
        <w:pStyle w:val="BodyText"/>
        <w:spacing w:line="240" w:lineRule="auto" w:before="115"/>
        <w:ind w:left="513" w:right="967"/>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年公司发生一项对外股权投资的交易事项，该项股权投资在当期完成了工商登记手续，但公司未实际出资，也未</w:t>
      </w:r>
    </w:p>
    <w:p>
      <w:pPr>
        <w:pStyle w:val="BodyText"/>
        <w:spacing w:line="240" w:lineRule="auto" w:before="63"/>
        <w:ind w:right="967"/>
        <w:jc w:val="left"/>
      </w:pPr>
      <w:r>
        <w:rPr/>
        <w:t>予以财务核算。导致</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财务报表少确认可供出售金融资产</w:t>
      </w:r>
      <w:r>
        <w:rPr>
          <w:spacing w:val="-45"/>
        </w:rPr>
        <w:t> </w:t>
      </w:r>
      <w:r>
        <w:rPr>
          <w:rFonts w:ascii="Times New Roman" w:hAnsi="Times New Roman" w:cs="Times New Roman" w:eastAsia="Times New Roman" w:hint="default"/>
        </w:rPr>
        <w:t>150 </w:t>
      </w:r>
      <w:r>
        <w:rPr/>
        <w:t>万元，少确认其他应付款</w:t>
      </w:r>
      <w:r>
        <w:rPr>
          <w:spacing w:val="-45"/>
        </w:rPr>
        <w:t> </w:t>
      </w:r>
      <w:r>
        <w:rPr>
          <w:rFonts w:ascii="Times New Roman" w:hAnsi="Times New Roman" w:cs="Times New Roman" w:eastAsia="Times New Roman" w:hint="default"/>
        </w:rPr>
        <w:t>150 </w:t>
      </w:r>
      <w:r>
        <w:rPr/>
        <w:t>万元。根据企业会计准则及</w:t>
      </w:r>
    </w:p>
    <w:p>
      <w:pPr>
        <w:pStyle w:val="BodyText"/>
        <w:spacing w:line="300" w:lineRule="auto" w:before="63"/>
        <w:ind w:right="1125"/>
        <w:jc w:val="left"/>
      </w:pPr>
      <w:r>
        <w:rPr>
          <w:spacing w:val="-2"/>
        </w:rPr>
        <w:t>中国证监会的相关规定和要求对公司前期会计差错进行更正及追溯调整。此项会计差错更正事项不影响</w:t>
      </w:r>
      <w:r>
        <w:rPr>
          <w:spacing w:val="-4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spacing w:val="-2"/>
        </w:rPr>
        <w:t>年及</w:t>
      </w:r>
      <w:r>
        <w:rPr>
          <w:spacing w:val="-43"/>
        </w:rPr>
        <w:t> </w:t>
      </w:r>
      <w:r>
        <w:rPr>
          <w:rFonts w:ascii="Times New Roman" w:hAnsi="Times New Roman" w:cs="Times New Roman" w:eastAsia="Times New Roman" w:hint="default"/>
          <w:spacing w:val="-1"/>
        </w:rPr>
        <w:t>2019</w:t>
      </w:r>
      <w:r>
        <w:rPr>
          <w:rFonts w:ascii="Times New Roman" w:hAnsi="Times New Roman" w:cs="Times New Roman" w:eastAsia="Times New Roman" w:hint="default"/>
          <w:spacing w:val="4"/>
        </w:rPr>
        <w:t> </w:t>
      </w:r>
      <w:r>
        <w:rPr>
          <w:spacing w:val="-3"/>
        </w:rPr>
        <w:t>年合 </w:t>
      </w:r>
      <w:r>
        <w:rPr/>
        <w:t>并及母公司经营成果及现金流量情况。具体影响如下：</w:t>
      </w:r>
    </w:p>
    <w:p>
      <w:pPr>
        <w:pStyle w:val="BodyText"/>
        <w:spacing w:line="300" w:lineRule="auto" w:before="72"/>
        <w:ind w:right="1116" w:firstLine="360"/>
        <w:jc w:val="left"/>
      </w:pPr>
      <w:r>
        <w:rPr>
          <w:spacing w:val="-3"/>
        </w:rPr>
        <w:t>（</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5"/>
        </w:rPr>
        <w:t> </w:t>
      </w:r>
      <w:r>
        <w:rPr/>
        <w:t>年该项股权投资在</w:t>
      </w:r>
      <w:r>
        <w:rPr>
          <w:rFonts w:ascii="Times New Roman" w:hAnsi="Times New Roman" w:cs="Times New Roman" w:eastAsia="Times New Roman" w:hint="default"/>
        </w:rPr>
        <w:t>“</w:t>
      </w:r>
      <w:r>
        <w:rPr/>
        <w:t>可供出售金融资产</w:t>
      </w:r>
      <w:r>
        <w:rPr>
          <w:rFonts w:ascii="Times New Roman" w:hAnsi="Times New Roman" w:cs="Times New Roman" w:eastAsia="Times New Roman" w:hint="default"/>
        </w:rPr>
        <w:t>”</w:t>
      </w:r>
      <w:r>
        <w:rPr/>
        <w:t>项目列报，公司</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年度财务报表中增加</w:t>
      </w:r>
      <w:r>
        <w:rPr>
          <w:rFonts w:ascii="Times New Roman" w:hAnsi="Times New Roman" w:cs="Times New Roman" w:eastAsia="Times New Roman" w:hint="default"/>
        </w:rPr>
        <w:t>“</w:t>
      </w:r>
      <w:r>
        <w:rPr/>
        <w:t>可供出售金融资产</w:t>
      </w:r>
      <w:r>
        <w:rPr>
          <w:rFonts w:ascii="Times New Roman" w:hAnsi="Times New Roman" w:cs="Times New Roman" w:eastAsia="Times New Roman" w:hint="default"/>
        </w:rPr>
        <w:t>”150</w:t>
      </w:r>
      <w:r>
        <w:rPr>
          <w:rFonts w:ascii="Times New Roman" w:hAnsi="Times New Roman" w:cs="Times New Roman" w:eastAsia="Times New Roman" w:hint="default"/>
          <w:spacing w:val="-5"/>
        </w:rPr>
        <w:t> </w:t>
      </w:r>
      <w:r>
        <w:rPr/>
        <w:t>万 元，同时增加</w:t>
      </w:r>
      <w:r>
        <w:rPr>
          <w:rFonts w:ascii="Times New Roman" w:hAnsi="Times New Roman" w:cs="Times New Roman" w:eastAsia="Times New Roman" w:hint="default"/>
        </w:rPr>
        <w:t>“</w:t>
      </w:r>
      <w:r>
        <w:rPr/>
        <w:t>其他应付款</w:t>
      </w:r>
      <w:r>
        <w:rPr>
          <w:rFonts w:ascii="Times New Roman" w:hAnsi="Times New Roman" w:cs="Times New Roman" w:eastAsia="Times New Roman" w:hint="default"/>
        </w:rPr>
        <w:t>”150</w:t>
      </w:r>
      <w:r>
        <w:rPr>
          <w:rFonts w:ascii="Times New Roman" w:hAnsi="Times New Roman" w:cs="Times New Roman" w:eastAsia="Times New Roman" w:hint="default"/>
          <w:spacing w:val="-1"/>
        </w:rPr>
        <w:t> </w:t>
      </w:r>
      <w:r>
        <w:rPr/>
        <w:t>万元；</w:t>
      </w:r>
    </w:p>
    <w:p>
      <w:pPr>
        <w:pStyle w:val="BodyText"/>
        <w:spacing w:line="319" w:lineRule="auto" w:before="53"/>
        <w:ind w:right="1126" w:firstLine="360"/>
        <w:jc w:val="left"/>
      </w:pPr>
      <w:r>
        <w:rPr>
          <w:spacing w:val="-4"/>
        </w:rPr>
        <w:t>（</w:t>
      </w:r>
      <w:r>
        <w:rPr>
          <w:rFonts w:ascii="Times New Roman" w:hAnsi="Times New Roman" w:cs="Times New Roman" w:eastAsia="Times New Roman" w:hint="default"/>
          <w:spacing w:val="-4"/>
        </w:rPr>
        <w:t>2</w:t>
      </w:r>
      <w:r>
        <w:rPr>
          <w:spacing w:val="-4"/>
        </w:rPr>
        <w:t>）自</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日起公司执行</w:t>
      </w:r>
      <w:r>
        <w:rPr>
          <w:rFonts w:ascii="Times New Roman" w:hAnsi="Times New Roman" w:cs="Times New Roman" w:eastAsia="Times New Roman" w:hint="default"/>
        </w:rPr>
        <w:t>“</w:t>
      </w:r>
      <w:r>
        <w:rPr/>
        <w:t>新金融工具准则</w:t>
      </w:r>
      <w:r>
        <w:rPr>
          <w:rFonts w:ascii="Times New Roman" w:hAnsi="Times New Roman" w:cs="Times New Roman" w:eastAsia="Times New Roman" w:hint="default"/>
        </w:rPr>
        <w:t>”</w:t>
      </w:r>
      <w:r>
        <w:rPr/>
        <w:t>，依据准则的规定，该项股权投资在</w:t>
      </w:r>
      <w:r>
        <w:rPr>
          <w:rFonts w:ascii="Times New Roman" w:hAnsi="Times New Roman" w:cs="Times New Roman" w:eastAsia="Times New Roman" w:hint="default"/>
        </w:rPr>
        <w:t>“</w:t>
      </w:r>
      <w:r>
        <w:rPr/>
        <w:t>其他权益工具投资</w:t>
      </w:r>
      <w:r>
        <w:rPr>
          <w:rFonts w:ascii="Times New Roman" w:hAnsi="Times New Roman" w:cs="Times New Roman" w:eastAsia="Times New Roman" w:hint="default"/>
        </w:rPr>
        <w:t>”</w:t>
      </w:r>
      <w:r>
        <w:rPr/>
        <w:t>项目列 报。公司</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年度财务报表中增加</w:t>
      </w:r>
      <w:r>
        <w:rPr>
          <w:rFonts w:ascii="Times New Roman" w:hAnsi="Times New Roman" w:cs="Times New Roman" w:eastAsia="Times New Roman" w:hint="default"/>
        </w:rPr>
        <w:t>“</w:t>
      </w:r>
      <w:r>
        <w:rPr/>
        <w:t>其他权益工具投资</w:t>
      </w:r>
      <w:r>
        <w:rPr>
          <w:rFonts w:ascii="Times New Roman" w:hAnsi="Times New Roman" w:cs="Times New Roman" w:eastAsia="Times New Roman" w:hint="default"/>
        </w:rPr>
        <w:t>”150</w:t>
      </w:r>
      <w:r>
        <w:rPr>
          <w:rFonts w:ascii="Times New Roman" w:hAnsi="Times New Roman" w:cs="Times New Roman" w:eastAsia="Times New Roman" w:hint="default"/>
          <w:spacing w:val="1"/>
        </w:rPr>
        <w:t> </w:t>
      </w:r>
      <w:r>
        <w:rPr/>
        <w:t>万元，同时增加</w:t>
      </w:r>
      <w:r>
        <w:rPr>
          <w:rFonts w:ascii="Times New Roman" w:hAnsi="Times New Roman" w:cs="Times New Roman" w:eastAsia="Times New Roman" w:hint="default"/>
        </w:rPr>
        <w:t>“</w:t>
      </w:r>
      <w:r>
        <w:rPr/>
        <w:t>其他应付款</w:t>
      </w:r>
      <w:r>
        <w:rPr>
          <w:rFonts w:ascii="Times New Roman" w:hAnsi="Times New Roman" w:cs="Times New Roman" w:eastAsia="Times New Roman" w:hint="default"/>
        </w:rPr>
        <w:t>”150</w:t>
      </w:r>
      <w:r>
        <w:rPr>
          <w:rFonts w:ascii="Times New Roman" w:hAnsi="Times New Roman" w:cs="Times New Roman" w:eastAsia="Times New Roman" w:hint="default"/>
          <w:spacing w:val="-2"/>
        </w:rPr>
        <w:t> </w:t>
      </w:r>
      <w:r>
        <w:rPr/>
        <w:t>万元。 截止披露前一交易日的公司总股本：</w:t>
      </w:r>
    </w:p>
    <w:p>
      <w:pPr>
        <w:spacing w:line="240" w:lineRule="auto" w:before="6"/>
        <w:rPr>
          <w:rFonts w:ascii="宋体" w:hAnsi="宋体" w:cs="宋体" w:eastAsia="宋体" w:hint="default"/>
          <w:sz w:val="3"/>
          <w:szCs w:val="3"/>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4501;top:14;width:24;height:395" coordorigin="4501,14" coordsize="24,395">
              <v:shape style="position:absolute;left:4501;top:14;width:24;height:395" coordorigin="4501,14" coordsize="24,395" path="m4501,408l4525,408,4525,14,4501,14,4501,408xe" filled="true" fillcolor="#d2d2d2" stroked="false">
                <v:path arrowok="t"/>
                <v:fill type="solid"/>
              </v:shape>
            </v:group>
            <v:group style="position:absolute;left:12;top:14;width:22;height:395" coordorigin="12,14" coordsize="22,395">
              <v:shape style="position:absolute;left:12;top:14;width:22;height:395" coordorigin="12,14" coordsize="22,395" path="m12,408l34,408,34,14,12,14,12,408xe" filled="true" fillcolor="#d2d2d2" stroked="false">
                <v:path arrowok="t"/>
                <v:fill type="solid"/>
              </v:shape>
            </v:group>
            <v:group style="position:absolute;left:34;top:14;width:4468;height:395" coordorigin="34,14" coordsize="4468,395">
              <v:shape style="position:absolute;left:34;top:14;width:4468;height:395" coordorigin="34,14" coordsize="4468,395" path="m34,408l4501,408,4501,14,34,14,34,408xe" filled="true" fillcolor="#d2d2d2" stroked="false">
                <v:path arrowok="t"/>
                <v:fill type="solid"/>
              </v:shape>
            </v:group>
            <v:group style="position:absolute;left:10;top:10;width:4516;height:2" coordorigin="10,10" coordsize="4516,2">
              <v:shape style="position:absolute;left:10;top:10;width:4516;height:2" coordorigin="10,10" coordsize="4516,0" path="m10,10l4525,10e" filled="false" stroked="true" strokeweight=".47998pt" strokecolor="#000000">
                <v:path arrowok="t"/>
              </v:shape>
            </v:group>
            <v:group style="position:absolute;left:4535;top:10;width:5037;height:2" coordorigin="4535,10" coordsize="5037,2">
              <v:shape style="position:absolute;left:4535;top:10;width:5037;height:2" coordorigin="4535,10" coordsize="5037,0" path="m4535,10l9571,10e" filled="false" stroked="true" strokeweight=".47998pt" strokecolor="#000000">
                <v:path arrowok="t"/>
              </v:shape>
            </v:group>
            <v:group style="position:absolute;left:5;top:5;width:2;height:414" coordorigin="5,5" coordsize="2,414">
              <v:shape style="position:absolute;left:5;top:5;width:2;height:414" coordorigin="5,5" coordsize="0,414" path="m5,5l5,418e" filled="false" stroked="true" strokeweight=".48pt" strokecolor="#000000">
                <v:path arrowok="t"/>
              </v:shape>
            </v:group>
            <v:group style="position:absolute;left:10;top:413;width:4516;height:2" coordorigin="10,413" coordsize="4516,2">
              <v:shape style="position:absolute;left:10;top:413;width:4516;height:2" coordorigin="10,413" coordsize="4516,0" path="m10,413l4525,413e" filled="false" stroked="true" strokeweight=".48001pt" strokecolor="#000000">
                <v:path arrowok="t"/>
              </v:shape>
            </v:group>
            <v:group style="position:absolute;left:4530;top:5;width:2;height:414" coordorigin="4530,5" coordsize="2,414">
              <v:shape style="position:absolute;left:4530;top:5;width:2;height:414" coordorigin="4530,5" coordsize="0,414" path="m4530,5l4530,418e" filled="false" stroked="true" strokeweight=".47998pt" strokecolor="#000000">
                <v:path arrowok="t"/>
              </v:shape>
            </v:group>
            <v:group style="position:absolute;left:4535;top:413;width:5037;height:2" coordorigin="4535,413" coordsize="5037,2">
              <v:shape style="position:absolute;left:4535;top:413;width:5037;height:2" coordorigin="4535,413" coordsize="5037,0" path="m4535,413l9571,413e" filled="false" stroked="true" strokeweight=".48001pt" strokecolor="#000000">
                <v:path arrowok="t"/>
              </v:shape>
            </v:group>
            <v:group style="position:absolute;left:9576;top:5;width:2;height:414" coordorigin="9576,5" coordsize="2,414">
              <v:shape style="position:absolute;left:9576;top:5;width:2;height:414" coordorigin="9576,5" coordsize="0,414" path="m9576,5l9576,418e" filled="false" stroked="true" strokeweight=".47998pt" strokecolor="#000000">
                <v:path arrowok="t"/>
              </v:shape>
              <v:shape style="position:absolute;left:6;top:10;width:4524;height:404" type="#_x0000_t202" filled="false" stroked="false">
                <v:textbox inset="0,0,0,0">
                  <w:txbxContent>
                    <w:p>
                      <w:pPr>
                        <w:spacing w:before="54"/>
                        <w:ind w:left="27" w:right="0" w:firstLine="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截止披露前一交易日的公司总股本（股）</w:t>
                      </w:r>
                    </w:p>
                  </w:txbxContent>
                </v:textbox>
                <w10:wrap type="none"/>
              </v:shape>
              <v:shape style="position:absolute;left:4530;top:10;width:5046;height:404" type="#_x0000_t202" filled="false" stroked="false">
                <v:textbox inset="0,0,0,0">
                  <w:txbxContent>
                    <w:p>
                      <w:pPr>
                        <w:spacing w:before="96"/>
                        <w:ind w:left="0" w:right="24" w:firstLine="0"/>
                        <w:jc w:val="right"/>
                        <w:rPr>
                          <w:rFonts w:ascii="Times New Roman" w:hAnsi="Times New Roman" w:cs="Times New Roman" w:eastAsia="Times New Roman" w:hint="default"/>
                          <w:sz w:val="18"/>
                          <w:szCs w:val="18"/>
                        </w:rPr>
                      </w:pPr>
                      <w:r>
                        <w:rPr>
                          <w:rFonts w:ascii="Times New Roman"/>
                          <w:spacing w:val="-1"/>
                          <w:sz w:val="18"/>
                        </w:rPr>
                        <w:t>120,518,161</w:t>
                      </w:r>
                    </w:p>
                  </w:txbxContent>
                </v:textbox>
                <w10:wrap type="none"/>
              </v:shape>
            </v:group>
          </v:group>
        </w:pict>
      </w:r>
      <w:r>
        <w:rPr>
          <w:rFonts w:ascii="宋体" w:hAnsi="宋体" w:cs="宋体" w:eastAsia="宋体" w:hint="default"/>
          <w:position w:val="-7"/>
          <w:sz w:val="20"/>
          <w:szCs w:val="20"/>
        </w:rPr>
      </w:r>
    </w:p>
    <w:p>
      <w:pPr>
        <w:pStyle w:val="BodyText"/>
        <w:spacing w:line="240" w:lineRule="auto" w:before="45"/>
        <w:ind w:right="967"/>
        <w:jc w:val="left"/>
      </w:pPr>
      <w:r>
        <w:rPr/>
        <w:t>用最新股本计算的全面摊薄每股收益：</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4"/>
        <w:gridCol w:w="5046"/>
      </w:tblGrid>
      <w:tr>
        <w:trPr>
          <w:trHeight w:val="403"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支付的优先股股利</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7.2625</w:t>
            </w:r>
          </w:p>
        </w:tc>
      </w:tr>
    </w:tbl>
    <w:p>
      <w:pPr>
        <w:spacing w:line="240" w:lineRule="auto" w:before="1"/>
        <w:rPr>
          <w:rFonts w:ascii="宋体" w:hAnsi="宋体" w:cs="宋体" w:eastAsia="宋体" w:hint="default"/>
          <w:sz w:val="18"/>
          <w:szCs w:val="18"/>
        </w:rPr>
      </w:pPr>
    </w:p>
    <w:p>
      <w:pPr>
        <w:pStyle w:val="Heading2"/>
        <w:spacing w:line="367" w:lineRule="exact"/>
        <w:ind w:right="967"/>
        <w:jc w:val="left"/>
        <w:rPr>
          <w:b w:val="0"/>
          <w:bCs w:val="0"/>
        </w:rPr>
      </w:pPr>
      <w:r>
        <w:rPr/>
        <w:t>七、境内外会计准则下会计数据差异</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967"/>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40" w:lineRule="auto"/>
        <w:ind w:right="18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4"/>
        <w:rPr>
          <w:rFonts w:ascii="宋体" w:hAnsi="宋体" w:cs="宋体" w:eastAsia="宋体" w:hint="default"/>
          <w:sz w:val="16"/>
          <w:szCs w:val="16"/>
        </w:rPr>
      </w:pPr>
    </w:p>
    <w:p>
      <w:pPr>
        <w:pStyle w:val="Heading4"/>
        <w:spacing w:line="240" w:lineRule="auto"/>
        <w:ind w:right="967"/>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10"/>
        <w:rPr>
          <w:rFonts w:ascii="宋体" w:hAnsi="宋体" w:cs="宋体" w:eastAsia="宋体" w:hint="default"/>
          <w:sz w:val="13"/>
          <w:szCs w:val="13"/>
        </w:rPr>
      </w:pPr>
    </w:p>
    <w:p>
      <w:pPr>
        <w:pStyle w:val="Heading2"/>
        <w:spacing w:line="240" w:lineRule="auto"/>
        <w:ind w:right="967"/>
        <w:jc w:val="left"/>
        <w:rPr>
          <w:b w:val="0"/>
          <w:bCs w:val="0"/>
        </w:rPr>
      </w:pPr>
      <w:r>
        <w:rPr/>
        <w:t>八、分季度主要财务指标</w:t>
      </w:r>
      <w:r>
        <w:rPr>
          <w:b w:val="0"/>
          <w:bCs w:val="0"/>
        </w:rPr>
      </w:r>
    </w:p>
    <w:p>
      <w:pPr>
        <w:spacing w:line="240" w:lineRule="auto" w:before="14"/>
        <w:rPr>
          <w:rFonts w:ascii="Microsoft JhengHei" w:hAnsi="Microsoft JhengHei" w:cs="Microsoft JhengHei" w:eastAsia="Microsoft JhengHei" w:hint="default"/>
          <w:b/>
          <w:bCs/>
          <w:sz w:val="15"/>
          <w:szCs w:val="15"/>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20"/>
        <w:gridCol w:w="1741"/>
        <w:gridCol w:w="1740"/>
        <w:gridCol w:w="1738"/>
        <w:gridCol w:w="1730"/>
      </w:tblGrid>
      <w:tr>
        <w:trPr>
          <w:trHeight w:val="402"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0"/>
        <w:gridCol w:w="1741"/>
        <w:gridCol w:w="1740"/>
        <w:gridCol w:w="1738"/>
        <w:gridCol w:w="1730"/>
      </w:tblGrid>
      <w:tr>
        <w:trPr>
          <w:trHeight w:val="401"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145,452,974.84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187,896,911.03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918,028,238.14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1,608,777,812.38</w:t>
            </w:r>
          </w:p>
        </w:tc>
      </w:tr>
      <w:tr>
        <w:trPr>
          <w:trHeight w:val="403"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9,397,130.46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35,635,950.69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342,845,397.56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487,386,455.93</w:t>
            </w:r>
          </w:p>
        </w:tc>
      </w:tr>
      <w:tr>
        <w:trPr>
          <w:trHeight w:val="713"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5,292,373.56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29,634,950.42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337,764,337.22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483,517,882.96</w:t>
            </w:r>
          </w:p>
        </w:tc>
      </w:tr>
      <w:tr>
        <w:trPr>
          <w:trHeight w:val="403"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-34,418,484.17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2,363,950.81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1,224,296,600.73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179,791,878.14</w:t>
            </w:r>
          </w:p>
        </w:tc>
      </w:tr>
    </w:tbl>
    <w:p>
      <w:pPr>
        <w:pStyle w:val="BodyText"/>
        <w:spacing w:line="240" w:lineRule="auto" w:before="49"/>
        <w:ind w:right="967"/>
        <w:jc w:val="left"/>
      </w:pPr>
      <w:r>
        <w:rPr/>
        <w:t>上述财务指标或其加总数是否与公司已披露季度报告、半年度报告相关财务指标存在重大差异</w:t>
      </w:r>
    </w:p>
    <w:p>
      <w:pPr>
        <w:pStyle w:val="BodyText"/>
        <w:spacing w:line="240" w:lineRule="auto" w:before="115"/>
        <w:ind w:right="96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5"/>
        <w:rPr>
          <w:rFonts w:ascii="宋体" w:hAnsi="宋体" w:cs="宋体" w:eastAsia="宋体" w:hint="default"/>
          <w:sz w:val="18"/>
          <w:szCs w:val="18"/>
        </w:rPr>
      </w:pPr>
    </w:p>
    <w:p>
      <w:pPr>
        <w:pStyle w:val="Heading2"/>
        <w:spacing w:line="240" w:lineRule="auto"/>
        <w:ind w:right="967"/>
        <w:jc w:val="left"/>
        <w:rPr>
          <w:b w:val="0"/>
          <w:bCs w:val="0"/>
        </w:rPr>
      </w:pPr>
      <w:r>
        <w:rPr/>
        <w:t>九、非经常性损益项目及金额</w:t>
      </w:r>
      <w:r>
        <w:rPr>
          <w:b w:val="0"/>
          <w:bCs w:val="0"/>
        </w:rPr>
      </w:r>
    </w:p>
    <w:p>
      <w:pPr>
        <w:spacing w:line="240" w:lineRule="auto" w:before="14"/>
        <w:rPr>
          <w:rFonts w:ascii="Microsoft JhengHei" w:hAnsi="Microsoft JhengHei" w:cs="Microsoft JhengHei" w:eastAsia="Microsoft JhengHei" w:hint="default"/>
          <w:b/>
          <w:bCs/>
          <w:sz w:val="15"/>
          <w:szCs w:val="15"/>
        </w:rPr>
      </w:pPr>
    </w:p>
    <w:p>
      <w:pPr>
        <w:pStyle w:val="BodyText"/>
        <w:spacing w:line="240" w:lineRule="auto" w:before="44"/>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6"/>
        <w:gridCol w:w="1522"/>
        <w:gridCol w:w="1520"/>
        <w:gridCol w:w="1522"/>
        <w:gridCol w:w="1711"/>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-30,172.96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40,327.88</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固定资产处置损益</w:t>
            </w:r>
          </w:p>
        </w:tc>
      </w:tr>
      <w:tr>
        <w:trPr>
          <w:trHeight w:val="1027"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13,899,421.07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15,106,516.30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13,203,573.18</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55"/>
              <w:jc w:val="left"/>
              <w:rPr>
                <w:rFonts w:ascii="宋体" w:hAnsi="宋体" w:cs="宋体" w:eastAsia="宋体" w:hint="default"/>
                <w:sz w:val="18"/>
                <w:szCs w:val="18"/>
              </w:rPr>
            </w:pPr>
            <w:r>
              <w:rPr>
                <w:rFonts w:ascii="宋体" w:hAnsi="宋体" w:cs="宋体" w:eastAsia="宋体" w:hint="default"/>
                <w:sz w:val="18"/>
                <w:szCs w:val="18"/>
              </w:rPr>
              <w:t>研发项目补助及其他 补助</w:t>
            </w:r>
          </w:p>
        </w:tc>
      </w:tr>
      <w:tr>
        <w:trPr>
          <w:trHeight w:val="317" w:hRule="exact"/>
        </w:trPr>
        <w:tc>
          <w:tcPr>
            <w:tcW w:w="32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68" w:right="0"/>
              <w:jc w:val="left"/>
              <w:rPr>
                <w:rFonts w:ascii="Times New Roman" w:hAnsi="Times New Roman" w:cs="Times New Roman" w:eastAsia="Times New Roman" w:hint="default"/>
                <w:sz w:val="18"/>
                <w:szCs w:val="18"/>
              </w:rPr>
            </w:pPr>
            <w:r>
              <w:rPr>
                <w:rFonts w:ascii="Times New Roman"/>
                <w:sz w:val="18"/>
              </w:rPr>
              <w:t>17,062.47</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11" w:type="dxa"/>
            <w:vMerge w:val="restart"/>
            <w:tcBorders>
              <w:top w:val="single" w:sz="4" w:space="0" w:color="000000"/>
              <w:left w:val="single" w:sz="4" w:space="0" w:color="000000"/>
              <w:right w:val="single" w:sz="4" w:space="0" w:color="000000"/>
            </w:tcBorders>
          </w:tcPr>
          <w:p>
            <w:pPr>
              <w:pStyle w:val="TableParagraph"/>
              <w:spacing w:line="319" w:lineRule="auto" w:before="49"/>
              <w:ind w:left="23" w:right="55"/>
              <w:jc w:val="both"/>
              <w:rPr>
                <w:rFonts w:ascii="宋体" w:hAnsi="宋体" w:cs="宋体" w:eastAsia="宋体" w:hint="default"/>
                <w:sz w:val="18"/>
                <w:szCs w:val="18"/>
              </w:rPr>
            </w:pPr>
            <w:r>
              <w:rPr>
                <w:rFonts w:ascii="宋体" w:hAnsi="宋体" w:cs="宋体" w:eastAsia="宋体" w:hint="default"/>
                <w:sz w:val="18"/>
                <w:szCs w:val="18"/>
              </w:rPr>
              <w:t>对联营企业的投资成 本小于取得投资时应 享有被投资单位可辨 认净资产公允价值产 生的收益</w:t>
            </w:r>
          </w:p>
        </w:tc>
      </w:tr>
      <w:tr>
        <w:trPr>
          <w:trHeight w:val="1016"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20"/>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22"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1" w:type="dxa"/>
            <w:vMerge/>
            <w:tcBorders>
              <w:left w:val="single" w:sz="4" w:space="0" w:color="000000"/>
              <w:right w:val="single" w:sz="4" w:space="0" w:color="000000"/>
            </w:tcBorders>
          </w:tcPr>
          <w:p>
            <w:pPr/>
          </w:p>
        </w:tc>
      </w:tr>
      <w:tr>
        <w:trPr>
          <w:trHeight w:val="317" w:hRule="exact"/>
        </w:trPr>
        <w:tc>
          <w:tcPr>
            <w:tcW w:w="32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2" w:type="dxa"/>
            <w:vMerge/>
            <w:tcBorders>
              <w:left w:val="single" w:sz="4" w:space="0" w:color="000000"/>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1" w:type="dxa"/>
            <w:vMerge/>
            <w:tcBorders>
              <w:left w:val="single" w:sz="4" w:space="0" w:color="000000"/>
              <w:bottom w:val="single" w:sz="4" w:space="0" w:color="000000"/>
              <w:right w:val="single" w:sz="4" w:space="0" w:color="000000"/>
            </w:tcBorders>
          </w:tcPr>
          <w:p>
            <w:pPr/>
          </w:p>
        </w:tc>
      </w:tr>
      <w:tr>
        <w:trPr>
          <w:trHeight w:val="163" w:hRule="exact"/>
        </w:trPr>
        <w:tc>
          <w:tcPr>
            <w:tcW w:w="32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7,086,666.67</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4,472,054.80</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44" w:right="0"/>
              <w:jc w:val="left"/>
              <w:rPr>
                <w:rFonts w:ascii="Times New Roman" w:hAnsi="Times New Roman" w:cs="Times New Roman" w:eastAsia="Times New Roman" w:hint="default"/>
                <w:sz w:val="18"/>
                <w:szCs w:val="18"/>
              </w:rPr>
            </w:pPr>
            <w:r>
              <w:rPr>
                <w:rFonts w:ascii="Times New Roman"/>
                <w:sz w:val="18"/>
              </w:rPr>
              <w:t>3,956,289.96</w:t>
            </w:r>
          </w:p>
        </w:tc>
        <w:tc>
          <w:tcPr>
            <w:tcW w:w="1711"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55"/>
              <w:jc w:val="left"/>
              <w:rPr>
                <w:rFonts w:ascii="宋体" w:hAnsi="宋体" w:cs="宋体" w:eastAsia="宋体" w:hint="default"/>
                <w:sz w:val="18"/>
                <w:szCs w:val="18"/>
              </w:rPr>
            </w:pPr>
            <w:r>
              <w:rPr>
                <w:rFonts w:ascii="宋体" w:hAnsi="宋体" w:cs="宋体" w:eastAsia="宋体" w:hint="default"/>
                <w:sz w:val="18"/>
                <w:szCs w:val="18"/>
              </w:rPr>
              <w:t>公司购买理财产品产 生的收益</w:t>
            </w:r>
          </w:p>
        </w:tc>
      </w:tr>
      <w:tr>
        <w:trPr>
          <w:trHeight w:val="391"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2"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1" w:type="dxa"/>
            <w:vMerge/>
            <w:tcBorders>
              <w:left w:val="single" w:sz="4" w:space="0" w:color="000000"/>
              <w:right w:val="single" w:sz="4" w:space="0" w:color="000000"/>
            </w:tcBorders>
          </w:tcPr>
          <w:p>
            <w:pPr/>
          </w:p>
        </w:tc>
      </w:tr>
      <w:tr>
        <w:trPr>
          <w:trHeight w:val="161" w:hRule="exact"/>
        </w:trPr>
        <w:tc>
          <w:tcPr>
            <w:tcW w:w="32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2" w:type="dxa"/>
            <w:vMerge/>
            <w:tcBorders>
              <w:left w:val="single" w:sz="4" w:space="0" w:color="000000"/>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1" w:type="dxa"/>
            <w:vMerge/>
            <w:tcBorders>
              <w:left w:val="single" w:sz="4" w:space="0" w:color="000000"/>
              <w:bottom w:val="single" w:sz="4" w:space="0" w:color="000000"/>
              <w:right w:val="single" w:sz="4" w:space="0" w:color="000000"/>
            </w:tcBorders>
          </w:tcPr>
          <w:p>
            <w:pPr/>
          </w:p>
        </w:tc>
      </w:tr>
      <w:tr>
        <w:trPr>
          <w:trHeight w:val="227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2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1,543,808.23</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3" w:right="55"/>
              <w:jc w:val="left"/>
              <w:rPr>
                <w:rFonts w:ascii="宋体" w:hAnsi="宋体" w:cs="宋体" w:eastAsia="宋体" w:hint="default"/>
                <w:sz w:val="18"/>
                <w:szCs w:val="18"/>
              </w:rPr>
            </w:pPr>
            <w:r>
              <w:rPr>
                <w:rFonts w:ascii="宋体" w:hAnsi="宋体" w:cs="宋体" w:eastAsia="宋体" w:hint="default"/>
                <w:sz w:val="18"/>
                <w:szCs w:val="18"/>
              </w:rPr>
              <w:t>公司购买理财产品产 生的收益</w:t>
            </w: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-1,495,847.67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367,766.42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-890,160.90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9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417,861.88</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55"/>
              <w:jc w:val="left"/>
              <w:rPr>
                <w:rFonts w:ascii="宋体" w:hAnsi="宋体" w:cs="宋体" w:eastAsia="宋体" w:hint="default"/>
                <w:sz w:val="18"/>
                <w:szCs w:val="18"/>
              </w:rPr>
            </w:pPr>
            <w:r>
              <w:rPr>
                <w:rFonts w:ascii="宋体" w:hAnsi="宋体" w:cs="宋体" w:eastAsia="宋体" w:hint="default"/>
                <w:sz w:val="18"/>
                <w:szCs w:val="18"/>
              </w:rPr>
              <w:t>代扣个人所得税手 续费返还</w:t>
            </w: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21,421,737.22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19,963,399.99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16,310,030.12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2,055,481.20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1,568,868.97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2,579,955.50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310,865.54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3,851.85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10,065.16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19,055,390.48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18,390,679.17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13,720,009.46</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967"/>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right="1118"/>
        <w:jc w:val="center"/>
        <w:rPr>
          <w:b w:val="0"/>
          <w:bCs w:val="0"/>
        </w:rPr>
      </w:pPr>
      <w:bookmarkStart w:name="_TOC_250010" w:id="3"/>
      <w:r>
        <w:rPr/>
        <w:t>第三节公司业务概要</w:t>
      </w:r>
      <w:bookmarkEnd w:id="3"/>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967"/>
        <w:jc w:val="left"/>
        <w:rPr>
          <w:b w:val="0"/>
          <w:bCs w:val="0"/>
        </w:rPr>
      </w:pPr>
      <w:r>
        <w:rPr/>
        <w:t>一、报告期内公司从事的主要业务</w:t>
      </w:r>
      <w:r>
        <w:rPr>
          <w:b w:val="0"/>
          <w:bCs w:val="0"/>
        </w:rPr>
      </w:r>
    </w:p>
    <w:p>
      <w:pPr>
        <w:spacing w:line="240" w:lineRule="auto" w:before="16"/>
        <w:rPr>
          <w:rFonts w:ascii="Microsoft JhengHei" w:hAnsi="Microsoft JhengHei" w:cs="Microsoft JhengHei" w:eastAsia="Microsoft JhengHei" w:hint="default"/>
          <w:b/>
          <w:bCs/>
          <w:sz w:val="14"/>
          <w:szCs w:val="14"/>
        </w:rPr>
      </w:pPr>
    </w:p>
    <w:p>
      <w:pPr>
        <w:spacing w:line="314" w:lineRule="auto" w:before="0"/>
        <w:ind w:left="513" w:right="1393" w:firstLine="0"/>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（一）公司从事的主要业务</w:t>
      </w:r>
      <w:r>
        <w:rPr>
          <w:rFonts w:ascii="Microsoft JhengHei" w:hAnsi="Microsoft JhengHei" w:cs="Microsoft JhengHei" w:eastAsia="Microsoft JhengHei" w:hint="default"/>
          <w:b/>
          <w:bCs/>
          <w:spacing w:val="-38"/>
          <w:sz w:val="18"/>
          <w:szCs w:val="18"/>
        </w:rPr>
        <w:t> </w:t>
      </w:r>
      <w:r>
        <w:rPr>
          <w:rFonts w:ascii="Microsoft JhengHei" w:hAnsi="Microsoft JhengHei" w:cs="Microsoft JhengHei" w:eastAsia="Microsoft JhengHei" w:hint="default"/>
          <w:b/>
          <w:bCs/>
          <w:spacing w:val="-38"/>
          <w:sz w:val="18"/>
          <w:szCs w:val="18"/>
        </w:rPr>
      </w:r>
      <w:r>
        <w:rPr>
          <w:rFonts w:ascii="宋体" w:hAnsi="宋体" w:cs="宋体" w:eastAsia="宋体" w:hint="default"/>
          <w:sz w:val="18"/>
          <w:szCs w:val="18"/>
        </w:rPr>
        <w:t>公司专注于智慧交通和物联网领域的应用开发、产品创新与推广，是国内领先的智慧交通产品及解决方案提供商。</w:t>
      </w:r>
    </w:p>
    <w:p>
      <w:pPr>
        <w:spacing w:line="314" w:lineRule="auto" w:before="1"/>
        <w:ind w:left="513" w:right="967" w:firstLine="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（二）公司主要产品及其用途</w:t>
      </w:r>
      <w:r>
        <w:rPr>
          <w:rFonts w:ascii="Microsoft JhengHei" w:hAnsi="Microsoft JhengHei" w:cs="Microsoft JhengHei" w:eastAsia="Microsoft JhengHei" w:hint="default"/>
          <w:b/>
          <w:bCs/>
          <w:spacing w:val="-38"/>
          <w:sz w:val="18"/>
          <w:szCs w:val="18"/>
        </w:rPr>
        <w:t> </w:t>
      </w:r>
      <w:r>
        <w:rPr>
          <w:rFonts w:ascii="Microsoft JhengHei" w:hAnsi="Microsoft JhengHei" w:cs="Microsoft JhengHei" w:eastAsia="Microsoft JhengHei" w:hint="default"/>
          <w:b/>
          <w:bCs/>
          <w:spacing w:val="-38"/>
          <w:sz w:val="18"/>
          <w:szCs w:val="18"/>
        </w:rPr>
      </w:r>
      <w:r>
        <w:rPr>
          <w:rFonts w:ascii="宋体" w:hAnsi="宋体" w:cs="宋体" w:eastAsia="宋体" w:hint="default"/>
          <w:sz w:val="18"/>
          <w:szCs w:val="18"/>
        </w:rPr>
        <w:t>公司致力于成为中国领先的智慧交通产品及解决方案提供商，肩负让交通更智慧、让生活更简单的使命，依托在</w:t>
      </w:r>
      <w:r>
        <w:rPr>
          <w:rFonts w:ascii="Times New Roman" w:hAnsi="Times New Roman" w:cs="Times New Roman" w:eastAsia="Times New Roman" w:hint="default"/>
          <w:sz w:val="18"/>
          <w:szCs w:val="18"/>
        </w:rPr>
        <w:t>ETC</w:t>
      </w:r>
    </w:p>
    <w:p>
      <w:pPr>
        <w:pStyle w:val="BodyText"/>
        <w:spacing w:line="240" w:lineRule="auto" w:before="1"/>
        <w:ind w:right="967"/>
        <w:jc w:val="left"/>
      </w:pPr>
      <w:r>
        <w:rPr/>
        <w:t>和智慧交通的技术积累和长期耕耘，公司产品和服务已深入覆盖以下</w:t>
      </w:r>
      <w:r>
        <w:rPr>
          <w:rFonts w:ascii="Times New Roman" w:hAnsi="Times New Roman" w:cs="Times New Roman" w:eastAsia="Times New Roman" w:hint="default"/>
        </w:rPr>
        <w:t>4</w:t>
      </w:r>
      <w:r>
        <w:rPr/>
        <w:t>类交通应用场景和客群。</w:t>
      </w:r>
    </w:p>
    <w:p>
      <w:pPr>
        <w:spacing w:line="240" w:lineRule="auto" w:before="10"/>
        <w:rPr>
          <w:rFonts w:ascii="宋体" w:hAnsi="宋体" w:cs="宋体" w:eastAsia="宋体" w:hint="default"/>
          <w:sz w:val="11"/>
          <w:szCs w:val="11"/>
        </w:rPr>
      </w:pPr>
    </w:p>
    <w:p>
      <w:pPr>
        <w:spacing w:line="2361" w:lineRule="exact"/>
        <w:ind w:left="513" w:right="0" w:firstLine="0"/>
        <w:rPr>
          <w:rFonts w:ascii="宋体" w:hAnsi="宋体" w:cs="宋体" w:eastAsia="宋体" w:hint="default"/>
          <w:sz w:val="20"/>
          <w:szCs w:val="20"/>
        </w:rPr>
      </w:pPr>
      <w:r>
        <w:rPr>
          <w:rFonts w:ascii="宋体" w:hAnsi="宋体" w:cs="宋体" w:eastAsia="宋体" w:hint="default"/>
          <w:position w:val="-46"/>
          <w:sz w:val="20"/>
          <w:szCs w:val="20"/>
        </w:rPr>
        <w:drawing>
          <wp:inline distT="0" distB="0" distL="0" distR="0">
            <wp:extent cx="5244237" cy="149961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5244237" cy="1499615"/>
                    </a:xfrm>
                    <a:prstGeom prst="rect">
                      <a:avLst/>
                    </a:prstGeom>
                  </pic:spPr>
                </pic:pic>
              </a:graphicData>
            </a:graphic>
          </wp:inline>
        </w:drawing>
      </w:r>
      <w:r>
        <w:rPr>
          <w:rFonts w:ascii="宋体" w:hAnsi="宋体" w:cs="宋体" w:eastAsia="宋体" w:hint="default"/>
          <w:position w:val="-46"/>
          <w:sz w:val="20"/>
          <w:szCs w:val="20"/>
        </w:rPr>
      </w:r>
    </w:p>
    <w:p>
      <w:pPr>
        <w:pStyle w:val="BodyText"/>
        <w:spacing w:line="314" w:lineRule="auto" w:before="65"/>
        <w:ind w:left="513" w:right="967"/>
        <w:jc w:val="left"/>
      </w:pPr>
      <w:r>
        <w:rPr>
          <w:rFonts w:ascii="Microsoft JhengHei" w:hAnsi="Microsoft JhengHei" w:cs="Microsoft JhengHei" w:eastAsia="Microsoft JhengHei" w:hint="default"/>
          <w:b/>
          <w:bCs/>
        </w:rPr>
        <w:t>（三）经营模式</w:t>
      </w:r>
      <w:r>
        <w:rPr>
          <w:rFonts w:ascii="Microsoft JhengHei" w:hAnsi="Microsoft JhengHei" w:cs="Microsoft JhengHei" w:eastAsia="Microsoft JhengHei" w:hint="default"/>
          <w:b/>
          <w:bCs/>
          <w:spacing w:val="-41"/>
        </w:rPr>
        <w:t> </w:t>
      </w:r>
      <w:r>
        <w:rPr>
          <w:rFonts w:ascii="Microsoft JhengHei" w:hAnsi="Microsoft JhengHei" w:cs="Microsoft JhengHei" w:eastAsia="Microsoft JhengHei" w:hint="default"/>
          <w:b/>
          <w:bCs/>
          <w:spacing w:val="-41"/>
        </w:rPr>
      </w:r>
      <w:r>
        <w:rPr>
          <w:spacing w:val="-2"/>
        </w:rPr>
        <w:t>公司主要以提供</w:t>
      </w:r>
      <w:r>
        <w:rPr>
          <w:rFonts w:ascii="Times New Roman" w:hAnsi="Times New Roman" w:cs="Times New Roman" w:eastAsia="Times New Roman" w:hint="default"/>
          <w:spacing w:val="-2"/>
        </w:rPr>
        <w:t>“</w:t>
      </w:r>
      <w:r>
        <w:rPr>
          <w:spacing w:val="-2"/>
        </w:rPr>
        <w:t>产品＋服务</w:t>
      </w:r>
      <w:r>
        <w:rPr>
          <w:rFonts w:ascii="Times New Roman" w:hAnsi="Times New Roman" w:cs="Times New Roman" w:eastAsia="Times New Roman" w:hint="default"/>
          <w:spacing w:val="-2"/>
        </w:rPr>
        <w:t>”</w:t>
      </w:r>
      <w:r>
        <w:rPr>
          <w:spacing w:val="-2"/>
        </w:rPr>
        <w:t>的方式获取收入及利润，主要销售的产品是智慧交通的路侧设备和车载设备，以及设备配</w:t>
      </w:r>
    </w:p>
    <w:p>
      <w:pPr>
        <w:pStyle w:val="BodyText"/>
        <w:spacing w:line="316" w:lineRule="auto" w:before="1"/>
        <w:ind w:right="967"/>
        <w:jc w:val="left"/>
      </w:pPr>
      <w:r>
        <w:rPr>
          <w:spacing w:val="-2"/>
        </w:rPr>
        <w:t>套的软件和系统，并向客户提供产品安装调试，用户培训，售后维保等服务。报告期内，公司的主要客户包括高速公路的运</w:t>
      </w:r>
      <w:r>
        <w:rPr>
          <w:spacing w:val="-66"/>
        </w:rPr>
        <w:t> </w:t>
      </w:r>
      <w:r>
        <w:rPr>
          <w:spacing w:val="-66"/>
        </w:rPr>
      </w:r>
      <w:r>
        <w:rPr/>
        <w:t>营商、系统集成商、银行，以及移动通信运营商、物业运营商、汽车厂商等。</w:t>
      </w:r>
    </w:p>
    <w:p>
      <w:pPr>
        <w:pStyle w:val="BodyText"/>
        <w:spacing w:line="316" w:lineRule="auto" w:before="59"/>
        <w:ind w:right="967" w:firstLine="360"/>
        <w:jc w:val="left"/>
      </w:pPr>
      <w:r>
        <w:rPr>
          <w:spacing w:val="-4"/>
        </w:rPr>
        <w:t>公司的销售模式可分为直接销售和通过招投标方式销售，并通过覆盖全国的售后和服务网络，为客户提供本地化的服务。</w:t>
      </w:r>
      <w:r>
        <w:rPr/>
        <w:t> </w:t>
      </w:r>
      <w:r>
        <w:rPr>
          <w:spacing w:val="-2"/>
        </w:rPr>
        <w:t>公司立足自主研发，拥有产品自主知识产权，生产以自有工厂为主，外协方式为辅。公司具备产品生产、销售、服务的必要</w:t>
      </w:r>
      <w:r>
        <w:rPr>
          <w:spacing w:val="-68"/>
        </w:rPr>
        <w:t> </w:t>
      </w:r>
      <w:r>
        <w:rPr>
          <w:spacing w:val="-68"/>
        </w:rPr>
      </w:r>
      <w:r>
        <w:rPr>
          <w:spacing w:val="-2"/>
        </w:rPr>
        <w:t>资质，并已通过企业管理、质量控制等方面的体系认证。公司通过领先的产品性能，高标准的产品质量，适当的产品价格和</w:t>
      </w:r>
      <w:r>
        <w:rPr>
          <w:spacing w:val="-67"/>
        </w:rPr>
        <w:t> </w:t>
      </w:r>
      <w:r>
        <w:rPr>
          <w:spacing w:val="-67"/>
        </w:rPr>
      </w:r>
      <w:r>
        <w:rPr/>
        <w:t>高效的售后服务获得用户的认可，并奠定了在行业内的领先地位。</w:t>
      </w:r>
    </w:p>
    <w:p>
      <w:pPr>
        <w:pStyle w:val="BodyText"/>
        <w:spacing w:line="314" w:lineRule="auto"/>
        <w:ind w:left="513" w:right="967"/>
        <w:jc w:val="left"/>
      </w:pPr>
      <w:r>
        <w:rPr>
          <w:rFonts w:ascii="Microsoft JhengHei" w:hAnsi="Microsoft JhengHei" w:cs="Microsoft JhengHei" w:eastAsia="Microsoft JhengHei" w:hint="default"/>
          <w:b/>
          <w:bCs/>
        </w:rPr>
        <w:t>（四）主要业绩驱动因素</w:t>
      </w:r>
      <w:r>
        <w:rPr>
          <w:rFonts w:ascii="Microsoft JhengHei" w:hAnsi="Microsoft JhengHei" w:cs="Microsoft JhengHei" w:eastAsia="Microsoft JhengHei" w:hint="default"/>
          <w:b/>
          <w:bCs/>
          <w:spacing w:val="-40"/>
        </w:rPr>
        <w:t> </w:t>
      </w:r>
      <w:r>
        <w:rPr>
          <w:rFonts w:ascii="Microsoft JhengHei" w:hAnsi="Microsoft JhengHei" w:cs="Microsoft JhengHei" w:eastAsia="Microsoft JhengHei" w:hint="default"/>
          <w:b/>
          <w:bCs/>
          <w:spacing w:val="-40"/>
        </w:rPr>
      </w:r>
      <w:r>
        <w:rPr>
          <w:spacing w:val="-2"/>
        </w:rPr>
        <w:t>公司</w:t>
      </w:r>
      <w:r>
        <w:rPr>
          <w:rFonts w:ascii="Times New Roman" w:hAnsi="Times New Roman" w:cs="Times New Roman" w:eastAsia="Times New Roman" w:hint="default"/>
          <w:spacing w:val="-2"/>
        </w:rPr>
        <w:t>2019</w:t>
      </w:r>
      <w:r>
        <w:rPr>
          <w:spacing w:val="-2"/>
        </w:rPr>
        <w:t>年业绩增长主要受益于国家实施取消高速省界收费站工程的政策驱动，行业广阔的市场空间，公司良好的研发</w:t>
      </w:r>
    </w:p>
    <w:p>
      <w:pPr>
        <w:pStyle w:val="BodyText"/>
        <w:spacing w:line="240" w:lineRule="auto" w:before="1"/>
        <w:ind w:right="967"/>
        <w:jc w:val="left"/>
      </w:pPr>
      <w:r>
        <w:rPr/>
        <w:t>能力、成本费用的优化以及经营效率的提升。</w:t>
      </w:r>
    </w:p>
    <w:p>
      <w:pPr>
        <w:pStyle w:val="Heading5"/>
        <w:spacing w:line="240" w:lineRule="auto" w:before="60"/>
        <w:ind w:right="967"/>
        <w:jc w:val="left"/>
        <w:rPr>
          <w:b w:val="0"/>
          <w:bCs w:val="0"/>
        </w:rPr>
      </w:pPr>
      <w:r>
        <w:rPr/>
        <w:t>（</w:t>
      </w:r>
      <w:r>
        <w:rPr>
          <w:rFonts w:ascii="Times New Roman" w:hAnsi="Times New Roman" w:cs="Times New Roman" w:eastAsia="Times New Roman" w:hint="default"/>
        </w:rPr>
        <w:t>1</w:t>
      </w:r>
      <w:r>
        <w:rPr/>
        <w:t>）政策驱动及行业广阔的市场空间</w:t>
      </w:r>
      <w:r>
        <w:rPr>
          <w:b w:val="0"/>
          <w:bCs w:val="0"/>
        </w:rPr>
      </w:r>
    </w:p>
    <w:p>
      <w:pPr>
        <w:pStyle w:val="BodyText"/>
        <w:spacing w:line="300" w:lineRule="auto" w:before="94"/>
        <w:ind w:right="1078" w:firstLine="360"/>
        <w:jc w:val="both"/>
      </w:pPr>
      <w:r>
        <w:rPr>
          <w:rFonts w:ascii="Times New Roman" w:hAnsi="Times New Roman" w:cs="Times New Roman" w:eastAsia="Times New Roman" w:hint="default"/>
          <w:spacing w:val="-1"/>
        </w:rPr>
        <w:t>ETC</w:t>
      </w:r>
      <w:r>
        <w:rPr>
          <w:spacing w:val="-1"/>
        </w:rPr>
        <w:t>是公司的主营业务，</w:t>
      </w:r>
      <w:r>
        <w:rPr>
          <w:rFonts w:ascii="Times New Roman" w:hAnsi="Times New Roman" w:cs="Times New Roman" w:eastAsia="Times New Roman" w:hint="default"/>
          <w:spacing w:val="-1"/>
        </w:rPr>
        <w:t>2019</w:t>
      </w:r>
      <w:r>
        <w:rPr>
          <w:spacing w:val="-1"/>
        </w:rPr>
        <w:t>年国家实施取消省界收费站工程，大力推进高速公路电子不停车快捷收费应用，全年</w:t>
      </w:r>
      <w:r>
        <w:rPr>
          <w:rFonts w:ascii="Times New Roman" w:hAnsi="Times New Roman" w:cs="Times New Roman" w:eastAsia="Times New Roman" w:hint="default"/>
          <w:spacing w:val="-1"/>
        </w:rPr>
        <w:t>ETC</w:t>
      </w:r>
      <w:r>
        <w:rPr>
          <w:rFonts w:ascii="Times New Roman" w:hAnsi="Times New Roman" w:cs="Times New Roman" w:eastAsia="Times New Roman" w:hint="default"/>
        </w:rPr>
        <w:t> </w:t>
      </w:r>
      <w:r>
        <w:rPr/>
        <w:t>用户增长达到</w:t>
      </w:r>
      <w:r>
        <w:rPr>
          <w:rFonts w:ascii="Times New Roman" w:hAnsi="Times New Roman" w:cs="Times New Roman" w:eastAsia="Times New Roman" w:hint="default"/>
        </w:rPr>
        <w:t>1.2</w:t>
      </w:r>
      <w:r>
        <w:rPr/>
        <w:t>亿，</w:t>
      </w:r>
      <w:r>
        <w:rPr>
          <w:rFonts w:ascii="Times New Roman" w:hAnsi="Times New Roman" w:cs="Times New Roman" w:eastAsia="Times New Roman" w:hint="default"/>
        </w:rPr>
        <w:t>ETC</w:t>
      </w:r>
      <w:r>
        <w:rPr/>
        <w:t>的装车率达到</w:t>
      </w:r>
      <w:r>
        <w:rPr>
          <w:rFonts w:ascii="Times New Roman" w:hAnsi="Times New Roman" w:cs="Times New Roman" w:eastAsia="Times New Roman" w:hint="default"/>
        </w:rPr>
        <w:t>80%</w:t>
      </w:r>
      <w:r>
        <w:rPr/>
        <w:t>以上，公司</w:t>
      </w:r>
      <w:r>
        <w:rPr>
          <w:rFonts w:ascii="Times New Roman" w:hAnsi="Times New Roman" w:cs="Times New Roman" w:eastAsia="Times New Roman" w:hint="default"/>
        </w:rPr>
        <w:t>ETC</w:t>
      </w:r>
      <w:r>
        <w:rPr/>
        <w:t>产品销售实现了爆发性增长，</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ETC</w:t>
      </w:r>
      <w:r>
        <w:rPr/>
        <w:t>行业仍将有较好的发展 空间，交通部出台政策进一步明确要持续深化</w:t>
      </w:r>
      <w:r>
        <w:rPr>
          <w:rFonts w:ascii="Times New Roman" w:hAnsi="Times New Roman" w:cs="Times New Roman" w:eastAsia="Times New Roman" w:hint="default"/>
        </w:rPr>
        <w:t>ETC</w:t>
      </w:r>
      <w:r>
        <w:rPr/>
        <w:t>拓展应用。全国</w:t>
      </w:r>
      <w:r>
        <w:rPr>
          <w:rFonts w:ascii="Times New Roman" w:hAnsi="Times New Roman" w:cs="Times New Roman" w:eastAsia="Times New Roman" w:hint="default"/>
        </w:rPr>
        <w:t>ETC</w:t>
      </w:r>
      <w:r>
        <w:rPr/>
        <w:t>用户累计达到</w:t>
      </w:r>
      <w:r>
        <w:rPr>
          <w:rFonts w:ascii="Times New Roman" w:hAnsi="Times New Roman" w:cs="Times New Roman" w:eastAsia="Times New Roman" w:hint="default"/>
        </w:rPr>
        <w:t>2</w:t>
      </w:r>
      <w:r>
        <w:rPr/>
        <w:t>亿，为车主提供基于</w:t>
      </w:r>
      <w:r>
        <w:rPr>
          <w:rFonts w:ascii="Times New Roman" w:hAnsi="Times New Roman" w:cs="Times New Roman" w:eastAsia="Times New Roman" w:hint="default"/>
        </w:rPr>
        <w:t>ETC</w:t>
      </w:r>
      <w:r>
        <w:rPr/>
        <w:t>的服务将产</w:t>
      </w:r>
      <w:r>
        <w:rPr>
          <w:spacing w:val="-29"/>
        </w:rPr>
        <w:t> </w:t>
      </w:r>
      <w:r>
        <w:rPr>
          <w:spacing w:val="-29"/>
        </w:rPr>
      </w:r>
      <w:r>
        <w:rPr/>
        <w:t>生庞大的市场需求，</w:t>
      </w:r>
      <w:r>
        <w:rPr>
          <w:rFonts w:ascii="Times New Roman" w:hAnsi="Times New Roman" w:cs="Times New Roman" w:eastAsia="Times New Roman" w:hint="default"/>
        </w:rPr>
        <w:t>ETC</w:t>
      </w:r>
      <w:r>
        <w:rPr/>
        <w:t>将向城市的停车场、加油站等高速以外的更多应用场景快速拓展。</w:t>
      </w:r>
      <w:r>
        <w:rPr>
          <w:rFonts w:ascii="Times New Roman" w:hAnsi="Times New Roman" w:cs="Times New Roman" w:eastAsia="Times New Roman" w:hint="default"/>
        </w:rPr>
        <w:t>V2X</w:t>
      </w:r>
      <w:r>
        <w:rPr/>
        <w:t>业务是公司战略发展方向， </w:t>
      </w:r>
      <w:r>
        <w:rPr>
          <w:rFonts w:ascii="Times New Roman" w:hAnsi="Times New Roman" w:cs="Times New Roman" w:eastAsia="Times New Roman" w:hint="default"/>
          <w:spacing w:val="-2"/>
        </w:rPr>
        <w:t>V2X</w:t>
      </w:r>
      <w:r>
        <w:rPr>
          <w:spacing w:val="-2"/>
        </w:rPr>
        <w:t>的发展近年来得到国家政策的大力支持，</w:t>
      </w:r>
      <w:r>
        <w:rPr>
          <w:rFonts w:ascii="Times New Roman" w:hAnsi="Times New Roman" w:cs="Times New Roman" w:eastAsia="Times New Roman" w:hint="default"/>
          <w:spacing w:val="-2"/>
        </w:rPr>
        <w:t>2020</w:t>
      </w:r>
      <w:r>
        <w:rPr>
          <w:spacing w:val="-2"/>
        </w:rPr>
        <w:t>年国家多部委联合出台《智能汽车创新发展战略》，使</w:t>
      </w:r>
      <w:r>
        <w:rPr>
          <w:rFonts w:ascii="Times New Roman" w:hAnsi="Times New Roman" w:cs="Times New Roman" w:eastAsia="Times New Roman" w:hint="default"/>
          <w:spacing w:val="-2"/>
        </w:rPr>
        <w:t>V2X</w:t>
      </w:r>
      <w:r>
        <w:rPr>
          <w:spacing w:val="-2"/>
        </w:rPr>
        <w:t>的发展纳入到</w:t>
      </w:r>
      <w:r>
        <w:rPr>
          <w:spacing w:val="-42"/>
        </w:rPr>
        <w:t> </w:t>
      </w:r>
      <w:r>
        <w:rPr>
          <w:spacing w:val="-42"/>
        </w:rPr>
      </w:r>
      <w:r>
        <w:rPr/>
        <w:t>国家战略，市场需求将在未来五年内持续增长，公司未来发展仍有广阔的市场空间。</w:t>
      </w:r>
    </w:p>
    <w:p>
      <w:pPr>
        <w:pStyle w:val="BodyText"/>
        <w:spacing w:line="314" w:lineRule="auto" w:before="15"/>
        <w:ind w:left="513" w:right="1083"/>
        <w:jc w:val="left"/>
      </w:pPr>
      <w:r>
        <w:rPr>
          <w:rFonts w:ascii="Microsoft JhengHei" w:hAnsi="Microsoft JhengHei" w:cs="Microsoft JhengHei" w:eastAsia="Microsoft JhengHei" w:hint="default"/>
          <w:b/>
          <w:bCs/>
        </w:rPr>
        <w:t>（</w:t>
      </w:r>
      <w:r>
        <w:rPr>
          <w:rFonts w:ascii="Times New Roman" w:hAnsi="Times New Roman" w:cs="Times New Roman" w:eastAsia="Times New Roman" w:hint="default"/>
          <w:b/>
          <w:bCs/>
        </w:rPr>
        <w:t>2</w:t>
      </w:r>
      <w:r>
        <w:rPr>
          <w:rFonts w:ascii="Microsoft JhengHei" w:hAnsi="Microsoft JhengHei" w:cs="Microsoft JhengHei" w:eastAsia="Microsoft JhengHei" w:hint="default"/>
          <w:b/>
          <w:bCs/>
        </w:rPr>
        <w:t>）公司良好的研发能力</w:t>
      </w:r>
      <w:r>
        <w:rPr>
          <w:rFonts w:ascii="Microsoft JhengHei" w:hAnsi="Microsoft JhengHei" w:cs="Microsoft JhengHei" w:eastAsia="Microsoft JhengHei" w:hint="default"/>
          <w:b/>
          <w:bCs/>
          <w:spacing w:val="-40"/>
        </w:rPr>
        <w:t> </w:t>
      </w:r>
      <w:r>
        <w:rPr>
          <w:rFonts w:ascii="Microsoft JhengHei" w:hAnsi="Microsoft JhengHei" w:cs="Microsoft JhengHei" w:eastAsia="Microsoft JhengHei" w:hint="default"/>
          <w:b/>
          <w:bCs/>
          <w:spacing w:val="-40"/>
        </w:rPr>
      </w:r>
      <w:r>
        <w:rPr/>
        <w:t>公司在高速</w:t>
      </w:r>
      <w:r>
        <w:rPr>
          <w:rFonts w:ascii="Times New Roman" w:hAnsi="Times New Roman" w:cs="Times New Roman" w:eastAsia="Times New Roman" w:hint="default"/>
        </w:rPr>
        <w:t>ETC</w:t>
      </w:r>
      <w:r>
        <w:rPr/>
        <w:t>、城市</w:t>
      </w:r>
      <w:r>
        <w:rPr>
          <w:rFonts w:ascii="Times New Roman" w:hAnsi="Times New Roman" w:cs="Times New Roman" w:eastAsia="Times New Roman" w:hint="default"/>
        </w:rPr>
        <w:t>ETC</w:t>
      </w:r>
      <w:r>
        <w:rPr/>
        <w:t>和</w:t>
      </w:r>
      <w:r>
        <w:rPr>
          <w:rFonts w:ascii="Times New Roman" w:hAnsi="Times New Roman" w:cs="Times New Roman" w:eastAsia="Times New Roman" w:hint="default"/>
        </w:rPr>
        <w:t>V2X</w:t>
      </w:r>
      <w:r>
        <w:rPr/>
        <w:t>等智能交通领域具备较深厚的技术积累和良好的产品开发能力，产品成熟度也较高，</w:t>
      </w:r>
    </w:p>
    <w:p>
      <w:pPr>
        <w:pStyle w:val="BodyText"/>
        <w:spacing w:line="357" w:lineRule="auto" w:before="1"/>
        <w:ind w:left="513" w:right="967" w:hanging="361"/>
        <w:jc w:val="left"/>
      </w:pPr>
      <w:r>
        <w:rPr/>
        <w:t>处于行业领先地位，当市场需求集中出现时，公司更能取得先机、并能持续把握市场机遇。 近年来，机器视觉及视频</w:t>
      </w:r>
      <w:r>
        <w:rPr>
          <w:rFonts w:ascii="Times New Roman" w:hAnsi="Times New Roman" w:cs="Times New Roman" w:eastAsia="Times New Roman" w:hint="default"/>
        </w:rPr>
        <w:t>AI</w:t>
      </w:r>
      <w:r>
        <w:rPr/>
        <w:t>技术发展迅速，该技术也被应用于智慧交通领域，如车型检测、车脸识别、车牌识别、车</w:t>
      </w:r>
    </w:p>
    <w:p>
      <w:pPr>
        <w:pStyle w:val="BodyText"/>
        <w:spacing w:line="214" w:lineRule="exact"/>
        <w:ind w:right="967"/>
        <w:jc w:val="left"/>
      </w:pPr>
      <w:r>
        <w:rPr/>
        <w:t>辆特征提取等。相对于传统射频识别技术，视频</w:t>
      </w:r>
      <w:r>
        <w:rPr>
          <w:rFonts w:ascii="Times New Roman" w:hAnsi="Times New Roman" w:cs="Times New Roman" w:eastAsia="Times New Roman" w:hint="default"/>
        </w:rPr>
        <w:t>AI</w:t>
      </w:r>
      <w:r>
        <w:rPr/>
        <w:t>技术具有直观、细节丰富、应用场景广阔、无需用户端设备安装等优点。</w:t>
      </w:r>
    </w:p>
    <w:p>
      <w:pPr>
        <w:spacing w:after="0" w:line="214" w:lineRule="exact"/>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137"/>
        <w:jc w:val="both"/>
      </w:pPr>
      <w:r>
        <w:rPr/>
        <w:t>将视频</w:t>
      </w:r>
      <w:r>
        <w:rPr>
          <w:rFonts w:ascii="Times New Roman" w:hAnsi="Times New Roman" w:cs="Times New Roman" w:eastAsia="Times New Roman" w:hint="default"/>
        </w:rPr>
        <w:t>AI</w:t>
      </w:r>
      <w:r>
        <w:rPr/>
        <w:t>与射频识别技术相融合，利用视频</w:t>
      </w:r>
      <w:r>
        <w:rPr>
          <w:rFonts w:ascii="Times New Roman" w:hAnsi="Times New Roman" w:cs="Times New Roman" w:eastAsia="Times New Roman" w:hint="default"/>
        </w:rPr>
        <w:t>AI</w:t>
      </w:r>
      <w:r>
        <w:rPr/>
        <w:t>辅助识别和视频取证的功能，能够大幅度提升车辆识别技术的功能和使用体</w:t>
      </w:r>
      <w:r>
        <w:rPr>
          <w:spacing w:val="-26"/>
        </w:rPr>
        <w:t> </w:t>
      </w:r>
      <w:r>
        <w:rPr>
          <w:spacing w:val="-26"/>
        </w:rPr>
      </w:r>
      <w:r>
        <w:rPr/>
        <w:t>验；将视频</w:t>
      </w:r>
      <w:r>
        <w:rPr>
          <w:rFonts w:ascii="Times New Roman" w:hAnsi="Times New Roman" w:cs="Times New Roman" w:eastAsia="Times New Roman" w:hint="default"/>
        </w:rPr>
        <w:t>AI</w:t>
      </w:r>
      <w:r>
        <w:rPr/>
        <w:t>应用于产品中，将会带动产品、解决方案、行业信息化水平和管理模式升级，并为交通管理服务人员，提供</w:t>
      </w:r>
      <w:r>
        <w:rPr>
          <w:spacing w:val="-20"/>
        </w:rPr>
        <w:t> </w:t>
      </w:r>
      <w:r>
        <w:rPr>
          <w:spacing w:val="-20"/>
        </w:rPr>
      </w:r>
      <w:r>
        <w:rPr/>
        <w:t>更好的应用体验。公司的一些前沿产品已经集成了视频</w:t>
      </w:r>
      <w:r>
        <w:rPr>
          <w:rFonts w:ascii="Times New Roman" w:hAnsi="Times New Roman" w:cs="Times New Roman" w:eastAsia="Times New Roman" w:hint="default"/>
        </w:rPr>
        <w:t>AI</w:t>
      </w:r>
      <w:r>
        <w:rPr/>
        <w:t>技术，并取得了较好的应用效果，如路内停车系统和第三代人工</w:t>
      </w:r>
      <w:r>
        <w:rPr>
          <w:spacing w:val="-14"/>
        </w:rPr>
        <w:t> </w:t>
      </w:r>
      <w:r>
        <w:rPr>
          <w:spacing w:val="-14"/>
        </w:rPr>
      </w:r>
      <w:r>
        <w:rPr/>
        <w:t>智能防逃费</w:t>
      </w:r>
      <w:r>
        <w:rPr>
          <w:rFonts w:ascii="Times New Roman" w:hAnsi="Times New Roman" w:cs="Times New Roman" w:eastAsia="Times New Roman" w:hint="default"/>
        </w:rPr>
        <w:t>ETC</w:t>
      </w:r>
      <w:r>
        <w:rPr/>
        <w:t>天线等。</w:t>
      </w:r>
    </w:p>
    <w:p>
      <w:pPr>
        <w:pStyle w:val="BodyText"/>
        <w:spacing w:line="300" w:lineRule="auto" w:before="53"/>
        <w:ind w:right="1129" w:firstLine="360"/>
        <w:jc w:val="both"/>
      </w:pPr>
      <w:r>
        <w:rPr/>
        <w:t>随着</w:t>
      </w:r>
      <w:r>
        <w:rPr>
          <w:rFonts w:ascii="Times New Roman" w:hAnsi="Times New Roman" w:cs="Times New Roman" w:eastAsia="Times New Roman" w:hint="default"/>
        </w:rPr>
        <w:t>5G</w:t>
      </w:r>
      <w:r>
        <w:rPr/>
        <w:t>通信技术的发展以及我国在全球通信产业的地位提升，该技术被应用到智慧交通领域，这对智慧交通发展有着 重要的意义。对智能驾驶来说，不管是应对各种不同应用场景，还是改善道路安全，都需要关键业务型服务的支持，</w:t>
      </w:r>
      <w:r>
        <w:rPr>
          <w:rFonts w:ascii="Times New Roman" w:hAnsi="Times New Roman" w:cs="Times New Roman" w:eastAsia="Times New Roman" w:hint="default"/>
        </w:rPr>
        <w:t>5G</w:t>
      </w:r>
      <w:r>
        <w:rPr/>
        <w:t>为</w:t>
      </w:r>
      <w:r>
        <w:rPr>
          <w:spacing w:val="-37"/>
        </w:rPr>
        <w:t> </w:t>
      </w:r>
      <w:r>
        <w:rPr>
          <w:spacing w:val="-2"/>
        </w:rPr>
        <w:t>上行提供大带宽，为下行提供低时延，在后台起到非常重要的支撑作用。</w:t>
      </w:r>
      <w:r>
        <w:rPr>
          <w:rFonts w:ascii="Times New Roman" w:hAnsi="Times New Roman" w:cs="Times New Roman" w:eastAsia="Times New Roman" w:hint="default"/>
          <w:spacing w:val="-2"/>
        </w:rPr>
        <w:t>C-V2X</w:t>
      </w:r>
      <w:r>
        <w:rPr>
          <w:spacing w:val="-2"/>
        </w:rPr>
        <w:t>技术凭借其优越的性能，高速汽车应用场景</w:t>
      </w:r>
      <w:r>
        <w:rPr>
          <w:spacing w:val="-49"/>
        </w:rPr>
        <w:t> </w:t>
      </w:r>
      <w:r>
        <w:rPr>
          <w:spacing w:val="-49"/>
        </w:rPr>
      </w:r>
      <w:r>
        <w:rPr/>
        <w:t>以及</w:t>
      </w:r>
      <w:r>
        <w:rPr>
          <w:rFonts w:ascii="Times New Roman" w:hAnsi="Times New Roman" w:cs="Times New Roman" w:eastAsia="Times New Roman" w:hint="default"/>
        </w:rPr>
        <w:t>5G</w:t>
      </w:r>
      <w:r>
        <w:rPr/>
        <w:t>演进路径及前后兼容性将成为未来车联网技术的主导。公司开发的</w:t>
      </w:r>
      <w:r>
        <w:rPr>
          <w:rFonts w:ascii="Times New Roman" w:hAnsi="Times New Roman" w:cs="Times New Roman" w:eastAsia="Times New Roman" w:hint="default"/>
        </w:rPr>
        <w:t>C-V2X</w:t>
      </w:r>
      <w:r>
        <w:rPr/>
        <w:t>网联产品，可以实现基本道路安全预警，</w:t>
      </w:r>
      <w:r>
        <w:rPr>
          <w:spacing w:val="-34"/>
        </w:rPr>
        <w:t> </w:t>
      </w:r>
      <w:r>
        <w:rPr>
          <w:spacing w:val="-34"/>
        </w:rPr>
      </w:r>
      <w:r>
        <w:rPr/>
        <w:t>例如前向碰撞预警、交叉口碰撞预警、道路异常状况预警等。</w:t>
      </w:r>
    </w:p>
    <w:p>
      <w:pPr>
        <w:pStyle w:val="Heading5"/>
        <w:spacing w:line="240" w:lineRule="auto" w:before="12"/>
        <w:ind w:right="967"/>
        <w:jc w:val="left"/>
        <w:rPr>
          <w:b w:val="0"/>
          <w:bCs w:val="0"/>
        </w:rPr>
      </w:pPr>
      <w:r>
        <w:rPr/>
        <w:t>（</w:t>
      </w:r>
      <w:r>
        <w:rPr>
          <w:rFonts w:ascii="Times New Roman" w:hAnsi="Times New Roman" w:cs="Times New Roman" w:eastAsia="Times New Roman" w:hint="default"/>
        </w:rPr>
        <w:t>3</w:t>
      </w:r>
      <w:r>
        <w:rPr/>
        <w:t>）成本费用的优化以及经营效率的提升</w:t>
      </w:r>
      <w:r>
        <w:rPr>
          <w:b w:val="0"/>
          <w:bCs w:val="0"/>
        </w:rPr>
      </w:r>
    </w:p>
    <w:p>
      <w:pPr>
        <w:pStyle w:val="BodyText"/>
        <w:spacing w:line="300" w:lineRule="auto" w:before="96"/>
        <w:ind w:right="1071" w:firstLine="360"/>
        <w:jc w:val="both"/>
      </w:pPr>
      <w:r>
        <w:rPr>
          <w:rFonts w:ascii="Times New Roman" w:hAnsi="Times New Roman" w:cs="Times New Roman" w:eastAsia="Times New Roman" w:hint="default"/>
        </w:rPr>
        <w:t>2019</w:t>
      </w:r>
      <w:r>
        <w:rPr/>
        <w:t>年，公司的成本和费用占比随着销售规模的大幅上升而得到优化，规模效应显著。公司是</w:t>
      </w:r>
      <w:r>
        <w:rPr>
          <w:rFonts w:ascii="Times New Roman" w:hAnsi="Times New Roman" w:cs="Times New Roman" w:eastAsia="Times New Roman" w:hint="default"/>
        </w:rPr>
        <w:t>ETC</w:t>
      </w:r>
      <w:r>
        <w:rPr/>
        <w:t>设备的主要供应商， 处于产业链的优势地位，具有较强的议价能力，</w:t>
      </w:r>
      <w:r>
        <w:rPr>
          <w:rFonts w:ascii="Times New Roman" w:hAnsi="Times New Roman" w:cs="Times New Roman" w:eastAsia="Times New Roman" w:hint="default"/>
        </w:rPr>
        <w:t>2019</w:t>
      </w:r>
      <w:r>
        <w:rPr/>
        <w:t>年公司销售毛利率和净利率得到较大提升。</w:t>
      </w:r>
    </w:p>
    <w:p>
      <w:pPr>
        <w:pStyle w:val="BodyText"/>
        <w:spacing w:line="300" w:lineRule="auto" w:before="53"/>
        <w:ind w:right="1043" w:firstLine="360"/>
        <w:jc w:val="both"/>
      </w:pPr>
      <w:r>
        <w:rPr>
          <w:spacing w:val="-4"/>
        </w:rPr>
        <w:t>面对</w:t>
      </w:r>
      <w:r>
        <w:rPr>
          <w:rFonts w:ascii="Times New Roman" w:hAnsi="Times New Roman" w:cs="Times New Roman" w:eastAsia="Times New Roman" w:hint="default"/>
          <w:spacing w:val="-4"/>
        </w:rPr>
        <w:t>2019</w:t>
      </w:r>
      <w:r>
        <w:rPr>
          <w:spacing w:val="-4"/>
        </w:rPr>
        <w:t>年突增的市场需求，公司灵活调整供应链，加大自有产能建设的同时积极开发外协厂商，在保障质量的前提下，</w:t>
      </w:r>
      <w:r>
        <w:rPr/>
        <w:t> 节约了资本投入并快速提升产能，实现生产经营的效率大幅提升。</w:t>
      </w:r>
    </w:p>
    <w:p>
      <w:pPr>
        <w:pStyle w:val="Heading5"/>
        <w:spacing w:line="240" w:lineRule="auto" w:before="12"/>
        <w:ind w:right="967"/>
        <w:jc w:val="left"/>
        <w:rPr>
          <w:b w:val="0"/>
          <w:bCs w:val="0"/>
        </w:rPr>
      </w:pPr>
      <w:r>
        <w:rPr/>
        <w:t>（五）公司所处行业发展阶段、周期性特点以及公司所处的行业地位</w:t>
      </w:r>
      <w:r>
        <w:rPr>
          <w:b w:val="0"/>
          <w:bCs w:val="0"/>
        </w:rPr>
      </w:r>
    </w:p>
    <w:p>
      <w:pPr>
        <w:pStyle w:val="Heading5"/>
        <w:spacing w:line="240" w:lineRule="auto" w:before="39"/>
        <w:ind w:right="967"/>
        <w:jc w:val="left"/>
        <w:rPr>
          <w:b w:val="0"/>
          <w:bCs w:val="0"/>
        </w:rPr>
      </w:pPr>
      <w:r>
        <w:rPr>
          <w:rFonts w:ascii="Times New Roman" w:hAnsi="Times New Roman" w:cs="Times New Roman" w:eastAsia="Times New Roman" w:hint="default"/>
        </w:rPr>
        <w:t>1</w:t>
      </w:r>
      <w:r>
        <w:rPr/>
        <w:t>、公司所处的行业发展阶段</w:t>
      </w:r>
      <w:r>
        <w:rPr>
          <w:b w:val="0"/>
          <w:bCs w:val="0"/>
        </w:rPr>
      </w:r>
    </w:p>
    <w:p>
      <w:pPr>
        <w:pStyle w:val="BodyText"/>
        <w:spacing w:line="300" w:lineRule="auto" w:before="96"/>
        <w:ind w:right="1130" w:firstLine="360"/>
        <w:jc w:val="both"/>
      </w:pPr>
      <w:r>
        <w:rPr>
          <w:rFonts w:ascii="Times New Roman" w:hAnsi="Times New Roman" w:cs="Times New Roman" w:eastAsia="Times New Roman" w:hint="default"/>
          <w:spacing w:val="-1"/>
        </w:rPr>
        <w:t>2019</w:t>
      </w:r>
      <w:r>
        <w:rPr>
          <w:spacing w:val="-1"/>
        </w:rPr>
        <w:t>年，受取消省界收费站的政策驱动，各省大力发展</w:t>
      </w:r>
      <w:r>
        <w:rPr>
          <w:rFonts w:ascii="Times New Roman" w:hAnsi="Times New Roman" w:cs="Times New Roman" w:eastAsia="Times New Roman" w:hint="default"/>
          <w:spacing w:val="-1"/>
        </w:rPr>
        <w:t>ETC</w:t>
      </w:r>
      <w:r>
        <w:rPr>
          <w:spacing w:val="-1"/>
        </w:rPr>
        <w:t>用户，</w:t>
      </w:r>
      <w:r>
        <w:rPr>
          <w:rFonts w:ascii="Times New Roman" w:hAnsi="Times New Roman" w:cs="Times New Roman" w:eastAsia="Times New Roman" w:hint="default"/>
          <w:spacing w:val="-1"/>
        </w:rPr>
        <w:t>ETC</w:t>
      </w:r>
      <w:r>
        <w:rPr>
          <w:spacing w:val="-1"/>
        </w:rPr>
        <w:t>的普及率大幅提高；全国高速公路收费系统完成</w:t>
      </w:r>
      <w:r>
        <w:rPr/>
        <w:t> 了改造，年底基本实现了取消省界收费站的目标。未来</w:t>
      </w:r>
      <w:r>
        <w:rPr>
          <w:rFonts w:ascii="Times New Roman" w:hAnsi="Times New Roman" w:cs="Times New Roman" w:eastAsia="Times New Roman" w:hint="default"/>
        </w:rPr>
        <w:t>ETC</w:t>
      </w:r>
      <w:r>
        <w:rPr/>
        <w:t>在智慧交通领域将发挥更大的作用，</w:t>
      </w:r>
      <w:r>
        <w:rPr>
          <w:rFonts w:ascii="Times New Roman" w:hAnsi="Times New Roman" w:cs="Times New Roman" w:eastAsia="Times New Roman" w:hint="default"/>
        </w:rPr>
        <w:t>ETC</w:t>
      </w:r>
      <w:r>
        <w:rPr/>
        <w:t>的发展将进入</w:t>
      </w:r>
      <w:r>
        <w:rPr>
          <w:rFonts w:ascii="Times New Roman" w:hAnsi="Times New Roman" w:cs="Times New Roman" w:eastAsia="Times New Roman" w:hint="default"/>
        </w:rPr>
        <w:t>ETC+</w:t>
      </w:r>
      <w:r>
        <w:rPr/>
        <w:t>阶</w:t>
      </w:r>
      <w:r>
        <w:rPr>
          <w:spacing w:val="-41"/>
        </w:rPr>
        <w:t> </w:t>
      </w:r>
      <w:r>
        <w:rPr>
          <w:spacing w:val="-2"/>
        </w:rPr>
        <w:t>段，在这个时期，</w:t>
      </w:r>
      <w:r>
        <w:rPr>
          <w:rFonts w:ascii="Times New Roman" w:hAnsi="Times New Roman" w:cs="Times New Roman" w:eastAsia="Times New Roman" w:hint="default"/>
          <w:spacing w:val="-2"/>
        </w:rPr>
        <w:t>ETC+</w:t>
      </w:r>
      <w:r>
        <w:rPr>
          <w:spacing w:val="-2"/>
        </w:rPr>
        <w:t>功能、</w:t>
      </w:r>
      <w:r>
        <w:rPr>
          <w:rFonts w:ascii="Times New Roman" w:hAnsi="Times New Roman" w:cs="Times New Roman" w:eastAsia="Times New Roman" w:hint="default"/>
          <w:spacing w:val="-2"/>
        </w:rPr>
        <w:t>+</w:t>
      </w:r>
      <w:r>
        <w:rPr>
          <w:spacing w:val="-2"/>
        </w:rPr>
        <w:t>应用、</w:t>
      </w:r>
      <w:r>
        <w:rPr>
          <w:rFonts w:ascii="Times New Roman" w:hAnsi="Times New Roman" w:cs="Times New Roman" w:eastAsia="Times New Roman" w:hint="default"/>
          <w:spacing w:val="-2"/>
        </w:rPr>
        <w:t>+</w:t>
      </w:r>
      <w:r>
        <w:rPr>
          <w:spacing w:val="-2"/>
        </w:rPr>
        <w:t>服务是行业发展的主要方向。在城市领域，全国</w:t>
      </w:r>
      <w:r>
        <w:rPr>
          <w:rFonts w:ascii="Times New Roman" w:hAnsi="Times New Roman" w:cs="Times New Roman" w:eastAsia="Times New Roman" w:hint="default"/>
          <w:spacing w:val="-2"/>
        </w:rPr>
        <w:t>2</w:t>
      </w:r>
      <w:r>
        <w:rPr>
          <w:spacing w:val="-2"/>
        </w:rPr>
        <w:t>亿</w:t>
      </w:r>
      <w:r>
        <w:rPr>
          <w:rFonts w:ascii="Times New Roman" w:hAnsi="Times New Roman" w:cs="Times New Roman" w:eastAsia="Times New Roman" w:hint="default"/>
          <w:spacing w:val="-2"/>
        </w:rPr>
        <w:t>ETC</w:t>
      </w:r>
      <w:r>
        <w:rPr>
          <w:spacing w:val="-2"/>
        </w:rPr>
        <w:t>车辆的庞大用户群，为</w:t>
      </w:r>
      <w:r>
        <w:rPr>
          <w:rFonts w:ascii="Times New Roman" w:hAnsi="Times New Roman" w:cs="Times New Roman" w:eastAsia="Times New Roman" w:hint="default"/>
          <w:spacing w:val="-2"/>
        </w:rPr>
        <w:t>ETC</w:t>
      </w:r>
      <w:r>
        <w:rPr>
          <w:rFonts w:ascii="Times New Roman" w:hAnsi="Times New Roman" w:cs="Times New Roman" w:eastAsia="Times New Roman" w:hint="default"/>
          <w:spacing w:val="10"/>
        </w:rPr>
        <w:t> </w:t>
      </w:r>
      <w:r>
        <w:rPr>
          <w:spacing w:val="-2"/>
        </w:rPr>
        <w:t>向高速以外的场景拓展应用奠定了坚实的基础，</w:t>
      </w:r>
      <w:r>
        <w:rPr>
          <w:rFonts w:ascii="Times New Roman" w:hAnsi="Times New Roman" w:cs="Times New Roman" w:eastAsia="Times New Roman" w:hint="default"/>
          <w:spacing w:val="-2"/>
        </w:rPr>
        <w:t>ETC</w:t>
      </w:r>
      <w:r>
        <w:rPr>
          <w:spacing w:val="-2"/>
        </w:rPr>
        <w:t>将从高速公路不停车收费走向城市更广泛的应用场景，包括城市智慧停</w:t>
      </w:r>
      <w:r>
        <w:rPr>
          <w:spacing w:val="-43"/>
        </w:rPr>
        <w:t> </w:t>
      </w:r>
      <w:r>
        <w:rPr>
          <w:spacing w:val="-43"/>
        </w:rPr>
      </w:r>
      <w:r>
        <w:rPr/>
        <w:t>车、城市交通管理、汽车后消费市场等方向延伸，对</w:t>
      </w:r>
      <w:r>
        <w:rPr>
          <w:rFonts w:ascii="Times New Roman" w:hAnsi="Times New Roman" w:cs="Times New Roman" w:eastAsia="Times New Roman" w:hint="default"/>
        </w:rPr>
        <w:t>ETC</w:t>
      </w:r>
      <w:r>
        <w:rPr/>
        <w:t>相关设备的需求将持续增长。</w:t>
      </w:r>
    </w:p>
    <w:p>
      <w:pPr>
        <w:pStyle w:val="BodyText"/>
        <w:spacing w:line="304" w:lineRule="auto" w:before="51"/>
        <w:ind w:right="1131" w:firstLine="360"/>
        <w:jc w:val="both"/>
      </w:pPr>
      <w:r>
        <w:rPr>
          <w:spacing w:val="-1"/>
        </w:rPr>
        <w:t>在高速公路，传统的</w:t>
      </w:r>
      <w:r>
        <w:rPr>
          <w:rFonts w:ascii="Times New Roman" w:hAnsi="Times New Roman" w:cs="Times New Roman" w:eastAsia="Times New Roman" w:hint="default"/>
          <w:spacing w:val="-1"/>
        </w:rPr>
        <w:t>ETC</w:t>
      </w:r>
      <w:r>
        <w:rPr>
          <w:spacing w:val="-1"/>
        </w:rPr>
        <w:t>不停车收费将加快向</w:t>
      </w:r>
      <w:r>
        <w:rPr>
          <w:rFonts w:ascii="Times New Roman" w:hAnsi="Times New Roman" w:cs="Times New Roman" w:eastAsia="Times New Roman" w:hint="default"/>
          <w:spacing w:val="-1"/>
        </w:rPr>
        <w:t>ETC</w:t>
      </w:r>
      <w:r>
        <w:rPr>
          <w:spacing w:val="-1"/>
        </w:rPr>
        <w:t>自由流收费和智慧公路方向演进，基于</w:t>
      </w:r>
      <w:r>
        <w:rPr>
          <w:rFonts w:ascii="Times New Roman" w:hAnsi="Times New Roman" w:cs="Times New Roman" w:eastAsia="Times New Roman" w:hint="default"/>
          <w:spacing w:val="-1"/>
        </w:rPr>
        <w:t>ETC</w:t>
      </w:r>
      <w:r>
        <w:rPr>
          <w:spacing w:val="-1"/>
        </w:rPr>
        <w:t>技术的自由流收费站、车</w:t>
      </w:r>
      <w:r>
        <w:rPr/>
        <w:t> </w:t>
      </w:r>
      <w:r>
        <w:rPr>
          <w:spacing w:val="-2"/>
        </w:rPr>
        <w:t>载电子标签与移动支付融合等新技术将得到推广和应用。首先，当</w:t>
      </w:r>
      <w:r>
        <w:rPr>
          <w:rFonts w:ascii="Times New Roman" w:hAnsi="Times New Roman" w:cs="Times New Roman" w:eastAsia="Times New Roman" w:hint="default"/>
          <w:spacing w:val="-2"/>
        </w:rPr>
        <w:t>ETC</w:t>
      </w:r>
      <w:r>
        <w:rPr>
          <w:spacing w:val="-2"/>
        </w:rPr>
        <w:t>门架系统和高速收费信用系统建立完成，并得到运行</w:t>
      </w:r>
      <w:r>
        <w:rPr>
          <w:spacing w:val="-45"/>
        </w:rPr>
        <w:t> </w:t>
      </w:r>
      <w:r>
        <w:rPr>
          <w:spacing w:val="-45"/>
        </w:rPr>
      </w:r>
      <w:r>
        <w:rPr>
          <w:spacing w:val="-2"/>
        </w:rPr>
        <w:t>稳定、高成功交易率测试后，将可能继续推动取消出入口收费站，高速公路的收费从封闭式收费转向开放式收费；其次，在</w:t>
      </w:r>
      <w:r>
        <w:rPr>
          <w:spacing w:val="-67"/>
        </w:rPr>
        <w:t> </w:t>
      </w:r>
      <w:r>
        <w:rPr>
          <w:spacing w:val="-67"/>
        </w:rPr>
      </w:r>
      <w:r>
        <w:rPr/>
        <w:t>车辆端，车载电子标签将向简易可靠化转变，双片式</w:t>
      </w:r>
      <w:r>
        <w:rPr>
          <w:rFonts w:ascii="Times New Roman" w:hAnsi="Times New Roman" w:cs="Times New Roman" w:eastAsia="Times New Roman" w:hint="default"/>
        </w:rPr>
        <w:t>OBU</w:t>
      </w:r>
      <w:r>
        <w:rPr/>
        <w:t>将会向单片式</w:t>
      </w:r>
      <w:r>
        <w:rPr>
          <w:rFonts w:ascii="Times New Roman" w:hAnsi="Times New Roman" w:cs="Times New Roman" w:eastAsia="Times New Roman" w:hint="default"/>
        </w:rPr>
        <w:t>OBU</w:t>
      </w:r>
      <w:r>
        <w:rPr/>
        <w:t>过渡，实现</w:t>
      </w:r>
      <w:r>
        <w:rPr>
          <w:rFonts w:ascii="Times New Roman" w:hAnsi="Times New Roman" w:cs="Times New Roman" w:eastAsia="Times New Roman" w:hint="default"/>
        </w:rPr>
        <w:t>OBU</w:t>
      </w:r>
      <w:r>
        <w:rPr/>
        <w:t>前装化；再者，基于高速公路</w:t>
      </w:r>
      <w:r>
        <w:rPr>
          <w:spacing w:val="-62"/>
        </w:rPr>
        <w:t> </w:t>
      </w:r>
      <w:r>
        <w:rPr>
          <w:spacing w:val="-62"/>
        </w:rPr>
      </w:r>
      <w:r>
        <w:rPr>
          <w:rFonts w:ascii="Times New Roman" w:hAnsi="Times New Roman" w:cs="Times New Roman" w:eastAsia="Times New Roman" w:hint="default"/>
          <w:spacing w:val="-1"/>
        </w:rPr>
        <w:t>ETC</w:t>
      </w:r>
      <w:r>
        <w:rPr>
          <w:spacing w:val="-1"/>
        </w:rPr>
        <w:t>门架系统和所有车辆安装</w:t>
      </w:r>
      <w:r>
        <w:rPr>
          <w:rFonts w:ascii="Times New Roman" w:hAnsi="Times New Roman" w:cs="Times New Roman" w:eastAsia="Times New Roman" w:hint="default"/>
          <w:spacing w:val="-1"/>
        </w:rPr>
        <w:t>OBU</w:t>
      </w:r>
      <w:r>
        <w:rPr>
          <w:spacing w:val="-1"/>
        </w:rPr>
        <w:t>安装率达到</w:t>
      </w:r>
      <w:r>
        <w:rPr>
          <w:rFonts w:ascii="Times New Roman" w:hAnsi="Times New Roman" w:cs="Times New Roman" w:eastAsia="Times New Roman" w:hint="default"/>
          <w:spacing w:val="-1"/>
        </w:rPr>
        <w:t>80%</w:t>
      </w:r>
      <w:r>
        <w:rPr>
          <w:spacing w:val="-1"/>
        </w:rPr>
        <w:t>以上，车辆端和路段基础设备交互信息完全打通，高速公路上车辆的信息</w:t>
      </w:r>
      <w:r>
        <w:rPr/>
        <w:t> 将被实时采集，基于大数据的智慧高速拓展应用将得以推广实现。</w:t>
      </w:r>
    </w:p>
    <w:p>
      <w:pPr>
        <w:pStyle w:val="BodyText"/>
        <w:spacing w:line="304" w:lineRule="auto" w:before="68"/>
        <w:ind w:right="1041" w:firstLine="360"/>
        <w:jc w:val="left"/>
      </w:pPr>
      <w:r>
        <w:rPr>
          <w:rFonts w:ascii="Times New Roman" w:hAnsi="Times New Roman" w:cs="Times New Roman" w:eastAsia="Times New Roman" w:hint="default"/>
          <w:spacing w:val="-2"/>
        </w:rPr>
        <w:t>V2X</w:t>
      </w:r>
      <w:r>
        <w:rPr>
          <w:spacing w:val="-2"/>
        </w:rPr>
        <w:t>是智慧交通未来发展的重点领域。我国政府高度重视车路协同产业发展，“制造强国”、“网络强国”、“交通强</w:t>
      </w:r>
      <w:r>
        <w:rPr/>
        <w:t> </w:t>
      </w:r>
      <w:r>
        <w:rPr>
          <w:spacing w:val="-2"/>
        </w:rPr>
        <w:t>国”三大国家战略从顶层予以支持，各级政府陆续出台产业指导政策，从加快基础设施建设、推广应用示范等多个方面积极</w:t>
      </w:r>
      <w:r>
        <w:rPr>
          <w:spacing w:val="-65"/>
        </w:rPr>
        <w:t> </w:t>
      </w:r>
      <w:r>
        <w:rPr>
          <w:spacing w:val="-65"/>
        </w:rPr>
      </w:r>
      <w:r>
        <w:rPr/>
        <w:t>响应和部署。技术和产品方面，近来年我国在传感技术、数据融合技术、</w:t>
      </w:r>
      <w:r>
        <w:rPr>
          <w:rFonts w:ascii="Times New Roman" w:hAnsi="Times New Roman" w:cs="Times New Roman" w:eastAsia="Times New Roman" w:hint="default"/>
        </w:rPr>
        <w:t>LTE-V</w:t>
      </w:r>
      <w:r>
        <w:rPr/>
        <w:t>和</w:t>
      </w:r>
      <w:r>
        <w:rPr>
          <w:rFonts w:ascii="Times New Roman" w:hAnsi="Times New Roman" w:cs="Times New Roman" w:eastAsia="Times New Roman" w:hint="default"/>
        </w:rPr>
        <w:t>5G</w:t>
      </w:r>
      <w:r>
        <w:rPr/>
        <w:t>通信技术、车联网信息安全技术等取</w:t>
      </w:r>
      <w:r>
        <w:rPr>
          <w:spacing w:val="-18"/>
        </w:rPr>
        <w:t> </w:t>
      </w:r>
      <w:r>
        <w:rPr>
          <w:spacing w:val="-18"/>
        </w:rPr>
      </w:r>
      <w:r>
        <w:rPr>
          <w:spacing w:val="-3"/>
        </w:rPr>
        <w:t>得了突破性进展，虽未达到产品商业部署阶段，但各省市已纷纷出台智能网联测试规范，推进</w:t>
      </w:r>
      <w:r>
        <w:rPr>
          <w:rFonts w:ascii="Times New Roman" w:hAnsi="Times New Roman" w:cs="Times New Roman" w:eastAsia="Times New Roman" w:hint="default"/>
          <w:spacing w:val="-3"/>
        </w:rPr>
        <w:t>V2X</w:t>
      </w:r>
      <w:r>
        <w:rPr>
          <w:spacing w:val="-3"/>
        </w:rPr>
        <w:t>的试点部署。产业链方面，</w:t>
      </w:r>
      <w:r>
        <w:rPr>
          <w:spacing w:val="-88"/>
        </w:rPr>
        <w:t> </w:t>
      </w:r>
      <w:r>
        <w:rPr>
          <w:spacing w:val="-88"/>
        </w:rPr>
      </w:r>
      <w:r>
        <w:rPr>
          <w:rFonts w:ascii="Times New Roman" w:hAnsi="Times New Roman" w:cs="Times New Roman" w:eastAsia="Times New Roman" w:hint="default"/>
          <w:spacing w:val="-2"/>
        </w:rPr>
        <w:t>V2X</w:t>
      </w:r>
      <w:r>
        <w:rPr>
          <w:spacing w:val="-2"/>
        </w:rPr>
        <w:t>产业链牵涉厂商众多，整车厂、自动驾驶企业、设备与终端厂商、电信运营商、芯片与模组提供商、互联网企业、平台</w:t>
      </w:r>
      <w:r>
        <w:rPr>
          <w:spacing w:val="-56"/>
        </w:rPr>
        <w:t> </w:t>
      </w:r>
      <w:r>
        <w:rPr>
          <w:spacing w:val="-56"/>
        </w:rPr>
      </w:r>
      <w:r>
        <w:rPr>
          <w:spacing w:val="-2"/>
        </w:rPr>
        <w:t>运营商、测试验证机构等纷纷介入，产业互动良好，目前已有多家车企完成</w:t>
      </w:r>
      <w:r>
        <w:rPr>
          <w:rFonts w:ascii="Times New Roman" w:hAnsi="Times New Roman" w:cs="Times New Roman" w:eastAsia="Times New Roman" w:hint="default"/>
          <w:spacing w:val="-2"/>
        </w:rPr>
        <w:t>V2X</w:t>
      </w:r>
      <w:r>
        <w:rPr>
          <w:spacing w:val="-2"/>
        </w:rPr>
        <w:t>商用路线图制定。商业模式方面，国家引导</w:t>
      </w:r>
      <w:r>
        <w:rPr>
          <w:spacing w:val="-57"/>
        </w:rPr>
        <w:t> </w:t>
      </w:r>
      <w:r>
        <w:rPr>
          <w:spacing w:val="-57"/>
        </w:rPr>
      </w:r>
      <w:r>
        <w:rPr>
          <w:spacing w:val="-3"/>
        </w:rPr>
        <w:t>资金在产业前期起到巨大推动作用，同时，从交通</w:t>
      </w:r>
      <w:r>
        <w:rPr>
          <w:rFonts w:ascii="Times New Roman" w:hAnsi="Times New Roman" w:cs="Times New Roman" w:eastAsia="Times New Roman" w:hint="default"/>
          <w:spacing w:val="-3"/>
        </w:rPr>
        <w:t>ETC</w:t>
      </w:r>
      <w:r>
        <w:rPr>
          <w:spacing w:val="-3"/>
        </w:rPr>
        <w:t>运营商到电信运营商都在积极参与，通过试点示范探索商业运营模式。</w:t>
      </w:r>
      <w:r>
        <w:rPr>
          <w:spacing w:val="-74"/>
        </w:rPr>
        <w:t> </w:t>
      </w:r>
      <w:r>
        <w:rPr>
          <w:spacing w:val="-74"/>
        </w:rPr>
      </w:r>
      <w:r>
        <w:rPr/>
        <w:t>标准体系方面，从团体标准到行业、国家标准，已经陆续出台了关于</w:t>
      </w:r>
      <w:r>
        <w:rPr>
          <w:rFonts w:ascii="Times New Roman" w:hAnsi="Times New Roman" w:cs="Times New Roman" w:eastAsia="Times New Roman" w:hint="default"/>
        </w:rPr>
        <w:t>LTE-V2X</w:t>
      </w:r>
      <w:r>
        <w:rPr/>
        <w:t>空口、网络层、消息层、应用层，和信息安</w:t>
      </w:r>
      <w:r>
        <w:rPr>
          <w:spacing w:val="-18"/>
        </w:rPr>
        <w:t> </w:t>
      </w:r>
      <w:r>
        <w:rPr>
          <w:spacing w:val="-18"/>
        </w:rPr>
      </w:r>
      <w:r>
        <w:rPr/>
        <w:t>全等核心技术的相关标准，并在持续推动</w:t>
      </w:r>
      <w:r>
        <w:rPr>
          <w:rFonts w:ascii="Times New Roman" w:hAnsi="Times New Roman" w:cs="Times New Roman" w:eastAsia="Times New Roman" w:hint="default"/>
        </w:rPr>
        <w:t>LTE-V2X</w:t>
      </w:r>
      <w:r>
        <w:rPr/>
        <w:t>标准在汽车、交通、公安行业的应用。测试验证方面，</w:t>
      </w:r>
      <w:r>
        <w:rPr>
          <w:rFonts w:ascii="Times New Roman" w:hAnsi="Times New Roman" w:cs="Times New Roman" w:eastAsia="Times New Roman" w:hint="default"/>
        </w:rPr>
        <w:t>V2X</w:t>
      </w:r>
      <w:r>
        <w:rPr/>
        <w:t>已基本完成</w:t>
      </w:r>
      <w:r>
        <w:rPr>
          <w:spacing w:val="-11"/>
        </w:rPr>
        <w:t> </w:t>
      </w:r>
      <w:r>
        <w:rPr>
          <w:spacing w:val="-11"/>
        </w:rPr>
      </w:r>
      <w:r>
        <w:rPr>
          <w:spacing w:val="-2"/>
        </w:rPr>
        <w:t>实验室和外场一定数量车辆的测试，以及不同产品和平台间的互联互通测试，并制定了一系列测试验证规范，未来将进一步</w:t>
      </w:r>
      <w:r>
        <w:rPr>
          <w:spacing w:val="-63"/>
        </w:rPr>
        <w:t> </w:t>
      </w:r>
      <w:r>
        <w:rPr>
          <w:spacing w:val="-63"/>
        </w:rPr>
      </w:r>
      <w:r>
        <w:rPr/>
        <w:t>实现较高车辆密度下的通信功能与性能测试，及更多测试场景、跨厂家的相互操作验证。</w:t>
      </w:r>
    </w:p>
    <w:p>
      <w:pPr>
        <w:spacing w:line="312" w:lineRule="auto" w:before="11"/>
        <w:ind w:left="513" w:right="967"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Microsoft JhengHei" w:hAnsi="Microsoft JhengHei" w:cs="Microsoft JhengHei" w:eastAsia="Microsoft JhengHei" w:hint="default"/>
          <w:b/>
          <w:bCs/>
          <w:sz w:val="18"/>
          <w:szCs w:val="18"/>
        </w:rPr>
        <w:t>、行业的周期性、季节性特征</w:t>
      </w:r>
      <w:r>
        <w:rPr>
          <w:rFonts w:ascii="Microsoft JhengHei" w:hAnsi="Microsoft JhengHei" w:cs="Microsoft JhengHei" w:eastAsia="Microsoft JhengHei" w:hint="default"/>
          <w:b/>
          <w:bCs/>
          <w:spacing w:val="-39"/>
          <w:sz w:val="18"/>
          <w:szCs w:val="18"/>
        </w:rPr>
        <w:t> </w:t>
      </w:r>
      <w:r>
        <w:rPr>
          <w:rFonts w:ascii="Microsoft JhengHei" w:hAnsi="Microsoft JhengHei" w:cs="Microsoft JhengHei" w:eastAsia="Microsoft JhengHei" w:hint="default"/>
          <w:b/>
          <w:bCs/>
          <w:spacing w:val="-39"/>
          <w:sz w:val="18"/>
          <w:szCs w:val="18"/>
        </w:rPr>
      </w:r>
      <w:r>
        <w:rPr>
          <w:rFonts w:ascii="宋体" w:hAnsi="宋体" w:cs="宋体" w:eastAsia="宋体" w:hint="default"/>
          <w:spacing w:val="-2"/>
          <w:sz w:val="18"/>
          <w:szCs w:val="18"/>
        </w:rPr>
        <w:t>智慧交通行业属于技术密集型产业，行业受政府对交通基础设施建设的影响，随着宏观经济周期波动而呈现一定的周期</w:t>
      </w:r>
    </w:p>
    <w:p>
      <w:pPr>
        <w:pStyle w:val="BodyText"/>
        <w:spacing w:line="319" w:lineRule="auto" w:before="22"/>
        <w:ind w:right="1050"/>
        <w:jc w:val="both"/>
      </w:pPr>
      <w:r>
        <w:rPr/>
        <w:t>性变化。我国城市智慧交通行业正处于成长期，政府正加大投资力度建设交通基础设施，其市场规模正呈现高速增长趋势， 行业将处于较长的景气周期中。</w:t>
      </w:r>
    </w:p>
    <w:p>
      <w:pPr>
        <w:pStyle w:val="BodyText"/>
        <w:spacing w:line="240" w:lineRule="auto" w:before="58"/>
        <w:ind w:left="513" w:right="967"/>
        <w:jc w:val="left"/>
      </w:pPr>
      <w:r>
        <w:rPr/>
        <w:t>行业的主要客户为交通部门、高速公路管理局等类政府机构，该类客户通常有着严格的投资计划、资金安排、工期安排</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both"/>
      </w:pPr>
      <w:r>
        <w:rPr/>
        <w:t>等严格的管理流程，因此订单在年内分布不均衡，本行业存在一定的季节性特征。</w:t>
      </w:r>
    </w:p>
    <w:p>
      <w:pPr>
        <w:pStyle w:val="BodyText"/>
        <w:spacing w:line="312" w:lineRule="auto" w:before="60"/>
        <w:ind w:left="513" w:right="1053"/>
        <w:jc w:val="left"/>
      </w:pPr>
      <w:r>
        <w:rPr>
          <w:rFonts w:ascii="Times New Roman" w:hAnsi="Times New Roman" w:cs="Times New Roman" w:eastAsia="Times New Roman" w:hint="default"/>
          <w:b/>
          <w:bCs/>
        </w:rPr>
        <w:t>3</w:t>
      </w:r>
      <w:r>
        <w:rPr>
          <w:rFonts w:ascii="Microsoft JhengHei" w:hAnsi="Microsoft JhengHei" w:cs="Microsoft JhengHei" w:eastAsia="Microsoft JhengHei" w:hint="default"/>
          <w:b/>
          <w:bCs/>
        </w:rPr>
        <w:t>、公司的行业地位</w:t>
      </w:r>
      <w:r>
        <w:rPr>
          <w:rFonts w:ascii="Microsoft JhengHei" w:hAnsi="Microsoft JhengHei" w:cs="Microsoft JhengHei" w:eastAsia="Microsoft JhengHei" w:hint="default"/>
          <w:b/>
          <w:bCs/>
          <w:spacing w:val="-40"/>
        </w:rPr>
        <w:t> </w:t>
      </w:r>
      <w:r>
        <w:rPr>
          <w:rFonts w:ascii="Microsoft JhengHei" w:hAnsi="Microsoft JhengHei" w:cs="Microsoft JhengHei" w:eastAsia="Microsoft JhengHei" w:hint="default"/>
          <w:b/>
          <w:bCs/>
          <w:spacing w:val="-40"/>
        </w:rPr>
      </w:r>
      <w:r>
        <w:rPr/>
        <w:t>国内智慧交通行业的竞争格局主要呈现出</w:t>
      </w:r>
      <w:r>
        <w:rPr>
          <w:rFonts w:ascii="Times New Roman" w:hAnsi="Times New Roman" w:cs="Times New Roman" w:eastAsia="Times New Roman" w:hint="default"/>
        </w:rPr>
        <w:t>“</w:t>
      </w:r>
      <w:r>
        <w:rPr/>
        <w:t>市场集中度较高，少数几家优势企业占据行业内绝大部分市场份额</w:t>
      </w:r>
      <w:r>
        <w:rPr>
          <w:rFonts w:ascii="Times New Roman" w:hAnsi="Times New Roman" w:cs="Times New Roman" w:eastAsia="Times New Roman" w:hint="default"/>
        </w:rPr>
        <w:t>”</w:t>
      </w:r>
      <w:r>
        <w:rPr/>
        <w:t>的特点。</w:t>
      </w:r>
    </w:p>
    <w:p>
      <w:pPr>
        <w:pStyle w:val="BodyText"/>
        <w:spacing w:line="300" w:lineRule="auto" w:before="3"/>
        <w:ind w:right="1130"/>
        <w:jc w:val="both"/>
      </w:pPr>
      <w:r>
        <w:rPr>
          <w:spacing w:val="-2"/>
        </w:rPr>
        <w:t>公司在高速公路</w:t>
      </w:r>
      <w:r>
        <w:rPr>
          <w:rFonts w:ascii="Times New Roman" w:hAnsi="Times New Roman" w:cs="Times New Roman" w:eastAsia="Times New Roman" w:hint="default"/>
          <w:spacing w:val="-2"/>
        </w:rPr>
        <w:t>ETC</w:t>
      </w:r>
      <w:r>
        <w:rPr>
          <w:spacing w:val="-2"/>
        </w:rPr>
        <w:t>产品市场具有优势。目前在细分市场的占有率较高，业务遍布全国。公司依托自身的品牌优势、技术优</w:t>
      </w:r>
      <w:r>
        <w:rPr>
          <w:spacing w:val="-42"/>
        </w:rPr>
        <w:t> </w:t>
      </w:r>
      <w:r>
        <w:rPr>
          <w:spacing w:val="-42"/>
        </w:rPr>
      </w:r>
      <w:r>
        <w:rPr>
          <w:spacing w:val="-1"/>
        </w:rPr>
        <w:t>势与营销服务优势，已经走在了细分行业的前列。在城市</w:t>
      </w:r>
      <w:r>
        <w:rPr>
          <w:rFonts w:ascii="Times New Roman" w:hAnsi="Times New Roman" w:cs="Times New Roman" w:eastAsia="Times New Roman" w:hint="default"/>
          <w:spacing w:val="-1"/>
        </w:rPr>
        <w:t>ETC</w:t>
      </w:r>
      <w:r>
        <w:rPr>
          <w:spacing w:val="-1"/>
        </w:rPr>
        <w:t>领域，公司已经有成熟的</w:t>
      </w:r>
      <w:r>
        <w:rPr>
          <w:rFonts w:ascii="Times New Roman" w:hAnsi="Times New Roman" w:cs="Times New Roman" w:eastAsia="Times New Roman" w:hint="default"/>
          <w:spacing w:val="-1"/>
        </w:rPr>
        <w:t>ETC</w:t>
      </w:r>
      <w:r>
        <w:rPr>
          <w:spacing w:val="-1"/>
        </w:rPr>
        <w:t>停车产品并实现了多年的规模化</w:t>
      </w:r>
      <w:r>
        <w:rPr>
          <w:spacing w:val="-80"/>
        </w:rPr>
        <w:t> </w:t>
      </w:r>
      <w:r>
        <w:rPr/>
        <w:t>销售，公司的</w:t>
      </w:r>
      <w:r>
        <w:rPr>
          <w:rFonts w:ascii="Times New Roman" w:hAnsi="Times New Roman" w:cs="Times New Roman" w:eastAsia="Times New Roman" w:hint="default"/>
        </w:rPr>
        <w:t>ETC</w:t>
      </w:r>
      <w:r>
        <w:rPr/>
        <w:t>加油产品在</w:t>
      </w:r>
      <w:r>
        <w:rPr>
          <w:rFonts w:ascii="Times New Roman" w:hAnsi="Times New Roman" w:cs="Times New Roman" w:eastAsia="Times New Roman" w:hint="default"/>
        </w:rPr>
        <w:t>2019</w:t>
      </w:r>
      <w:r>
        <w:rPr/>
        <w:t>年完成开发并试点应用。</w:t>
      </w:r>
    </w:p>
    <w:p>
      <w:pPr>
        <w:pStyle w:val="BodyText"/>
        <w:spacing w:line="300" w:lineRule="auto" w:before="53"/>
        <w:ind w:right="1132" w:firstLine="360"/>
        <w:jc w:val="both"/>
      </w:pPr>
      <w:r>
        <w:rPr>
          <w:spacing w:val="-1"/>
        </w:rPr>
        <w:t>在</w:t>
      </w:r>
      <w:r>
        <w:rPr>
          <w:rFonts w:ascii="Times New Roman" w:hAnsi="Times New Roman" w:cs="Times New Roman" w:eastAsia="Times New Roman" w:hint="default"/>
          <w:spacing w:val="-1"/>
        </w:rPr>
        <w:t>V2X</w:t>
      </w:r>
      <w:r>
        <w:rPr>
          <w:spacing w:val="-1"/>
        </w:rPr>
        <w:t>车路协同领域，公司系</w:t>
      </w:r>
      <w:r>
        <w:rPr>
          <w:rFonts w:ascii="Times New Roman" w:hAnsi="Times New Roman" w:cs="Times New Roman" w:eastAsia="Times New Roman" w:hint="default"/>
          <w:spacing w:val="-1"/>
        </w:rPr>
        <w:t>“</w:t>
      </w:r>
      <w:r>
        <w:rPr>
          <w:spacing w:val="-1"/>
        </w:rPr>
        <w:t>交通运输部智能车路协同关键技术及装备行业研发中心</w:t>
      </w:r>
      <w:r>
        <w:rPr>
          <w:rFonts w:ascii="Times New Roman" w:hAnsi="Times New Roman" w:cs="Times New Roman" w:eastAsia="Times New Roman" w:hint="default"/>
          <w:spacing w:val="-1"/>
        </w:rPr>
        <w:t>”</w:t>
      </w:r>
      <w:r>
        <w:rPr>
          <w:spacing w:val="-1"/>
        </w:rPr>
        <w:t>成员单位，公司在高速</w:t>
      </w:r>
      <w:r>
        <w:rPr>
          <w:rFonts w:ascii="Times New Roman" w:hAnsi="Times New Roman" w:cs="Times New Roman" w:eastAsia="Times New Roman" w:hint="default"/>
          <w:spacing w:val="-1"/>
        </w:rPr>
        <w:t>ETC</w:t>
      </w:r>
      <w:r>
        <w:rPr>
          <w:spacing w:val="-1"/>
        </w:rPr>
        <w:t>的领</w:t>
      </w:r>
      <w:r>
        <w:rPr/>
        <w:t> </w:t>
      </w:r>
      <w:r>
        <w:rPr>
          <w:spacing w:val="-1"/>
        </w:rPr>
        <w:t>先地位对公司拓展智慧公路和</w:t>
      </w:r>
      <w:r>
        <w:rPr>
          <w:rFonts w:ascii="Times New Roman" w:hAnsi="Times New Roman" w:cs="Times New Roman" w:eastAsia="Times New Roman" w:hint="default"/>
          <w:spacing w:val="-1"/>
        </w:rPr>
        <w:t>V2X</w:t>
      </w:r>
      <w:r>
        <w:rPr>
          <w:spacing w:val="-1"/>
        </w:rPr>
        <w:t>路侧产品有积极帮助，公司在</w:t>
      </w:r>
      <w:r>
        <w:rPr>
          <w:rFonts w:ascii="Times New Roman" w:hAnsi="Times New Roman" w:cs="Times New Roman" w:eastAsia="Times New Roman" w:hint="default"/>
          <w:spacing w:val="-1"/>
        </w:rPr>
        <w:t>ETC</w:t>
      </w:r>
      <w:r>
        <w:rPr>
          <w:spacing w:val="-1"/>
        </w:rPr>
        <w:t>前装产品与众多汽车厂商和车厂供应商的合作有助于公</w:t>
      </w:r>
      <w:r>
        <w:rPr/>
        <w:t> 司</w:t>
      </w:r>
      <w:r>
        <w:rPr>
          <w:rFonts w:ascii="Times New Roman" w:hAnsi="Times New Roman" w:cs="Times New Roman" w:eastAsia="Times New Roman" w:hint="default"/>
        </w:rPr>
        <w:t>V2X</w:t>
      </w:r>
      <w:r>
        <w:rPr/>
        <w:t>车载产品的拓展。</w:t>
      </w:r>
    </w:p>
    <w:p>
      <w:pPr>
        <w:spacing w:line="312" w:lineRule="auto" w:before="0"/>
        <w:ind w:left="513" w:right="103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Microsoft JhengHei" w:hAnsi="Microsoft JhengHei" w:cs="Microsoft JhengHei" w:eastAsia="Microsoft JhengHei" w:hint="default"/>
          <w:b/>
          <w:bCs/>
          <w:sz w:val="18"/>
          <w:szCs w:val="18"/>
        </w:rPr>
        <w:t>、公司所处行业的产业链分析</w:t>
      </w:r>
      <w:r>
        <w:rPr>
          <w:rFonts w:ascii="Microsoft JhengHei" w:hAnsi="Microsoft JhengHei" w:cs="Microsoft JhengHei" w:eastAsia="Microsoft JhengHei" w:hint="default"/>
          <w:b/>
          <w:bCs/>
          <w:spacing w:val="-39"/>
          <w:sz w:val="18"/>
          <w:szCs w:val="18"/>
        </w:rPr>
        <w:t> </w:t>
      </w:r>
      <w:r>
        <w:rPr>
          <w:rFonts w:ascii="Microsoft JhengHei" w:hAnsi="Microsoft JhengHei" w:cs="Microsoft JhengHei" w:eastAsia="Microsoft JhengHei" w:hint="default"/>
          <w:b/>
          <w:bCs/>
          <w:spacing w:val="-39"/>
          <w:sz w:val="18"/>
          <w:szCs w:val="18"/>
        </w:rPr>
      </w:r>
      <w:r>
        <w:rPr>
          <w:rFonts w:ascii="宋体" w:hAnsi="宋体" w:cs="宋体" w:eastAsia="宋体" w:hint="default"/>
          <w:sz w:val="18"/>
          <w:szCs w:val="18"/>
        </w:rPr>
        <w:t>智慧交通行业的上游行业主要为电子元器件、集成电路、电池、塑胶、五金压铸件等行业；下游行业为高速公路运营、</w:t>
      </w:r>
    </w:p>
    <w:p>
      <w:pPr>
        <w:pStyle w:val="BodyText"/>
        <w:spacing w:line="240" w:lineRule="auto" w:before="22"/>
        <w:ind w:right="0"/>
        <w:jc w:val="both"/>
      </w:pPr>
      <w:r>
        <w:rPr/>
        <w:t>交通管理、汽车及后服务、以及物业管理运营等。</w:t>
      </w:r>
    </w:p>
    <w:p>
      <w:pPr>
        <w:spacing w:line="314" w:lineRule="auto" w:before="60"/>
        <w:ind w:left="513" w:right="967" w:firstLine="0"/>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w:t>
      </w:r>
      <w:r>
        <w:rPr>
          <w:rFonts w:ascii="Times New Roman" w:hAnsi="Times New Roman" w:cs="Times New Roman" w:eastAsia="Times New Roman" w:hint="default"/>
          <w:b/>
          <w:bCs/>
          <w:sz w:val="18"/>
          <w:szCs w:val="18"/>
        </w:rPr>
        <w:t>1</w:t>
      </w:r>
      <w:r>
        <w:rPr>
          <w:rFonts w:ascii="Microsoft JhengHei" w:hAnsi="Microsoft JhengHei" w:cs="Microsoft JhengHei" w:eastAsia="Microsoft JhengHei" w:hint="default"/>
          <w:b/>
          <w:bCs/>
          <w:sz w:val="18"/>
          <w:szCs w:val="18"/>
        </w:rPr>
        <w:t>）上游行业的发展状况及对本行业的影响</w:t>
      </w:r>
      <w:r>
        <w:rPr>
          <w:rFonts w:ascii="Microsoft JhengHei" w:hAnsi="Microsoft JhengHei" w:cs="Microsoft JhengHei" w:eastAsia="Microsoft JhengHei" w:hint="default"/>
          <w:b/>
          <w:bCs/>
          <w:spacing w:val="-36"/>
          <w:sz w:val="18"/>
          <w:szCs w:val="18"/>
        </w:rPr>
        <w:t> </w:t>
      </w:r>
      <w:r>
        <w:rPr>
          <w:rFonts w:ascii="Microsoft JhengHei" w:hAnsi="Microsoft JhengHei" w:cs="Microsoft JhengHei" w:eastAsia="Microsoft JhengHei" w:hint="default"/>
          <w:b/>
          <w:bCs/>
          <w:spacing w:val="-36"/>
          <w:sz w:val="18"/>
          <w:szCs w:val="18"/>
        </w:rPr>
      </w:r>
      <w:r>
        <w:rPr>
          <w:rFonts w:ascii="宋体" w:hAnsi="宋体" w:cs="宋体" w:eastAsia="宋体" w:hint="default"/>
          <w:spacing w:val="-2"/>
          <w:sz w:val="18"/>
          <w:szCs w:val="18"/>
        </w:rPr>
        <w:t>电子元器件、集成电路以及电池等电子设备制造行业由于厂商众多，竞争激烈，产品总体上供大于求，大部分产品价格</w:t>
      </w:r>
    </w:p>
    <w:p>
      <w:pPr>
        <w:pStyle w:val="BodyText"/>
        <w:spacing w:line="307" w:lineRule="auto" w:before="20"/>
        <w:ind w:right="1131"/>
        <w:jc w:val="both"/>
      </w:pPr>
      <w:r>
        <w:rPr>
          <w:spacing w:val="-2"/>
        </w:rPr>
        <w:t>呈现稳中有降的趋势，同时，具有行业优势地位的企业可以利用自身采购的规模优势与上游企业进行谈判，进而获得低于同</w:t>
      </w:r>
      <w:r>
        <w:rPr>
          <w:spacing w:val="-65"/>
        </w:rPr>
        <w:t> </w:t>
      </w:r>
      <w:r>
        <w:rPr>
          <w:spacing w:val="-65"/>
        </w:rPr>
      </w:r>
      <w:r>
        <w:rPr>
          <w:spacing w:val="-2"/>
        </w:rPr>
        <w:t>行业的产品价格、稳定的货源和可靠的产品质量。</w:t>
      </w:r>
      <w:r>
        <w:rPr>
          <w:rFonts w:ascii="Times New Roman" w:hAnsi="Times New Roman" w:cs="Times New Roman" w:eastAsia="Times New Roman" w:hint="default"/>
          <w:spacing w:val="-2"/>
        </w:rPr>
        <w:t>2019</w:t>
      </w:r>
      <w:r>
        <w:rPr>
          <w:spacing w:val="-2"/>
        </w:rPr>
        <w:t>年因受到取消高速公路省界收费站政策刺激，</w:t>
      </w:r>
      <w:r>
        <w:rPr>
          <w:rFonts w:ascii="Times New Roman" w:hAnsi="Times New Roman" w:cs="Times New Roman" w:eastAsia="Times New Roman" w:hint="default"/>
          <w:spacing w:val="-2"/>
        </w:rPr>
        <w:t>ETC</w:t>
      </w:r>
      <w:r>
        <w:rPr>
          <w:spacing w:val="-2"/>
        </w:rPr>
        <w:t>产品市场需求短时</w:t>
      </w:r>
      <w:r>
        <w:rPr>
          <w:spacing w:val="-42"/>
        </w:rPr>
        <w:t> </w:t>
      </w:r>
      <w:r>
        <w:rPr>
          <w:spacing w:val="-42"/>
        </w:rPr>
      </w:r>
      <w:r>
        <w:rPr>
          <w:spacing w:val="-2"/>
        </w:rPr>
        <w:t>间内激增，给</w:t>
      </w:r>
      <w:r>
        <w:rPr>
          <w:rFonts w:ascii="Times New Roman" w:hAnsi="Times New Roman" w:cs="Times New Roman" w:eastAsia="Times New Roman" w:hint="default"/>
          <w:spacing w:val="-2"/>
        </w:rPr>
        <w:t>ETC</w:t>
      </w:r>
      <w:r>
        <w:rPr>
          <w:spacing w:val="-2"/>
        </w:rPr>
        <w:t>设备制造的上下游产业都带来了巨大的压力，导致部分半导体和电池的供应紧张，产能出现不足，价格略</w:t>
      </w:r>
      <w:r>
        <w:rPr>
          <w:spacing w:val="-45"/>
        </w:rPr>
        <w:t> </w:t>
      </w:r>
      <w:r>
        <w:rPr>
          <w:spacing w:val="-45"/>
        </w:rPr>
      </w:r>
      <w:r>
        <w:rPr/>
        <w:t>有上涨。</w:t>
      </w:r>
    </w:p>
    <w:p>
      <w:pPr>
        <w:pStyle w:val="BodyText"/>
        <w:spacing w:line="316" w:lineRule="auto" w:before="64"/>
        <w:ind w:right="1043" w:firstLine="360"/>
        <w:jc w:val="both"/>
      </w:pPr>
      <w:r>
        <w:rPr>
          <w:spacing w:val="-4"/>
        </w:rPr>
        <w:t>塑胶、五金压铸件等原材料会受到原材料价格波动的影响，行业产品毛利率水平会有一定的波动。智慧交通产品中塑胶、</w:t>
      </w:r>
      <w:r>
        <w:rPr/>
        <w:t> 五金压铸件等原材料所占设备成本的比例较小。</w:t>
      </w:r>
    </w:p>
    <w:p>
      <w:pPr>
        <w:spacing w:line="314" w:lineRule="auto" w:before="2"/>
        <w:ind w:left="513" w:right="1033" w:firstLine="0"/>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w:t>
      </w:r>
      <w:r>
        <w:rPr>
          <w:rFonts w:ascii="Times New Roman" w:hAnsi="Times New Roman" w:cs="Times New Roman" w:eastAsia="Times New Roman" w:hint="default"/>
          <w:b/>
          <w:bCs/>
          <w:sz w:val="18"/>
          <w:szCs w:val="18"/>
        </w:rPr>
        <w:t>2</w:t>
      </w:r>
      <w:r>
        <w:rPr>
          <w:rFonts w:ascii="Microsoft JhengHei" w:hAnsi="Microsoft JhengHei" w:cs="Microsoft JhengHei" w:eastAsia="Microsoft JhengHei" w:hint="default"/>
          <w:b/>
          <w:bCs/>
          <w:sz w:val="18"/>
          <w:szCs w:val="18"/>
        </w:rPr>
        <w:t>）下游行业的发展状况及对本行业的影响</w:t>
      </w:r>
      <w:r>
        <w:rPr>
          <w:rFonts w:ascii="Microsoft JhengHei" w:hAnsi="Microsoft JhengHei" w:cs="Microsoft JhengHei" w:eastAsia="Microsoft JhengHei" w:hint="default"/>
          <w:b/>
          <w:bCs/>
          <w:spacing w:val="-36"/>
          <w:sz w:val="18"/>
          <w:szCs w:val="18"/>
        </w:rPr>
        <w:t> </w:t>
      </w:r>
      <w:r>
        <w:rPr>
          <w:rFonts w:ascii="Microsoft JhengHei" w:hAnsi="Microsoft JhengHei" w:cs="Microsoft JhengHei" w:eastAsia="Microsoft JhengHei" w:hint="default"/>
          <w:b/>
          <w:bCs/>
          <w:spacing w:val="-36"/>
          <w:sz w:val="18"/>
          <w:szCs w:val="18"/>
        </w:rPr>
      </w:r>
      <w:r>
        <w:rPr>
          <w:rFonts w:ascii="宋体" w:hAnsi="宋体" w:cs="宋体" w:eastAsia="宋体" w:hint="default"/>
          <w:sz w:val="18"/>
          <w:szCs w:val="18"/>
        </w:rPr>
        <w:t>高速公路运营、交通管理、汽车及后服务、以及物业运营管理等对智慧交通产品的需求主要受到交通基础设施投资额、</w:t>
      </w:r>
    </w:p>
    <w:p>
      <w:pPr>
        <w:pStyle w:val="BodyText"/>
        <w:spacing w:line="309" w:lineRule="auto" w:before="20"/>
        <w:ind w:right="1131"/>
        <w:jc w:val="both"/>
      </w:pPr>
      <w:r>
        <w:rPr>
          <w:spacing w:val="-2"/>
        </w:rPr>
        <w:t>汽车保有量以及物业管理行业发展等因素的影响。随着本细分行业技术水平的不断进步，智慧交通行业的应用领域也在不断</w:t>
      </w:r>
      <w:r>
        <w:rPr>
          <w:spacing w:val="-64"/>
        </w:rPr>
        <w:t> </w:t>
      </w:r>
      <w:r>
        <w:rPr>
          <w:spacing w:val="-64"/>
        </w:rPr>
      </w:r>
      <w:r>
        <w:rPr>
          <w:spacing w:val="-2"/>
        </w:rPr>
        <w:t>的拓展，包括停车智能、加油充电无感支付、治理交通拥堵、</w:t>
      </w:r>
      <w:r>
        <w:rPr>
          <w:rFonts w:ascii="Times New Roman" w:hAnsi="Times New Roman" w:cs="Times New Roman" w:eastAsia="Times New Roman" w:hint="default"/>
          <w:spacing w:val="-2"/>
        </w:rPr>
        <w:t>V2X</w:t>
      </w:r>
      <w:r>
        <w:rPr>
          <w:spacing w:val="-2"/>
        </w:rPr>
        <w:t>无人驾驶等领域，其下游行业的数量将随着智慧交通产品</w:t>
      </w:r>
      <w:r>
        <w:rPr>
          <w:spacing w:val="-57"/>
        </w:rPr>
        <w:t> </w:t>
      </w:r>
      <w:r>
        <w:rPr>
          <w:spacing w:val="-57"/>
        </w:rPr>
      </w:r>
      <w:r>
        <w:rPr/>
        <w:t>新的应用领域的拓展而不断的增加。</w:t>
      </w:r>
    </w:p>
    <w:p>
      <w:pPr>
        <w:spacing w:line="240" w:lineRule="auto" w:before="3"/>
        <w:rPr>
          <w:rFonts w:ascii="宋体" w:hAnsi="宋体" w:cs="宋体" w:eastAsia="宋体" w:hint="default"/>
          <w:sz w:val="15"/>
          <w:szCs w:val="15"/>
        </w:rPr>
      </w:pPr>
    </w:p>
    <w:p>
      <w:pPr>
        <w:pStyle w:val="Heading2"/>
        <w:spacing w:line="240" w:lineRule="auto"/>
        <w:ind w:right="0"/>
        <w:jc w:val="both"/>
        <w:rPr>
          <w:b w:val="0"/>
          <w:bCs w:val="0"/>
        </w:rPr>
      </w:pPr>
      <w:r>
        <w:rPr/>
        <w:t>二、主要资产重大变化情况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0"/>
        <w:jc w:val="both"/>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844"/>
        <w:gridCol w:w="7727"/>
      </w:tblGrid>
      <w:tr>
        <w:trPr>
          <w:trHeight w:val="185"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557"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772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844" w:type="dxa"/>
            <w:vMerge/>
            <w:tcBorders>
              <w:left w:val="single" w:sz="4" w:space="0" w:color="000000"/>
              <w:right w:val="single" w:sz="4" w:space="0" w:color="000000"/>
            </w:tcBorders>
            <w:shd w:val="clear" w:color="auto" w:fill="D2D2D2"/>
          </w:tcPr>
          <w:p>
            <w:pPr/>
          </w:p>
        </w:tc>
        <w:tc>
          <w:tcPr>
            <w:tcW w:w="7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772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7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报告期内长期股权投资同比增加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563.85%</w:t>
            </w:r>
            <w:r>
              <w:rPr>
                <w:rFonts w:ascii="宋体" w:hAnsi="宋体" w:cs="宋体" w:eastAsia="宋体" w:hint="default"/>
                <w:sz w:val="18"/>
                <w:szCs w:val="18"/>
              </w:rPr>
              <w:t>，主要系本报告期对外股权投资所致。</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报告期内无重大变化。</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报告期内无重大变化。</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报告期内在建工程同比增加</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74.44%</w:t>
            </w:r>
            <w:r>
              <w:rPr>
                <w:rFonts w:ascii="宋体" w:hAnsi="宋体" w:cs="宋体" w:eastAsia="宋体" w:hint="default"/>
                <w:sz w:val="18"/>
                <w:szCs w:val="18"/>
              </w:rPr>
              <w:t>，主要系本报告期佛山基地项目持续投入所致。</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报告期内货币资金同比增加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361.92%</w:t>
            </w:r>
            <w:r>
              <w:rPr>
                <w:rFonts w:ascii="宋体" w:hAnsi="宋体" w:cs="宋体" w:eastAsia="宋体" w:hint="default"/>
                <w:sz w:val="18"/>
                <w:szCs w:val="18"/>
              </w:rPr>
              <w:t>，主要系本报告期经营活动现金净流入所致。</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7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报告期内应收票据同比增加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1,094.59%</w:t>
            </w:r>
            <w:r>
              <w:rPr>
                <w:rFonts w:ascii="宋体" w:hAnsi="宋体" w:cs="宋体" w:eastAsia="宋体" w:hint="default"/>
                <w:sz w:val="18"/>
                <w:szCs w:val="18"/>
              </w:rPr>
              <w:t>，主要系本报告期收到客户支付货款的商业汇票增加所致。</w:t>
            </w:r>
          </w:p>
        </w:tc>
      </w:tr>
      <w:tr>
        <w:trPr>
          <w:trHeight w:val="404" w:hRule="exact"/>
        </w:trPr>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报告期内应收账款同比增加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148.71%</w:t>
            </w:r>
            <w:r>
              <w:rPr>
                <w:rFonts w:ascii="宋体" w:hAnsi="宋体" w:cs="宋体" w:eastAsia="宋体" w:hint="default"/>
                <w:sz w:val="18"/>
                <w:szCs w:val="18"/>
              </w:rPr>
              <w:t>，主要系本报告期营业收入同比增加较多所致。</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49" w:type="dxa"/>
        <w:tblLayout w:type="fixed"/>
        <w:tblCellMar>
          <w:top w:w="0" w:type="dxa"/>
          <w:left w:w="0" w:type="dxa"/>
          <w:bottom w:w="0" w:type="dxa"/>
          <w:right w:w="0" w:type="dxa"/>
        </w:tblCellMar>
        <w:tblLook w:val="01E0"/>
      </w:tblPr>
      <w:tblGrid>
        <w:gridCol w:w="1842"/>
        <w:gridCol w:w="7727"/>
      </w:tblGrid>
      <w:tr>
        <w:trPr>
          <w:trHeight w:val="713" w:hRule="exact"/>
        </w:trPr>
        <w:tc>
          <w:tcPr>
            <w:tcW w:w="1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772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85"/>
              <w:jc w:val="left"/>
              <w:rPr>
                <w:rFonts w:ascii="宋体" w:hAnsi="宋体" w:cs="宋体" w:eastAsia="宋体" w:hint="default"/>
                <w:sz w:val="18"/>
                <w:szCs w:val="18"/>
              </w:rPr>
            </w:pPr>
            <w:r>
              <w:rPr>
                <w:rFonts w:ascii="宋体" w:hAnsi="宋体" w:cs="宋体" w:eastAsia="宋体" w:hint="default"/>
                <w:sz w:val="18"/>
                <w:szCs w:val="18"/>
              </w:rPr>
              <w:t>报告期内应收款项融资同比增加 </w:t>
            </w:r>
            <w:r>
              <w:rPr>
                <w:rFonts w:ascii="Times New Roman" w:hAnsi="Times New Roman" w:cs="Times New Roman" w:eastAsia="Times New Roman" w:hint="default"/>
                <w:sz w:val="18"/>
                <w:szCs w:val="18"/>
              </w:rPr>
              <w:t>6,604.14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万元，主要系本报告期根据新金融工具准则规定将银行 承兑汇票重分类至应收款项融资所致。</w:t>
            </w:r>
          </w:p>
        </w:tc>
      </w:tr>
      <w:tr>
        <w:trPr>
          <w:trHeight w:val="403" w:hRule="exact"/>
        </w:trPr>
        <w:tc>
          <w:tcPr>
            <w:tcW w:w="1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其它应收款</w:t>
            </w:r>
          </w:p>
        </w:tc>
        <w:tc>
          <w:tcPr>
            <w:tcW w:w="7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报告期内其他应收款同比增加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164.72%</w:t>
            </w:r>
            <w:r>
              <w:rPr>
                <w:rFonts w:ascii="宋体" w:hAnsi="宋体" w:cs="宋体" w:eastAsia="宋体" w:hint="default"/>
                <w:sz w:val="18"/>
                <w:szCs w:val="18"/>
              </w:rPr>
              <w:t>，主要系本报告期应收的软件退税款增加所致。</w:t>
            </w:r>
          </w:p>
        </w:tc>
      </w:tr>
      <w:tr>
        <w:trPr>
          <w:trHeight w:val="401" w:hRule="exact"/>
        </w:trPr>
        <w:tc>
          <w:tcPr>
            <w:tcW w:w="1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7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报告期内存货同比增加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445.13%</w:t>
            </w:r>
            <w:r>
              <w:rPr>
                <w:rFonts w:ascii="宋体" w:hAnsi="宋体" w:cs="宋体" w:eastAsia="宋体" w:hint="default"/>
                <w:sz w:val="18"/>
                <w:szCs w:val="18"/>
              </w:rPr>
              <w:t>，主要系本报告期公司为应对市场需求增加备货所致。</w:t>
            </w:r>
          </w:p>
        </w:tc>
      </w:tr>
      <w:tr>
        <w:trPr>
          <w:trHeight w:val="403" w:hRule="exact"/>
        </w:trPr>
        <w:tc>
          <w:tcPr>
            <w:tcW w:w="1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报告期内其他流动资产同比减少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60.68%</w:t>
            </w:r>
            <w:r>
              <w:rPr>
                <w:rFonts w:ascii="宋体" w:hAnsi="宋体" w:cs="宋体" w:eastAsia="宋体" w:hint="default"/>
                <w:sz w:val="18"/>
                <w:szCs w:val="18"/>
              </w:rPr>
              <w:t>，主要系公司购买的理财产品在本报告期到期赎回所致。</w:t>
            </w:r>
          </w:p>
        </w:tc>
      </w:tr>
      <w:tr>
        <w:trPr>
          <w:trHeight w:val="401" w:hRule="exact"/>
        </w:trPr>
        <w:tc>
          <w:tcPr>
            <w:tcW w:w="1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7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报告期内其他权益工具投资同比增加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4,512.32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万元，主要系本报告期进行对外股权投资所致。</w:t>
            </w:r>
          </w:p>
        </w:tc>
      </w:tr>
      <w:tr>
        <w:trPr>
          <w:trHeight w:val="715" w:hRule="exact"/>
        </w:trPr>
        <w:tc>
          <w:tcPr>
            <w:tcW w:w="1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772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报告期内递延所得税资产同比增加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74.85%</w:t>
            </w:r>
            <w:r>
              <w:rPr>
                <w:rFonts w:ascii="宋体" w:hAnsi="宋体" w:cs="宋体" w:eastAsia="宋体" w:hint="default"/>
                <w:sz w:val="18"/>
                <w:szCs w:val="18"/>
              </w:rPr>
              <w:t>，主要系本报告期新增的资产减值损失以及股份支付费 用形成的可抵扣暂时性差异增加所致。</w:t>
            </w:r>
          </w:p>
        </w:tc>
      </w:tr>
      <w:tr>
        <w:trPr>
          <w:trHeight w:val="716" w:hRule="exact"/>
        </w:trPr>
        <w:tc>
          <w:tcPr>
            <w:tcW w:w="1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772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报告期内其他非流动资产同比增加</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4,535.91</w:t>
            </w:r>
            <w:r>
              <w:rPr>
                <w:rFonts w:ascii="Times New Roman" w:hAnsi="Times New Roman" w:cs="Times New Roman" w:eastAsia="Times New Roman" w:hint="default"/>
                <w:spacing w:val="10"/>
                <w:sz w:val="18"/>
                <w:szCs w:val="18"/>
              </w:rPr>
              <w:t> </w:t>
            </w:r>
            <w:r>
              <w:rPr>
                <w:rFonts w:ascii="宋体" w:hAnsi="宋体" w:cs="宋体" w:eastAsia="宋体" w:hint="default"/>
                <w:spacing w:val="-4"/>
                <w:sz w:val="18"/>
                <w:szCs w:val="18"/>
              </w:rPr>
              <w:t>万元，主要系本报告期支付股权投资款在本报告期末尚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未达到确认长期股权投资的条件所致。</w:t>
            </w:r>
          </w:p>
        </w:tc>
      </w:tr>
    </w:tbl>
    <w:p>
      <w:pPr>
        <w:spacing w:line="240" w:lineRule="auto" w:before="8"/>
        <w:rPr>
          <w:rFonts w:ascii="Microsoft JhengHei" w:hAnsi="Microsoft JhengHei" w:cs="Microsoft JhengHei" w:eastAsia="Microsoft JhengHei" w:hint="default"/>
          <w:b/>
          <w:bCs/>
          <w:sz w:val="14"/>
          <w:szCs w:val="14"/>
        </w:rPr>
      </w:pPr>
    </w:p>
    <w:p>
      <w:pPr>
        <w:pStyle w:val="Heading4"/>
        <w:spacing w:line="335" w:lineRule="exact"/>
        <w:ind w:right="967"/>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967"/>
        <w:jc w:val="left"/>
        <w:rPr>
          <w:b w:val="0"/>
          <w:bCs w:val="0"/>
        </w:rPr>
      </w:pPr>
      <w:r>
        <w:rPr/>
        <w:t>三、核心竞争力分析</w:t>
      </w:r>
      <w:r>
        <w:rPr>
          <w:b w:val="0"/>
          <w:bCs w:val="0"/>
        </w:rPr>
      </w:r>
    </w:p>
    <w:p>
      <w:pPr>
        <w:spacing w:line="240" w:lineRule="auto" w:before="1"/>
        <w:rPr>
          <w:rFonts w:ascii="Microsoft JhengHei" w:hAnsi="Microsoft JhengHei" w:cs="Microsoft JhengHei" w:eastAsia="Microsoft JhengHei" w:hint="default"/>
          <w:b/>
          <w:bCs/>
          <w:sz w:val="15"/>
          <w:szCs w:val="15"/>
        </w:rPr>
      </w:pPr>
    </w:p>
    <w:p>
      <w:pPr>
        <w:spacing w:line="312" w:lineRule="auto" w:before="0"/>
        <w:ind w:left="513" w:right="967"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Microsoft JhengHei" w:hAnsi="Microsoft JhengHei" w:cs="Microsoft JhengHei" w:eastAsia="Microsoft JhengHei" w:hint="default"/>
          <w:b/>
          <w:bCs/>
          <w:sz w:val="18"/>
          <w:szCs w:val="18"/>
        </w:rPr>
        <w:t>、研发和自主创新形成的技术优势</w:t>
      </w:r>
      <w:r>
        <w:rPr>
          <w:rFonts w:ascii="Microsoft JhengHei" w:hAnsi="Microsoft JhengHei" w:cs="Microsoft JhengHei" w:eastAsia="Microsoft JhengHei" w:hint="default"/>
          <w:b/>
          <w:bCs/>
          <w:spacing w:val="-37"/>
          <w:sz w:val="18"/>
          <w:szCs w:val="18"/>
        </w:rPr>
        <w:t> </w:t>
      </w:r>
      <w:r>
        <w:rPr>
          <w:rFonts w:ascii="Microsoft JhengHei" w:hAnsi="Microsoft JhengHei" w:cs="Microsoft JhengHei" w:eastAsia="Microsoft JhengHei" w:hint="default"/>
          <w:b/>
          <w:bCs/>
          <w:spacing w:val="-37"/>
          <w:sz w:val="18"/>
          <w:szCs w:val="18"/>
        </w:rPr>
      </w:r>
      <w:r>
        <w:rPr>
          <w:rFonts w:ascii="宋体" w:hAnsi="宋体" w:cs="宋体" w:eastAsia="宋体" w:hint="default"/>
          <w:spacing w:val="-2"/>
          <w:sz w:val="18"/>
          <w:szCs w:val="18"/>
        </w:rPr>
        <w:t>公司重视创新，凭借良好的自主创新能力和研发实力，公司承担了《电子收费专用短程通信》、《机动车电子标识安全</w:t>
      </w:r>
    </w:p>
    <w:p>
      <w:pPr>
        <w:pStyle w:val="BodyText"/>
        <w:spacing w:line="240" w:lineRule="auto" w:before="23"/>
        <w:ind w:right="967"/>
        <w:jc w:val="left"/>
      </w:pPr>
      <w:r>
        <w:rPr>
          <w:spacing w:val="-4"/>
        </w:rPr>
        <w:t>技术要求》系列国家标准的编写，参与了《车联网网络安全防护要求》、《自动驾驶商用汽车测试场建设及自动测试规范》、</w:t>
      </w:r>
    </w:p>
    <w:p>
      <w:pPr>
        <w:pStyle w:val="BodyText"/>
        <w:spacing w:line="300" w:lineRule="auto" w:before="76"/>
        <w:ind w:right="967"/>
        <w:jc w:val="left"/>
      </w:pPr>
      <w:r>
        <w:rPr>
          <w:spacing w:val="-2"/>
        </w:rPr>
        <w:t>《</w:t>
      </w:r>
      <w:r>
        <w:rPr>
          <w:rFonts w:ascii="Times New Roman" w:hAnsi="Times New Roman" w:cs="Times New Roman" w:eastAsia="Times New Roman" w:hint="default"/>
          <w:spacing w:val="-2"/>
        </w:rPr>
        <w:t>LTE-V2X</w:t>
      </w:r>
      <w:r>
        <w:rPr>
          <w:spacing w:val="-2"/>
        </w:rPr>
        <w:t>安全技术白皮书》、《</w:t>
      </w:r>
      <w:r>
        <w:rPr>
          <w:rFonts w:ascii="Times New Roman" w:hAnsi="Times New Roman" w:cs="Times New Roman" w:eastAsia="Times New Roman" w:hint="default"/>
          <w:spacing w:val="-2"/>
        </w:rPr>
        <w:t>C-V2X</w:t>
      </w:r>
      <w:r>
        <w:rPr>
          <w:spacing w:val="-2"/>
        </w:rPr>
        <w:t>产业化路径和时间表研究白皮书》、《</w:t>
      </w:r>
      <w:r>
        <w:rPr>
          <w:rFonts w:ascii="Times New Roman" w:hAnsi="Times New Roman" w:cs="Times New Roman" w:eastAsia="Times New Roman" w:hint="default"/>
          <w:spacing w:val="-2"/>
        </w:rPr>
        <w:t>C-V2X</w:t>
      </w:r>
      <w:r>
        <w:rPr>
          <w:spacing w:val="-2"/>
        </w:rPr>
        <w:t>业务演进白皮书》等标准和白皮书的</w:t>
      </w:r>
      <w:r>
        <w:rPr>
          <w:spacing w:val="-65"/>
        </w:rPr>
        <w:t> </w:t>
      </w:r>
      <w:r>
        <w:rPr>
          <w:spacing w:val="-65"/>
        </w:rPr>
      </w:r>
      <w:r>
        <w:rPr/>
        <w:t>编写，并不断推出创新产品。</w:t>
      </w:r>
    </w:p>
    <w:p>
      <w:pPr>
        <w:pStyle w:val="BodyText"/>
        <w:spacing w:line="307" w:lineRule="auto" w:before="72"/>
        <w:ind w:right="1128" w:firstLine="360"/>
        <w:jc w:val="both"/>
      </w:pPr>
      <w:r>
        <w:rPr>
          <w:spacing w:val="-2"/>
        </w:rPr>
        <w:t>公司作为国家级高新技术企业，具备较强的技术研发实力，近年来每年研发投入都保持在较高水平，截至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rFonts w:ascii="Times New Roman" w:hAnsi="Times New Roman" w:cs="Times New Roman" w:eastAsia="Times New Roman" w:hint="default"/>
          <w:spacing w:val="1"/>
        </w:rPr>
        <w:t> </w:t>
      </w:r>
      <w:r>
        <w:rPr/>
        <w:t>日，公司拥有近</w:t>
      </w:r>
      <w:r>
        <w:rPr>
          <w:rFonts w:ascii="Times New Roman" w:hAnsi="Times New Roman" w:cs="Times New Roman" w:eastAsia="Times New Roman" w:hint="default"/>
        </w:rPr>
        <w:t>460</w:t>
      </w:r>
      <w:r>
        <w:rPr/>
        <w:t>项专利权，其中发明专利近</w:t>
      </w:r>
      <w:r>
        <w:rPr>
          <w:rFonts w:ascii="Times New Roman" w:hAnsi="Times New Roman" w:cs="Times New Roman" w:eastAsia="Times New Roman" w:hint="default"/>
        </w:rPr>
        <w:t>200</w:t>
      </w:r>
      <w:r>
        <w:rPr/>
        <w:t>项，</w:t>
      </w:r>
      <w:r>
        <w:rPr>
          <w:rFonts w:ascii="Times New Roman" w:hAnsi="Times New Roman" w:cs="Times New Roman" w:eastAsia="Times New Roman" w:hint="default"/>
        </w:rPr>
        <w:t>2019</w:t>
      </w:r>
      <w:r>
        <w:rPr/>
        <w:t>年，公司新增专利权</w:t>
      </w:r>
      <w:r>
        <w:rPr>
          <w:rFonts w:ascii="Times New Roman" w:hAnsi="Times New Roman" w:cs="Times New Roman" w:eastAsia="Times New Roman" w:hint="default"/>
        </w:rPr>
        <w:t>53</w:t>
      </w:r>
      <w:r>
        <w:rPr/>
        <w:t>项；软件著作权近</w:t>
      </w:r>
      <w:r>
        <w:rPr>
          <w:rFonts w:ascii="Times New Roman" w:hAnsi="Times New Roman" w:cs="Times New Roman" w:eastAsia="Times New Roman" w:hint="default"/>
        </w:rPr>
        <w:t>90</w:t>
      </w:r>
      <w:r>
        <w:rPr/>
        <w:t>项，</w:t>
      </w:r>
      <w:r>
        <w:rPr>
          <w:rFonts w:ascii="Times New Roman" w:hAnsi="Times New Roman" w:cs="Times New Roman" w:eastAsia="Times New Roman" w:hint="default"/>
        </w:rPr>
        <w:t>2019</w:t>
      </w:r>
      <w:r>
        <w:rPr/>
        <w:t>年新增</w:t>
      </w:r>
      <w:r>
        <w:rPr>
          <w:rFonts w:ascii="Times New Roman" w:hAnsi="Times New Roman" w:cs="Times New Roman" w:eastAsia="Times New Roman" w:hint="default"/>
        </w:rPr>
        <w:t>13</w:t>
      </w:r>
      <w:r>
        <w:rPr>
          <w:rFonts w:ascii="Times New Roman" w:hAnsi="Times New Roman" w:cs="Times New Roman" w:eastAsia="Times New Roman" w:hint="default"/>
          <w:spacing w:val="35"/>
        </w:rPr>
        <w:t> </w:t>
      </w:r>
      <w:r>
        <w:rPr>
          <w:spacing w:val="-2"/>
        </w:rPr>
        <w:t>项。公司拥有射频、微波、天线、数字电路、嵌入式系统和软件等多专业领域的技术人才，掌握了从基础芯片到终端产品的</w:t>
      </w:r>
      <w:r>
        <w:rPr>
          <w:spacing w:val="-66"/>
        </w:rPr>
        <w:t> </w:t>
      </w:r>
      <w:r>
        <w:rPr>
          <w:spacing w:val="-66"/>
        </w:rPr>
      </w:r>
      <w:r>
        <w:rPr/>
        <w:t>相关技术。</w:t>
      </w:r>
    </w:p>
    <w:p>
      <w:pPr>
        <w:spacing w:line="312" w:lineRule="auto" w:before="9"/>
        <w:ind w:left="513" w:right="967"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Microsoft JhengHei" w:hAnsi="Microsoft JhengHei" w:cs="Microsoft JhengHei" w:eastAsia="Microsoft JhengHei" w:hint="default"/>
          <w:b/>
          <w:bCs/>
          <w:sz w:val="18"/>
          <w:szCs w:val="18"/>
        </w:rPr>
        <w:t>、专业的产品制造生产基地</w:t>
      </w:r>
      <w:r>
        <w:rPr>
          <w:rFonts w:ascii="Microsoft JhengHei" w:hAnsi="Microsoft JhengHei" w:cs="Microsoft JhengHei" w:eastAsia="Microsoft JhengHei" w:hint="default"/>
          <w:b/>
          <w:bCs/>
          <w:spacing w:val="-39"/>
          <w:sz w:val="18"/>
          <w:szCs w:val="18"/>
        </w:rPr>
        <w:t> </w:t>
      </w:r>
      <w:r>
        <w:rPr>
          <w:rFonts w:ascii="Microsoft JhengHei" w:hAnsi="Microsoft JhengHei" w:cs="Microsoft JhengHei" w:eastAsia="Microsoft JhengHei" w:hint="default"/>
          <w:b/>
          <w:bCs/>
          <w:spacing w:val="-39"/>
          <w:sz w:val="18"/>
          <w:szCs w:val="18"/>
        </w:rPr>
      </w:r>
      <w:r>
        <w:rPr>
          <w:rFonts w:ascii="宋体" w:hAnsi="宋体" w:cs="宋体" w:eastAsia="宋体" w:hint="default"/>
          <w:spacing w:val="-3"/>
          <w:sz w:val="18"/>
          <w:szCs w:val="18"/>
        </w:rPr>
        <w:t>公司拥有专业的产品制造生产基地，自主设计并研发了</w:t>
      </w:r>
      <w:r>
        <w:rPr>
          <w:rFonts w:ascii="Times New Roman" w:hAnsi="Times New Roman" w:cs="Times New Roman" w:eastAsia="Times New Roman" w:hint="default"/>
          <w:spacing w:val="-3"/>
          <w:sz w:val="18"/>
          <w:szCs w:val="18"/>
        </w:rPr>
        <w:t>TIA</w:t>
      </w:r>
      <w:r>
        <w:rPr>
          <w:rFonts w:ascii="宋体" w:hAnsi="宋体" w:cs="宋体" w:eastAsia="宋体" w:hint="default"/>
          <w:spacing w:val="-3"/>
          <w:sz w:val="18"/>
          <w:szCs w:val="18"/>
        </w:rPr>
        <w:t>全面集成的自动化装配生产线，拥有行业内领先的生产技术，</w:t>
      </w:r>
    </w:p>
    <w:p>
      <w:pPr>
        <w:pStyle w:val="BodyText"/>
        <w:spacing w:line="300" w:lineRule="auto" w:before="3"/>
        <w:ind w:right="967"/>
        <w:jc w:val="left"/>
      </w:pPr>
      <w:r>
        <w:rPr>
          <w:spacing w:val="-1"/>
        </w:rPr>
        <w:t>实现了</w:t>
      </w:r>
      <w:r>
        <w:rPr>
          <w:rFonts w:ascii="Times New Roman" w:hAnsi="Times New Roman" w:cs="Times New Roman" w:eastAsia="Times New Roman" w:hint="default"/>
          <w:spacing w:val="-1"/>
        </w:rPr>
        <w:t>OBU</w:t>
      </w:r>
      <w:r>
        <w:rPr>
          <w:spacing w:val="-1"/>
        </w:rPr>
        <w:t>从贴片到组装全过程自动化生产。生产基地配备</w:t>
      </w:r>
      <w:r>
        <w:rPr>
          <w:rFonts w:ascii="Times New Roman" w:hAnsi="Times New Roman" w:cs="Times New Roman" w:eastAsia="Times New Roman" w:hint="default"/>
          <w:spacing w:val="-1"/>
        </w:rPr>
        <w:t>SMT</w:t>
      </w:r>
      <w:r>
        <w:rPr>
          <w:spacing w:val="-1"/>
        </w:rPr>
        <w:t>（表面贴装技术）生产线和装配生产线具有批量生产能力。</w:t>
      </w:r>
      <w:r>
        <w:rPr>
          <w:spacing w:val="-62"/>
        </w:rPr>
        <w:t> </w:t>
      </w:r>
      <w:r>
        <w:rPr>
          <w:spacing w:val="-62"/>
        </w:rPr>
      </w:r>
      <w:r>
        <w:rPr/>
        <w:t>公司自动化生产线的引入在提升生产效率的同时为进一步提升公司产品的质量提供了强有力的保障。</w:t>
      </w:r>
    </w:p>
    <w:p>
      <w:pPr>
        <w:pStyle w:val="BodyText"/>
        <w:spacing w:line="314" w:lineRule="auto" w:before="15"/>
        <w:ind w:left="513" w:right="967"/>
        <w:jc w:val="left"/>
      </w:pPr>
      <w:r>
        <w:rPr>
          <w:rFonts w:ascii="Times New Roman" w:hAnsi="Times New Roman" w:cs="Times New Roman" w:eastAsia="Times New Roman" w:hint="default"/>
          <w:b/>
          <w:bCs/>
        </w:rPr>
        <w:t>3</w:t>
      </w:r>
      <w:r>
        <w:rPr>
          <w:rFonts w:ascii="Microsoft JhengHei" w:hAnsi="Microsoft JhengHei" w:cs="Microsoft JhengHei" w:eastAsia="Microsoft JhengHei" w:hint="default"/>
          <w:b/>
          <w:bCs/>
        </w:rPr>
        <w:t>、严格的质量控制体系</w:t>
      </w:r>
      <w:r>
        <w:rPr>
          <w:rFonts w:ascii="Microsoft JhengHei" w:hAnsi="Microsoft JhengHei" w:cs="Microsoft JhengHei" w:eastAsia="Microsoft JhengHei" w:hint="default"/>
          <w:b/>
          <w:bCs/>
          <w:spacing w:val="-40"/>
        </w:rPr>
        <w:t> </w:t>
      </w:r>
      <w:r>
        <w:rPr>
          <w:rFonts w:ascii="Microsoft JhengHei" w:hAnsi="Microsoft JhengHei" w:cs="Microsoft JhengHei" w:eastAsia="Microsoft JhengHei" w:hint="default"/>
          <w:b/>
          <w:bCs/>
          <w:spacing w:val="-40"/>
        </w:rPr>
      </w:r>
      <w:r>
        <w:rPr>
          <w:spacing w:val="-1"/>
        </w:rPr>
        <w:t>为确保向客户提供稳定可靠的产品，公司投资建成研发自动化测试平台，建设了多个研发实验室，并通过了</w:t>
      </w:r>
      <w:r>
        <w:rPr>
          <w:rFonts w:ascii="Times New Roman" w:hAnsi="Times New Roman" w:cs="Times New Roman" w:eastAsia="Times New Roman" w:hint="default"/>
          <w:spacing w:val="-1"/>
        </w:rPr>
        <w:t>CNAS</w:t>
      </w:r>
      <w:r>
        <w:rPr>
          <w:spacing w:val="-1"/>
        </w:rPr>
        <w:t>（中</w:t>
      </w:r>
    </w:p>
    <w:p>
      <w:pPr>
        <w:pStyle w:val="BodyText"/>
        <w:spacing w:line="316" w:lineRule="auto" w:before="1"/>
        <w:ind w:right="967"/>
        <w:jc w:val="left"/>
      </w:pPr>
      <w:r>
        <w:rPr>
          <w:spacing w:val="-4"/>
        </w:rPr>
        <w:t>国合格评定国家认可委员会）的实验室认证，可完成机械可靠性、模拟应用环境、电磁兼容可靠性、环境可靠性、射频电路、</w:t>
      </w:r>
      <w:r>
        <w:rPr>
          <w:spacing w:val="-44"/>
        </w:rPr>
        <w:t> </w:t>
      </w:r>
      <w:r>
        <w:rPr>
          <w:spacing w:val="-44"/>
        </w:rPr>
      </w:r>
      <w:r>
        <w:rPr/>
        <w:t>跑车交易等多项工艺测试。</w:t>
      </w:r>
    </w:p>
    <w:p>
      <w:pPr>
        <w:pStyle w:val="BodyText"/>
        <w:spacing w:line="300" w:lineRule="auto" w:before="57"/>
        <w:ind w:right="967" w:firstLine="360"/>
        <w:jc w:val="left"/>
      </w:pPr>
      <w:r>
        <w:rPr/>
        <w:t>公司基于</w:t>
      </w:r>
      <w:r>
        <w:rPr>
          <w:rFonts w:ascii="Times New Roman" w:hAnsi="Times New Roman" w:cs="Times New Roman" w:eastAsia="Times New Roman" w:hint="default"/>
        </w:rPr>
        <w:t>ISO9001</w:t>
      </w:r>
      <w:r>
        <w:rPr/>
        <w:t>：</w:t>
      </w:r>
      <w:r>
        <w:rPr>
          <w:rFonts w:ascii="Times New Roman" w:hAnsi="Times New Roman" w:cs="Times New Roman" w:eastAsia="Times New Roman" w:hint="default"/>
        </w:rPr>
        <w:t>2015</w:t>
      </w:r>
      <w:r>
        <w:rPr/>
        <w:t>标准建立质量管理体系，用于规范和提升设计、研发、生产、采购、服务等各个业务环节的管 理工作，有效保障产品与服务的质量。同时，公司还导入</w:t>
      </w:r>
      <w:r>
        <w:rPr>
          <w:rFonts w:ascii="Times New Roman" w:hAnsi="Times New Roman" w:cs="Times New Roman" w:eastAsia="Times New Roman" w:hint="default"/>
        </w:rPr>
        <w:t>IATF16949</w:t>
      </w:r>
      <w:r>
        <w:rPr/>
        <w:t>：</w:t>
      </w:r>
      <w:r>
        <w:rPr>
          <w:rFonts w:ascii="Times New Roman" w:hAnsi="Times New Roman" w:cs="Times New Roman" w:eastAsia="Times New Roman" w:hint="default"/>
        </w:rPr>
        <w:t>2016</w:t>
      </w:r>
      <w:r>
        <w:rPr/>
        <w:t>汽车行业质量管理体系、</w:t>
      </w:r>
      <w:r>
        <w:rPr>
          <w:rFonts w:ascii="Times New Roman" w:hAnsi="Times New Roman" w:cs="Times New Roman" w:eastAsia="Times New Roman" w:hint="default"/>
        </w:rPr>
        <w:t>IECQ QC080000:2017</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33"/>
        </w:rPr>
      </w:r>
      <w:r>
        <w:rPr>
          <w:spacing w:val="-1"/>
        </w:rPr>
        <w:t>电气电子元器件和产品有害物质过程管理体系、</w:t>
      </w:r>
      <w:r>
        <w:rPr>
          <w:rFonts w:ascii="Times New Roman" w:hAnsi="Times New Roman" w:cs="Times New Roman" w:eastAsia="Times New Roman" w:hint="default"/>
          <w:spacing w:val="-1"/>
        </w:rPr>
        <w:t>ISO14001</w:t>
      </w:r>
      <w:r>
        <w:rPr>
          <w:spacing w:val="-1"/>
        </w:rPr>
        <w:t>：</w:t>
      </w:r>
      <w:r>
        <w:rPr>
          <w:rFonts w:ascii="Times New Roman" w:hAnsi="Times New Roman" w:cs="Times New Roman" w:eastAsia="Times New Roman" w:hint="default"/>
          <w:spacing w:val="-1"/>
        </w:rPr>
        <w:t>2015</w:t>
      </w:r>
      <w:r>
        <w:rPr>
          <w:spacing w:val="-1"/>
        </w:rPr>
        <w:t>环境管理体系、</w:t>
      </w:r>
      <w:r>
        <w:rPr>
          <w:rFonts w:ascii="Times New Roman" w:hAnsi="Times New Roman" w:cs="Times New Roman" w:eastAsia="Times New Roman" w:hint="default"/>
          <w:spacing w:val="-1"/>
        </w:rPr>
        <w:t>OHSAS18001:2007</w:t>
      </w:r>
      <w:r>
        <w:rPr>
          <w:spacing w:val="-1"/>
        </w:rPr>
        <w:t>职业健康安全管理体系、</w:t>
      </w:r>
      <w:r>
        <w:rPr>
          <w:spacing w:val="-55"/>
        </w:rPr>
        <w:t> </w:t>
      </w:r>
      <w:r>
        <w:rPr>
          <w:spacing w:val="-55"/>
        </w:rPr>
      </w:r>
      <w:r>
        <w:rPr>
          <w:rFonts w:ascii="Times New Roman" w:hAnsi="Times New Roman" w:cs="Times New Roman" w:eastAsia="Times New Roman" w:hint="default"/>
        </w:rPr>
        <w:t>GB/T 29490</w:t>
      </w:r>
      <w:r>
        <w:rPr/>
        <w:t>：</w:t>
      </w:r>
      <w:r>
        <w:rPr>
          <w:rFonts w:ascii="Times New Roman" w:hAnsi="Times New Roman" w:cs="Times New Roman" w:eastAsia="Times New Roman" w:hint="default"/>
        </w:rPr>
        <w:t>2013</w:t>
      </w:r>
      <w:r>
        <w:rPr/>
        <w:t>知识产权管理体系和</w:t>
      </w:r>
      <w:r>
        <w:rPr>
          <w:rFonts w:ascii="Times New Roman" w:hAnsi="Times New Roman" w:cs="Times New Roman" w:eastAsia="Times New Roman" w:hint="default"/>
        </w:rPr>
        <w:t>ISO/IEC</w:t>
      </w:r>
      <w:r>
        <w:rPr>
          <w:rFonts w:ascii="Times New Roman" w:hAnsi="Times New Roman" w:cs="Times New Roman" w:eastAsia="Times New Roman" w:hint="default"/>
          <w:spacing w:val="41"/>
        </w:rPr>
        <w:t> </w:t>
      </w:r>
      <w:r>
        <w:rPr>
          <w:rFonts w:ascii="Times New Roman" w:hAnsi="Times New Roman" w:cs="Times New Roman" w:eastAsia="Times New Roman" w:hint="default"/>
        </w:rPr>
        <w:t>27001</w:t>
      </w:r>
      <w:r>
        <w:rPr/>
        <w:t>：</w:t>
      </w:r>
      <w:r>
        <w:rPr>
          <w:rFonts w:ascii="Times New Roman" w:hAnsi="Times New Roman" w:cs="Times New Roman" w:eastAsia="Times New Roman" w:hint="default"/>
        </w:rPr>
        <w:t>2013</w:t>
      </w:r>
      <w:r>
        <w:rPr/>
        <w:t>信息安全管理体系，从而以多层面，多方位的质量控制体系生</w:t>
      </w:r>
      <w:r>
        <w:rPr>
          <w:w w:val="99"/>
        </w:rPr>
        <w:t> </w:t>
      </w:r>
      <w:r>
        <w:rPr/>
        <w:t>产产品。</w:t>
      </w:r>
    </w:p>
    <w:p>
      <w:pPr>
        <w:pStyle w:val="BodyText"/>
        <w:spacing w:line="314" w:lineRule="auto" w:before="15"/>
        <w:ind w:left="513" w:right="967"/>
        <w:jc w:val="left"/>
      </w:pPr>
      <w:r>
        <w:rPr>
          <w:rFonts w:ascii="Times New Roman" w:hAnsi="Times New Roman" w:cs="Times New Roman" w:eastAsia="Times New Roman" w:hint="default"/>
          <w:b/>
          <w:bCs/>
        </w:rPr>
        <w:t>4</w:t>
      </w:r>
      <w:r>
        <w:rPr>
          <w:rFonts w:ascii="Microsoft JhengHei" w:hAnsi="Microsoft JhengHei" w:cs="Microsoft JhengHei" w:eastAsia="Microsoft JhengHei" w:hint="default"/>
          <w:b/>
          <w:bCs/>
        </w:rPr>
        <w:t>、产学研合作优势</w:t>
      </w:r>
      <w:r>
        <w:rPr>
          <w:rFonts w:ascii="Microsoft JhengHei" w:hAnsi="Microsoft JhengHei" w:cs="Microsoft JhengHei" w:eastAsia="Microsoft JhengHei" w:hint="default"/>
          <w:b/>
          <w:bCs/>
          <w:spacing w:val="-40"/>
        </w:rPr>
        <w:t> </w:t>
      </w:r>
      <w:r>
        <w:rPr>
          <w:rFonts w:ascii="Microsoft JhengHei" w:hAnsi="Microsoft JhengHei" w:cs="Microsoft JhengHei" w:eastAsia="Microsoft JhengHei" w:hint="default"/>
          <w:b/>
          <w:bCs/>
          <w:spacing w:val="-40"/>
        </w:rPr>
      </w:r>
      <w:r>
        <w:rPr>
          <w:spacing w:val="-2"/>
        </w:rPr>
        <w:t>公司与北京航空航天大学、电子科技大学、华中师范大学、华南理工大学、北京邮电大学、同济大学、清华大学深圳研</w:t>
      </w:r>
    </w:p>
    <w:p>
      <w:pPr>
        <w:spacing w:after="0" w:line="314"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1"/>
        <w:jc w:val="both"/>
      </w:pPr>
      <w:r>
        <w:rPr>
          <w:spacing w:val="-2"/>
        </w:rPr>
        <w:t>究院、交通部公路科学研究院等著名科研院校所建立了良好的互信机制和长期的合作关系，在前沿探索、科技攻关、产品研</w:t>
      </w:r>
      <w:r>
        <w:rPr>
          <w:spacing w:val="-66"/>
        </w:rPr>
        <w:t> </w:t>
      </w:r>
      <w:r>
        <w:rPr>
          <w:spacing w:val="-66"/>
        </w:rPr>
      </w:r>
      <w:r>
        <w:rPr>
          <w:spacing w:val="-2"/>
        </w:rPr>
        <w:t>究、工程试验和应用示范等方面开展了广泛的产学研合作。公司通过与科研院校的强强联合，形成优势互补，相互促进和共</w:t>
      </w:r>
      <w:r>
        <w:rPr>
          <w:spacing w:val="-64"/>
        </w:rPr>
        <w:t> </w:t>
      </w:r>
      <w:r>
        <w:rPr>
          <w:spacing w:val="-64"/>
        </w:rPr>
      </w:r>
      <w:r>
        <w:rPr/>
        <w:t>同发展的良好局面。</w:t>
      </w:r>
    </w:p>
    <w:p>
      <w:pPr>
        <w:pStyle w:val="BodyText"/>
        <w:spacing w:line="307" w:lineRule="auto" w:before="59"/>
        <w:ind w:right="1131" w:firstLine="360"/>
        <w:jc w:val="both"/>
      </w:pPr>
      <w:r>
        <w:rPr>
          <w:spacing w:val="-2"/>
        </w:rPr>
        <w:t>公司</w:t>
      </w:r>
      <w:r>
        <w:rPr>
          <w:rFonts w:ascii="Times New Roman" w:hAnsi="Times New Roman" w:cs="Times New Roman" w:eastAsia="Times New Roman" w:hint="default"/>
          <w:spacing w:val="-2"/>
        </w:rPr>
        <w:t>2017</w:t>
      </w:r>
      <w:r>
        <w:rPr>
          <w:spacing w:val="-2"/>
        </w:rPr>
        <w:t>年获批了</w:t>
      </w:r>
      <w:r>
        <w:rPr>
          <w:rFonts w:ascii="Times New Roman" w:hAnsi="Times New Roman" w:cs="Times New Roman" w:eastAsia="Times New Roman" w:hint="default"/>
          <w:spacing w:val="-2"/>
        </w:rPr>
        <w:t>“</w:t>
      </w:r>
      <w:r>
        <w:rPr>
          <w:spacing w:val="-2"/>
        </w:rPr>
        <w:t>交通运输部智能车路协同关键技术及装备行业研发中心</w:t>
      </w:r>
      <w:r>
        <w:rPr>
          <w:rFonts w:ascii="Times New Roman" w:hAnsi="Times New Roman" w:cs="Times New Roman" w:eastAsia="Times New Roman" w:hint="default"/>
          <w:spacing w:val="-2"/>
        </w:rPr>
        <w:t>”</w:t>
      </w:r>
      <w:r>
        <w:rPr>
          <w:spacing w:val="-2"/>
        </w:rPr>
        <w:t>。该中心集合了交通部公路科学研究院、广</w:t>
      </w:r>
      <w:r>
        <w:rPr/>
        <w:t> </w:t>
      </w:r>
      <w:r>
        <w:rPr>
          <w:spacing w:val="-2"/>
        </w:rPr>
        <w:t>东省交通集团、同济大学、清华大学深圳研究院、北汽研究总院等五家一流科研机构和企业。公司将充分发挥在这一平台的</w:t>
      </w:r>
      <w:r>
        <w:rPr>
          <w:spacing w:val="-64"/>
        </w:rPr>
        <w:t> </w:t>
      </w:r>
      <w:r>
        <w:rPr>
          <w:spacing w:val="-64"/>
        </w:rPr>
      </w:r>
      <w:r>
        <w:rPr>
          <w:spacing w:val="-1"/>
        </w:rPr>
        <w:t>主导作用，与其他五家联合单位一起，共同打造</w:t>
      </w:r>
      <w:r>
        <w:rPr>
          <w:rFonts w:ascii="Times New Roman" w:hAnsi="Times New Roman" w:cs="Times New Roman" w:eastAsia="Times New Roman" w:hint="default"/>
          <w:spacing w:val="-1"/>
        </w:rPr>
        <w:t>“</w:t>
      </w:r>
      <w:r>
        <w:rPr>
          <w:spacing w:val="-1"/>
        </w:rPr>
        <w:t>政产学研用</w:t>
      </w:r>
      <w:r>
        <w:rPr>
          <w:rFonts w:ascii="Times New Roman" w:hAnsi="Times New Roman" w:cs="Times New Roman" w:eastAsia="Times New Roman" w:hint="default"/>
          <w:spacing w:val="-1"/>
        </w:rPr>
        <w:t>”</w:t>
      </w:r>
      <w:r>
        <w:rPr>
          <w:spacing w:val="-1"/>
        </w:rPr>
        <w:t>合作创新平台，推进我国</w:t>
      </w:r>
      <w:r>
        <w:rPr>
          <w:rFonts w:ascii="Times New Roman" w:hAnsi="Times New Roman" w:cs="Times New Roman" w:eastAsia="Times New Roman" w:hint="default"/>
          <w:spacing w:val="-1"/>
        </w:rPr>
        <w:t>V2X</w:t>
      </w:r>
      <w:r>
        <w:rPr>
          <w:spacing w:val="-1"/>
        </w:rPr>
        <w:t>车路协同领域的技术进展和创新</w:t>
      </w:r>
      <w:r>
        <w:rPr/>
        <w:t> 应用。</w:t>
      </w:r>
    </w:p>
    <w:p>
      <w:pPr>
        <w:pStyle w:val="BodyText"/>
        <w:spacing w:line="314" w:lineRule="auto" w:before="7"/>
        <w:ind w:left="513" w:right="967"/>
        <w:jc w:val="left"/>
      </w:pPr>
      <w:r>
        <w:rPr>
          <w:rFonts w:ascii="Times New Roman" w:hAnsi="Times New Roman" w:cs="Times New Roman" w:eastAsia="Times New Roman" w:hint="default"/>
          <w:b/>
          <w:bCs/>
        </w:rPr>
        <w:t>5</w:t>
      </w:r>
      <w:r>
        <w:rPr>
          <w:rFonts w:ascii="Microsoft JhengHei" w:hAnsi="Microsoft JhengHei" w:cs="Microsoft JhengHei" w:eastAsia="Microsoft JhengHei" w:hint="default"/>
          <w:b/>
          <w:bCs/>
        </w:rPr>
        <w:t>、服务优势</w:t>
      </w:r>
      <w:r>
        <w:rPr>
          <w:rFonts w:ascii="Microsoft JhengHei" w:hAnsi="Microsoft JhengHei" w:cs="Microsoft JhengHei" w:eastAsia="Microsoft JhengHei" w:hint="default"/>
          <w:b/>
          <w:bCs/>
          <w:spacing w:val="-42"/>
        </w:rPr>
        <w:t> </w:t>
      </w:r>
      <w:r>
        <w:rPr>
          <w:rFonts w:ascii="Microsoft JhengHei" w:hAnsi="Microsoft JhengHei" w:cs="Microsoft JhengHei" w:eastAsia="Microsoft JhengHei" w:hint="default"/>
          <w:b/>
          <w:bCs/>
          <w:spacing w:val="-42"/>
        </w:rPr>
      </w:r>
      <w:r>
        <w:rPr>
          <w:spacing w:val="-2"/>
        </w:rPr>
        <w:t>公司秉承</w:t>
      </w:r>
      <w:r>
        <w:rPr>
          <w:rFonts w:ascii="Times New Roman" w:hAnsi="Times New Roman" w:cs="Times New Roman" w:eastAsia="Times New Roman" w:hint="default"/>
          <w:spacing w:val="-2"/>
        </w:rPr>
        <w:t>“</w:t>
      </w:r>
      <w:r>
        <w:rPr>
          <w:spacing w:val="-2"/>
        </w:rPr>
        <w:t>聚焦客户、追求卓越</w:t>
      </w:r>
      <w:r>
        <w:rPr>
          <w:rFonts w:ascii="Times New Roman" w:hAnsi="Times New Roman" w:cs="Times New Roman" w:eastAsia="Times New Roman" w:hint="default"/>
          <w:spacing w:val="-2"/>
        </w:rPr>
        <w:t>”</w:t>
      </w:r>
      <w:r>
        <w:rPr>
          <w:spacing w:val="-2"/>
        </w:rPr>
        <w:t>的服务理念，通过多种方式为客户提供全面、高效的售后服务。同时，公司的服务网络</w:t>
      </w:r>
    </w:p>
    <w:p>
      <w:pPr>
        <w:pStyle w:val="BodyText"/>
        <w:spacing w:line="319" w:lineRule="auto" w:before="1"/>
        <w:ind w:right="1131"/>
        <w:jc w:val="both"/>
      </w:pPr>
      <w:r>
        <w:rPr>
          <w:spacing w:val="-2"/>
        </w:rPr>
        <w:t>在深圳、广州、北京、杭州、无锡、成都、武汉、青岛、昆明、南京、沈阳、西安等多个城市设有本土化的服务队伍，能够</w:t>
      </w:r>
      <w:r>
        <w:rPr>
          <w:spacing w:val="-71"/>
        </w:rPr>
        <w:t> </w:t>
      </w:r>
      <w:r>
        <w:rPr>
          <w:spacing w:val="-71"/>
        </w:rPr>
      </w:r>
      <w:r>
        <w:rPr>
          <w:spacing w:val="-2"/>
        </w:rPr>
        <w:t>快速响应客户需求，高效为客户提供服务支持。公司的服务包含从产品交付、设备安装、培训管理、售后维护、客户投诉管</w:t>
      </w:r>
      <w:r>
        <w:rPr>
          <w:spacing w:val="-68"/>
        </w:rPr>
        <w:t> </w:t>
      </w:r>
      <w:r>
        <w:rPr>
          <w:spacing w:val="-68"/>
        </w:rPr>
      </w:r>
      <w:r>
        <w:rPr/>
        <w:t>理以及产品使用跟踪管理的完整过程。</w:t>
      </w:r>
    </w:p>
    <w:p>
      <w:pPr>
        <w:pStyle w:val="BodyText"/>
        <w:spacing w:line="312" w:lineRule="auto"/>
        <w:ind w:left="513" w:right="1053"/>
        <w:jc w:val="left"/>
      </w:pPr>
      <w:r>
        <w:rPr>
          <w:rFonts w:ascii="Times New Roman" w:hAnsi="Times New Roman" w:cs="Times New Roman" w:eastAsia="Times New Roman" w:hint="default"/>
          <w:b/>
          <w:bCs/>
        </w:rPr>
        <w:t>6</w:t>
      </w:r>
      <w:r>
        <w:rPr>
          <w:rFonts w:ascii="Microsoft JhengHei" w:hAnsi="Microsoft JhengHei" w:cs="Microsoft JhengHei" w:eastAsia="Microsoft JhengHei" w:hint="default"/>
          <w:b/>
          <w:bCs/>
        </w:rPr>
        <w:t>、丰富的项目经验</w:t>
      </w:r>
      <w:r>
        <w:rPr>
          <w:rFonts w:ascii="Microsoft JhengHei" w:hAnsi="Microsoft JhengHei" w:cs="Microsoft JhengHei" w:eastAsia="Microsoft JhengHei" w:hint="default"/>
          <w:b/>
          <w:bCs/>
          <w:spacing w:val="-40"/>
        </w:rPr>
        <w:t> </w:t>
      </w:r>
      <w:r>
        <w:rPr>
          <w:rFonts w:ascii="Microsoft JhengHei" w:hAnsi="Microsoft JhengHei" w:cs="Microsoft JhengHei" w:eastAsia="Microsoft JhengHei" w:hint="default"/>
          <w:b/>
          <w:bCs/>
          <w:spacing w:val="-40"/>
        </w:rPr>
      </w:r>
      <w:r>
        <w:rPr/>
        <w:t>公司开发了以车辆身份识别和电子支付为核心技术的系列产品，公司高速公路</w:t>
      </w:r>
      <w:r>
        <w:rPr>
          <w:rFonts w:ascii="Times New Roman" w:hAnsi="Times New Roman" w:cs="Times New Roman" w:eastAsia="Times New Roman" w:hint="default"/>
        </w:rPr>
        <w:t>ETC</w:t>
      </w:r>
      <w:r>
        <w:rPr/>
        <w:t>产品已在北京、河北、河南、广东、</w:t>
      </w:r>
    </w:p>
    <w:p>
      <w:pPr>
        <w:pStyle w:val="BodyText"/>
        <w:spacing w:line="304" w:lineRule="auto" w:before="3"/>
        <w:ind w:right="967"/>
        <w:jc w:val="left"/>
      </w:pPr>
      <w:r>
        <w:rPr/>
        <w:t>江苏、江西、四川、辽宁、新疆等全国</w:t>
      </w:r>
      <w:r>
        <w:rPr>
          <w:rFonts w:ascii="Times New Roman" w:hAnsi="Times New Roman" w:cs="Times New Roman" w:eastAsia="Times New Roman" w:hint="default"/>
        </w:rPr>
        <w:t>29</w:t>
      </w:r>
      <w:r>
        <w:rPr/>
        <w:t>个省市广泛应用，满足各个地区的差异化需求；公司</w:t>
      </w:r>
      <w:r>
        <w:rPr>
          <w:rFonts w:ascii="Times New Roman" w:hAnsi="Times New Roman" w:cs="Times New Roman" w:eastAsia="Times New Roman" w:hint="default"/>
        </w:rPr>
        <w:t>ETC</w:t>
      </w:r>
      <w:r>
        <w:rPr/>
        <w:t>技术及产品亦应用于</w:t>
      </w:r>
      <w:r>
        <w:rPr>
          <w:rFonts w:ascii="Times New Roman" w:hAnsi="Times New Roman" w:cs="Times New Roman" w:eastAsia="Times New Roman" w:hint="default"/>
        </w:rPr>
        <w:t>“</w:t>
      </w:r>
      <w:r>
        <w:rPr/>
        <w:t>鸟</w:t>
      </w:r>
      <w:r>
        <w:rPr>
          <w:spacing w:val="-57"/>
        </w:rPr>
        <w:t> </w:t>
      </w:r>
      <w:r>
        <w:rPr/>
        <w:t>巢</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水立方</w:t>
      </w:r>
      <w:r>
        <w:rPr>
          <w:rFonts w:ascii="Times New Roman" w:hAnsi="Times New Roman" w:cs="Times New Roman" w:eastAsia="Times New Roman" w:hint="default"/>
        </w:rPr>
        <w:t>”</w:t>
      </w:r>
      <w:r>
        <w:rPr/>
        <w:t>、云南昆明长水机场、湖南韶山旅游风景区、中山大学、北京大兴国际机场、浙江大学车辆等停车场管理系</w:t>
      </w:r>
      <w:r>
        <w:rPr>
          <w:spacing w:val="-60"/>
        </w:rPr>
        <w:t> </w:t>
      </w:r>
      <w:r>
        <w:rPr>
          <w:spacing w:val="-60"/>
        </w:rPr>
      </w:r>
      <w:r>
        <w:rPr>
          <w:spacing w:val="-4"/>
        </w:rPr>
        <w:t>统项目；公司亦主导或参与了浙江省高速公路多义性路径识别系统项目、武汉市路桥多车道自由流电子不停车收费系统项目；</w:t>
      </w:r>
      <w:r>
        <w:rPr>
          <w:spacing w:val="-44"/>
        </w:rPr>
        <w:t> </w:t>
      </w:r>
      <w:r>
        <w:rPr>
          <w:spacing w:val="-44"/>
        </w:rPr>
      </w:r>
      <w:r>
        <w:rPr/>
        <w:t>公司</w:t>
      </w:r>
      <w:r>
        <w:rPr>
          <w:rFonts w:ascii="Times New Roman" w:hAnsi="Times New Roman" w:cs="Times New Roman" w:eastAsia="Times New Roman" w:hint="default"/>
        </w:rPr>
        <w:t>V2X</w:t>
      </w:r>
      <w:r>
        <w:rPr/>
        <w:t>技术及产品参与了深圳福田保税区智能驾驶巴士示范基地项目、全国首次自动驾驶汽车列队跟驰标准公开验证试</w:t>
      </w:r>
      <w:r>
        <w:rPr>
          <w:spacing w:val="2"/>
        </w:rPr>
        <w:t> </w:t>
      </w:r>
      <w:r>
        <w:rPr>
          <w:spacing w:val="2"/>
        </w:rPr>
      </w:r>
      <w:r>
        <w:rPr/>
        <w:t>验、深圳宝安会展中心项目等，在行业内树立了良好的品牌形象。</w:t>
      </w:r>
    </w:p>
    <w:p>
      <w:pPr>
        <w:spacing w:after="0" w:line="304"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456" w:lineRule="exact"/>
        <w:ind w:left="3045" w:right="967"/>
        <w:jc w:val="left"/>
        <w:rPr>
          <w:b w:val="0"/>
          <w:bCs w:val="0"/>
        </w:rPr>
      </w:pPr>
      <w:bookmarkStart w:name="_TOC_250009" w:id="4"/>
      <w:r>
        <w:rPr/>
        <w:t>第四节经营情况讨论与分析</w:t>
      </w:r>
      <w:bookmarkEnd w:id="4"/>
      <w:r>
        <w:rPr>
          <w:b w:val="0"/>
          <w:bCs w:val="0"/>
        </w:rPr>
      </w:r>
    </w:p>
    <w:p>
      <w:pPr>
        <w:spacing w:line="240" w:lineRule="auto" w:before="12"/>
        <w:rPr>
          <w:rFonts w:ascii="Microsoft JhengHei" w:hAnsi="Microsoft JhengHei" w:cs="Microsoft JhengHei" w:eastAsia="Microsoft JhengHei" w:hint="default"/>
          <w:b/>
          <w:bCs/>
          <w:sz w:val="25"/>
          <w:szCs w:val="25"/>
        </w:rPr>
      </w:pPr>
    </w:p>
    <w:p>
      <w:pPr>
        <w:pStyle w:val="Heading2"/>
        <w:spacing w:line="367" w:lineRule="exact"/>
        <w:ind w:right="967"/>
        <w:jc w:val="left"/>
        <w:rPr>
          <w:b w:val="0"/>
          <w:bCs w:val="0"/>
        </w:rPr>
      </w:pPr>
      <w:r>
        <w:rPr/>
        <w:t>一、概述</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00" w:lineRule="auto"/>
        <w:ind w:right="1131" w:firstLine="36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spacing w:val="-4"/>
        </w:rPr>
        <w:t>年，</w:t>
      </w:r>
      <w:r>
        <w:rPr>
          <w:rFonts w:ascii="Times New Roman" w:hAnsi="Times New Roman" w:cs="Times New Roman" w:eastAsia="Times New Roman" w:hint="default"/>
          <w:spacing w:val="-4"/>
        </w:rPr>
        <w:t>ETC</w:t>
      </w:r>
      <w:r>
        <w:rPr>
          <w:rFonts w:ascii="Times New Roman" w:hAnsi="Times New Roman" w:cs="Times New Roman" w:eastAsia="Times New Roman" w:hint="default"/>
          <w:spacing w:val="-8"/>
        </w:rPr>
        <w:t> </w:t>
      </w:r>
      <w:r>
        <w:rPr/>
        <w:t>行业受益于取消省界收费站政策推动而高度景气，行业出现爆发性增长，各省大力开展高速</w:t>
      </w:r>
      <w:r>
        <w:rPr>
          <w:spacing w:val="-51"/>
        </w:rPr>
        <w:t> </w:t>
      </w:r>
      <w:r>
        <w:rPr>
          <w:rFonts w:ascii="Times New Roman" w:hAnsi="Times New Roman" w:cs="Times New Roman" w:eastAsia="Times New Roman" w:hint="default"/>
        </w:rPr>
        <w:t>ETC</w:t>
      </w:r>
      <w:r>
        <w:rPr>
          <w:rFonts w:ascii="Times New Roman" w:hAnsi="Times New Roman" w:cs="Times New Roman" w:eastAsia="Times New Roman" w:hint="default"/>
          <w:spacing w:val="-8"/>
        </w:rPr>
        <w:t> </w:t>
      </w:r>
      <w:r>
        <w:rPr/>
        <w:t>相关工 程建设以及</w:t>
      </w:r>
      <w:r>
        <w:rPr>
          <w:spacing w:val="-37"/>
        </w:rPr>
        <w:t> </w:t>
      </w:r>
      <w:r>
        <w:rPr>
          <w:rFonts w:ascii="Times New Roman" w:hAnsi="Times New Roman" w:cs="Times New Roman" w:eastAsia="Times New Roman" w:hint="default"/>
        </w:rPr>
        <w:t>ETC</w:t>
      </w:r>
      <w:r>
        <w:rPr>
          <w:rFonts w:ascii="Times New Roman" w:hAnsi="Times New Roman" w:cs="Times New Roman" w:eastAsia="Times New Roman" w:hint="default"/>
          <w:spacing w:val="8"/>
        </w:rPr>
        <w:t> </w:t>
      </w:r>
      <w:r>
        <w:rPr/>
        <w:t>用户发展，</w:t>
      </w:r>
      <w:r>
        <w:rPr>
          <w:rFonts w:ascii="Times New Roman" w:hAnsi="Times New Roman" w:cs="Times New Roman" w:eastAsia="Times New Roman" w:hint="default"/>
        </w:rPr>
        <w:t>ETC</w:t>
      </w:r>
      <w:r>
        <w:rPr>
          <w:rFonts w:ascii="Times New Roman" w:hAnsi="Times New Roman" w:cs="Times New Roman" w:eastAsia="Times New Roman" w:hint="default"/>
          <w:spacing w:val="8"/>
        </w:rPr>
        <w:t> </w:t>
      </w:r>
      <w:r>
        <w:rPr/>
        <w:t>相关设备需求量大增，公司业绩实现大幅增长，公司实现营业收入</w:t>
      </w:r>
      <w:r>
        <w:rPr>
          <w:spacing w:val="-35"/>
        </w:rPr>
        <w:t> </w:t>
      </w:r>
      <w:r>
        <w:rPr>
          <w:rFonts w:ascii="Times New Roman" w:hAnsi="Times New Roman" w:cs="Times New Roman" w:eastAsia="Times New Roman" w:hint="default"/>
        </w:rPr>
        <w:t>28.60</w:t>
      </w:r>
      <w:r>
        <w:rPr>
          <w:rFonts w:ascii="Times New Roman" w:hAnsi="Times New Roman" w:cs="Times New Roman" w:eastAsia="Times New Roman" w:hint="default"/>
          <w:spacing w:val="9"/>
        </w:rPr>
        <w:t> </w:t>
      </w:r>
      <w:r>
        <w:rPr/>
        <w:t>亿元，比上年同 期上升</w:t>
      </w:r>
      <w:r>
        <w:rPr>
          <w:spacing w:val="-47"/>
        </w:rPr>
        <w:t> </w:t>
      </w:r>
      <w:r>
        <w:rPr>
          <w:rFonts w:ascii="Times New Roman" w:hAnsi="Times New Roman" w:cs="Times New Roman" w:eastAsia="Times New Roman" w:hint="default"/>
        </w:rPr>
        <w:t>373.49%</w:t>
      </w:r>
      <w:r>
        <w:rPr/>
        <w:t>，实现归属于上市公司股东的净利润</w:t>
      </w:r>
      <w:r>
        <w:rPr>
          <w:spacing w:val="-47"/>
        </w:rPr>
        <w:t> </w:t>
      </w:r>
      <w:r>
        <w:rPr>
          <w:rFonts w:ascii="Times New Roman" w:hAnsi="Times New Roman" w:cs="Times New Roman" w:eastAsia="Times New Roman" w:hint="default"/>
        </w:rPr>
        <w:t>8.75</w:t>
      </w:r>
      <w:r>
        <w:rPr>
          <w:rFonts w:ascii="Times New Roman" w:hAnsi="Times New Roman" w:cs="Times New Roman" w:eastAsia="Times New Roman" w:hint="default"/>
          <w:spacing w:val="-1"/>
        </w:rPr>
        <w:t> </w:t>
      </w:r>
      <w:r>
        <w:rPr/>
        <w:t>亿元。</w:t>
      </w:r>
    </w:p>
    <w:p>
      <w:pPr>
        <w:pStyle w:val="Heading5"/>
        <w:spacing w:line="307" w:lineRule="exact"/>
        <w:ind w:right="967"/>
        <w:jc w:val="left"/>
        <w:rPr>
          <w:b w:val="0"/>
          <w:bCs w:val="0"/>
        </w:rPr>
      </w:pPr>
      <w:r>
        <w:rPr/>
        <w:t>（一）</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年行业和市场总结</w:t>
      </w:r>
      <w:r>
        <w:rPr>
          <w:b w:val="0"/>
          <w:bCs w:val="0"/>
        </w:rPr>
      </w:r>
    </w:p>
    <w:p>
      <w:pPr>
        <w:pStyle w:val="BodyText"/>
        <w:spacing w:line="300" w:lineRule="auto" w:before="97"/>
        <w:ind w:right="1114" w:firstLine="360"/>
        <w:jc w:val="both"/>
      </w:pPr>
      <w:r>
        <w:rPr/>
        <w:t>高速公路</w:t>
      </w:r>
      <w:r>
        <w:rPr>
          <w:spacing w:val="-46"/>
        </w:rPr>
        <w:t> </w:t>
      </w:r>
      <w:r>
        <w:rPr>
          <w:rFonts w:ascii="Times New Roman" w:hAnsi="Times New Roman" w:cs="Times New Roman" w:eastAsia="Times New Roman" w:hint="default"/>
        </w:rPr>
        <w:t>ETC</w:t>
      </w:r>
      <w:r>
        <w:rPr>
          <w:rFonts w:ascii="Times New Roman" w:hAnsi="Times New Roman" w:cs="Times New Roman" w:eastAsia="Times New Roman" w:hint="default"/>
          <w:spacing w:val="-1"/>
        </w:rPr>
        <w:t> </w:t>
      </w:r>
      <w:r>
        <w:rPr/>
        <w:t>领域，</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月份国务院办公厅印发《深化收费公路制度改革取消高速公路省界收费站实施方案》， 要求年内基本实现取消省界收费站的目标，各省大力发展</w:t>
      </w:r>
      <w:r>
        <w:rPr>
          <w:spacing w:val="-42"/>
        </w:rPr>
        <w:t> </w:t>
      </w:r>
      <w:r>
        <w:rPr>
          <w:rFonts w:ascii="Times New Roman" w:hAnsi="Times New Roman" w:cs="Times New Roman" w:eastAsia="Times New Roman" w:hint="default"/>
        </w:rPr>
        <w:t>ETC</w:t>
      </w:r>
      <w:r>
        <w:rPr>
          <w:rFonts w:ascii="Times New Roman" w:hAnsi="Times New Roman" w:cs="Times New Roman" w:eastAsia="Times New Roman" w:hint="default"/>
          <w:spacing w:val="3"/>
        </w:rPr>
        <w:t> </w:t>
      </w:r>
      <w:r>
        <w:rPr/>
        <w:t>用户，根据交通运输部公布的数据，截至</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2"/>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日，全国 </w:t>
      </w:r>
      <w:r>
        <w:rPr>
          <w:rFonts w:ascii="Times New Roman" w:hAnsi="Times New Roman" w:cs="Times New Roman" w:eastAsia="Times New Roman" w:hint="default"/>
        </w:rPr>
        <w:t>ETC </w:t>
      </w:r>
      <w:r>
        <w:rPr/>
        <w:t>用户累计达到</w:t>
      </w:r>
      <w:r>
        <w:rPr>
          <w:spacing w:val="-46"/>
        </w:rPr>
        <w:t> </w:t>
      </w:r>
      <w:r>
        <w:rPr>
          <w:rFonts w:ascii="Times New Roman" w:hAnsi="Times New Roman" w:cs="Times New Roman" w:eastAsia="Times New Roman" w:hint="default"/>
        </w:rPr>
        <w:t>2.04</w:t>
      </w:r>
      <w:r>
        <w:rPr>
          <w:rFonts w:ascii="Times New Roman" w:hAnsi="Times New Roman" w:cs="Times New Roman" w:eastAsia="Times New Roman" w:hint="default"/>
          <w:spacing w:val="1"/>
        </w:rPr>
        <w:t> </w:t>
      </w:r>
      <w:r>
        <w:rPr/>
        <w:t>亿，新增</w:t>
      </w:r>
      <w:r>
        <w:rPr>
          <w:spacing w:val="-46"/>
        </w:rPr>
        <w:t> </w:t>
      </w:r>
      <w:r>
        <w:rPr>
          <w:rFonts w:ascii="Times New Roman" w:hAnsi="Times New Roman" w:cs="Times New Roman" w:eastAsia="Times New Roman" w:hint="default"/>
        </w:rPr>
        <w:t>ETC </w:t>
      </w:r>
      <w:r>
        <w:rPr/>
        <w:t>用户</w:t>
      </w:r>
      <w:r>
        <w:rPr>
          <w:spacing w:val="-46"/>
        </w:rPr>
        <w:t> </w:t>
      </w:r>
      <w:r>
        <w:rPr>
          <w:rFonts w:ascii="Times New Roman" w:hAnsi="Times New Roman" w:cs="Times New Roman" w:eastAsia="Times New Roman" w:hint="default"/>
        </w:rPr>
        <w:t>1.23</w:t>
      </w:r>
      <w:r>
        <w:rPr>
          <w:rFonts w:ascii="Times New Roman" w:hAnsi="Times New Roman" w:cs="Times New Roman" w:eastAsia="Times New Roman" w:hint="default"/>
          <w:spacing w:val="1"/>
        </w:rPr>
        <w:t> </w:t>
      </w:r>
      <w:r>
        <w:rPr/>
        <w:t>亿，完成</w:t>
      </w:r>
      <w:r>
        <w:rPr>
          <w:spacing w:val="-46"/>
        </w:rPr>
        <w:t> </w:t>
      </w:r>
      <w:r>
        <w:rPr>
          <w:rFonts w:ascii="Times New Roman" w:hAnsi="Times New Roman" w:cs="Times New Roman" w:eastAsia="Times New Roman" w:hint="default"/>
        </w:rPr>
        <w:t>ETC</w:t>
      </w:r>
      <w:r>
        <w:rPr>
          <w:rFonts w:ascii="Times New Roman" w:hAnsi="Times New Roman" w:cs="Times New Roman" w:eastAsia="Times New Roman" w:hint="default"/>
          <w:spacing w:val="-1"/>
        </w:rPr>
        <w:t> </w:t>
      </w:r>
      <w:r>
        <w:rPr/>
        <w:t>发行目标任务的</w:t>
      </w:r>
      <w:r>
        <w:rPr>
          <w:spacing w:val="-45"/>
        </w:rPr>
        <w:t> </w:t>
      </w:r>
      <w:r>
        <w:rPr>
          <w:rFonts w:ascii="Times New Roman" w:hAnsi="Times New Roman" w:cs="Times New Roman" w:eastAsia="Times New Roman" w:hint="default"/>
        </w:rPr>
        <w:t>106.81%</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年全国高速公路收费系统完 成了改造，年底基本实现了取消省界收费站的目标。</w:t>
      </w:r>
    </w:p>
    <w:p>
      <w:pPr>
        <w:pStyle w:val="BodyText"/>
        <w:spacing w:line="300" w:lineRule="auto" w:before="72"/>
        <w:ind w:right="1131" w:firstLine="360"/>
        <w:jc w:val="both"/>
      </w:pPr>
      <w:r>
        <w:rPr/>
        <w:t>城市</w:t>
      </w:r>
      <w:r>
        <w:rPr>
          <w:spacing w:val="-44"/>
        </w:rPr>
        <w:t> </w:t>
      </w:r>
      <w:r>
        <w:rPr>
          <w:rFonts w:ascii="Times New Roman" w:hAnsi="Times New Roman" w:cs="Times New Roman" w:eastAsia="Times New Roman" w:hint="default"/>
        </w:rPr>
        <w:t>ETC</w:t>
      </w:r>
      <w:r>
        <w:rPr>
          <w:rFonts w:ascii="Times New Roman" w:hAnsi="Times New Roman" w:cs="Times New Roman" w:eastAsia="Times New Roman" w:hint="default"/>
          <w:spacing w:val="1"/>
        </w:rPr>
        <w:t> </w:t>
      </w:r>
      <w:r>
        <w:rPr>
          <w:spacing w:val="-9"/>
        </w:rPr>
        <w:t>领域，</w:t>
      </w:r>
      <w:r>
        <w:rPr>
          <w:rFonts w:ascii="Times New Roman" w:hAnsi="Times New Roman" w:cs="Times New Roman" w:eastAsia="Times New Roman" w:hint="default"/>
          <w:spacing w:val="-9"/>
        </w:rPr>
        <w:t>2019</w:t>
      </w:r>
      <w:r>
        <w:rPr>
          <w:rFonts w:ascii="Times New Roman" w:hAnsi="Times New Roman" w:cs="Times New Roman" w:eastAsia="Times New Roman" w:hint="default"/>
        </w:rPr>
        <w:t> </w:t>
      </w:r>
      <w:r>
        <w:rPr/>
        <w:t>年</w:t>
      </w:r>
      <w:r>
        <w:rPr>
          <w:spacing w:val="-44"/>
        </w:rPr>
        <w:t> </w:t>
      </w:r>
      <w:r>
        <w:rPr>
          <w:rFonts w:ascii="Times New Roman" w:hAnsi="Times New Roman" w:cs="Times New Roman" w:eastAsia="Times New Roman" w:hint="default"/>
        </w:rPr>
        <w:t>ETC</w:t>
      </w:r>
      <w:r>
        <w:rPr>
          <w:rFonts w:ascii="Times New Roman" w:hAnsi="Times New Roman" w:cs="Times New Roman" w:eastAsia="Times New Roman" w:hint="default"/>
          <w:spacing w:val="1"/>
        </w:rPr>
        <w:t> </w:t>
      </w:r>
      <w:r>
        <w:rPr>
          <w:spacing w:val="-3"/>
        </w:rPr>
        <w:t>在停车高频次消费领域的应用规模尚未明显加速，但随着</w:t>
      </w:r>
      <w:r>
        <w:rPr>
          <w:spacing w:val="-43"/>
        </w:rPr>
        <w:t> </w:t>
      </w:r>
      <w:r>
        <w:rPr>
          <w:rFonts w:ascii="Times New Roman" w:hAnsi="Times New Roman" w:cs="Times New Roman" w:eastAsia="Times New Roman" w:hint="default"/>
        </w:rPr>
        <w:t>ETC</w:t>
      </w:r>
      <w:r>
        <w:rPr>
          <w:rFonts w:ascii="Times New Roman" w:hAnsi="Times New Roman" w:cs="Times New Roman" w:eastAsia="Times New Roman" w:hint="default"/>
          <w:spacing w:val="1"/>
        </w:rPr>
        <w:t> </w:t>
      </w:r>
      <w:r>
        <w:rPr>
          <w:spacing w:val="-6"/>
        </w:rPr>
        <w:t>的普及，城市停车引入</w:t>
      </w:r>
      <w:r>
        <w:rPr>
          <w:spacing w:val="-43"/>
        </w:rPr>
        <w:t> </w:t>
      </w:r>
      <w:r>
        <w:rPr>
          <w:rFonts w:ascii="Times New Roman" w:hAnsi="Times New Roman" w:cs="Times New Roman" w:eastAsia="Times New Roman" w:hint="default"/>
        </w:rPr>
        <w:t>ETC </w:t>
      </w:r>
      <w:r>
        <w:rPr/>
        <w:t>既有政策层面的支持，在行业层面亦形成共识；</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51"/>
        </w:rPr>
        <w:t> </w:t>
      </w:r>
      <w:r>
        <w:rPr>
          <w:rFonts w:ascii="Times New Roman" w:hAnsi="Times New Roman" w:cs="Times New Roman" w:eastAsia="Times New Roman" w:hint="default"/>
        </w:rPr>
        <w:t>ETC</w:t>
      </w:r>
      <w:r>
        <w:rPr>
          <w:rFonts w:ascii="Times New Roman" w:hAnsi="Times New Roman" w:cs="Times New Roman" w:eastAsia="Times New Roman" w:hint="default"/>
          <w:spacing w:val="-8"/>
        </w:rPr>
        <w:t> </w:t>
      </w:r>
      <w:r>
        <w:rPr/>
        <w:t>无感加油在部分地区开展了试点，技术和产品完成了验证，为 下一阶段大规模应用打下了基础。</w:t>
      </w:r>
    </w:p>
    <w:p>
      <w:pPr>
        <w:pStyle w:val="BodyText"/>
        <w:spacing w:line="240" w:lineRule="auto" w:before="70"/>
        <w:ind w:left="513" w:right="967"/>
        <w:jc w:val="left"/>
      </w:pPr>
      <w:r>
        <w:rPr/>
        <w:t>汽车电子标识领域，</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年在交通管理应用上，公安部交管局和公安部交通管理科学研究所持续稳步推进和深化。</w:t>
      </w:r>
    </w:p>
    <w:p>
      <w:pPr>
        <w:pStyle w:val="BodyText"/>
        <w:spacing w:line="300" w:lineRule="auto" w:before="103"/>
        <w:ind w:right="1036" w:firstLine="360"/>
        <w:jc w:val="left"/>
      </w:pPr>
      <w:r>
        <w:rPr>
          <w:rFonts w:ascii="Times New Roman" w:hAnsi="Times New Roman" w:cs="Times New Roman" w:eastAsia="Times New Roman" w:hint="default"/>
        </w:rPr>
        <w:t>V2X</w:t>
      </w:r>
      <w:r>
        <w:rPr>
          <w:rFonts w:ascii="Times New Roman" w:hAnsi="Times New Roman" w:cs="Times New Roman" w:eastAsia="Times New Roman" w:hint="default"/>
          <w:spacing w:val="6"/>
        </w:rPr>
        <w:t> </w:t>
      </w:r>
      <w:r>
        <w:rPr/>
        <w:t>领域，国家政策文件在</w:t>
      </w:r>
      <w:r>
        <w:rPr>
          <w:spacing w:val="-4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年密集出台，</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41"/>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月工信部发布</w:t>
      </w:r>
      <w:r>
        <w:rPr>
          <w:spacing w:val="-41"/>
        </w:rPr>
        <w:t> </w:t>
      </w:r>
      <w:r>
        <w:rPr>
          <w:rFonts w:ascii="Times New Roman" w:hAnsi="Times New Roman" w:cs="Times New Roman" w:eastAsia="Times New Roman" w:hint="default"/>
        </w:rPr>
        <w:t>22</w:t>
      </w:r>
      <w:r>
        <w:rPr>
          <w:rFonts w:ascii="Times New Roman" w:hAnsi="Times New Roman" w:cs="Times New Roman" w:eastAsia="Times New Roman" w:hint="default"/>
          <w:spacing w:val="5"/>
        </w:rPr>
        <w:t> </w:t>
      </w:r>
      <w:r>
        <w:rPr/>
        <w:t>个车联网</w:t>
      </w:r>
      <w:r>
        <w:rPr>
          <w:spacing w:val="-43"/>
        </w:rPr>
        <w:t> </w:t>
      </w:r>
      <w:r>
        <w:rPr>
          <w:rFonts w:ascii="Times New Roman" w:hAnsi="Times New Roman" w:cs="Times New Roman" w:eastAsia="Times New Roman" w:hint="default"/>
        </w:rPr>
        <w:t>V2X</w:t>
      </w:r>
      <w:r>
        <w:rPr>
          <w:rFonts w:ascii="Times New Roman" w:hAnsi="Times New Roman" w:cs="Times New Roman" w:eastAsia="Times New Roman" w:hint="default"/>
          <w:spacing w:val="6"/>
        </w:rPr>
        <w:t> </w:t>
      </w:r>
      <w:r>
        <w:rPr/>
        <w:t>相关标准；</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41"/>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月，中 国</w:t>
      </w:r>
      <w:r>
        <w:rPr>
          <w:spacing w:val="-45"/>
        </w:rPr>
        <w:t> </w:t>
      </w:r>
      <w:r>
        <w:rPr>
          <w:rFonts w:ascii="Times New Roman" w:hAnsi="Times New Roman" w:cs="Times New Roman" w:eastAsia="Times New Roman" w:hint="default"/>
        </w:rPr>
        <w:t>5G</w:t>
      </w:r>
      <w:r>
        <w:rPr>
          <w:rFonts w:ascii="Times New Roman" w:hAnsi="Times New Roman" w:cs="Times New Roman" w:eastAsia="Times New Roman" w:hint="default"/>
          <w:spacing w:val="-4"/>
        </w:rPr>
        <w:t> </w:t>
      </w:r>
      <w:r>
        <w:rPr/>
        <w:t>推进组发布《</w:t>
      </w:r>
      <w:r>
        <w:rPr>
          <w:rFonts w:ascii="Times New Roman" w:hAnsi="Times New Roman" w:cs="Times New Roman" w:eastAsia="Times New Roman" w:hint="default"/>
        </w:rPr>
        <w:t>LTE-V2X</w:t>
      </w:r>
      <w:r>
        <w:rPr>
          <w:rFonts w:ascii="Times New Roman" w:hAnsi="Times New Roman" w:cs="Times New Roman" w:eastAsia="Times New Roman" w:hint="default"/>
          <w:spacing w:val="-1"/>
        </w:rPr>
        <w:t> </w:t>
      </w:r>
      <w:r>
        <w:rPr/>
        <w:t>安全技术白皮书》；</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月交通运输部发布《数字交通发展规划纲要》；</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9 </w:t>
      </w:r>
      <w:r>
        <w:rPr>
          <w:spacing w:val="-3"/>
        </w:rPr>
        <w:t>月， </w:t>
      </w:r>
      <w:r>
        <w:rPr>
          <w:spacing w:val="-2"/>
        </w:rPr>
        <w:t>中共中央、国务院印发《交通强国建设纲要》，针对</w:t>
      </w:r>
      <w:r>
        <w:rPr>
          <w:spacing w:val="-35"/>
        </w:rPr>
        <w:t> </w:t>
      </w:r>
      <w:r>
        <w:rPr>
          <w:rFonts w:ascii="Times New Roman" w:hAnsi="Times New Roman" w:cs="Times New Roman" w:eastAsia="Times New Roman" w:hint="default"/>
          <w:spacing w:val="-1"/>
        </w:rPr>
        <w:t>V2X</w:t>
      </w:r>
      <w:r>
        <w:rPr>
          <w:rFonts w:ascii="Times New Roman" w:hAnsi="Times New Roman" w:cs="Times New Roman" w:eastAsia="Times New Roman" w:hint="default"/>
          <w:spacing w:val="15"/>
        </w:rPr>
        <w:t> </w:t>
      </w:r>
      <w:r>
        <w:rPr>
          <w:spacing w:val="-2"/>
        </w:rPr>
        <w:t>相关的智慧公路、数字交通建设，政策面给出了更为明确、具体、</w:t>
      </w:r>
      <w:r>
        <w:rPr>
          <w:spacing w:val="-86"/>
        </w:rPr>
        <w:t> </w:t>
      </w:r>
      <w:r>
        <w:rPr>
          <w:spacing w:val="-86"/>
        </w:rPr>
      </w:r>
      <w:r>
        <w:rPr/>
        <w:t>可行的目标、重点任务和中央财政资金补助安排。</w:t>
      </w:r>
      <w:r>
        <w:rPr>
          <w:rFonts w:ascii="Times New Roman" w:hAnsi="Times New Roman" w:cs="Times New Roman" w:eastAsia="Times New Roman" w:hint="default"/>
        </w:rPr>
        <w:t>2019 </w:t>
      </w:r>
      <w:r>
        <w:rPr/>
        <w:t>年，随着 </w:t>
      </w:r>
      <w:r>
        <w:rPr>
          <w:rFonts w:ascii="Times New Roman" w:hAnsi="Times New Roman" w:cs="Times New Roman" w:eastAsia="Times New Roman" w:hint="default"/>
        </w:rPr>
        <w:t>5G </w:t>
      </w:r>
      <w:r>
        <w:rPr/>
        <w:t>的商用和车联网政策的推行，</w:t>
      </w:r>
      <w:r>
        <w:rPr>
          <w:rFonts w:ascii="Times New Roman" w:hAnsi="Times New Roman" w:cs="Times New Roman" w:eastAsia="Times New Roman" w:hint="default"/>
        </w:rPr>
        <w:t>V2X</w:t>
      </w:r>
      <w:r>
        <w:rPr>
          <w:rFonts w:ascii="Times New Roman" w:hAnsi="Times New Roman" w:cs="Times New Roman" w:eastAsia="Times New Roman" w:hint="default"/>
          <w:spacing w:val="20"/>
        </w:rPr>
        <w:t> </w:t>
      </w:r>
      <w:r>
        <w:rPr/>
        <w:t>从产业链到标准层 面都有新的进展，并且相比原来市场预期都有所提前。</w:t>
      </w:r>
      <w:r>
        <w:rPr>
          <w:rFonts w:ascii="Times New Roman" w:hAnsi="Times New Roman" w:cs="Times New Roman" w:eastAsia="Times New Roman" w:hint="default"/>
          <w:color w:val="333333"/>
        </w:rPr>
        <w:t>2019</w:t>
      </w:r>
      <w:r>
        <w:rPr>
          <w:rFonts w:ascii="Times New Roman" w:hAnsi="Times New Roman" w:cs="Times New Roman" w:eastAsia="Times New Roman" w:hint="default"/>
          <w:color w:val="333333"/>
          <w:spacing w:val="1"/>
        </w:rPr>
        <w:t> </w:t>
      </w:r>
      <w:r>
        <w:rPr>
          <w:color w:val="333333"/>
        </w:rPr>
        <w:t>年</w:t>
      </w:r>
      <w:r>
        <w:rPr>
          <w:color w:val="333333"/>
          <w:spacing w:val="-43"/>
        </w:rPr>
        <w:t> </w:t>
      </w:r>
      <w:r>
        <w:rPr>
          <w:rFonts w:ascii="Times New Roman" w:hAnsi="Times New Roman" w:cs="Times New Roman" w:eastAsia="Times New Roman" w:hint="default"/>
          <w:color w:val="333333"/>
        </w:rPr>
        <w:t>4</w:t>
      </w:r>
      <w:r>
        <w:rPr>
          <w:rFonts w:ascii="Times New Roman" w:hAnsi="Times New Roman" w:cs="Times New Roman" w:eastAsia="Times New Roman" w:hint="default"/>
          <w:color w:val="333333"/>
          <w:spacing w:val="3"/>
        </w:rPr>
        <w:t> </w:t>
      </w:r>
      <w:r>
        <w:rPr>
          <w:color w:val="333333"/>
        </w:rPr>
        <w:t>月上海车展期间，</w:t>
      </w:r>
      <w:r>
        <w:rPr>
          <w:rFonts w:ascii="Times New Roman" w:hAnsi="Times New Roman" w:cs="Times New Roman" w:eastAsia="Times New Roman" w:hint="default"/>
          <w:color w:val="333333"/>
        </w:rPr>
        <w:t>13</w:t>
      </w:r>
      <w:r>
        <w:rPr>
          <w:rFonts w:ascii="Times New Roman" w:hAnsi="Times New Roman" w:cs="Times New Roman" w:eastAsia="Times New Roman" w:hint="default"/>
          <w:color w:val="333333"/>
          <w:spacing w:val="3"/>
        </w:rPr>
        <w:t> </w:t>
      </w:r>
      <w:r>
        <w:rPr>
          <w:color w:val="333333"/>
        </w:rPr>
        <w:t>家中国品牌车企联合进行了一个影响 未来汽车市场重大发布：推出中国车企</w:t>
      </w:r>
      <w:r>
        <w:rPr>
          <w:color w:val="333333"/>
          <w:spacing w:val="-47"/>
        </w:rPr>
        <w:t> </w:t>
      </w:r>
      <w:r>
        <w:rPr>
          <w:rFonts w:ascii="Times New Roman" w:hAnsi="Times New Roman" w:cs="Times New Roman" w:eastAsia="Times New Roman" w:hint="default"/>
          <w:color w:val="333333"/>
        </w:rPr>
        <w:t>C-V2X</w:t>
      </w:r>
      <w:r>
        <w:rPr>
          <w:rFonts w:ascii="Times New Roman" w:hAnsi="Times New Roman" w:cs="Times New Roman" w:eastAsia="Times New Roman" w:hint="default"/>
          <w:color w:val="333333"/>
          <w:spacing w:val="-1"/>
        </w:rPr>
        <w:t> </w:t>
      </w:r>
      <w:r>
        <w:rPr>
          <w:color w:val="333333"/>
          <w:spacing w:val="-4"/>
        </w:rPr>
        <w:t>商用路标，即在</w:t>
      </w:r>
      <w:r>
        <w:rPr>
          <w:color w:val="333333"/>
          <w:spacing w:val="-48"/>
        </w:rPr>
        <w:t> </w:t>
      </w:r>
      <w:r>
        <w:rPr>
          <w:rFonts w:ascii="Times New Roman" w:hAnsi="Times New Roman" w:cs="Times New Roman" w:eastAsia="Times New Roman" w:hint="default"/>
          <w:color w:val="333333"/>
        </w:rPr>
        <w:t>2020</w:t>
      </w:r>
      <w:r>
        <w:rPr>
          <w:rFonts w:ascii="Times New Roman" w:hAnsi="Times New Roman" w:cs="Times New Roman" w:eastAsia="Times New Roman" w:hint="default"/>
          <w:color w:val="333333"/>
          <w:spacing w:val="-1"/>
        </w:rPr>
        <w:t> </w:t>
      </w:r>
      <w:r>
        <w:rPr>
          <w:color w:val="333333"/>
        </w:rPr>
        <w:t>年下半年到</w:t>
      </w:r>
      <w:r>
        <w:rPr>
          <w:color w:val="333333"/>
          <w:spacing w:val="-48"/>
        </w:rPr>
        <w:t> </w:t>
      </w:r>
      <w:r>
        <w:rPr>
          <w:rFonts w:ascii="Times New Roman" w:hAnsi="Times New Roman" w:cs="Times New Roman" w:eastAsia="Times New Roman" w:hint="default"/>
          <w:color w:val="333333"/>
        </w:rPr>
        <w:t>2021</w:t>
      </w:r>
      <w:r>
        <w:rPr>
          <w:rFonts w:ascii="Times New Roman" w:hAnsi="Times New Roman" w:cs="Times New Roman" w:eastAsia="Times New Roman" w:hint="default"/>
          <w:color w:val="333333"/>
          <w:spacing w:val="-1"/>
        </w:rPr>
        <w:t> </w:t>
      </w:r>
      <w:r>
        <w:rPr>
          <w:color w:val="333333"/>
        </w:rPr>
        <w:t>上半年量产支持</w:t>
      </w:r>
      <w:r>
        <w:rPr>
          <w:color w:val="333333"/>
          <w:spacing w:val="-47"/>
        </w:rPr>
        <w:t> </w:t>
      </w:r>
      <w:r>
        <w:rPr>
          <w:rFonts w:ascii="Times New Roman" w:hAnsi="Times New Roman" w:cs="Times New Roman" w:eastAsia="Times New Roman" w:hint="default"/>
          <w:color w:val="333333"/>
        </w:rPr>
        <w:t>C-V2X</w:t>
      </w:r>
      <w:r>
        <w:rPr>
          <w:rFonts w:ascii="Times New Roman" w:hAnsi="Times New Roman" w:cs="Times New Roman" w:eastAsia="Times New Roman" w:hint="default"/>
          <w:color w:val="333333"/>
          <w:spacing w:val="-1"/>
        </w:rPr>
        <w:t> </w:t>
      </w:r>
      <w:r>
        <w:rPr>
          <w:color w:val="333333"/>
          <w:spacing w:val="-3"/>
        </w:rPr>
        <w:t>的汽车。</w:t>
      </w:r>
      <w:r>
        <w:rPr>
          <w:rFonts w:ascii="Times New Roman" w:hAnsi="Times New Roman" w:cs="Times New Roman" w:eastAsia="Times New Roman" w:hint="default"/>
          <w:spacing w:val="-3"/>
        </w:rPr>
        <w:t>2019</w:t>
      </w:r>
      <w:r>
        <w:rPr>
          <w:rFonts w:ascii="Times New Roman" w:hAnsi="Times New Roman" w:cs="Times New Roman" w:eastAsia="Times New Roman" w:hint="default"/>
        </w:rPr>
        <w:t>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月份，随着国内</w:t>
      </w:r>
      <w:r>
        <w:rPr>
          <w:rFonts w:ascii="Times New Roman" w:hAnsi="Times New Roman" w:cs="Times New Roman" w:eastAsia="Times New Roman" w:hint="default"/>
        </w:rPr>
        <w:t>“C</w:t>
      </w:r>
      <w:r>
        <w:rPr>
          <w:rFonts w:ascii="Times New Roman" w:hAnsi="Times New Roman" w:cs="Times New Roman" w:eastAsia="Times New Roman" w:hint="default"/>
        </w:rPr>
        <w:t>-</w:t>
      </w:r>
      <w:r>
        <w:rPr>
          <w:rFonts w:ascii="Times New Roman" w:hAnsi="Times New Roman" w:cs="Times New Roman" w:eastAsia="Times New Roman" w:hint="default"/>
        </w:rPr>
        <w:t>V2X”</w:t>
      </w:r>
      <w:r>
        <w:rPr/>
        <w:t>四跨（跨芯片模组、跨终端、跨整车、跨安全平台）互联互通应用示范活动的举行，国内外 </w:t>
      </w:r>
      <w:r>
        <w:rPr>
          <w:rFonts w:ascii="Times New Roman" w:hAnsi="Times New Roman" w:cs="Times New Roman" w:eastAsia="Times New Roman" w:hint="default"/>
        </w:rPr>
        <w:t>20</w:t>
      </w:r>
      <w:r>
        <w:rPr>
          <w:rFonts w:ascii="Times New Roman" w:hAnsi="Times New Roman" w:cs="Times New Roman" w:eastAsia="Times New Roman" w:hint="default"/>
          <w:spacing w:val="-6"/>
        </w:rPr>
        <w:t> </w:t>
      </w:r>
      <w:r>
        <w:rPr>
          <w:spacing w:val="-3"/>
        </w:rPr>
        <w:t>多家整车车企参与，</w:t>
      </w:r>
      <w:r>
        <w:rPr>
          <w:rFonts w:ascii="Times New Roman" w:hAnsi="Times New Roman" w:cs="Times New Roman" w:eastAsia="Times New Roman" w:hint="default"/>
          <w:spacing w:val="-3"/>
        </w:rPr>
        <w:t>30</w:t>
      </w:r>
      <w:r>
        <w:rPr>
          <w:rFonts w:ascii="Times New Roman" w:hAnsi="Times New Roman" w:cs="Times New Roman" w:eastAsia="Times New Roman" w:hint="default"/>
          <w:spacing w:val="-7"/>
        </w:rPr>
        <w:t> </w:t>
      </w:r>
      <w:r>
        <w:rPr/>
        <w:t>多家终端厂商和安全厂商参加，意味着</w:t>
      </w:r>
      <w:r>
        <w:rPr>
          <w:spacing w:val="-52"/>
        </w:rPr>
        <w:t> </w:t>
      </w:r>
      <w:r>
        <w:rPr>
          <w:rFonts w:ascii="Times New Roman" w:hAnsi="Times New Roman" w:cs="Times New Roman" w:eastAsia="Times New Roman" w:hint="default"/>
        </w:rPr>
        <w:t>V2X</w:t>
      </w:r>
      <w:r>
        <w:rPr>
          <w:rFonts w:ascii="Times New Roman" w:hAnsi="Times New Roman" w:cs="Times New Roman" w:eastAsia="Times New Roman" w:hint="default"/>
          <w:spacing w:val="-5"/>
        </w:rPr>
        <w:t> </w:t>
      </w:r>
      <w:r>
        <w:rPr/>
        <w:t>行业已加入了更多行业的参与者，进一步推动了其产 </w:t>
      </w:r>
      <w:r>
        <w:rPr>
          <w:spacing w:val="-1"/>
        </w:rPr>
        <w:t>业化落地。</w:t>
      </w:r>
      <w:r>
        <w:rPr>
          <w:rFonts w:ascii="Times New Roman" w:hAnsi="Times New Roman" w:cs="Times New Roman" w:eastAsia="Times New Roman" w:hint="default"/>
          <w:spacing w:val="-1"/>
        </w:rPr>
        <w:t>2019</w:t>
      </w:r>
      <w:r>
        <w:rPr>
          <w:rFonts w:ascii="Times New Roman" w:hAnsi="Times New Roman" w:cs="Times New Roman" w:eastAsia="Times New Roman" w:hint="default"/>
          <w:spacing w:val="9"/>
        </w:rPr>
        <w:t> </w:t>
      </w:r>
      <w:r>
        <w:rPr>
          <w:spacing w:val="-1"/>
        </w:rPr>
        <w:t>年各省市纷纷出台智能网联汽车道路测试规范，从北京、上海、广州到福建平潭县、浙江德清县等。目前，</w:t>
      </w:r>
      <w:r>
        <w:rPr>
          <w:spacing w:val="-88"/>
        </w:rPr>
        <w:t> </w:t>
      </w:r>
      <w:r>
        <w:rPr>
          <w:spacing w:val="-88"/>
        </w:rPr>
      </w:r>
      <w:r>
        <w:rPr/>
        <w:t>已有约</w:t>
      </w:r>
      <w:r>
        <w:rPr>
          <w:spacing w:val="-45"/>
        </w:rPr>
        <w:t> </w:t>
      </w:r>
      <w:r>
        <w:rPr>
          <w:rFonts w:ascii="Times New Roman" w:hAnsi="Times New Roman" w:cs="Times New Roman" w:eastAsia="Times New Roman" w:hint="default"/>
        </w:rPr>
        <w:t>20 </w:t>
      </w:r>
      <w:r>
        <w:rPr/>
        <w:t>个地区发放超过</w:t>
      </w:r>
      <w:r>
        <w:rPr>
          <w:spacing w:val="-46"/>
        </w:rPr>
        <w:t> </w:t>
      </w:r>
      <w:r>
        <w:rPr>
          <w:rFonts w:ascii="Times New Roman" w:hAnsi="Times New Roman" w:cs="Times New Roman" w:eastAsia="Times New Roman" w:hint="default"/>
        </w:rPr>
        <w:t>200</w:t>
      </w:r>
      <w:r>
        <w:rPr>
          <w:rFonts w:ascii="Times New Roman" w:hAnsi="Times New Roman" w:cs="Times New Roman" w:eastAsia="Times New Roman" w:hint="default"/>
          <w:spacing w:val="-2"/>
        </w:rPr>
        <w:t> </w:t>
      </w:r>
      <w:r>
        <w:rPr/>
        <w:t>张智能网联汽车开放道路测试牌照。</w:t>
      </w:r>
    </w:p>
    <w:p>
      <w:pPr>
        <w:pStyle w:val="BodyText"/>
        <w:spacing w:line="312" w:lineRule="auto" w:before="53"/>
        <w:ind w:right="967" w:firstLine="360"/>
        <w:jc w:val="left"/>
      </w:pPr>
      <w:r>
        <w:rPr>
          <w:spacing w:val="-4"/>
        </w:rPr>
        <w:t>智慧公路领域，根据交通运输部发布《关于加快推进新一代国家交通控制网和智慧公路试点的通知》，划定北京、河北、</w:t>
      </w:r>
      <w:r>
        <w:rPr/>
        <w:t> </w:t>
      </w:r>
      <w:r>
        <w:rPr>
          <w:spacing w:val="-2"/>
        </w:rPr>
        <w:t>吉林、江苏、浙江、福建、江西、河南以及广东九个智慧公路试点地区分别就基础设施数字化、路运一体化车路协同、北斗</w:t>
      </w:r>
      <w:r>
        <w:rPr>
          <w:spacing w:val="-71"/>
        </w:rPr>
        <w:t> </w:t>
      </w:r>
      <w:r>
        <w:rPr>
          <w:spacing w:val="-71"/>
        </w:rPr>
      </w:r>
      <w:r>
        <w:rPr/>
        <w:t>高精度定位综合应用、基于大数据的路网综合管理、</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路网综合服务、新一代国家交通控制网六个试点主题展开智</w:t>
      </w:r>
      <w:r>
        <w:rPr>
          <w:spacing w:val="-76"/>
        </w:rPr>
        <w:t> </w:t>
      </w:r>
      <w:r>
        <w:rPr>
          <w:spacing w:val="-76"/>
        </w:rPr>
      </w:r>
      <w:r>
        <w:rPr/>
        <w:t>慧公路建设。各省在</w:t>
      </w:r>
      <w:r>
        <w:rPr>
          <w:spacing w:val="-46"/>
        </w:rPr>
        <w:t> </w:t>
      </w:r>
      <w:r>
        <w:rPr>
          <w:rFonts w:ascii="Times New Roman" w:hAnsi="Times New Roman" w:cs="Times New Roman" w:eastAsia="Times New Roman" w:hint="default"/>
        </w:rPr>
        <w:t>2019 </w:t>
      </w:r>
      <w:r>
        <w:rPr/>
        <w:t>年都取得了相应的进展，其中北京大兴新机场高速作为京津冀首条</w:t>
      </w:r>
      <w:r>
        <w:rPr>
          <w:rFonts w:ascii="Times New Roman" w:hAnsi="Times New Roman" w:cs="Times New Roman" w:eastAsia="Times New Roman" w:hint="default"/>
        </w:rPr>
        <w:t>“6+1”</w:t>
      </w:r>
      <w:r>
        <w:rPr/>
        <w:t>智慧高速公路已经通行；</w:t>
      </w:r>
    </w:p>
    <w:p>
      <w:pPr>
        <w:pStyle w:val="BodyText"/>
        <w:spacing w:line="300" w:lineRule="auto" w:before="3"/>
        <w:ind w:right="1115"/>
        <w:jc w:val="left"/>
      </w:pPr>
      <w:r>
        <w:rPr/>
        <w:t>吉林省将依托珲乌高速吉林省全线试点工程和长春龙嘉机场连接线的智慧公路项目已经在建设中，预计</w:t>
      </w:r>
      <w:r>
        <w:rPr>
          <w:spacing w:val="-40"/>
        </w:rPr>
        <w:t> </w:t>
      </w:r>
      <w:r>
        <w:rPr>
          <w:rFonts w:ascii="Times New Roman" w:hAnsi="Times New Roman" w:cs="Times New Roman" w:eastAsia="Times New Roman" w:hint="default"/>
        </w:rPr>
        <w:t>2020</w:t>
      </w:r>
      <w:r>
        <w:rPr>
          <w:rFonts w:ascii="Times New Roman" w:hAnsi="Times New Roman" w:cs="Times New Roman" w:eastAsia="Times New Roman" w:hint="default"/>
          <w:spacing w:val="4"/>
        </w:rPr>
        <w:t> </w:t>
      </w:r>
      <w:r>
        <w:rPr/>
        <w:t>年将在全省高 速公路推广；杭绍甬智慧高速先行工程全面启动；广东省的虎门二桥智慧公路全线通车等。</w:t>
      </w:r>
    </w:p>
    <w:p>
      <w:pPr>
        <w:pStyle w:val="Heading5"/>
        <w:spacing w:line="240" w:lineRule="auto" w:before="12"/>
        <w:ind w:right="967"/>
        <w:jc w:val="left"/>
        <w:rPr>
          <w:b w:val="0"/>
          <w:bCs w:val="0"/>
        </w:rPr>
      </w:pPr>
      <w:r>
        <w:rPr/>
        <w:t>（二）</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年度业务回顾</w:t>
      </w:r>
      <w:r>
        <w:rPr>
          <w:b w:val="0"/>
          <w:bCs w:val="0"/>
        </w:rPr>
      </w:r>
    </w:p>
    <w:p>
      <w:pPr>
        <w:pStyle w:val="BodyText"/>
        <w:spacing w:line="300" w:lineRule="auto" w:before="96"/>
        <w:ind w:right="1128" w:firstLine="360"/>
        <w:jc w:val="both"/>
      </w:pPr>
      <w:r>
        <w:rPr>
          <w:rFonts w:ascii="Times New Roman" w:hAnsi="Times New Roman" w:cs="Times New Roman" w:eastAsia="Times New Roman" w:hint="default"/>
          <w:spacing w:val="-2"/>
        </w:rPr>
        <w:t>2019</w:t>
      </w:r>
      <w:r>
        <w:rPr>
          <w:spacing w:val="-2"/>
        </w:rPr>
        <w:t>年，受国家取消省界收费站政策推动，面对</w:t>
      </w:r>
      <w:r>
        <w:rPr>
          <w:rFonts w:ascii="Times New Roman" w:hAnsi="Times New Roman" w:cs="Times New Roman" w:eastAsia="Times New Roman" w:hint="default"/>
          <w:spacing w:val="-2"/>
        </w:rPr>
        <w:t>ETC</w:t>
      </w:r>
      <w:r>
        <w:rPr>
          <w:spacing w:val="-2"/>
        </w:rPr>
        <w:t>行业需求爆发，公司在保障产品质量的前提下，通过增加自有产能</w:t>
      </w:r>
      <w:r>
        <w:rPr/>
        <w:t> 及拓展外协厂商的方式实现了大规模供货，</w:t>
      </w:r>
      <w:r>
        <w:rPr>
          <w:rFonts w:ascii="Times New Roman" w:hAnsi="Times New Roman" w:cs="Times New Roman" w:eastAsia="Times New Roman" w:hint="default"/>
        </w:rPr>
        <w:t>OBU</w:t>
      </w:r>
      <w:r>
        <w:rPr/>
        <w:t>和</w:t>
      </w:r>
      <w:r>
        <w:rPr>
          <w:rFonts w:ascii="Times New Roman" w:hAnsi="Times New Roman" w:cs="Times New Roman" w:eastAsia="Times New Roman" w:hint="default"/>
        </w:rPr>
        <w:t>RSU</w:t>
      </w:r>
      <w:r>
        <w:rPr/>
        <w:t>销售都实现了大幅增长，保持了总体市场占有率领先的地位。</w:t>
      </w:r>
    </w:p>
    <w:p>
      <w:pPr>
        <w:pStyle w:val="BodyText"/>
        <w:spacing w:line="300" w:lineRule="auto" w:before="53"/>
        <w:ind w:right="1128" w:firstLine="360"/>
        <w:jc w:val="both"/>
      </w:pPr>
      <w:r>
        <w:rPr/>
        <w:t>根据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月国家改革委、交通部发布的《加快推进高速公路电子不停车快捷收费应用服务实施》政策要求，自</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w:t>
      </w:r>
      <w:r>
        <w:rPr>
          <w:spacing w:val="-2"/>
        </w:rPr>
        <w:t>日起，新申请批准的车型应在选装配置中增加</w:t>
      </w:r>
      <w:r>
        <w:rPr>
          <w:rFonts w:ascii="Times New Roman" w:hAnsi="Times New Roman" w:cs="Times New Roman" w:eastAsia="Times New Roman" w:hint="default"/>
          <w:spacing w:val="-2"/>
        </w:rPr>
        <w:t>ETC</w:t>
      </w:r>
      <w:r>
        <w:rPr>
          <w:spacing w:val="-2"/>
        </w:rPr>
        <w:t>车载装置。</w:t>
      </w:r>
      <w:r>
        <w:rPr>
          <w:rFonts w:ascii="Times New Roman" w:hAnsi="Times New Roman" w:cs="Times New Roman" w:eastAsia="Times New Roman" w:hint="default"/>
          <w:spacing w:val="-2"/>
        </w:rPr>
        <w:t>2019</w:t>
      </w:r>
      <w:r>
        <w:rPr>
          <w:spacing w:val="-2"/>
        </w:rPr>
        <w:t>年公司借助在后装市场建立起的品牌知名度，公司</w:t>
      </w:r>
      <w:r>
        <w:rPr>
          <w:spacing w:val="-42"/>
        </w:rPr>
        <w:t> </w:t>
      </w:r>
      <w:r>
        <w:rPr>
          <w:spacing w:val="-42"/>
        </w:rPr>
      </w:r>
      <w:r>
        <w:rPr/>
        <w:t>持续加大与主机厂、</w:t>
      </w:r>
      <w:r>
        <w:rPr>
          <w:rFonts w:ascii="Times New Roman" w:hAnsi="Times New Roman" w:cs="Times New Roman" w:eastAsia="Times New Roman" w:hint="default"/>
        </w:rPr>
        <w:t>Tier1</w:t>
      </w:r>
      <w:r>
        <w:rPr/>
        <w:t>的合作力度，根据市场共性需求以及客户个性化需求开发了标准件、定制件的</w:t>
      </w:r>
      <w:r>
        <w:rPr>
          <w:rFonts w:ascii="Times New Roman" w:hAnsi="Times New Roman" w:cs="Times New Roman" w:eastAsia="Times New Roman" w:hint="default"/>
        </w:rPr>
        <w:t>ETC</w:t>
      </w:r>
      <w:r>
        <w:rPr/>
        <w:t>前装产品，目</w:t>
      </w:r>
      <w:r>
        <w:rPr>
          <w:spacing w:val="-7"/>
        </w:rPr>
        <w:t> </w:t>
      </w:r>
      <w:r>
        <w:rPr>
          <w:spacing w:val="-7"/>
        </w:rPr>
      </w:r>
      <w:r>
        <w:rPr/>
        <w:t>前公司产品已在定点主机厂进行测试，并争取尽早通过国家相关证书检测，积极建立在前装市场的领先地位。</w:t>
      </w:r>
    </w:p>
    <w:p>
      <w:pPr>
        <w:pStyle w:val="BodyText"/>
        <w:spacing w:line="240" w:lineRule="auto" w:before="70"/>
        <w:ind w:left="513" w:right="967"/>
        <w:jc w:val="left"/>
        <w:rPr>
          <w:rFonts w:ascii="Times New Roman" w:hAnsi="Times New Roman" w:cs="Times New Roman" w:eastAsia="Times New Roman" w:hint="default"/>
        </w:rPr>
      </w:pPr>
      <w:r>
        <w:rPr>
          <w:rFonts w:ascii="Times New Roman" w:hAnsi="Times New Roman" w:cs="Times New Roman" w:eastAsia="Times New Roman" w:hint="default"/>
        </w:rPr>
        <w:t>2019 </w:t>
      </w:r>
      <w:r>
        <w:rPr/>
        <w:t>年，智慧停车业务推出了 </w:t>
      </w:r>
      <w:r>
        <w:rPr>
          <w:rFonts w:ascii="Times New Roman" w:hAnsi="Times New Roman" w:cs="Times New Roman" w:eastAsia="Times New Roman" w:hint="default"/>
        </w:rPr>
        <w:t>ETC </w:t>
      </w:r>
      <w:r>
        <w:rPr/>
        <w:t>一站式解决方案，实现了路内路外一体化的设备提供和服务。</w:t>
      </w:r>
      <w:r>
        <w:rPr>
          <w:rFonts w:ascii="Times New Roman" w:hAnsi="Times New Roman" w:cs="Times New Roman" w:eastAsia="Times New Roman" w:hint="default"/>
        </w:rPr>
        <w:t>2019 </w:t>
      </w:r>
      <w:r>
        <w:rPr/>
        <w:t>年多省份</w:t>
      </w:r>
      <w:r>
        <w:rPr>
          <w:spacing w:val="1"/>
        </w:rPr>
        <w:t> </w:t>
      </w:r>
      <w:r>
        <w:rPr>
          <w:rFonts w:ascii="Times New Roman" w:hAnsi="Times New Roman" w:cs="Times New Roman" w:eastAsia="Times New Roman" w:hint="default"/>
        </w:rPr>
        <w:t>ETC</w:t>
      </w:r>
    </w:p>
    <w:p>
      <w:pPr>
        <w:pStyle w:val="BodyText"/>
        <w:spacing w:line="240" w:lineRule="auto" w:before="63"/>
        <w:ind w:right="967"/>
        <w:jc w:val="left"/>
      </w:pPr>
      <w:r>
        <w:rPr/>
        <w:t>停车扣费模式被打通，通过多方合作，</w:t>
      </w:r>
      <w:r>
        <w:rPr>
          <w:rFonts w:ascii="Times New Roman" w:hAnsi="Times New Roman" w:cs="Times New Roman" w:eastAsia="Times New Roman" w:hint="default"/>
        </w:rPr>
        <w:t>ETC </w:t>
      </w:r>
      <w:r>
        <w:rPr>
          <w:rFonts w:ascii="Times New Roman" w:hAnsi="Times New Roman" w:cs="Times New Roman" w:eastAsia="Times New Roman" w:hint="default"/>
          <w:spacing w:val="25"/>
        </w:rPr>
        <w:t> </w:t>
      </w:r>
      <w:r>
        <w:rPr/>
        <w:t>停车生态圈逐步建立。公司落地实施的项目包括北京大兴国际机场、深圳宝安</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9" w:lineRule="auto" w:before="44"/>
        <w:ind w:right="1131"/>
        <w:jc w:val="both"/>
      </w:pPr>
      <w:r>
        <w:rPr>
          <w:spacing w:val="-2"/>
        </w:rPr>
        <w:t>国际机场、三亚凤凰国际机场、长沙黄花机场、贵州遵义机场、义乌机场、内蒙古鄂尔多斯机场、杭州东站等交通枢纽停车</w:t>
      </w:r>
      <w:r>
        <w:rPr>
          <w:spacing w:val="-67"/>
        </w:rPr>
        <w:t> </w:t>
      </w:r>
      <w:r>
        <w:rPr>
          <w:spacing w:val="-67"/>
        </w:rPr>
      </w:r>
      <w:r>
        <w:rPr/>
        <w:t>场管理系统项目，以及杭州西湖、杭州临安吴越文化公园等景区停车场管理系统项目。公司推出了 </w:t>
      </w:r>
      <w:r>
        <w:rPr>
          <w:rFonts w:ascii="Times New Roman" w:hAnsi="Times New Roman" w:cs="Times New Roman" w:eastAsia="Times New Roman" w:hint="default"/>
        </w:rPr>
        <w:t>ETC</w:t>
      </w:r>
      <w:r>
        <w:rPr>
          <w:rFonts w:ascii="Times New Roman" w:hAnsi="Times New Roman" w:cs="Times New Roman" w:eastAsia="Times New Roman" w:hint="default"/>
          <w:spacing w:val="-17"/>
        </w:rPr>
        <w:t> </w:t>
      </w:r>
      <w:r>
        <w:rPr/>
        <w:t>无感加油产品及解 决方案，在山东省参与了试点项目，效果获得业主认可。</w:t>
      </w:r>
    </w:p>
    <w:p>
      <w:pPr>
        <w:pStyle w:val="BodyText"/>
        <w:spacing w:line="300" w:lineRule="auto" w:before="65"/>
        <w:ind w:right="1135" w:firstLine="36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年公司参与了天津汽车电子标识二期、嘉兴港区危化品管理等汽车电子标识应用项目，持续推进汽车电子标识在 智慧交通、危化品车辆管理、尾气遥感环境监测等领域的应用，并取得良好的效果。</w:t>
      </w:r>
    </w:p>
    <w:p>
      <w:pPr>
        <w:pStyle w:val="BodyText"/>
        <w:spacing w:line="300" w:lineRule="auto" w:before="70"/>
        <w:ind w:right="1071" w:firstLine="36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spacing w:val="-3"/>
        </w:rPr>
        <w:t>年，公司继续推进</w:t>
      </w:r>
      <w:r>
        <w:rPr>
          <w:spacing w:val="-52"/>
        </w:rPr>
        <w:t> </w:t>
      </w:r>
      <w:r>
        <w:rPr>
          <w:rFonts w:ascii="Times New Roman" w:hAnsi="Times New Roman" w:cs="Times New Roman" w:eastAsia="Times New Roman" w:hint="default"/>
        </w:rPr>
        <w:t>V2X</w:t>
      </w:r>
      <w:r>
        <w:rPr>
          <w:rFonts w:ascii="Times New Roman" w:hAnsi="Times New Roman" w:cs="Times New Roman" w:eastAsia="Times New Roman" w:hint="default"/>
          <w:spacing w:val="-3"/>
        </w:rPr>
        <w:t> </w:t>
      </w:r>
      <w:r>
        <w:rPr/>
        <w:t>的业务开展。继在国内率先推出基于</w:t>
      </w:r>
      <w:r>
        <w:rPr>
          <w:spacing w:val="-49"/>
        </w:rPr>
        <w:t> </w:t>
      </w:r>
      <w:r>
        <w:rPr>
          <w:rFonts w:ascii="Times New Roman" w:hAnsi="Times New Roman" w:cs="Times New Roman" w:eastAsia="Times New Roman" w:hint="default"/>
        </w:rPr>
        <w:t>DSRC</w:t>
      </w:r>
      <w:r>
        <w:rPr>
          <w:rFonts w:ascii="Times New Roman" w:hAnsi="Times New Roman" w:cs="Times New Roman" w:eastAsia="Times New Roman" w:hint="default"/>
          <w:spacing w:val="-5"/>
        </w:rPr>
        <w:t> </w:t>
      </w:r>
      <w:r>
        <w:rPr/>
        <w:t>技术的系列产品后，公司又陆续推出了基于大 唐和高通 </w:t>
      </w:r>
      <w:r>
        <w:rPr>
          <w:rFonts w:ascii="Times New Roman" w:hAnsi="Times New Roman" w:cs="Times New Roman" w:eastAsia="Times New Roman" w:hint="default"/>
        </w:rPr>
        <w:t>LTE-V </w:t>
      </w:r>
      <w:r>
        <w:rPr/>
        <w:t>方案的系列产品，涵盖了车载终端、路侧基站、软件协议栈等多个产品类型。</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19"/>
        </w:rPr>
        <w:t> </w:t>
      </w:r>
      <w:r>
        <w:rPr/>
        <w:t>月，公司作为华 为</w:t>
      </w:r>
      <w:r>
        <w:rPr>
          <w:spacing w:val="-50"/>
        </w:rPr>
        <w:t> </w:t>
      </w:r>
      <w:r>
        <w:rPr>
          <w:rFonts w:ascii="Times New Roman" w:hAnsi="Times New Roman" w:cs="Times New Roman" w:eastAsia="Times New Roman" w:hint="default"/>
        </w:rPr>
        <w:t>5G</w:t>
      </w:r>
      <w:r>
        <w:rPr>
          <w:rFonts w:ascii="Times New Roman" w:hAnsi="Times New Roman" w:cs="Times New Roman" w:eastAsia="Times New Roman" w:hint="default"/>
          <w:spacing w:val="-8"/>
        </w:rPr>
        <w:t> </w:t>
      </w:r>
      <w:r>
        <w:rPr/>
        <w:t>工业模组的首发合作伙伴，开始了基于</w:t>
      </w:r>
      <w:r>
        <w:rPr>
          <w:spacing w:val="-50"/>
        </w:rPr>
        <w:t> </w:t>
      </w:r>
      <w:r>
        <w:rPr>
          <w:rFonts w:ascii="Times New Roman" w:hAnsi="Times New Roman" w:cs="Times New Roman" w:eastAsia="Times New Roman" w:hint="default"/>
        </w:rPr>
        <w:t>5G+V2X</w:t>
      </w:r>
      <w:r>
        <w:rPr>
          <w:rFonts w:ascii="Times New Roman" w:hAnsi="Times New Roman" w:cs="Times New Roman" w:eastAsia="Times New Roman" w:hint="default"/>
          <w:spacing w:val="-3"/>
        </w:rPr>
        <w:t> </w:t>
      </w:r>
      <w:r>
        <w:rPr>
          <w:spacing w:val="-4"/>
        </w:rPr>
        <w:t>的研究，预计会在</w:t>
      </w:r>
      <w:r>
        <w:rPr>
          <w:spacing w:val="-51"/>
        </w:rPr>
        <w:t> </w:t>
      </w:r>
      <w:r>
        <w:rPr>
          <w:rFonts w:ascii="Times New Roman" w:hAnsi="Times New Roman" w:cs="Times New Roman" w:eastAsia="Times New Roman" w:hint="default"/>
        </w:rPr>
        <w:t>2020</w:t>
      </w:r>
      <w:r>
        <w:rPr>
          <w:rFonts w:ascii="Times New Roman" w:hAnsi="Times New Roman" w:cs="Times New Roman" w:eastAsia="Times New Roman" w:hint="default"/>
          <w:spacing w:val="-4"/>
        </w:rPr>
        <w:t> </w:t>
      </w:r>
      <w:r>
        <w:rPr/>
        <w:t>年推出相关产品。公司牵头成立的</w:t>
      </w:r>
      <w:r>
        <w:rPr>
          <w:rFonts w:ascii="Times New Roman" w:hAnsi="Times New Roman" w:cs="Times New Roman" w:eastAsia="Times New Roman" w:hint="default"/>
        </w:rPr>
        <w:t>“</w:t>
      </w:r>
      <w:r>
        <w:rPr/>
        <w:t>智能车路 协同关键技术及装备交通运输行业研发中心</w:t>
      </w:r>
      <w:r>
        <w:rPr>
          <w:rFonts w:ascii="Times New Roman" w:hAnsi="Times New Roman" w:cs="Times New Roman" w:eastAsia="Times New Roman" w:hint="default"/>
        </w:rPr>
        <w:t>”</w:t>
      </w:r>
      <w:r>
        <w:rPr/>
        <w:t>，作为车路协同领域唯一一个部级行业研发中心，积极履行义务，引导并参与</w:t>
      </w:r>
      <w:r>
        <w:rPr>
          <w:spacing w:val="-75"/>
        </w:rPr>
        <w:t> </w:t>
      </w:r>
      <w:r>
        <w:rPr>
          <w:spacing w:val="-75"/>
        </w:rPr>
      </w:r>
      <w:r>
        <w:rPr/>
        <w:t>相关标准的制定和验证工作，参与了</w:t>
      </w:r>
      <w:r>
        <w:rPr>
          <w:rFonts w:ascii="Times New Roman" w:hAnsi="Times New Roman" w:cs="Times New Roman" w:eastAsia="Times New Roman" w:hint="default"/>
        </w:rPr>
        <w:t>“</w:t>
      </w:r>
      <w:r>
        <w:rPr/>
        <w:t>商用车列队跟驰公开验证试验</w:t>
      </w:r>
      <w:r>
        <w:rPr>
          <w:rFonts w:ascii="Times New Roman" w:hAnsi="Times New Roman" w:cs="Times New Roman" w:eastAsia="Times New Roman" w:hint="default"/>
        </w:rPr>
        <w:t>”</w:t>
      </w:r>
      <w:r>
        <w:rPr/>
        <w:t>、广东省智慧高速公路试点项目等多项智慧公路项目， </w:t>
      </w:r>
      <w:r>
        <w:rPr>
          <w:spacing w:val="-7"/>
          <w:w w:val="99"/>
        </w:rPr>
        <w:t>参与的标准和白皮书有：《车联网网络安全防护要求》、《自动驾驶商用汽车测试场建设及自动测试规范》、《</w:t>
      </w:r>
      <w:r>
        <w:rPr>
          <w:rFonts w:ascii="Times New Roman" w:hAnsi="Times New Roman" w:cs="Times New Roman" w:eastAsia="Times New Roman" w:hint="default"/>
          <w:spacing w:val="-7"/>
          <w:w w:val="99"/>
        </w:rPr>
        <w:t>LTE-V2X</w:t>
      </w:r>
      <w:r>
        <w:rPr>
          <w:rFonts w:ascii="Times New Roman" w:hAnsi="Times New Roman" w:cs="Times New Roman" w:eastAsia="Times New Roman" w:hint="default"/>
          <w:w w:val="99"/>
        </w:rPr>
        <w:t> </w:t>
      </w:r>
      <w:r>
        <w:rPr>
          <w:spacing w:val="-3"/>
        </w:rPr>
        <w:t>安全</w:t>
      </w:r>
      <w:r>
        <w:rPr>
          <w:spacing w:val="-68"/>
        </w:rPr>
        <w:t> </w:t>
      </w:r>
      <w:r>
        <w:rPr>
          <w:spacing w:val="-16"/>
          <w:w w:val="99"/>
        </w:rPr>
        <w:t>技术白皮书》、《</w:t>
      </w:r>
      <w:r>
        <w:rPr>
          <w:rFonts w:ascii="Times New Roman" w:hAnsi="Times New Roman" w:cs="Times New Roman" w:eastAsia="Times New Roman" w:hint="default"/>
          <w:spacing w:val="-16"/>
          <w:w w:val="99"/>
        </w:rPr>
        <w:t>C-V2X</w:t>
      </w:r>
      <w:r>
        <w:rPr>
          <w:rFonts w:ascii="Times New Roman" w:hAnsi="Times New Roman" w:cs="Times New Roman" w:eastAsia="Times New Roman" w:hint="default"/>
          <w:spacing w:val="6"/>
          <w:w w:val="99"/>
        </w:rPr>
        <w:t> </w:t>
      </w:r>
      <w:r>
        <w:rPr>
          <w:spacing w:val="-9"/>
          <w:w w:val="99"/>
        </w:rPr>
        <w:t>产业化路径和时间表研究白皮书》、《</w:t>
      </w:r>
      <w:r>
        <w:rPr>
          <w:rFonts w:ascii="Times New Roman" w:hAnsi="Times New Roman" w:cs="Times New Roman" w:eastAsia="Times New Roman" w:hint="default"/>
          <w:spacing w:val="-9"/>
          <w:w w:val="99"/>
        </w:rPr>
        <w:t>C-V2X</w:t>
      </w:r>
      <w:r>
        <w:rPr>
          <w:rFonts w:ascii="Times New Roman" w:hAnsi="Times New Roman" w:cs="Times New Roman" w:eastAsia="Times New Roman" w:hint="default"/>
          <w:spacing w:val="7"/>
          <w:w w:val="99"/>
        </w:rPr>
        <w:t> </w:t>
      </w:r>
      <w:r>
        <w:rPr>
          <w:spacing w:val="-3"/>
        </w:rPr>
        <w:t>业务演进白皮书》等。公司基于</w:t>
      </w:r>
      <w:r>
        <w:rPr>
          <w:spacing w:val="-40"/>
        </w:rPr>
        <w:t> </w:t>
      </w:r>
      <w:r>
        <w:rPr>
          <w:rFonts w:ascii="Times New Roman" w:hAnsi="Times New Roman" w:cs="Times New Roman" w:eastAsia="Times New Roman" w:hint="default"/>
          <w:spacing w:val="-1"/>
          <w:w w:val="99"/>
        </w:rPr>
        <w:t>ETC-X</w:t>
      </w:r>
      <w:r>
        <w:rPr>
          <w:rFonts w:ascii="Times New Roman" w:hAnsi="Times New Roman" w:cs="Times New Roman" w:eastAsia="Times New Roman" w:hint="default"/>
          <w:spacing w:val="6"/>
          <w:w w:val="99"/>
        </w:rPr>
        <w:t> </w:t>
      </w:r>
      <w:r>
        <w:rPr/>
        <w:t>的车路协同创新</w:t>
      </w:r>
      <w:r>
        <w:rPr>
          <w:spacing w:val="-84"/>
        </w:rPr>
        <w:t> </w:t>
      </w:r>
      <w:r>
        <w:rPr/>
        <w:t>应用拓展，获得</w:t>
      </w:r>
      <w:r>
        <w:rPr>
          <w:spacing w:val="-46"/>
        </w:rPr>
        <w:t> </w:t>
      </w:r>
      <w:r>
        <w:rPr>
          <w:rFonts w:ascii="Times New Roman" w:hAnsi="Times New Roman" w:cs="Times New Roman" w:eastAsia="Times New Roman" w:hint="default"/>
        </w:rPr>
        <w:t>2019 </w:t>
      </w:r>
      <w:r>
        <w:rPr/>
        <w:t>年中国（小谷围）</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交通运输</w:t>
      </w:r>
      <w:r>
        <w:rPr>
          <w:rFonts w:ascii="Times New Roman" w:hAnsi="Times New Roman" w:cs="Times New Roman" w:eastAsia="Times New Roman" w:hint="default"/>
        </w:rPr>
        <w:t>”</w:t>
      </w:r>
      <w:r>
        <w:rPr/>
        <w:t>创新创业大赛特等奖。</w:t>
      </w:r>
    </w:p>
    <w:p>
      <w:pPr>
        <w:pStyle w:val="BodyText"/>
        <w:spacing w:line="304" w:lineRule="auto" w:before="53"/>
        <w:ind w:right="1129" w:firstLine="36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年公司为全国多个城市</w:t>
      </w:r>
      <w:r>
        <w:rPr>
          <w:spacing w:val="-57"/>
        </w:rPr>
        <w:t> </w:t>
      </w:r>
      <w:r>
        <w:rPr>
          <w:rFonts w:ascii="Times New Roman" w:hAnsi="Times New Roman" w:cs="Times New Roman" w:eastAsia="Times New Roman" w:hint="default"/>
        </w:rPr>
        <w:t>V2X</w:t>
      </w:r>
      <w:r>
        <w:rPr>
          <w:rFonts w:ascii="Times New Roman" w:hAnsi="Times New Roman" w:cs="Times New Roman" w:eastAsia="Times New Roman" w:hint="default"/>
          <w:spacing w:val="-8"/>
        </w:rPr>
        <w:t> </w:t>
      </w:r>
      <w:r>
        <w:rPr/>
        <w:t>应用试点示范项目提供产品及解决方案，为智慧城市的发展打造扎实的基础。公司参 与的城市智慧道路项目有：</w:t>
      </w:r>
      <w:r>
        <w:rPr>
          <w:rFonts w:ascii="Times New Roman" w:hAnsi="Times New Roman" w:cs="Times New Roman" w:eastAsia="Times New Roman" w:hint="default"/>
        </w:rPr>
        <w:t>“C</w:t>
      </w:r>
      <w:r>
        <w:rPr>
          <w:rFonts w:ascii="Times New Roman" w:hAnsi="Times New Roman" w:cs="Times New Roman" w:eastAsia="Times New Roman" w:hint="default"/>
        </w:rPr>
        <w:t>-</w:t>
      </w:r>
      <w:r>
        <w:rPr>
          <w:rFonts w:ascii="Times New Roman" w:hAnsi="Times New Roman" w:cs="Times New Roman" w:eastAsia="Times New Roman" w:hint="default"/>
        </w:rPr>
        <w:t>V2X”</w:t>
      </w:r>
      <w:r>
        <w:rPr/>
        <w:t>四跨互联互通及一致性的测试演示项目、广州市</w:t>
      </w:r>
      <w:r>
        <w:rPr>
          <w:spacing w:val="-47"/>
        </w:rPr>
        <w:t> </w:t>
      </w:r>
      <w:r>
        <w:rPr>
          <w:rFonts w:ascii="Times New Roman" w:hAnsi="Times New Roman" w:cs="Times New Roman" w:eastAsia="Times New Roman" w:hint="default"/>
        </w:rPr>
        <w:t>5G</w:t>
      </w:r>
      <w:r>
        <w:rPr>
          <w:rFonts w:ascii="Times New Roman" w:hAnsi="Times New Roman" w:cs="Times New Roman" w:eastAsia="Times New Roman" w:hint="default"/>
          <w:spacing w:val="-5"/>
        </w:rPr>
        <w:t> </w:t>
      </w:r>
      <w:r>
        <w:rPr/>
        <w:t>营运车辆自动驾驶与车路协同示范 区建设项目、博鳌智能网联汽车及</w:t>
      </w:r>
      <w:r>
        <w:rPr>
          <w:spacing w:val="-59"/>
        </w:rPr>
        <w:t> </w:t>
      </w:r>
      <w:r>
        <w:rPr>
          <w:rFonts w:ascii="Times New Roman" w:hAnsi="Times New Roman" w:cs="Times New Roman" w:eastAsia="Times New Roman" w:hint="default"/>
        </w:rPr>
        <w:t>5G</w:t>
      </w:r>
      <w:r>
        <w:rPr>
          <w:rFonts w:ascii="Times New Roman" w:hAnsi="Times New Roman" w:cs="Times New Roman" w:eastAsia="Times New Roman" w:hint="default"/>
          <w:spacing w:val="-16"/>
        </w:rPr>
        <w:t> </w:t>
      </w:r>
      <w:r>
        <w:rPr/>
        <w:t>应用试点项目、深圳宝安会展中心项目、上海智能网联示范区建设项目、湄洲岛智能 </w:t>
      </w:r>
      <w:r>
        <w:rPr>
          <w:spacing w:val="-2"/>
        </w:rPr>
        <w:t>网联汽车示范应用项目等。公司与腾讯科技（深圳）有限公司建立了战略合作伙伴关系，在智能网联标准、智慧道路、智能</w:t>
      </w:r>
      <w:r>
        <w:rPr>
          <w:spacing w:val="-68"/>
        </w:rPr>
        <w:t> </w:t>
      </w:r>
      <w:r>
        <w:rPr>
          <w:spacing w:val="-68"/>
        </w:rPr>
      </w:r>
      <w:r>
        <w:rPr/>
        <w:t>网联车载终端领域展开相关合作。</w:t>
      </w:r>
    </w:p>
    <w:p>
      <w:pPr>
        <w:pStyle w:val="BodyText"/>
        <w:spacing w:line="309" w:lineRule="auto" w:before="68"/>
        <w:ind w:right="1126" w:firstLine="36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年，公司启动海外办事处的建设。香港</w:t>
      </w:r>
      <w:r>
        <w:rPr>
          <w:spacing w:val="-39"/>
        </w:rPr>
        <w:t> </w:t>
      </w:r>
      <w:r>
        <w:rPr>
          <w:rFonts w:ascii="Times New Roman" w:hAnsi="Times New Roman" w:cs="Times New Roman" w:eastAsia="Times New Roman" w:hint="default"/>
        </w:rPr>
        <w:t>EPR</w:t>
      </w:r>
      <w:r>
        <w:rPr>
          <w:rFonts w:ascii="Times New Roman" w:hAnsi="Times New Roman" w:cs="Times New Roman" w:eastAsia="Times New Roman" w:hint="default"/>
          <w:spacing w:val="6"/>
        </w:rPr>
        <w:t> </w:t>
      </w:r>
      <w:r>
        <w:rPr/>
        <w:t>试点项目正式落地，推动了</w:t>
      </w:r>
      <w:r>
        <w:rPr>
          <w:spacing w:val="-39"/>
        </w:rPr>
        <w:t> </w:t>
      </w:r>
      <w:r>
        <w:rPr>
          <w:rFonts w:ascii="Times New Roman" w:hAnsi="Times New Roman" w:cs="Times New Roman" w:eastAsia="Times New Roman" w:hint="default"/>
        </w:rPr>
        <w:t>UWB</w:t>
      </w:r>
      <w:r>
        <w:rPr>
          <w:rFonts w:ascii="Times New Roman" w:hAnsi="Times New Roman" w:cs="Times New Roman" w:eastAsia="Times New Roman" w:hint="default"/>
          <w:spacing w:val="5"/>
        </w:rPr>
        <w:t> </w:t>
      </w:r>
      <w:r>
        <w:rPr/>
        <w:t>及</w:t>
      </w:r>
      <w:r>
        <w:rPr>
          <w:spacing w:val="-40"/>
        </w:rPr>
        <w:t> </w:t>
      </w:r>
      <w:r>
        <w:rPr>
          <w:rFonts w:ascii="Times New Roman" w:hAnsi="Times New Roman" w:cs="Times New Roman" w:eastAsia="Times New Roman" w:hint="default"/>
        </w:rPr>
        <w:t>V2X</w:t>
      </w:r>
      <w:r>
        <w:rPr>
          <w:rFonts w:ascii="Times New Roman" w:hAnsi="Times New Roman" w:cs="Times New Roman" w:eastAsia="Times New Roman" w:hint="default"/>
          <w:spacing w:val="5"/>
        </w:rPr>
        <w:t> </w:t>
      </w:r>
      <w:r>
        <w:rPr/>
        <w:t>技术在</w:t>
      </w:r>
      <w:r>
        <w:rPr>
          <w:spacing w:val="-39"/>
        </w:rPr>
        <w:t> </w:t>
      </w:r>
      <w:r>
        <w:rPr>
          <w:rFonts w:ascii="Times New Roman" w:hAnsi="Times New Roman" w:cs="Times New Roman" w:eastAsia="Times New Roman" w:hint="default"/>
        </w:rPr>
        <w:t>ERP</w:t>
      </w:r>
      <w:r>
        <w:rPr>
          <w:rFonts w:ascii="Times New Roman" w:hAnsi="Times New Roman" w:cs="Times New Roman" w:eastAsia="Times New Roman" w:hint="default"/>
          <w:spacing w:val="8"/>
        </w:rPr>
        <w:t> </w:t>
      </w:r>
      <w:r>
        <w:rPr/>
        <w:t>收费领域的运 </w:t>
      </w:r>
      <w:r>
        <w:rPr>
          <w:spacing w:val="-2"/>
        </w:rPr>
        <w:t>用；进一步拓展巴基斯坦、斯里兰卡、缅甸、泰国、印尼、马来西亚等南亚及东南亚地区、非洲肯尼亚、塞内加尔等海外市</w:t>
      </w:r>
      <w:r>
        <w:rPr>
          <w:spacing w:val="-65"/>
        </w:rPr>
        <w:t> </w:t>
      </w:r>
      <w:r>
        <w:rPr>
          <w:spacing w:val="-65"/>
        </w:rPr>
      </w:r>
      <w:r>
        <w:rPr/>
        <w:t>场。</w:t>
      </w:r>
    </w:p>
    <w:p>
      <w:pPr>
        <w:pStyle w:val="Heading5"/>
        <w:spacing w:line="240" w:lineRule="auto" w:before="5"/>
        <w:ind w:right="967"/>
        <w:jc w:val="left"/>
        <w:rPr>
          <w:b w:val="0"/>
          <w:bCs w:val="0"/>
        </w:rPr>
      </w:pPr>
      <w:r>
        <w:rPr/>
        <w:t>（三）公司主要经营管理工作回顾</w:t>
      </w:r>
      <w:r>
        <w:rPr>
          <w:b w:val="0"/>
          <w:bCs w:val="0"/>
        </w:rPr>
      </w:r>
    </w:p>
    <w:p>
      <w:pPr>
        <w:pStyle w:val="BodyText"/>
        <w:spacing w:line="300" w:lineRule="auto" w:before="96"/>
        <w:ind w:right="967" w:firstLine="360"/>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ETC</w:t>
      </w:r>
      <w:r>
        <w:rPr>
          <w:spacing w:val="-2"/>
        </w:rPr>
        <w:t>产品市场需求爆发性增长，对设备供应商的供应能力带来巨大的挑战。公司采取扩建生产线以及外协方式分</w:t>
      </w:r>
      <w:r>
        <w:rPr/>
        <w:t> 步完成扩产工作，在确保品质的前提下满足集中释放的市场需求。</w:t>
      </w:r>
    </w:p>
    <w:p>
      <w:pPr>
        <w:pStyle w:val="BodyText"/>
        <w:spacing w:line="307" w:lineRule="auto" w:before="72"/>
        <w:ind w:right="1131" w:firstLine="360"/>
        <w:jc w:val="both"/>
      </w:pPr>
      <w:r>
        <w:rPr>
          <w:rFonts w:ascii="Times New Roman" w:hAnsi="Times New Roman" w:cs="Times New Roman" w:eastAsia="Times New Roman" w:hint="default"/>
          <w:spacing w:val="-2"/>
        </w:rPr>
        <w:t>2019</w:t>
      </w:r>
      <w:r>
        <w:rPr>
          <w:spacing w:val="-2"/>
        </w:rPr>
        <w:t>年公司持续加强了研发工作，一方面通过自主开发的门架天线远程批量升级系统准时高效地完成了门架天线系统升</w:t>
      </w:r>
      <w:r>
        <w:rPr/>
        <w:t> </w:t>
      </w:r>
      <w:r>
        <w:rPr>
          <w:spacing w:val="-2"/>
        </w:rPr>
        <w:t>级，并根据交通部路网中心的要求配合路段业主和集成商完成天线国密改造和出入口车道天线升级；另一方面未雨绸缪积极</w:t>
      </w:r>
      <w:r>
        <w:rPr>
          <w:spacing w:val="-64"/>
        </w:rPr>
        <w:t> </w:t>
      </w:r>
      <w:r>
        <w:rPr>
          <w:spacing w:val="-64"/>
        </w:rPr>
      </w:r>
      <w:r>
        <w:rPr/>
        <w:t>部署</w:t>
      </w:r>
      <w:r>
        <w:rPr>
          <w:rFonts w:ascii="Times New Roman" w:hAnsi="Times New Roman" w:cs="Times New Roman" w:eastAsia="Times New Roman" w:hint="default"/>
        </w:rPr>
        <w:t>ETC</w:t>
      </w:r>
      <w:r>
        <w:rPr/>
        <w:t>拓展应用的研发，围绕</w:t>
      </w:r>
      <w:r>
        <w:rPr>
          <w:rFonts w:ascii="Times New Roman" w:hAnsi="Times New Roman" w:cs="Times New Roman" w:eastAsia="Times New Roman" w:hint="default"/>
        </w:rPr>
        <w:t>ETC</w:t>
      </w:r>
      <w:r>
        <w:rPr/>
        <w:t>前装、</w:t>
      </w:r>
      <w:r>
        <w:rPr>
          <w:rFonts w:ascii="Times New Roman" w:hAnsi="Times New Roman" w:cs="Times New Roman" w:eastAsia="Times New Roman" w:hint="default"/>
        </w:rPr>
        <w:t>ETC</w:t>
      </w:r>
      <w:r>
        <w:rPr/>
        <w:t>支付场景拓展、</w:t>
      </w:r>
      <w:r>
        <w:rPr>
          <w:rFonts w:ascii="Times New Roman" w:hAnsi="Times New Roman" w:cs="Times New Roman" w:eastAsia="Times New Roman" w:hint="default"/>
        </w:rPr>
        <w:t>ETC</w:t>
      </w:r>
      <w:r>
        <w:rPr/>
        <w:t>生态圈建设等领域，成功研发相关产品，并且已经在加 油站、路内停车等多个场景试点应用，成功打造了</w:t>
      </w:r>
      <w:r>
        <w:rPr>
          <w:rFonts w:ascii="Times New Roman" w:hAnsi="Times New Roman" w:cs="Times New Roman" w:eastAsia="Times New Roman" w:hint="default"/>
        </w:rPr>
        <w:t>ETC</w:t>
      </w:r>
      <w:r>
        <w:rPr/>
        <w:t>无感支付系统整体解决方案。</w:t>
      </w:r>
    </w:p>
    <w:p>
      <w:pPr>
        <w:pStyle w:val="BodyText"/>
        <w:spacing w:line="312" w:lineRule="auto" w:before="45"/>
        <w:ind w:right="1032" w:firstLine="360"/>
        <w:jc w:val="left"/>
      </w:pPr>
      <w:r>
        <w:rPr>
          <w:spacing w:val="-2"/>
        </w:rPr>
        <w:t>启动资本之轮，一是公司参与山东高速信联支付有限公司混改增资项目，积极推动与信联支付多领域协同深度合作；二</w:t>
      </w:r>
      <w:r>
        <w:rPr/>
        <w:t> </w:t>
      </w:r>
      <w:r>
        <w:rPr>
          <w:spacing w:val="-2"/>
        </w:rPr>
        <w:t>是公司与江苏通行宝智慧交通科技有限公司共同出资成立深圳宝溢交通科技有限公司。公司通过与信联支付、通行宝等多领</w:t>
      </w:r>
      <w:r>
        <w:rPr>
          <w:spacing w:val="-63"/>
        </w:rPr>
        <w:t> </w:t>
      </w:r>
      <w:r>
        <w:rPr>
          <w:spacing w:val="-63"/>
        </w:rPr>
      </w:r>
      <w:r>
        <w:rPr>
          <w:spacing w:val="-4"/>
        </w:rPr>
        <w:t>域协同深度合作，实现客户资源及渠道共享，进一步拓展</w:t>
      </w:r>
      <w:r>
        <w:rPr>
          <w:spacing w:val="-39"/>
        </w:rPr>
        <w:t> </w:t>
      </w:r>
      <w:r>
        <w:rPr>
          <w:rFonts w:ascii="Times New Roman" w:hAnsi="Times New Roman" w:cs="Times New Roman" w:eastAsia="Times New Roman" w:hint="default"/>
        </w:rPr>
        <w:t>ETC</w:t>
      </w:r>
      <w:r>
        <w:rPr>
          <w:rFonts w:ascii="Times New Roman" w:hAnsi="Times New Roman" w:cs="Times New Roman" w:eastAsia="Times New Roman" w:hint="default"/>
          <w:spacing w:val="5"/>
        </w:rPr>
        <w:t> </w:t>
      </w:r>
      <w:r>
        <w:rPr>
          <w:spacing w:val="-3"/>
        </w:rPr>
        <w:t>的应用场景，充分把握取消省际收费站带来的</w:t>
      </w:r>
      <w:r>
        <w:rPr>
          <w:spacing w:val="-39"/>
        </w:rPr>
        <w:t> </w:t>
      </w:r>
      <w:r>
        <w:rPr>
          <w:rFonts w:ascii="Times New Roman" w:hAnsi="Times New Roman" w:cs="Times New Roman" w:eastAsia="Times New Roman" w:hint="default"/>
        </w:rPr>
        <w:t>ETC</w:t>
      </w:r>
      <w:r>
        <w:rPr>
          <w:rFonts w:ascii="Times New Roman" w:hAnsi="Times New Roman" w:cs="Times New Roman" w:eastAsia="Times New Roman" w:hint="default"/>
          <w:spacing w:val="5"/>
        </w:rPr>
        <w:t> </w:t>
      </w:r>
      <w:r>
        <w:rPr/>
        <w:t>市场机遇， 巩固公司在</w:t>
      </w:r>
      <w:r>
        <w:rPr>
          <w:spacing w:val="-45"/>
        </w:rPr>
        <w:t> </w:t>
      </w:r>
      <w:r>
        <w:rPr>
          <w:rFonts w:ascii="Times New Roman" w:hAnsi="Times New Roman" w:cs="Times New Roman" w:eastAsia="Times New Roman" w:hint="default"/>
        </w:rPr>
        <w:t>ETC</w:t>
      </w:r>
      <w:r>
        <w:rPr>
          <w:rFonts w:ascii="Times New Roman" w:hAnsi="Times New Roman" w:cs="Times New Roman" w:eastAsia="Times New Roman" w:hint="default"/>
          <w:spacing w:val="-1"/>
        </w:rPr>
        <w:t> </w:t>
      </w:r>
      <w:r>
        <w:rPr/>
        <w:t>设备市场的领先地位，助力公司的持续发展和盈利能力的提升。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2"/>
        <w:spacing w:line="240" w:lineRule="auto"/>
        <w:ind w:right="967"/>
        <w:jc w:val="left"/>
        <w:rPr>
          <w:b w:val="0"/>
          <w:bCs w:val="0"/>
        </w:rPr>
      </w:pPr>
      <w:r>
        <w:rPr/>
        <w:t>二、主营业务分析</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4"/>
        <w:spacing w:line="240" w:lineRule="auto"/>
        <w:ind w:right="967"/>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335" w:lineRule="exact"/>
        <w:ind w:right="967"/>
        <w:jc w:val="left"/>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967"/>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6"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2,860,155,936.39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604,058,067.84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373.49%</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智能交通行业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2,860,155,936.39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604,058,067.84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373.49%</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高速公路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设备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2,826,078,184.22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575,594,726.76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95.29%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390.98%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智能停车场设备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17,985,873.64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18,327,470.85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16,091,878.53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10,135,870.23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58.76%</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1,591,129,727.08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55.63%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299,196,300.44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431.80%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236,006,627.15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49,492,773.23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376.85%</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115,113,195.22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68,660,012.31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67.66%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186,802,417.37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65,275,696.27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186.17%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287,322,009.66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55,278,509.05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419.77%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290,296,980.09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19,072,758.09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1,422.05%</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150,623,916.62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42,438,320.51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254.92%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2,861,063.20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4,643,697.94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-38.39%</w:t>
            </w: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t>（</w:t>
      </w:r>
      <w:r>
        <w:rPr>
          <w:rFonts w:ascii="Times New Roman" w:hAnsi="Times New Roman" w:cs="Times New Roman" w:eastAsia="Times New Roman" w:hint="default"/>
        </w:rPr>
        <w:t>2</w:t>
      </w:r>
      <w:r>
        <w:rPr/>
        <w:t>）占公司营业收入或营业利润</w:t>
      </w:r>
      <w:r>
        <w:rPr>
          <w:spacing w:val="22"/>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智能交通行业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2,860,155,936.39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1,491,224,575.50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300.70%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9.47%</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高速公路</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ETC</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设 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2,826,078,184.22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1,476,903,015.59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390.98%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312.24%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9.98%</w:t>
            </w:r>
          </w:p>
        </w:tc>
      </w:tr>
      <w:tr>
        <w:trPr>
          <w:trHeight w:val="404"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1,591,129,727.08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901,065,642.59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369.68%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287,322,009.66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153,296,069.80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323.75%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12.09%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290,296,980.09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134,361,889.30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53.72%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1,422.05%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1,593.64%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-4.68%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236,006,627.15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96,562,991.02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275.38%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11.05%</w:t>
            </w:r>
          </w:p>
        </w:tc>
      </w:tr>
    </w:tbl>
    <w:p>
      <w:pPr>
        <w:pStyle w:val="BodyText"/>
        <w:spacing w:line="240" w:lineRule="auto" w:before="49"/>
        <w:ind w:right="967"/>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4"/>
        <w:spacing w:line="240" w:lineRule="auto"/>
        <w:ind w:right="967"/>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高速公路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设备</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-OBU</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36,788,536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5,109,264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620.04%</w:t>
            </w:r>
          </w:p>
        </w:tc>
      </w:tr>
      <w:tr>
        <w:trPr>
          <w:trHeight w:val="403"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43,975,229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4,765,960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822.69%</w:t>
            </w:r>
          </w:p>
        </w:tc>
      </w:tr>
      <w:tr>
        <w:trPr>
          <w:trHeight w:val="401"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7,783,377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596,684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1,204.44%</w:t>
            </w:r>
          </w:p>
        </w:tc>
      </w:tr>
      <w:tr>
        <w:trPr>
          <w:trHeight w:val="403"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高速公路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设备</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-RSU</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446.16%</w:t>
            </w:r>
          </w:p>
        </w:tc>
      </w:tr>
      <w:tr>
        <w:trPr>
          <w:trHeight w:val="401"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1,437.38%</w:t>
            </w:r>
          </w:p>
        </w:tc>
      </w:tr>
      <w:tr>
        <w:trPr>
          <w:trHeight w:val="403"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2,039.05%</w:t>
            </w:r>
          </w:p>
        </w:tc>
      </w:tr>
      <w:tr>
        <w:trPr>
          <w:trHeight w:val="401"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智能停车场设备</w:t>
            </w:r>
          </w:p>
          <w:p>
            <w:pPr>
              <w:pStyle w:val="TableParagraph"/>
              <w:spacing w:line="240" w:lineRule="auto" w:before="119"/>
              <w:ind w:left="24" w:right="0"/>
              <w:jc w:val="left"/>
              <w:rPr>
                <w:rFonts w:ascii="Times New Roman" w:hAnsi="Times New Roman" w:cs="Times New Roman" w:eastAsia="Times New Roman" w:hint="default"/>
                <w:sz w:val="18"/>
                <w:szCs w:val="18"/>
              </w:rPr>
            </w:pPr>
            <w:r>
              <w:rPr>
                <w:rFonts w:ascii="Times New Roman"/>
                <w:sz w:val="18"/>
              </w:rPr>
              <w:t>-RSU</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201.69%</w:t>
            </w:r>
          </w:p>
        </w:tc>
      </w:tr>
      <w:tr>
        <w:trPr>
          <w:trHeight w:val="404"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548.31%</w:t>
            </w:r>
          </w:p>
        </w:tc>
      </w:tr>
      <w:tr>
        <w:trPr>
          <w:trHeight w:val="401"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276.94%</w:t>
            </w:r>
          </w:p>
        </w:tc>
      </w:tr>
      <w:tr>
        <w:trPr>
          <w:trHeight w:val="403"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300" w:lineRule="auto"/>
              <w:ind w:left="24" w:right="60"/>
              <w:jc w:val="left"/>
              <w:rPr>
                <w:rFonts w:ascii="宋体" w:hAnsi="宋体" w:cs="宋体" w:eastAsia="宋体" w:hint="default"/>
                <w:sz w:val="18"/>
                <w:szCs w:val="18"/>
              </w:rPr>
            </w:pPr>
            <w:r>
              <w:rPr>
                <w:rFonts w:ascii="宋体" w:hAnsi="宋体" w:cs="宋体" w:eastAsia="宋体" w:hint="default"/>
                <w:sz w:val="18"/>
                <w:szCs w:val="18"/>
              </w:rPr>
              <w:t>智能停车场设备</w:t>
            </w:r>
            <w:r>
              <w:rPr>
                <w:rFonts w:ascii="Times New Roman" w:hAnsi="Times New Roman" w:cs="Times New Roman" w:eastAsia="Times New Roman" w:hint="default"/>
                <w:sz w:val="18"/>
                <w:szCs w:val="18"/>
              </w:rPr>
              <w:t>-</w:t>
            </w:r>
            <w:r>
              <w:rPr>
                <w:rFonts w:ascii="宋体" w:hAnsi="宋体" w:cs="宋体" w:eastAsia="宋体" w:hint="default"/>
                <w:sz w:val="18"/>
                <w:szCs w:val="18"/>
              </w:rPr>
              <w:t>车 道控制机</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140.10%</w:t>
            </w:r>
          </w:p>
        </w:tc>
      </w:tr>
      <w:tr>
        <w:trPr>
          <w:trHeight w:val="401"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211.36%</w:t>
            </w:r>
          </w:p>
        </w:tc>
      </w:tr>
      <w:tr>
        <w:trPr>
          <w:trHeight w:val="403"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214.79%</w:t>
            </w:r>
          </w:p>
        </w:tc>
      </w:tr>
    </w:tbl>
    <w:p>
      <w:pPr>
        <w:pStyle w:val="BodyText"/>
        <w:spacing w:line="240" w:lineRule="auto" w:before="49"/>
        <w:ind w:right="967"/>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1"/>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069"/>
        <w:jc w:val="both"/>
      </w:pPr>
      <w:r>
        <w:rPr>
          <w:rFonts w:ascii="Times New Roman" w:hAnsi="Times New Roman" w:cs="Times New Roman" w:eastAsia="Times New Roman" w:hint="default"/>
          <w:spacing w:val="-2"/>
        </w:rPr>
        <w:t>1</w:t>
      </w:r>
      <w:r>
        <w:rPr>
          <w:spacing w:val="-2"/>
        </w:rPr>
        <w:t>、报告期内高速公路</w:t>
      </w:r>
      <w:r>
        <w:rPr>
          <w:rFonts w:ascii="Times New Roman" w:hAnsi="Times New Roman" w:cs="Times New Roman" w:eastAsia="Times New Roman" w:hint="default"/>
          <w:spacing w:val="-2"/>
        </w:rPr>
        <w:t>ETC</w:t>
      </w:r>
      <w:r>
        <w:rPr>
          <w:spacing w:val="-2"/>
        </w:rPr>
        <w:t>设备</w:t>
      </w:r>
      <w:r>
        <w:rPr>
          <w:rFonts w:ascii="Times New Roman" w:hAnsi="Times New Roman" w:cs="Times New Roman" w:eastAsia="Times New Roman" w:hint="default"/>
          <w:spacing w:val="-2"/>
        </w:rPr>
        <w:t>-OBU</w:t>
      </w:r>
      <w:r>
        <w:rPr>
          <w:spacing w:val="-2"/>
        </w:rPr>
        <w:t>的销售量为</w:t>
      </w:r>
      <w:r>
        <w:rPr>
          <w:rFonts w:ascii="Times New Roman" w:hAnsi="Times New Roman" w:cs="Times New Roman" w:eastAsia="Times New Roman" w:hint="default"/>
          <w:spacing w:val="-2"/>
        </w:rPr>
        <w:t>36,788,536</w:t>
      </w:r>
      <w:r>
        <w:rPr>
          <w:spacing w:val="-2"/>
        </w:rPr>
        <w:t>套，</w:t>
      </w:r>
      <w:r>
        <w:rPr>
          <w:rFonts w:ascii="Times New Roman" w:hAnsi="Times New Roman" w:cs="Times New Roman" w:eastAsia="Times New Roman" w:hint="default"/>
          <w:spacing w:val="-2"/>
        </w:rPr>
        <w:t>2018</w:t>
      </w:r>
      <w:r>
        <w:rPr>
          <w:spacing w:val="-2"/>
        </w:rPr>
        <w:t>年销售量为</w:t>
      </w:r>
      <w:r>
        <w:rPr>
          <w:rFonts w:ascii="Times New Roman" w:hAnsi="Times New Roman" w:cs="Times New Roman" w:eastAsia="Times New Roman" w:hint="default"/>
          <w:spacing w:val="-2"/>
        </w:rPr>
        <w:t>5,109,264</w:t>
      </w:r>
      <w:r>
        <w:rPr>
          <w:spacing w:val="-2"/>
        </w:rPr>
        <w:t>套，较</w:t>
      </w:r>
      <w:r>
        <w:rPr>
          <w:rFonts w:ascii="Times New Roman" w:hAnsi="Times New Roman" w:cs="Times New Roman" w:eastAsia="Times New Roman" w:hint="default"/>
          <w:spacing w:val="-2"/>
        </w:rPr>
        <w:t>2018</w:t>
      </w:r>
      <w:r>
        <w:rPr>
          <w:spacing w:val="-2"/>
        </w:rPr>
        <w:t>年增加</w:t>
      </w:r>
      <w:r>
        <w:rPr>
          <w:rFonts w:ascii="Times New Roman" w:hAnsi="Times New Roman" w:cs="Times New Roman" w:eastAsia="Times New Roman" w:hint="default"/>
          <w:spacing w:val="-2"/>
        </w:rPr>
        <w:t>620.04%</w:t>
      </w:r>
      <w:r>
        <w:rPr>
          <w:spacing w:val="-2"/>
        </w:rPr>
        <w:t>，主要系</w:t>
      </w:r>
      <w:r>
        <w:rPr>
          <w:spacing w:val="-22"/>
        </w:rPr>
        <w:t> </w:t>
      </w:r>
      <w:r>
        <w:rPr>
          <w:spacing w:val="-22"/>
        </w:rPr>
      </w:r>
      <w:r>
        <w:rPr/>
        <w:t>国家大力推进取消全国高速公路省界收费站工程建设，以及推动</w:t>
      </w:r>
      <w:r>
        <w:rPr>
          <w:rFonts w:ascii="Times New Roman" w:hAnsi="Times New Roman" w:cs="Times New Roman" w:eastAsia="Times New Roman" w:hint="default"/>
        </w:rPr>
        <w:t>ETC</w:t>
      </w:r>
      <w:r>
        <w:rPr/>
        <w:t>电子标签的普及应用，市场需求较上年同期大幅增长， 销售量同比大幅增加。</w:t>
      </w:r>
    </w:p>
    <w:p>
      <w:pPr>
        <w:pStyle w:val="BodyText"/>
        <w:spacing w:line="300" w:lineRule="auto" w:before="31"/>
        <w:ind w:right="967"/>
        <w:jc w:val="left"/>
      </w:pPr>
      <w:r>
        <w:rPr>
          <w:rFonts w:ascii="Times New Roman" w:hAnsi="Times New Roman" w:cs="Times New Roman" w:eastAsia="Times New Roman" w:hint="default"/>
          <w:spacing w:val="-2"/>
        </w:rPr>
        <w:t>2</w:t>
      </w:r>
      <w:r>
        <w:rPr>
          <w:spacing w:val="-2"/>
        </w:rPr>
        <w:t>、报告期内高速公路</w:t>
      </w:r>
      <w:r>
        <w:rPr>
          <w:rFonts w:ascii="Times New Roman" w:hAnsi="Times New Roman" w:cs="Times New Roman" w:eastAsia="Times New Roman" w:hint="default"/>
          <w:spacing w:val="-2"/>
        </w:rPr>
        <w:t>ETC</w:t>
      </w:r>
      <w:r>
        <w:rPr>
          <w:spacing w:val="-2"/>
        </w:rPr>
        <w:t>设备</w:t>
      </w:r>
      <w:r>
        <w:rPr>
          <w:rFonts w:ascii="Times New Roman" w:hAnsi="Times New Roman" w:cs="Times New Roman" w:eastAsia="Times New Roman" w:hint="default"/>
          <w:spacing w:val="-2"/>
        </w:rPr>
        <w:t>-OBU</w:t>
      </w:r>
      <w:r>
        <w:rPr>
          <w:spacing w:val="-2"/>
        </w:rPr>
        <w:t>的生产量为</w:t>
      </w:r>
      <w:r>
        <w:rPr>
          <w:rFonts w:ascii="Times New Roman" w:hAnsi="Times New Roman" w:cs="Times New Roman" w:eastAsia="Times New Roman" w:hint="default"/>
          <w:spacing w:val="-2"/>
        </w:rPr>
        <w:t>43,975,229</w:t>
      </w:r>
      <w:r>
        <w:rPr>
          <w:spacing w:val="-2"/>
        </w:rPr>
        <w:t>套，</w:t>
      </w:r>
      <w:r>
        <w:rPr>
          <w:rFonts w:ascii="Times New Roman" w:hAnsi="Times New Roman" w:cs="Times New Roman" w:eastAsia="Times New Roman" w:hint="default"/>
          <w:spacing w:val="-2"/>
        </w:rPr>
        <w:t>2018</w:t>
      </w:r>
      <w:r>
        <w:rPr>
          <w:spacing w:val="-2"/>
        </w:rPr>
        <w:t>年生产量为</w:t>
      </w:r>
      <w:r>
        <w:rPr>
          <w:rFonts w:ascii="Times New Roman" w:hAnsi="Times New Roman" w:cs="Times New Roman" w:eastAsia="Times New Roman" w:hint="default"/>
          <w:spacing w:val="-2"/>
        </w:rPr>
        <w:t>4,765,960</w:t>
      </w:r>
      <w:r>
        <w:rPr>
          <w:spacing w:val="-2"/>
        </w:rPr>
        <w:t>套，较</w:t>
      </w:r>
      <w:r>
        <w:rPr>
          <w:rFonts w:ascii="Times New Roman" w:hAnsi="Times New Roman" w:cs="Times New Roman" w:eastAsia="Times New Roman" w:hint="default"/>
          <w:spacing w:val="-2"/>
        </w:rPr>
        <w:t>2018</w:t>
      </w:r>
      <w:r>
        <w:rPr>
          <w:spacing w:val="-2"/>
        </w:rPr>
        <w:t>年增加</w:t>
      </w:r>
      <w:r>
        <w:rPr>
          <w:rFonts w:ascii="Times New Roman" w:hAnsi="Times New Roman" w:cs="Times New Roman" w:eastAsia="Times New Roman" w:hint="default"/>
          <w:spacing w:val="-2"/>
        </w:rPr>
        <w:t>822.69%</w:t>
      </w:r>
      <w:r>
        <w:rPr>
          <w:spacing w:val="-2"/>
        </w:rPr>
        <w:t>，主要系</w:t>
      </w:r>
      <w:r>
        <w:rPr>
          <w:spacing w:val="-22"/>
        </w:rPr>
        <w:t> </w:t>
      </w:r>
      <w:r>
        <w:rPr>
          <w:spacing w:val="-22"/>
        </w:rPr>
      </w:r>
      <w:r>
        <w:rPr/>
        <w:t>公司应对市场需求增加产量所致。</w:t>
      </w:r>
    </w:p>
    <w:p>
      <w:pPr>
        <w:pStyle w:val="BodyText"/>
        <w:spacing w:line="300" w:lineRule="auto" w:before="31"/>
        <w:ind w:right="1139"/>
        <w:jc w:val="left"/>
      </w:pPr>
      <w:r>
        <w:rPr>
          <w:rFonts w:ascii="Times New Roman" w:hAnsi="Times New Roman" w:cs="Times New Roman" w:eastAsia="Times New Roman" w:hint="default"/>
        </w:rPr>
        <w:t>3</w:t>
      </w:r>
      <w:r>
        <w:rPr/>
        <w:t>、报告期内高速公路</w:t>
      </w:r>
      <w:r>
        <w:rPr>
          <w:rFonts w:ascii="Times New Roman" w:hAnsi="Times New Roman" w:cs="Times New Roman" w:eastAsia="Times New Roman" w:hint="default"/>
        </w:rPr>
        <w:t>ETC</w:t>
      </w:r>
      <w:r>
        <w:rPr/>
        <w:t>设备</w:t>
      </w:r>
      <w:r>
        <w:rPr>
          <w:rFonts w:ascii="Times New Roman" w:hAnsi="Times New Roman" w:cs="Times New Roman" w:eastAsia="Times New Roman" w:hint="default"/>
        </w:rPr>
        <w:t>-OBU</w:t>
      </w:r>
      <w:r>
        <w:rPr/>
        <w:t>的库存量为</w:t>
      </w:r>
      <w:r>
        <w:rPr>
          <w:rFonts w:ascii="Times New Roman" w:hAnsi="Times New Roman" w:cs="Times New Roman" w:eastAsia="Times New Roman" w:hint="default"/>
        </w:rPr>
        <w:t>7,783,377</w:t>
      </w:r>
      <w:r>
        <w:rPr/>
        <w:t>套，</w:t>
      </w:r>
      <w:r>
        <w:rPr>
          <w:rFonts w:ascii="Times New Roman" w:hAnsi="Times New Roman" w:cs="Times New Roman" w:eastAsia="Times New Roman" w:hint="default"/>
        </w:rPr>
        <w:t>2018</w:t>
      </w:r>
      <w:r>
        <w:rPr/>
        <w:t>年库存量为</w:t>
      </w:r>
      <w:r>
        <w:rPr>
          <w:rFonts w:ascii="Times New Roman" w:hAnsi="Times New Roman" w:cs="Times New Roman" w:eastAsia="Times New Roman" w:hint="default"/>
        </w:rPr>
        <w:t>596,684</w:t>
      </w:r>
      <w:r>
        <w:rPr/>
        <w:t>套，较</w:t>
      </w:r>
      <w:r>
        <w:rPr>
          <w:rFonts w:ascii="Times New Roman" w:hAnsi="Times New Roman" w:cs="Times New Roman" w:eastAsia="Times New Roman" w:hint="default"/>
        </w:rPr>
        <w:t>2018</w:t>
      </w:r>
      <w:r>
        <w:rPr/>
        <w:t>年增加</w:t>
      </w:r>
      <w:r>
        <w:rPr>
          <w:rFonts w:ascii="Times New Roman" w:hAnsi="Times New Roman" w:cs="Times New Roman" w:eastAsia="Times New Roman" w:hint="default"/>
        </w:rPr>
        <w:t>1,204.44%</w:t>
      </w:r>
      <w:r>
        <w:rPr/>
        <w:t>，主要系 公司为应对市场需求增加备货所致。</w:t>
      </w:r>
    </w:p>
    <w:p>
      <w:pPr>
        <w:pStyle w:val="BodyText"/>
        <w:spacing w:line="307" w:lineRule="auto" w:before="31"/>
        <w:ind w:right="1128"/>
        <w:jc w:val="left"/>
      </w:pPr>
      <w:r>
        <w:rPr>
          <w:rFonts w:ascii="Times New Roman" w:hAnsi="Times New Roman" w:cs="Times New Roman" w:eastAsia="Times New Roman" w:hint="default"/>
        </w:rPr>
        <w:t>4</w:t>
      </w:r>
      <w:r>
        <w:rPr/>
        <w:t>、报告期内高速公路</w:t>
      </w:r>
      <w:r>
        <w:rPr>
          <w:rFonts w:ascii="Times New Roman" w:hAnsi="Times New Roman" w:cs="Times New Roman" w:eastAsia="Times New Roman" w:hint="default"/>
        </w:rPr>
        <w:t>ETC</w:t>
      </w:r>
      <w:r>
        <w:rPr/>
        <w:t>设备</w:t>
      </w:r>
      <w:r>
        <w:rPr>
          <w:rFonts w:ascii="Times New Roman" w:hAnsi="Times New Roman" w:cs="Times New Roman" w:eastAsia="Times New Roman" w:hint="default"/>
        </w:rPr>
        <w:t>-RSU</w:t>
      </w:r>
      <w:r>
        <w:rPr/>
        <w:t>的销售量为</w:t>
      </w:r>
      <w:r>
        <w:rPr>
          <w:rFonts w:ascii="Times New Roman" w:hAnsi="Times New Roman" w:cs="Times New Roman" w:eastAsia="Times New Roman" w:hint="default"/>
        </w:rPr>
        <w:t>10,732</w:t>
      </w:r>
      <w:r>
        <w:rPr/>
        <w:t>套，</w:t>
      </w:r>
      <w:r>
        <w:rPr>
          <w:rFonts w:ascii="Times New Roman" w:hAnsi="Times New Roman" w:cs="Times New Roman" w:eastAsia="Times New Roman" w:hint="default"/>
        </w:rPr>
        <w:t>2018</w:t>
      </w:r>
      <w:r>
        <w:rPr/>
        <w:t>年销售量为</w:t>
      </w:r>
      <w:r>
        <w:rPr>
          <w:rFonts w:ascii="Times New Roman" w:hAnsi="Times New Roman" w:cs="Times New Roman" w:eastAsia="Times New Roman" w:hint="default"/>
        </w:rPr>
        <w:t>1,965</w:t>
      </w:r>
      <w:r>
        <w:rPr/>
        <w:t>套，较</w:t>
      </w:r>
      <w:r>
        <w:rPr>
          <w:rFonts w:ascii="Times New Roman" w:hAnsi="Times New Roman" w:cs="Times New Roman" w:eastAsia="Times New Roman" w:hint="default"/>
        </w:rPr>
        <w:t>2018</w:t>
      </w:r>
      <w:r>
        <w:rPr/>
        <w:t>年增长</w:t>
      </w:r>
      <w:r>
        <w:rPr>
          <w:rFonts w:ascii="Times New Roman" w:hAnsi="Times New Roman" w:cs="Times New Roman" w:eastAsia="Times New Roman" w:hint="default"/>
        </w:rPr>
        <w:t>446.16%</w:t>
      </w:r>
      <w:r>
        <w:rPr/>
        <w:t>，主要系国家大 力推进取消全国高速公路省界收费站工程建设，市场需求较上年同期大幅增长，销售量同比大幅增加。 </w:t>
      </w:r>
      <w:r>
        <w:rPr>
          <w:rFonts w:ascii="Times New Roman" w:hAnsi="Times New Roman" w:cs="Times New Roman" w:eastAsia="Times New Roman" w:hint="default"/>
          <w:spacing w:val="-2"/>
        </w:rPr>
        <w:t>5</w:t>
      </w:r>
      <w:r>
        <w:rPr>
          <w:spacing w:val="-2"/>
        </w:rPr>
        <w:t>、报告期内高速公路</w:t>
      </w:r>
      <w:r>
        <w:rPr>
          <w:rFonts w:ascii="Times New Roman" w:hAnsi="Times New Roman" w:cs="Times New Roman" w:eastAsia="Times New Roman" w:hint="default"/>
          <w:spacing w:val="-2"/>
        </w:rPr>
        <w:t>ETC</w:t>
      </w:r>
      <w:r>
        <w:rPr>
          <w:spacing w:val="-2"/>
        </w:rPr>
        <w:t>设备</w:t>
      </w:r>
      <w:r>
        <w:rPr>
          <w:rFonts w:ascii="Times New Roman" w:hAnsi="Times New Roman" w:cs="Times New Roman" w:eastAsia="Times New Roman" w:hint="default"/>
          <w:spacing w:val="-2"/>
        </w:rPr>
        <w:t>-RSU</w:t>
      </w:r>
      <w:r>
        <w:rPr>
          <w:spacing w:val="-2"/>
        </w:rPr>
        <w:t>的生产量为</w:t>
      </w:r>
      <w:r>
        <w:rPr>
          <w:rFonts w:ascii="Times New Roman" w:hAnsi="Times New Roman" w:cs="Times New Roman" w:eastAsia="Times New Roman" w:hint="default"/>
          <w:spacing w:val="-2"/>
        </w:rPr>
        <w:t>41,909</w:t>
      </w:r>
      <w:r>
        <w:rPr>
          <w:spacing w:val="-2"/>
        </w:rPr>
        <w:t>套，</w:t>
      </w:r>
      <w:r>
        <w:rPr>
          <w:rFonts w:ascii="Times New Roman" w:hAnsi="Times New Roman" w:cs="Times New Roman" w:eastAsia="Times New Roman" w:hint="default"/>
          <w:spacing w:val="-2"/>
        </w:rPr>
        <w:t>2018</w:t>
      </w:r>
      <w:r>
        <w:rPr>
          <w:spacing w:val="-2"/>
        </w:rPr>
        <w:t>年生产量为</w:t>
      </w:r>
      <w:r>
        <w:rPr>
          <w:rFonts w:ascii="Times New Roman" w:hAnsi="Times New Roman" w:cs="Times New Roman" w:eastAsia="Times New Roman" w:hint="default"/>
          <w:spacing w:val="-2"/>
        </w:rPr>
        <w:t>2,726</w:t>
      </w:r>
      <w:r>
        <w:rPr>
          <w:spacing w:val="-2"/>
        </w:rPr>
        <w:t>套，较</w:t>
      </w:r>
      <w:r>
        <w:rPr>
          <w:rFonts w:ascii="Times New Roman" w:hAnsi="Times New Roman" w:cs="Times New Roman" w:eastAsia="Times New Roman" w:hint="default"/>
          <w:spacing w:val="-2"/>
        </w:rPr>
        <w:t>2018</w:t>
      </w:r>
      <w:r>
        <w:rPr>
          <w:spacing w:val="-2"/>
        </w:rPr>
        <w:t>年增长</w:t>
      </w:r>
      <w:r>
        <w:rPr>
          <w:rFonts w:ascii="Times New Roman" w:hAnsi="Times New Roman" w:cs="Times New Roman" w:eastAsia="Times New Roman" w:hint="default"/>
          <w:spacing w:val="-2"/>
        </w:rPr>
        <w:t>1,437.38%</w:t>
      </w:r>
      <w:r>
        <w:rPr>
          <w:spacing w:val="-2"/>
        </w:rPr>
        <w:t>，主要系公司为</w:t>
      </w:r>
      <w:r>
        <w:rPr>
          <w:spacing w:val="-38"/>
        </w:rPr>
        <w:t> </w:t>
      </w:r>
      <w:r>
        <w:rPr>
          <w:spacing w:val="-38"/>
        </w:rPr>
      </w:r>
      <w:r>
        <w:rPr/>
        <w:t>应对市场需求增加产量所致。</w:t>
      </w:r>
    </w:p>
    <w:p>
      <w:pPr>
        <w:pStyle w:val="BodyText"/>
        <w:spacing w:line="300" w:lineRule="auto" w:before="26"/>
        <w:ind w:right="967"/>
        <w:jc w:val="left"/>
      </w:pPr>
      <w:r>
        <w:rPr>
          <w:rFonts w:ascii="Times New Roman" w:hAnsi="Times New Roman" w:cs="Times New Roman" w:eastAsia="Times New Roman" w:hint="default"/>
          <w:spacing w:val="-2"/>
        </w:rPr>
        <w:t>6</w:t>
      </w:r>
      <w:r>
        <w:rPr>
          <w:spacing w:val="-2"/>
        </w:rPr>
        <w:t>、报告期内高速公路</w:t>
      </w:r>
      <w:r>
        <w:rPr>
          <w:rFonts w:ascii="Times New Roman" w:hAnsi="Times New Roman" w:cs="Times New Roman" w:eastAsia="Times New Roman" w:hint="default"/>
          <w:spacing w:val="-2"/>
        </w:rPr>
        <w:t>ETC</w:t>
      </w:r>
      <w:r>
        <w:rPr>
          <w:spacing w:val="-2"/>
        </w:rPr>
        <w:t>设备</w:t>
      </w:r>
      <w:r>
        <w:rPr>
          <w:rFonts w:ascii="Times New Roman" w:hAnsi="Times New Roman" w:cs="Times New Roman" w:eastAsia="Times New Roman" w:hint="default"/>
          <w:spacing w:val="-2"/>
        </w:rPr>
        <w:t>-RSU</w:t>
      </w:r>
      <w:r>
        <w:rPr>
          <w:spacing w:val="-2"/>
        </w:rPr>
        <w:t>的库存量为</w:t>
      </w:r>
      <w:r>
        <w:rPr>
          <w:rFonts w:ascii="Times New Roman" w:hAnsi="Times New Roman" w:cs="Times New Roman" w:eastAsia="Times New Roman" w:hint="default"/>
          <w:spacing w:val="-2"/>
        </w:rPr>
        <w:t>32,706</w:t>
      </w:r>
      <w:r>
        <w:rPr>
          <w:spacing w:val="-2"/>
        </w:rPr>
        <w:t>套，</w:t>
      </w:r>
      <w:r>
        <w:rPr>
          <w:rFonts w:ascii="Times New Roman" w:hAnsi="Times New Roman" w:cs="Times New Roman" w:eastAsia="Times New Roman" w:hint="default"/>
          <w:spacing w:val="-2"/>
        </w:rPr>
        <w:t>2018</w:t>
      </w:r>
      <w:r>
        <w:rPr>
          <w:spacing w:val="-2"/>
        </w:rPr>
        <w:t>年库存量为</w:t>
      </w:r>
      <w:r>
        <w:rPr>
          <w:rFonts w:ascii="Times New Roman" w:hAnsi="Times New Roman" w:cs="Times New Roman" w:eastAsia="Times New Roman" w:hint="default"/>
          <w:spacing w:val="-2"/>
        </w:rPr>
        <w:t>1,529</w:t>
      </w:r>
      <w:r>
        <w:rPr>
          <w:spacing w:val="-2"/>
        </w:rPr>
        <w:t>套，较</w:t>
      </w:r>
      <w:r>
        <w:rPr>
          <w:rFonts w:ascii="Times New Roman" w:hAnsi="Times New Roman" w:cs="Times New Roman" w:eastAsia="Times New Roman" w:hint="default"/>
          <w:spacing w:val="-2"/>
        </w:rPr>
        <w:t>2018</w:t>
      </w:r>
      <w:r>
        <w:rPr>
          <w:spacing w:val="-2"/>
        </w:rPr>
        <w:t>年增长</w:t>
      </w:r>
      <w:r>
        <w:rPr>
          <w:rFonts w:ascii="Times New Roman" w:hAnsi="Times New Roman" w:cs="Times New Roman" w:eastAsia="Times New Roman" w:hint="default"/>
          <w:spacing w:val="-2"/>
        </w:rPr>
        <w:t>2,039.05%</w:t>
      </w:r>
      <w:r>
        <w:rPr>
          <w:spacing w:val="-2"/>
        </w:rPr>
        <w:t>，主要系公司为</w:t>
      </w:r>
      <w:r>
        <w:rPr>
          <w:spacing w:val="-38"/>
        </w:rPr>
        <w:t> </w:t>
      </w:r>
      <w:r>
        <w:rPr>
          <w:spacing w:val="-38"/>
        </w:rPr>
      </w:r>
      <w:r>
        <w:rPr/>
        <w:t>应对市场需求增加备货所致。</w:t>
      </w:r>
    </w:p>
    <w:p>
      <w:pPr>
        <w:pStyle w:val="BodyText"/>
        <w:spacing w:line="300" w:lineRule="auto" w:before="32"/>
        <w:ind w:right="1194"/>
        <w:jc w:val="left"/>
      </w:pPr>
      <w:r>
        <w:rPr>
          <w:rFonts w:ascii="Times New Roman" w:hAnsi="Times New Roman" w:cs="Times New Roman" w:eastAsia="Times New Roman" w:hint="default"/>
        </w:rPr>
        <w:t>7</w:t>
      </w:r>
      <w:r>
        <w:rPr/>
        <w:t>、智能停车场设备</w:t>
      </w:r>
      <w:r>
        <w:rPr>
          <w:rFonts w:ascii="Times New Roman" w:hAnsi="Times New Roman" w:cs="Times New Roman" w:eastAsia="Times New Roman" w:hint="default"/>
        </w:rPr>
        <w:t>-RSU</w:t>
      </w:r>
      <w:r>
        <w:rPr/>
        <w:t>销售量为</w:t>
      </w:r>
      <w:r>
        <w:rPr>
          <w:rFonts w:ascii="Times New Roman" w:hAnsi="Times New Roman" w:cs="Times New Roman" w:eastAsia="Times New Roman" w:hint="default"/>
        </w:rPr>
        <w:t>1,074</w:t>
      </w:r>
      <w:r>
        <w:rPr/>
        <w:t>套，</w:t>
      </w:r>
      <w:r>
        <w:rPr>
          <w:rFonts w:ascii="Times New Roman" w:hAnsi="Times New Roman" w:cs="Times New Roman" w:eastAsia="Times New Roman" w:hint="default"/>
        </w:rPr>
        <w:t>2018</w:t>
      </w:r>
      <w:r>
        <w:rPr/>
        <w:t>年销售量为</w:t>
      </w:r>
      <w:r>
        <w:rPr>
          <w:rFonts w:ascii="Times New Roman" w:hAnsi="Times New Roman" w:cs="Times New Roman" w:eastAsia="Times New Roman" w:hint="default"/>
        </w:rPr>
        <w:t>356</w:t>
      </w:r>
      <w:r>
        <w:rPr/>
        <w:t>套，较</w:t>
      </w:r>
      <w:r>
        <w:rPr>
          <w:rFonts w:ascii="Times New Roman" w:hAnsi="Times New Roman" w:cs="Times New Roman" w:eastAsia="Times New Roman" w:hint="default"/>
        </w:rPr>
        <w:t>2018</w:t>
      </w:r>
      <w:r>
        <w:rPr/>
        <w:t>年增长</w:t>
      </w:r>
      <w:r>
        <w:rPr>
          <w:rFonts w:ascii="Times New Roman" w:hAnsi="Times New Roman" w:cs="Times New Roman" w:eastAsia="Times New Roman" w:hint="default"/>
        </w:rPr>
        <w:t>201.69%</w:t>
      </w:r>
      <w:r>
        <w:rPr/>
        <w:t>，主要系市场需求较上年同期增 长，销售量同比大幅增加。</w:t>
      </w:r>
    </w:p>
    <w:p>
      <w:pPr>
        <w:spacing w:after="0" w:line="30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left="212" w:right="1194"/>
        <w:jc w:val="left"/>
      </w:pPr>
      <w:r>
        <w:rPr>
          <w:rFonts w:ascii="Times New Roman" w:hAnsi="Times New Roman" w:cs="Times New Roman" w:eastAsia="Times New Roman" w:hint="default"/>
        </w:rPr>
        <w:t>8</w:t>
      </w:r>
      <w:r>
        <w:rPr/>
        <w:t>、智能停车场设备</w:t>
      </w:r>
      <w:r>
        <w:rPr>
          <w:rFonts w:ascii="Times New Roman" w:hAnsi="Times New Roman" w:cs="Times New Roman" w:eastAsia="Times New Roman" w:hint="default"/>
        </w:rPr>
        <w:t>-RSU</w:t>
      </w:r>
      <w:r>
        <w:rPr/>
        <w:t>生产量为</w:t>
      </w:r>
      <w:r>
        <w:rPr>
          <w:rFonts w:ascii="Times New Roman" w:hAnsi="Times New Roman" w:cs="Times New Roman" w:eastAsia="Times New Roman" w:hint="default"/>
        </w:rPr>
        <w:t>2,107</w:t>
      </w:r>
      <w:r>
        <w:rPr/>
        <w:t>套，</w:t>
      </w:r>
      <w:r>
        <w:rPr>
          <w:rFonts w:ascii="Times New Roman" w:hAnsi="Times New Roman" w:cs="Times New Roman" w:eastAsia="Times New Roman" w:hint="default"/>
        </w:rPr>
        <w:t>2018</w:t>
      </w:r>
      <w:r>
        <w:rPr/>
        <w:t>年生产量为</w:t>
      </w:r>
      <w:r>
        <w:rPr>
          <w:rFonts w:ascii="Times New Roman" w:hAnsi="Times New Roman" w:cs="Times New Roman" w:eastAsia="Times New Roman" w:hint="default"/>
        </w:rPr>
        <w:t>325</w:t>
      </w:r>
      <w:r>
        <w:rPr/>
        <w:t>套，较</w:t>
      </w:r>
      <w:r>
        <w:rPr>
          <w:rFonts w:ascii="Times New Roman" w:hAnsi="Times New Roman" w:cs="Times New Roman" w:eastAsia="Times New Roman" w:hint="default"/>
        </w:rPr>
        <w:t>2018</w:t>
      </w:r>
      <w:r>
        <w:rPr/>
        <w:t>年增长</w:t>
      </w:r>
      <w:r>
        <w:rPr>
          <w:rFonts w:ascii="Times New Roman" w:hAnsi="Times New Roman" w:cs="Times New Roman" w:eastAsia="Times New Roman" w:hint="default"/>
        </w:rPr>
        <w:t>548.31%</w:t>
      </w:r>
      <w:r>
        <w:rPr/>
        <w:t>，主要系公司为应对市场需求增 加产量所致。</w:t>
      </w:r>
    </w:p>
    <w:p>
      <w:pPr>
        <w:pStyle w:val="BodyText"/>
        <w:spacing w:line="300" w:lineRule="auto" w:before="31"/>
        <w:ind w:left="212" w:right="1194"/>
        <w:jc w:val="left"/>
      </w:pPr>
      <w:r>
        <w:rPr>
          <w:rFonts w:ascii="Times New Roman" w:hAnsi="Times New Roman" w:cs="Times New Roman" w:eastAsia="Times New Roman" w:hint="default"/>
        </w:rPr>
        <w:t>9</w:t>
      </w:r>
      <w:r>
        <w:rPr/>
        <w:t>、智能停车场设备</w:t>
      </w:r>
      <w:r>
        <w:rPr>
          <w:rFonts w:ascii="Times New Roman" w:hAnsi="Times New Roman" w:cs="Times New Roman" w:eastAsia="Times New Roman" w:hint="default"/>
        </w:rPr>
        <w:t>-RSU</w:t>
      </w:r>
      <w:r>
        <w:rPr/>
        <w:t>库存量为</w:t>
      </w:r>
      <w:r>
        <w:rPr>
          <w:rFonts w:ascii="Times New Roman" w:hAnsi="Times New Roman" w:cs="Times New Roman" w:eastAsia="Times New Roman" w:hint="default"/>
        </w:rPr>
        <w:t>1,406</w:t>
      </w:r>
      <w:r>
        <w:rPr/>
        <w:t>套，</w:t>
      </w:r>
      <w:r>
        <w:rPr>
          <w:rFonts w:ascii="Times New Roman" w:hAnsi="Times New Roman" w:cs="Times New Roman" w:eastAsia="Times New Roman" w:hint="default"/>
        </w:rPr>
        <w:t>2018</w:t>
      </w:r>
      <w:r>
        <w:rPr/>
        <w:t>年库存量为</w:t>
      </w:r>
      <w:r>
        <w:rPr>
          <w:rFonts w:ascii="Times New Roman" w:hAnsi="Times New Roman" w:cs="Times New Roman" w:eastAsia="Times New Roman" w:hint="default"/>
        </w:rPr>
        <w:t>373</w:t>
      </w:r>
      <w:r>
        <w:rPr/>
        <w:t>套，较</w:t>
      </w:r>
      <w:r>
        <w:rPr>
          <w:rFonts w:ascii="Times New Roman" w:hAnsi="Times New Roman" w:cs="Times New Roman" w:eastAsia="Times New Roman" w:hint="default"/>
        </w:rPr>
        <w:t>2018</w:t>
      </w:r>
      <w:r>
        <w:rPr/>
        <w:t>年增长</w:t>
      </w:r>
      <w:r>
        <w:rPr>
          <w:rFonts w:ascii="Times New Roman" w:hAnsi="Times New Roman" w:cs="Times New Roman" w:eastAsia="Times New Roman" w:hint="default"/>
        </w:rPr>
        <w:t>276.94%</w:t>
      </w:r>
      <w:r>
        <w:rPr/>
        <w:t>，主要系公司为应对市场需求增 加备货所致。</w:t>
      </w:r>
    </w:p>
    <w:p>
      <w:pPr>
        <w:pStyle w:val="BodyText"/>
        <w:spacing w:line="300" w:lineRule="auto" w:before="31"/>
        <w:ind w:left="212" w:right="0"/>
        <w:jc w:val="left"/>
      </w:pPr>
      <w:r>
        <w:rPr>
          <w:rFonts w:ascii="Times New Roman" w:hAnsi="Times New Roman" w:cs="Times New Roman" w:eastAsia="Times New Roman" w:hint="default"/>
          <w:spacing w:val="-1"/>
        </w:rPr>
        <w:t>10</w:t>
      </w:r>
      <w:r>
        <w:rPr>
          <w:spacing w:val="-1"/>
        </w:rPr>
        <w:t>、智能停车场设备</w:t>
      </w:r>
      <w:r>
        <w:rPr>
          <w:rFonts w:ascii="Times New Roman" w:hAnsi="Times New Roman" w:cs="Times New Roman" w:eastAsia="Times New Roman" w:hint="default"/>
          <w:spacing w:val="-1"/>
        </w:rPr>
        <w:t>-</w:t>
      </w:r>
      <w:r>
        <w:rPr>
          <w:spacing w:val="-1"/>
        </w:rPr>
        <w:t>车道控制机销售量为</w:t>
      </w:r>
      <w:r>
        <w:rPr>
          <w:rFonts w:ascii="Times New Roman" w:hAnsi="Times New Roman" w:cs="Times New Roman" w:eastAsia="Times New Roman" w:hint="default"/>
          <w:spacing w:val="-1"/>
        </w:rPr>
        <w:t>1,856</w:t>
      </w:r>
      <w:r>
        <w:rPr>
          <w:spacing w:val="-1"/>
        </w:rPr>
        <w:t>套，</w:t>
      </w:r>
      <w:r>
        <w:rPr>
          <w:rFonts w:ascii="Times New Roman" w:hAnsi="Times New Roman" w:cs="Times New Roman" w:eastAsia="Times New Roman" w:hint="default"/>
          <w:spacing w:val="-1"/>
        </w:rPr>
        <w:t>2018</w:t>
      </w:r>
      <w:r>
        <w:rPr>
          <w:spacing w:val="-1"/>
        </w:rPr>
        <w:t>年销售量为</w:t>
      </w:r>
      <w:r>
        <w:rPr>
          <w:rFonts w:ascii="Times New Roman" w:hAnsi="Times New Roman" w:cs="Times New Roman" w:eastAsia="Times New Roman" w:hint="default"/>
          <w:spacing w:val="-1"/>
        </w:rPr>
        <w:t>773</w:t>
      </w:r>
      <w:r>
        <w:rPr>
          <w:spacing w:val="-1"/>
        </w:rPr>
        <w:t>套，较</w:t>
      </w:r>
      <w:r>
        <w:rPr>
          <w:rFonts w:ascii="Times New Roman" w:hAnsi="Times New Roman" w:cs="Times New Roman" w:eastAsia="Times New Roman" w:hint="default"/>
          <w:spacing w:val="-1"/>
        </w:rPr>
        <w:t>2018</w:t>
      </w:r>
      <w:r>
        <w:rPr>
          <w:spacing w:val="-1"/>
        </w:rPr>
        <w:t>年增长</w:t>
      </w:r>
      <w:r>
        <w:rPr>
          <w:rFonts w:ascii="Times New Roman" w:hAnsi="Times New Roman" w:cs="Times New Roman" w:eastAsia="Times New Roman" w:hint="default"/>
          <w:spacing w:val="-1"/>
        </w:rPr>
        <w:t>140.10%</w:t>
      </w:r>
      <w:r>
        <w:rPr>
          <w:spacing w:val="-1"/>
        </w:rPr>
        <w:t>，主要系市场需求较上年</w:t>
      </w:r>
      <w:r>
        <w:rPr>
          <w:spacing w:val="-56"/>
        </w:rPr>
        <w:t> </w:t>
      </w:r>
      <w:r>
        <w:rPr>
          <w:spacing w:val="-56"/>
        </w:rPr>
      </w:r>
      <w:r>
        <w:rPr/>
        <w:t>同期增长，销售量同比大幅增加。</w:t>
      </w:r>
    </w:p>
    <w:p>
      <w:pPr>
        <w:pStyle w:val="BodyText"/>
        <w:spacing w:line="300" w:lineRule="auto" w:before="31"/>
        <w:ind w:left="212" w:right="0"/>
        <w:jc w:val="left"/>
      </w:pPr>
      <w:r>
        <w:rPr>
          <w:rFonts w:ascii="Times New Roman" w:hAnsi="Times New Roman" w:cs="Times New Roman" w:eastAsia="Times New Roman" w:hint="default"/>
          <w:spacing w:val="-1"/>
        </w:rPr>
        <w:t>11</w:t>
      </w:r>
      <w:r>
        <w:rPr>
          <w:spacing w:val="-1"/>
        </w:rPr>
        <w:t>、智能停车场设备</w:t>
      </w:r>
      <w:r>
        <w:rPr>
          <w:rFonts w:ascii="Times New Roman" w:hAnsi="Times New Roman" w:cs="Times New Roman" w:eastAsia="Times New Roman" w:hint="default"/>
          <w:spacing w:val="-1"/>
        </w:rPr>
        <w:t>-</w:t>
      </w:r>
      <w:r>
        <w:rPr>
          <w:spacing w:val="-1"/>
        </w:rPr>
        <w:t>车道控制机生产量为</w:t>
      </w:r>
      <w:r>
        <w:rPr>
          <w:rFonts w:ascii="Times New Roman" w:hAnsi="Times New Roman" w:cs="Times New Roman" w:eastAsia="Times New Roman" w:hint="default"/>
          <w:spacing w:val="-1"/>
        </w:rPr>
        <w:t>2,466</w:t>
      </w:r>
      <w:r>
        <w:rPr>
          <w:spacing w:val="-1"/>
        </w:rPr>
        <w:t>套，</w:t>
      </w:r>
      <w:r>
        <w:rPr>
          <w:rFonts w:ascii="Times New Roman" w:hAnsi="Times New Roman" w:cs="Times New Roman" w:eastAsia="Times New Roman" w:hint="default"/>
          <w:spacing w:val="-1"/>
        </w:rPr>
        <w:t>2018</w:t>
      </w:r>
      <w:r>
        <w:rPr>
          <w:spacing w:val="-1"/>
        </w:rPr>
        <w:t>年生产量为</w:t>
      </w:r>
      <w:r>
        <w:rPr>
          <w:rFonts w:ascii="Times New Roman" w:hAnsi="Times New Roman" w:cs="Times New Roman" w:eastAsia="Times New Roman" w:hint="default"/>
          <w:spacing w:val="-1"/>
        </w:rPr>
        <w:t>792</w:t>
      </w:r>
      <w:r>
        <w:rPr>
          <w:spacing w:val="-1"/>
        </w:rPr>
        <w:t>套，较</w:t>
      </w:r>
      <w:r>
        <w:rPr>
          <w:rFonts w:ascii="Times New Roman" w:hAnsi="Times New Roman" w:cs="Times New Roman" w:eastAsia="Times New Roman" w:hint="default"/>
          <w:spacing w:val="-1"/>
        </w:rPr>
        <w:t>2018</w:t>
      </w:r>
      <w:r>
        <w:rPr>
          <w:spacing w:val="-1"/>
        </w:rPr>
        <w:t>年增长</w:t>
      </w:r>
      <w:r>
        <w:rPr>
          <w:rFonts w:ascii="Times New Roman" w:hAnsi="Times New Roman" w:cs="Times New Roman" w:eastAsia="Times New Roman" w:hint="default"/>
          <w:spacing w:val="-1"/>
        </w:rPr>
        <w:t>211.36%</w:t>
      </w:r>
      <w:r>
        <w:rPr>
          <w:spacing w:val="-1"/>
        </w:rPr>
        <w:t>，主要系公司为应对市场</w:t>
      </w:r>
      <w:r>
        <w:rPr>
          <w:spacing w:val="-56"/>
        </w:rPr>
        <w:t> </w:t>
      </w:r>
      <w:r>
        <w:rPr>
          <w:spacing w:val="-56"/>
        </w:rPr>
      </w:r>
      <w:r>
        <w:rPr/>
        <w:t>需求增加产量所致。</w:t>
      </w:r>
    </w:p>
    <w:p>
      <w:pPr>
        <w:pStyle w:val="BodyText"/>
        <w:spacing w:line="300" w:lineRule="auto" w:before="31"/>
        <w:ind w:left="212" w:right="0"/>
        <w:jc w:val="left"/>
      </w:pPr>
      <w:r>
        <w:rPr>
          <w:rFonts w:ascii="Times New Roman" w:hAnsi="Times New Roman" w:cs="Times New Roman" w:eastAsia="Times New Roman" w:hint="default"/>
          <w:spacing w:val="-2"/>
        </w:rPr>
        <w:t>12</w:t>
      </w:r>
      <w:r>
        <w:rPr>
          <w:spacing w:val="-2"/>
        </w:rPr>
        <w:t>、智能停车场设备</w:t>
      </w:r>
      <w:r>
        <w:rPr>
          <w:rFonts w:ascii="Times New Roman" w:hAnsi="Times New Roman" w:cs="Times New Roman" w:eastAsia="Times New Roman" w:hint="default"/>
          <w:spacing w:val="-2"/>
        </w:rPr>
        <w:t>-</w:t>
      </w:r>
      <w:r>
        <w:rPr>
          <w:spacing w:val="-2"/>
        </w:rPr>
        <w:t>车道控制机库存量为</w:t>
      </w:r>
      <w:r>
        <w:rPr>
          <w:rFonts w:ascii="Times New Roman" w:hAnsi="Times New Roman" w:cs="Times New Roman" w:eastAsia="Times New Roman" w:hint="default"/>
          <w:spacing w:val="-2"/>
        </w:rPr>
        <w:t>894</w:t>
      </w:r>
      <w:r>
        <w:rPr>
          <w:spacing w:val="-2"/>
        </w:rPr>
        <w:t>套，</w:t>
      </w:r>
      <w:r>
        <w:rPr>
          <w:rFonts w:ascii="Times New Roman" w:hAnsi="Times New Roman" w:cs="Times New Roman" w:eastAsia="Times New Roman" w:hint="default"/>
          <w:spacing w:val="-2"/>
        </w:rPr>
        <w:t>2018</w:t>
      </w:r>
      <w:r>
        <w:rPr>
          <w:spacing w:val="-2"/>
        </w:rPr>
        <w:t>年库存量为</w:t>
      </w:r>
      <w:r>
        <w:rPr>
          <w:rFonts w:ascii="Times New Roman" w:hAnsi="Times New Roman" w:cs="Times New Roman" w:eastAsia="Times New Roman" w:hint="default"/>
          <w:spacing w:val="-2"/>
        </w:rPr>
        <w:t>284</w:t>
      </w:r>
      <w:r>
        <w:rPr>
          <w:spacing w:val="-2"/>
        </w:rPr>
        <w:t>套，较</w:t>
      </w:r>
      <w:r>
        <w:rPr>
          <w:rFonts w:ascii="Times New Roman" w:hAnsi="Times New Roman" w:cs="Times New Roman" w:eastAsia="Times New Roman" w:hint="default"/>
          <w:spacing w:val="-2"/>
        </w:rPr>
        <w:t>2018</w:t>
      </w:r>
      <w:r>
        <w:rPr>
          <w:spacing w:val="-2"/>
        </w:rPr>
        <w:t>年增长</w:t>
      </w:r>
      <w:r>
        <w:rPr>
          <w:rFonts w:ascii="Times New Roman" w:hAnsi="Times New Roman" w:cs="Times New Roman" w:eastAsia="Times New Roman" w:hint="default"/>
          <w:spacing w:val="-2"/>
        </w:rPr>
        <w:t>214.79%</w:t>
      </w:r>
      <w:r>
        <w:rPr>
          <w:spacing w:val="-2"/>
        </w:rPr>
        <w:t>，主要系公司为应对市场需</w:t>
      </w:r>
      <w:r>
        <w:rPr>
          <w:spacing w:val="-34"/>
        </w:rPr>
        <w:t> </w:t>
      </w:r>
      <w:r>
        <w:rPr>
          <w:spacing w:val="-34"/>
        </w:rPr>
      </w:r>
      <w:r>
        <w:rPr/>
        <w:t>求增加备货所致。</w:t>
      </w:r>
    </w:p>
    <w:p>
      <w:pPr>
        <w:spacing w:line="240" w:lineRule="auto" w:before="9"/>
        <w:rPr>
          <w:rFonts w:ascii="宋体" w:hAnsi="宋体" w:cs="宋体" w:eastAsia="宋体" w:hint="default"/>
          <w:sz w:val="18"/>
          <w:szCs w:val="18"/>
        </w:rPr>
      </w:pPr>
    </w:p>
    <w:p>
      <w:pPr>
        <w:pStyle w:val="Heading4"/>
        <w:spacing w:line="240" w:lineRule="auto"/>
        <w:ind w:left="212" w:right="1194"/>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212" w:right="11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732"/>
        <w:gridCol w:w="756"/>
        <w:gridCol w:w="958"/>
        <w:gridCol w:w="711"/>
        <w:gridCol w:w="732"/>
        <w:gridCol w:w="936"/>
        <w:gridCol w:w="470"/>
        <w:gridCol w:w="756"/>
        <w:gridCol w:w="850"/>
        <w:gridCol w:w="602"/>
        <w:gridCol w:w="2353"/>
      </w:tblGrid>
      <w:tr>
        <w:trPr>
          <w:trHeight w:val="355"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305" w:lineRule="exact"/>
              <w:ind w:right="176"/>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合同</w:t>
            </w:r>
            <w:r>
              <w:rPr>
                <w:rFonts w:ascii="Microsoft JhengHei" w:hAnsi="Microsoft JhengHei" w:cs="Microsoft JhengHei" w:eastAsia="Microsoft JhengHei" w:hint="default"/>
                <w:sz w:val="18"/>
                <w:szCs w:val="18"/>
              </w:rPr>
            </w:r>
          </w:p>
        </w:tc>
        <w:tc>
          <w:tcPr>
            <w:tcW w:w="756" w:type="dxa"/>
            <w:tcBorders>
              <w:top w:val="single" w:sz="4" w:space="0" w:color="000000"/>
              <w:left w:val="single" w:sz="4" w:space="0" w:color="000000"/>
              <w:bottom w:val="nil" w:sz="6" w:space="0" w:color="auto"/>
              <w:right w:val="single" w:sz="4" w:space="0" w:color="000000"/>
            </w:tcBorders>
          </w:tcPr>
          <w:p>
            <w:pPr>
              <w:pStyle w:val="TableParagraph"/>
              <w:spacing w:line="305" w:lineRule="exact"/>
              <w:ind w:left="1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合同</w:t>
            </w:r>
            <w:r>
              <w:rPr>
                <w:rFonts w:ascii="Microsoft JhengHei" w:hAnsi="Microsoft JhengHei" w:cs="Microsoft JhengHei" w:eastAsia="Microsoft JhengHei" w:hint="default"/>
                <w:sz w:val="18"/>
                <w:szCs w:val="18"/>
              </w:rPr>
            </w: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305" w:lineRule="exact"/>
              <w:ind w:left="11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合同标的</w:t>
            </w:r>
            <w:r>
              <w:rPr>
                <w:rFonts w:ascii="Microsoft JhengHei" w:hAnsi="Microsoft JhengHei" w:cs="Microsoft JhengHei" w:eastAsia="Microsoft JhengHei" w:hint="default"/>
                <w:sz w:val="18"/>
                <w:szCs w:val="18"/>
              </w:rPr>
            </w:r>
          </w:p>
        </w:tc>
        <w:tc>
          <w:tcPr>
            <w:tcW w:w="711" w:type="dxa"/>
            <w:tcBorders>
              <w:top w:val="single" w:sz="4" w:space="0" w:color="000000"/>
              <w:left w:val="single" w:sz="4" w:space="0" w:color="000000"/>
              <w:bottom w:val="nil" w:sz="6" w:space="0" w:color="auto"/>
              <w:right w:val="single" w:sz="4" w:space="0" w:color="000000"/>
            </w:tcBorders>
          </w:tcPr>
          <w:p>
            <w:pPr>
              <w:pStyle w:val="TableParagraph"/>
              <w:spacing w:line="305" w:lineRule="exact"/>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合同</w:t>
            </w:r>
            <w:r>
              <w:rPr>
                <w:rFonts w:ascii="Microsoft JhengHei" w:hAnsi="Microsoft JhengHei" w:cs="Microsoft JhengHei" w:eastAsia="Microsoft JhengHei" w:hint="default"/>
                <w:sz w:val="18"/>
                <w:szCs w:val="18"/>
              </w:rPr>
            </w:r>
          </w:p>
        </w:tc>
        <w:tc>
          <w:tcPr>
            <w:tcW w:w="732" w:type="dxa"/>
            <w:tcBorders>
              <w:top w:val="single" w:sz="4" w:space="0" w:color="000000"/>
              <w:left w:val="single" w:sz="4" w:space="0" w:color="000000"/>
              <w:bottom w:val="nil" w:sz="6" w:space="0" w:color="auto"/>
              <w:right w:val="single" w:sz="4" w:space="0" w:color="000000"/>
            </w:tcBorders>
          </w:tcPr>
          <w:p>
            <w:pPr>
              <w:pStyle w:val="TableParagraph"/>
              <w:spacing w:line="305" w:lineRule="exact"/>
              <w:ind w:right="175"/>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定价</w:t>
            </w:r>
            <w:r>
              <w:rPr>
                <w:rFonts w:ascii="Microsoft JhengHei" w:hAnsi="Microsoft JhengHei" w:cs="Microsoft JhengHei" w:eastAsia="Microsoft JhengHei" w:hint="default"/>
                <w:sz w:val="18"/>
                <w:szCs w:val="18"/>
              </w:rPr>
            </w:r>
          </w:p>
        </w:tc>
        <w:tc>
          <w:tcPr>
            <w:tcW w:w="936" w:type="dxa"/>
            <w:tcBorders>
              <w:top w:val="single" w:sz="4" w:space="0" w:color="000000"/>
              <w:left w:val="single" w:sz="4" w:space="0" w:color="000000"/>
              <w:bottom w:val="nil" w:sz="6" w:space="0" w:color="auto"/>
              <w:right w:val="single" w:sz="4" w:space="0" w:color="000000"/>
            </w:tcBorders>
          </w:tcPr>
          <w:p>
            <w:pPr>
              <w:pStyle w:val="TableParagraph"/>
              <w:spacing w:line="305" w:lineRule="exact"/>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交易价</w:t>
            </w:r>
            <w:r>
              <w:rPr>
                <w:rFonts w:ascii="Microsoft JhengHei" w:hAnsi="Microsoft JhengHei" w:cs="Microsoft JhengHei" w:eastAsia="Microsoft JhengHei" w:hint="default"/>
                <w:sz w:val="18"/>
                <w:szCs w:val="18"/>
              </w:rPr>
            </w:r>
          </w:p>
        </w:tc>
        <w:tc>
          <w:tcPr>
            <w:tcW w:w="470" w:type="dxa"/>
            <w:vMerge w:val="restart"/>
            <w:tcBorders>
              <w:top w:val="single" w:sz="4" w:space="0" w:color="000000"/>
              <w:left w:val="single" w:sz="4" w:space="0" w:color="000000"/>
              <w:right w:val="single" w:sz="4" w:space="0" w:color="000000"/>
            </w:tcBorders>
          </w:tcPr>
          <w:p>
            <w:pPr>
              <w:pStyle w:val="TableParagraph"/>
              <w:spacing w:line="312" w:lineRule="exact" w:before="9"/>
              <w:ind w:left="141" w:right="137"/>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是 否 关 联 交 易</w:t>
            </w:r>
            <w:r>
              <w:rPr>
                <w:rFonts w:ascii="Microsoft JhengHei" w:hAnsi="Microsoft JhengHei" w:cs="Microsoft JhengHei" w:eastAsia="Microsoft JhengHei" w:hint="default"/>
                <w:sz w:val="18"/>
                <w:szCs w:val="18"/>
              </w:rPr>
            </w:r>
          </w:p>
        </w:tc>
        <w:tc>
          <w:tcPr>
            <w:tcW w:w="756" w:type="dxa"/>
            <w:tcBorders>
              <w:top w:val="single" w:sz="4" w:space="0" w:color="000000"/>
              <w:left w:val="single" w:sz="4" w:space="0" w:color="000000"/>
              <w:bottom w:val="nil" w:sz="6" w:space="0" w:color="auto"/>
              <w:right w:val="single" w:sz="4" w:space="0" w:color="000000"/>
            </w:tcBorders>
          </w:tcPr>
          <w:p>
            <w:pPr>
              <w:pStyle w:val="TableParagraph"/>
              <w:spacing w:line="305" w:lineRule="exact"/>
              <w:ind w:left="19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关联</w:t>
            </w:r>
            <w:r>
              <w:rPr>
                <w:rFonts w:ascii="Microsoft JhengHei" w:hAnsi="Microsoft JhengHei" w:cs="Microsoft JhengHei" w:eastAsia="Microsoft JhengHei" w:hint="default"/>
                <w:sz w:val="18"/>
                <w:szCs w:val="18"/>
              </w:rPr>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305" w:lineRule="exact"/>
              <w:ind w:left="14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截至报</w:t>
            </w:r>
            <w:r>
              <w:rPr>
                <w:rFonts w:ascii="Microsoft JhengHei" w:hAnsi="Microsoft JhengHei" w:cs="Microsoft JhengHei" w:eastAsia="Microsoft JhengHei" w:hint="default"/>
                <w:sz w:val="18"/>
                <w:szCs w:val="18"/>
              </w:rPr>
            </w:r>
          </w:p>
        </w:tc>
        <w:tc>
          <w:tcPr>
            <w:tcW w:w="602" w:type="dxa"/>
            <w:tcBorders>
              <w:top w:val="single" w:sz="4" w:space="0" w:color="000000"/>
              <w:left w:val="single" w:sz="4" w:space="0" w:color="000000"/>
              <w:bottom w:val="nil" w:sz="6" w:space="0" w:color="auto"/>
              <w:right w:val="single" w:sz="4" w:space="0" w:color="000000"/>
            </w:tcBorders>
          </w:tcPr>
          <w:p>
            <w:pPr>
              <w:pStyle w:val="TableParagraph"/>
              <w:spacing w:line="305" w:lineRule="exact"/>
              <w:ind w:left="11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披露</w:t>
            </w:r>
            <w:r>
              <w:rPr>
                <w:rFonts w:ascii="Microsoft JhengHei" w:hAnsi="Microsoft JhengHei" w:cs="Microsoft JhengHei" w:eastAsia="Microsoft JhengHei" w:hint="default"/>
                <w:sz w:val="18"/>
                <w:szCs w:val="18"/>
              </w:rPr>
            </w:r>
          </w:p>
        </w:tc>
        <w:tc>
          <w:tcPr>
            <w:tcW w:w="2353" w:type="dxa"/>
            <w:tcBorders>
              <w:top w:val="single" w:sz="4" w:space="0" w:color="000000"/>
              <w:left w:val="single" w:sz="4" w:space="0" w:color="000000"/>
              <w:bottom w:val="nil" w:sz="6" w:space="0" w:color="auto"/>
              <w:right w:val="single" w:sz="4" w:space="0" w:color="000000"/>
            </w:tcBorders>
          </w:tcPr>
          <w:p>
            <w:pPr>
              <w:pStyle w:val="TableParagraph"/>
              <w:spacing w:line="305"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披露索引</w:t>
            </w:r>
            <w:r>
              <w:rPr>
                <w:rFonts w:ascii="Microsoft JhengHei" w:hAnsi="Microsoft JhengHei" w:cs="Microsoft JhengHei" w:eastAsia="Microsoft JhengHei" w:hint="default"/>
                <w:sz w:val="18"/>
                <w:szCs w:val="18"/>
              </w:rPr>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176"/>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订立</w:t>
            </w:r>
            <w:r>
              <w:rPr>
                <w:rFonts w:ascii="Microsoft JhengHei" w:hAnsi="Microsoft JhengHei" w:cs="Microsoft JhengHei" w:eastAsia="Microsoft JhengHei" w:hint="default"/>
                <w:sz w:val="18"/>
                <w:szCs w:val="18"/>
              </w:rPr>
            </w: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1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订立</w:t>
            </w:r>
            <w:r>
              <w:rPr>
                <w:rFonts w:ascii="Microsoft JhengHei" w:hAnsi="Microsoft JhengHei" w:cs="Microsoft JhengHei" w:eastAsia="Microsoft JhengHei" w:hint="default"/>
                <w:sz w:val="18"/>
                <w:szCs w:val="18"/>
              </w:rPr>
            </w:r>
          </w:p>
        </w:tc>
        <w:tc>
          <w:tcPr>
            <w:tcW w:w="958"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签订</w:t>
            </w:r>
            <w:r>
              <w:rPr>
                <w:rFonts w:ascii="Microsoft JhengHei" w:hAnsi="Microsoft JhengHei" w:cs="Microsoft JhengHei" w:eastAsia="Microsoft JhengHei" w:hint="default"/>
                <w:sz w:val="18"/>
                <w:szCs w:val="18"/>
              </w:rPr>
            </w:r>
          </w:p>
        </w:tc>
        <w:tc>
          <w:tcPr>
            <w:tcW w:w="732"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175"/>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原则</w:t>
            </w:r>
            <w:r>
              <w:rPr>
                <w:rFonts w:ascii="Microsoft JhengHei" w:hAnsi="Microsoft JhengHei" w:cs="Microsoft JhengHei" w:eastAsia="Microsoft JhengHei" w:hint="default"/>
                <w:sz w:val="18"/>
                <w:szCs w:val="18"/>
              </w:rPr>
            </w:r>
          </w:p>
        </w:tc>
        <w:tc>
          <w:tcPr>
            <w:tcW w:w="936"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格（万</w:t>
            </w:r>
            <w:r>
              <w:rPr>
                <w:rFonts w:ascii="Microsoft JhengHei" w:hAnsi="Microsoft JhengHei" w:cs="Microsoft JhengHei" w:eastAsia="Microsoft JhengHei" w:hint="default"/>
                <w:sz w:val="18"/>
                <w:szCs w:val="18"/>
              </w:rPr>
            </w:r>
          </w:p>
        </w:tc>
        <w:tc>
          <w:tcPr>
            <w:tcW w:w="470" w:type="dxa"/>
            <w:vMerge/>
            <w:tcBorders>
              <w:left w:val="single" w:sz="4" w:space="0" w:color="000000"/>
              <w:right w:val="single" w:sz="4" w:space="0" w:color="000000"/>
            </w:tcBorders>
          </w:tcPr>
          <w:p>
            <w:pP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19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关系</w:t>
            </w:r>
            <w:r>
              <w:rPr>
                <w:rFonts w:ascii="Microsoft JhengHei" w:hAnsi="Microsoft JhengHei" w:cs="Microsoft JhengHei" w:eastAsia="Microsoft JhengHei" w:hint="default"/>
                <w:sz w:val="18"/>
                <w:szCs w:val="18"/>
              </w:rPr>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14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告期末</w:t>
            </w:r>
            <w:r>
              <w:rPr>
                <w:rFonts w:ascii="Microsoft JhengHei" w:hAnsi="Microsoft JhengHei" w:cs="Microsoft JhengHei" w:eastAsia="Microsoft JhengHei" w:hint="default"/>
                <w:sz w:val="18"/>
                <w:szCs w:val="18"/>
              </w:rPr>
            </w:r>
          </w:p>
        </w:tc>
        <w:tc>
          <w:tcPr>
            <w:tcW w:w="602"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11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日期</w:t>
            </w:r>
            <w:r>
              <w:rPr>
                <w:rFonts w:ascii="Microsoft JhengHei" w:hAnsi="Microsoft JhengHei" w:cs="Microsoft JhengHei" w:eastAsia="Microsoft JhengHei" w:hint="default"/>
                <w:sz w:val="18"/>
                <w:szCs w:val="18"/>
              </w:rPr>
            </w:r>
          </w:p>
        </w:tc>
        <w:tc>
          <w:tcPr>
            <w:tcW w:w="235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176"/>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公司</w:t>
            </w:r>
            <w:r>
              <w:rPr>
                <w:rFonts w:ascii="Microsoft JhengHei" w:hAnsi="Microsoft JhengHei" w:cs="Microsoft JhengHei" w:eastAsia="Microsoft JhengHei" w:hint="default"/>
                <w:sz w:val="18"/>
                <w:szCs w:val="18"/>
              </w:rPr>
            </w: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1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对方</w:t>
            </w:r>
            <w:r>
              <w:rPr>
                <w:rFonts w:ascii="Microsoft JhengHei" w:hAnsi="Microsoft JhengHei" w:cs="Microsoft JhengHei" w:eastAsia="Microsoft JhengHei" w:hint="default"/>
                <w:sz w:val="18"/>
                <w:szCs w:val="18"/>
              </w:rPr>
            </w:r>
          </w:p>
        </w:tc>
        <w:tc>
          <w:tcPr>
            <w:tcW w:w="958"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日期</w:t>
            </w:r>
            <w:r>
              <w:rPr>
                <w:rFonts w:ascii="Microsoft JhengHei" w:hAnsi="Microsoft JhengHei" w:cs="Microsoft JhengHei" w:eastAsia="Microsoft JhengHei" w:hint="default"/>
                <w:sz w:val="18"/>
                <w:szCs w:val="18"/>
              </w:rPr>
            </w:r>
          </w:p>
        </w:tc>
        <w:tc>
          <w:tcPr>
            <w:tcW w:w="732"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元）</w:t>
            </w:r>
            <w:r>
              <w:rPr>
                <w:rFonts w:ascii="Microsoft JhengHei" w:hAnsi="Microsoft JhengHei" w:cs="Microsoft JhengHei" w:eastAsia="Microsoft JhengHei" w:hint="default"/>
                <w:sz w:val="18"/>
                <w:szCs w:val="18"/>
              </w:rPr>
            </w:r>
          </w:p>
        </w:tc>
        <w:tc>
          <w:tcPr>
            <w:tcW w:w="470" w:type="dxa"/>
            <w:vMerge/>
            <w:tcBorders>
              <w:left w:val="single" w:sz="4" w:space="0" w:color="000000"/>
              <w:right w:val="single" w:sz="4" w:space="0" w:color="000000"/>
            </w:tcBorders>
          </w:tcPr>
          <w:p>
            <w:pPr/>
          </w:p>
        </w:tc>
        <w:tc>
          <w:tcPr>
            <w:tcW w:w="75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14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的执行</w:t>
            </w:r>
            <w:r>
              <w:rPr>
                <w:rFonts w:ascii="Microsoft JhengHei" w:hAnsi="Microsoft JhengHei" w:cs="Microsoft JhengHei" w:eastAsia="Microsoft JhengHei" w:hint="default"/>
                <w:sz w:val="18"/>
                <w:szCs w:val="18"/>
              </w:rPr>
            </w:r>
          </w:p>
        </w:tc>
        <w:tc>
          <w:tcPr>
            <w:tcW w:w="602" w:type="dxa"/>
            <w:tcBorders>
              <w:top w:val="nil" w:sz="6" w:space="0" w:color="auto"/>
              <w:left w:val="single" w:sz="4" w:space="0" w:color="000000"/>
              <w:bottom w:val="nil" w:sz="6" w:space="0" w:color="auto"/>
              <w:right w:val="single" w:sz="4" w:space="0" w:color="000000"/>
            </w:tcBorders>
          </w:tcPr>
          <w:p>
            <w:pPr/>
          </w:p>
        </w:tc>
        <w:tc>
          <w:tcPr>
            <w:tcW w:w="235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176"/>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方名</w:t>
            </w:r>
            <w:r>
              <w:rPr>
                <w:rFonts w:ascii="Microsoft JhengHei" w:hAnsi="Microsoft JhengHei" w:cs="Microsoft JhengHei" w:eastAsia="Microsoft JhengHei" w:hint="default"/>
                <w:sz w:val="18"/>
                <w:szCs w:val="18"/>
              </w:rPr>
            </w: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1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名称</w:t>
            </w:r>
            <w:r>
              <w:rPr>
                <w:rFonts w:ascii="Microsoft JhengHei" w:hAnsi="Microsoft JhengHei" w:cs="Microsoft JhengHei" w:eastAsia="Microsoft JhengHei" w:hint="default"/>
                <w:sz w:val="18"/>
                <w:szCs w:val="18"/>
              </w:rPr>
            </w:r>
          </w:p>
        </w:tc>
        <w:tc>
          <w:tcPr>
            <w:tcW w:w="958"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
        </w:tc>
        <w:tc>
          <w:tcPr>
            <w:tcW w:w="732"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470" w:type="dxa"/>
            <w:vMerge/>
            <w:tcBorders>
              <w:left w:val="single" w:sz="4" w:space="0" w:color="000000"/>
              <w:right w:val="single" w:sz="4" w:space="0" w:color="000000"/>
            </w:tcBorders>
          </w:tcPr>
          <w:p>
            <w:pPr/>
          </w:p>
        </w:tc>
        <w:tc>
          <w:tcPr>
            <w:tcW w:w="75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24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情况</w:t>
            </w:r>
            <w:r>
              <w:rPr>
                <w:rFonts w:ascii="Microsoft JhengHei" w:hAnsi="Microsoft JhengHei" w:cs="Microsoft JhengHei" w:eastAsia="Microsoft JhengHei" w:hint="default"/>
                <w:sz w:val="18"/>
                <w:szCs w:val="18"/>
              </w:rPr>
            </w:r>
          </w:p>
        </w:tc>
        <w:tc>
          <w:tcPr>
            <w:tcW w:w="602" w:type="dxa"/>
            <w:tcBorders>
              <w:top w:val="nil" w:sz="6" w:space="0" w:color="auto"/>
              <w:left w:val="single" w:sz="4" w:space="0" w:color="000000"/>
              <w:bottom w:val="nil" w:sz="6" w:space="0" w:color="auto"/>
              <w:right w:val="single" w:sz="4" w:space="0" w:color="000000"/>
            </w:tcBorders>
          </w:tcPr>
          <w:p>
            <w:pPr/>
          </w:p>
        </w:tc>
        <w:tc>
          <w:tcPr>
            <w:tcW w:w="2353" w:type="dxa"/>
            <w:tcBorders>
              <w:top w:val="nil" w:sz="6" w:space="0" w:color="auto"/>
              <w:left w:val="single" w:sz="4" w:space="0" w:color="000000"/>
              <w:bottom w:val="nil" w:sz="6" w:space="0" w:color="auto"/>
              <w:right w:val="single" w:sz="4" w:space="0" w:color="000000"/>
            </w:tcBorders>
          </w:tcPr>
          <w:p>
            <w:pPr/>
          </w:p>
        </w:tc>
      </w:tr>
      <w:tr>
        <w:trPr>
          <w:trHeight w:val="672"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称</w:t>
            </w:r>
            <w:r>
              <w:rPr>
                <w:rFonts w:ascii="Microsoft JhengHei" w:hAnsi="Microsoft JhengHei" w:cs="Microsoft JhengHei" w:eastAsia="Microsoft JhengHei" w:hint="default"/>
                <w:sz w:val="18"/>
                <w:szCs w:val="18"/>
              </w:rPr>
            </w:r>
          </w:p>
        </w:tc>
        <w:tc>
          <w:tcPr>
            <w:tcW w:w="7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711" w:type="dxa"/>
            <w:tcBorders>
              <w:top w:val="nil" w:sz="6" w:space="0" w:color="auto"/>
              <w:left w:val="single" w:sz="4" w:space="0" w:color="000000"/>
              <w:bottom w:val="single" w:sz="4" w:space="0" w:color="000000"/>
              <w:right w:val="single" w:sz="4" w:space="0" w:color="000000"/>
            </w:tcBorders>
          </w:tcPr>
          <w:p>
            <w:pPr/>
          </w:p>
        </w:tc>
        <w:tc>
          <w:tcPr>
            <w:tcW w:w="732" w:type="dxa"/>
            <w:tcBorders>
              <w:top w:val="nil" w:sz="6" w:space="0" w:color="auto"/>
              <w:left w:val="single" w:sz="4" w:space="0" w:color="000000"/>
              <w:bottom w:val="single" w:sz="4" w:space="0" w:color="000000"/>
              <w:right w:val="single" w:sz="4" w:space="0" w:color="000000"/>
            </w:tcBorders>
          </w:tcPr>
          <w:p>
            <w:pPr/>
          </w:p>
        </w:tc>
        <w:tc>
          <w:tcPr>
            <w:tcW w:w="936" w:type="dxa"/>
            <w:tcBorders>
              <w:top w:val="nil" w:sz="6" w:space="0" w:color="auto"/>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756"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602" w:type="dxa"/>
            <w:tcBorders>
              <w:top w:val="nil" w:sz="6" w:space="0" w:color="auto"/>
              <w:left w:val="single" w:sz="4" w:space="0" w:color="000000"/>
              <w:bottom w:val="single" w:sz="4" w:space="0" w:color="000000"/>
              <w:right w:val="single" w:sz="4" w:space="0" w:color="000000"/>
            </w:tcBorders>
          </w:tcPr>
          <w:p>
            <w:pPr/>
          </w:p>
        </w:tc>
        <w:tc>
          <w:tcPr>
            <w:tcW w:w="2353"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7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江苏通</w:t>
            </w: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ETC</w:t>
            </w:r>
            <w:r>
              <w:rPr>
                <w:rFonts w:ascii="宋体" w:hAnsi="宋体" w:cs="宋体" w:eastAsia="宋体" w:hint="default"/>
                <w:sz w:val="18"/>
                <w:szCs w:val="18"/>
              </w:rPr>
              <w:t>电子</w:t>
            </w:r>
          </w:p>
        </w:tc>
        <w:tc>
          <w:tcPr>
            <w:tcW w:w="7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27"/>
              <w:jc w:val="center"/>
              <w:rPr>
                <w:rFonts w:ascii="Times New Roman" w:hAnsi="Times New Roman" w:cs="Times New Roman" w:eastAsia="Times New Roman" w:hint="default"/>
                <w:sz w:val="18"/>
                <w:szCs w:val="18"/>
              </w:rPr>
            </w:pPr>
            <w:r>
              <w:rPr>
                <w:rFonts w:ascii="Times New Roman"/>
                <w:sz w:val="18"/>
              </w:rPr>
              <w:t>2019</w:t>
            </w:r>
          </w:p>
        </w:tc>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180"/>
              <w:jc w:val="right"/>
              <w:rPr>
                <w:rFonts w:ascii="宋体" w:hAnsi="宋体" w:cs="宋体" w:eastAsia="宋体" w:hint="default"/>
                <w:sz w:val="18"/>
                <w:szCs w:val="18"/>
              </w:rPr>
            </w:pPr>
            <w:r>
              <w:rPr>
                <w:rFonts w:ascii="宋体" w:hAnsi="宋体" w:cs="宋体" w:eastAsia="宋体" w:hint="default"/>
                <w:sz w:val="18"/>
                <w:szCs w:val="18"/>
              </w:rPr>
              <w:t>协商</w:t>
            </w:r>
          </w:p>
        </w:tc>
        <w:tc>
          <w:tcPr>
            <w:tcW w:w="9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45,780.00</w:t>
            </w:r>
          </w:p>
        </w:tc>
        <w:tc>
          <w:tcPr>
            <w:tcW w:w="4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正在履</w:t>
            </w:r>
          </w:p>
        </w:tc>
        <w:tc>
          <w:tcPr>
            <w:tcW w:w="6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2019</w:t>
            </w:r>
          </w:p>
        </w:tc>
        <w:tc>
          <w:tcPr>
            <w:tcW w:w="23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市金</w:t>
            </w: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z w:val="18"/>
                <w:szCs w:val="18"/>
              </w:rPr>
              <w:t>行宝智</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z w:val="18"/>
                <w:szCs w:val="18"/>
              </w:rPr>
              <w:t>标签</w:t>
            </w: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36"/>
              <w:jc w:val="center"/>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p>
        </w:tc>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80"/>
              <w:jc w:val="right"/>
              <w:rPr>
                <w:rFonts w:ascii="宋体" w:hAnsi="宋体" w:cs="宋体" w:eastAsia="宋体" w:hint="default"/>
                <w:sz w:val="18"/>
                <w:szCs w:val="18"/>
              </w:rPr>
            </w:pPr>
            <w:r>
              <w:rPr>
                <w:rFonts w:ascii="宋体" w:hAnsi="宋体" w:cs="宋体" w:eastAsia="宋体" w:hint="default"/>
                <w:sz w:val="18"/>
                <w:szCs w:val="18"/>
              </w:rPr>
              <w:t>一致</w:t>
            </w:r>
          </w:p>
        </w:tc>
        <w:tc>
          <w:tcPr>
            <w:tcW w:w="936" w:type="dxa"/>
            <w:tcBorders>
              <w:top w:val="nil" w:sz="6" w:space="0" w:color="auto"/>
              <w:left w:val="single" w:sz="4" w:space="0" w:color="000000"/>
              <w:bottom w:val="nil" w:sz="6" w:space="0" w:color="auto"/>
              <w:right w:val="single" w:sz="4" w:space="0" w:color="000000"/>
            </w:tcBorders>
          </w:tcPr>
          <w:p>
            <w:pPr/>
          </w:p>
        </w:tc>
        <w:tc>
          <w:tcPr>
            <w:tcW w:w="470" w:type="dxa"/>
            <w:tcBorders>
              <w:top w:val="nil" w:sz="6" w:space="0" w:color="auto"/>
              <w:left w:val="single" w:sz="4" w:space="0" w:color="000000"/>
              <w:bottom w:val="nil" w:sz="6" w:space="0" w:color="auto"/>
              <w:right w:val="single" w:sz="4" w:space="0" w:color="000000"/>
            </w:tcBorders>
          </w:tcPr>
          <w:p>
            <w:pPr/>
          </w:p>
        </w:tc>
        <w:tc>
          <w:tcPr>
            <w:tcW w:w="75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行中</w:t>
            </w:r>
          </w:p>
        </w:tc>
        <w:tc>
          <w:tcPr>
            <w:tcW w:w="6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p>
        </w:tc>
        <w:tc>
          <w:tcPr>
            <w:tcW w:w="23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http://www.cninfo.com.cn)</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溢科</w:t>
            </w: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z w:val="18"/>
                <w:szCs w:val="18"/>
              </w:rPr>
              <w:t>慧交通</w:t>
            </w:r>
          </w:p>
        </w:tc>
        <w:tc>
          <w:tcPr>
            <w:tcW w:w="958"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25"/>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732"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470" w:type="dxa"/>
            <w:tcBorders>
              <w:top w:val="nil" w:sz="6" w:space="0" w:color="auto"/>
              <w:left w:val="single" w:sz="4" w:space="0" w:color="000000"/>
              <w:bottom w:val="nil" w:sz="6" w:space="0" w:color="auto"/>
              <w:right w:val="single" w:sz="4" w:space="0" w:color="000000"/>
            </w:tcBorders>
          </w:tcPr>
          <w:p>
            <w:pPr/>
          </w:p>
        </w:tc>
        <w:tc>
          <w:tcPr>
            <w:tcW w:w="75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p>
        </w:tc>
        <w:tc>
          <w:tcPr>
            <w:tcW w:w="23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z w:val="18"/>
                <w:szCs w:val="18"/>
              </w:rPr>
              <w:t>《关于公司签署日常经营</w:t>
            </w:r>
          </w:p>
        </w:tc>
      </w:tr>
      <w:tr>
        <w:trPr>
          <w:trHeight w:val="307"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技股</w:t>
            </w: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z w:val="18"/>
                <w:szCs w:val="18"/>
              </w:rPr>
              <w:t>科技股</w:t>
            </w:r>
          </w:p>
        </w:tc>
        <w:tc>
          <w:tcPr>
            <w:tcW w:w="958"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
        </w:tc>
        <w:tc>
          <w:tcPr>
            <w:tcW w:w="732"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470" w:type="dxa"/>
            <w:tcBorders>
              <w:top w:val="nil" w:sz="6" w:space="0" w:color="auto"/>
              <w:left w:val="single" w:sz="4" w:space="0" w:color="000000"/>
              <w:bottom w:val="nil" w:sz="6" w:space="0" w:color="auto"/>
              <w:right w:val="single" w:sz="4" w:space="0" w:color="000000"/>
            </w:tcBorders>
          </w:tcPr>
          <w:p>
            <w:pPr/>
          </w:p>
        </w:tc>
        <w:tc>
          <w:tcPr>
            <w:tcW w:w="75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3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z w:val="18"/>
                <w:szCs w:val="18"/>
              </w:rPr>
              <w:t>重大合同的公告》（公告编</w:t>
            </w:r>
          </w:p>
        </w:tc>
      </w:tr>
      <w:tr>
        <w:trPr>
          <w:trHeight w:val="317"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份有</w:t>
            </w: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份有限</w:t>
            </w:r>
          </w:p>
        </w:tc>
        <w:tc>
          <w:tcPr>
            <w:tcW w:w="958"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
        </w:tc>
        <w:tc>
          <w:tcPr>
            <w:tcW w:w="732"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470" w:type="dxa"/>
            <w:tcBorders>
              <w:top w:val="nil" w:sz="6" w:space="0" w:color="auto"/>
              <w:left w:val="single" w:sz="4" w:space="0" w:color="000000"/>
              <w:bottom w:val="nil" w:sz="6" w:space="0" w:color="auto"/>
              <w:right w:val="single" w:sz="4" w:space="0" w:color="000000"/>
            </w:tcBorders>
          </w:tcPr>
          <w:p>
            <w:pPr/>
          </w:p>
        </w:tc>
        <w:tc>
          <w:tcPr>
            <w:tcW w:w="75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4" w:space="0" w:color="000000"/>
            </w:tcBorders>
          </w:tcPr>
          <w:p>
            <w:pPr/>
          </w:p>
        </w:tc>
        <w:tc>
          <w:tcPr>
            <w:tcW w:w="23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2019-071</w:t>
            </w:r>
            <w:r>
              <w:rPr>
                <w:rFonts w:ascii="宋体" w:hAnsi="宋体" w:cs="宋体" w:eastAsia="宋体" w:hint="default"/>
                <w:sz w:val="18"/>
                <w:szCs w:val="18"/>
              </w:rPr>
              <w:t>）</w:t>
            </w:r>
          </w:p>
        </w:tc>
      </w:tr>
      <w:tr>
        <w:trPr>
          <w:trHeight w:val="307"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限公</w:t>
            </w: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58"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
        </w:tc>
        <w:tc>
          <w:tcPr>
            <w:tcW w:w="732"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470" w:type="dxa"/>
            <w:tcBorders>
              <w:top w:val="nil" w:sz="6" w:space="0" w:color="auto"/>
              <w:left w:val="single" w:sz="4" w:space="0" w:color="000000"/>
              <w:bottom w:val="nil" w:sz="6" w:space="0" w:color="auto"/>
              <w:right w:val="single" w:sz="4" w:space="0" w:color="000000"/>
            </w:tcBorders>
          </w:tcPr>
          <w:p>
            <w:pPr/>
          </w:p>
        </w:tc>
        <w:tc>
          <w:tcPr>
            <w:tcW w:w="75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4" w:space="0" w:color="000000"/>
            </w:tcBorders>
          </w:tcPr>
          <w:p>
            <w:pPr/>
          </w:p>
        </w:tc>
        <w:tc>
          <w:tcPr>
            <w:tcW w:w="235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711" w:type="dxa"/>
            <w:tcBorders>
              <w:top w:val="nil" w:sz="6" w:space="0" w:color="auto"/>
              <w:left w:val="single" w:sz="4" w:space="0" w:color="000000"/>
              <w:bottom w:val="single" w:sz="4" w:space="0" w:color="000000"/>
              <w:right w:val="single" w:sz="4" w:space="0" w:color="000000"/>
            </w:tcBorders>
          </w:tcPr>
          <w:p>
            <w:pPr/>
          </w:p>
        </w:tc>
        <w:tc>
          <w:tcPr>
            <w:tcW w:w="732" w:type="dxa"/>
            <w:tcBorders>
              <w:top w:val="nil" w:sz="6" w:space="0" w:color="auto"/>
              <w:left w:val="single" w:sz="4" w:space="0" w:color="000000"/>
              <w:bottom w:val="single" w:sz="4" w:space="0" w:color="000000"/>
              <w:right w:val="single" w:sz="4" w:space="0" w:color="000000"/>
            </w:tcBorders>
          </w:tcPr>
          <w:p>
            <w:pPr/>
          </w:p>
        </w:tc>
        <w:tc>
          <w:tcPr>
            <w:tcW w:w="936" w:type="dxa"/>
            <w:tcBorders>
              <w:top w:val="nil" w:sz="6" w:space="0" w:color="auto"/>
              <w:left w:val="single" w:sz="4" w:space="0" w:color="000000"/>
              <w:bottom w:val="single" w:sz="4" w:space="0" w:color="000000"/>
              <w:right w:val="single" w:sz="4" w:space="0" w:color="000000"/>
            </w:tcBorders>
          </w:tcPr>
          <w:p>
            <w:pPr/>
          </w:p>
        </w:tc>
        <w:tc>
          <w:tcPr>
            <w:tcW w:w="470" w:type="dxa"/>
            <w:tcBorders>
              <w:top w:val="nil" w:sz="6" w:space="0" w:color="auto"/>
              <w:left w:val="single" w:sz="4" w:space="0" w:color="000000"/>
              <w:bottom w:val="single" w:sz="4" w:space="0" w:color="000000"/>
              <w:right w:val="single" w:sz="4" w:space="0" w:color="000000"/>
            </w:tcBorders>
          </w:tcPr>
          <w:p>
            <w:pPr/>
          </w:p>
        </w:tc>
        <w:tc>
          <w:tcPr>
            <w:tcW w:w="756"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602" w:type="dxa"/>
            <w:tcBorders>
              <w:top w:val="nil" w:sz="6" w:space="0" w:color="auto"/>
              <w:left w:val="single" w:sz="4" w:space="0" w:color="000000"/>
              <w:bottom w:val="single" w:sz="4" w:space="0" w:color="000000"/>
              <w:right w:val="single" w:sz="4" w:space="0" w:color="000000"/>
            </w:tcBorders>
          </w:tcPr>
          <w:p>
            <w:pPr/>
          </w:p>
        </w:tc>
        <w:tc>
          <w:tcPr>
            <w:tcW w:w="2353"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7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山东高</w:t>
            </w: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蓝牙</w:t>
            </w:r>
            <w:r>
              <w:rPr>
                <w:rFonts w:ascii="Times New Roman" w:hAnsi="Times New Roman" w:cs="Times New Roman" w:eastAsia="Times New Roman" w:hint="default"/>
                <w:sz w:val="18"/>
                <w:szCs w:val="18"/>
              </w:rPr>
              <w:t>ETC</w:t>
            </w:r>
          </w:p>
        </w:tc>
        <w:tc>
          <w:tcPr>
            <w:tcW w:w="7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27"/>
              <w:jc w:val="center"/>
              <w:rPr>
                <w:rFonts w:ascii="Times New Roman" w:hAnsi="Times New Roman" w:cs="Times New Roman" w:eastAsia="Times New Roman" w:hint="default"/>
                <w:sz w:val="18"/>
                <w:szCs w:val="18"/>
              </w:rPr>
            </w:pPr>
            <w:r>
              <w:rPr>
                <w:rFonts w:ascii="Times New Roman"/>
                <w:sz w:val="18"/>
              </w:rPr>
              <w:t>2019</w:t>
            </w:r>
          </w:p>
        </w:tc>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180"/>
              <w:jc w:val="right"/>
              <w:rPr>
                <w:rFonts w:ascii="宋体" w:hAnsi="宋体" w:cs="宋体" w:eastAsia="宋体" w:hint="default"/>
                <w:sz w:val="18"/>
                <w:szCs w:val="18"/>
              </w:rPr>
            </w:pPr>
            <w:r>
              <w:rPr>
                <w:rFonts w:ascii="宋体" w:hAnsi="宋体" w:cs="宋体" w:eastAsia="宋体" w:hint="default"/>
                <w:sz w:val="18"/>
                <w:szCs w:val="18"/>
              </w:rPr>
              <w:t>协商</w:t>
            </w:r>
          </w:p>
        </w:tc>
        <w:tc>
          <w:tcPr>
            <w:tcW w:w="9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69,285.00</w:t>
            </w:r>
          </w:p>
        </w:tc>
        <w:tc>
          <w:tcPr>
            <w:tcW w:w="4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公司原</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正在履</w:t>
            </w:r>
          </w:p>
        </w:tc>
        <w:tc>
          <w:tcPr>
            <w:tcW w:w="6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2019</w:t>
            </w:r>
          </w:p>
        </w:tc>
        <w:tc>
          <w:tcPr>
            <w:tcW w:w="23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市金</w:t>
            </w: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z w:val="18"/>
                <w:szCs w:val="18"/>
              </w:rPr>
              <w:t>速信联</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z w:val="18"/>
                <w:szCs w:val="18"/>
              </w:rPr>
              <w:t>车载电子</w:t>
            </w: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36"/>
              <w:jc w:val="center"/>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p>
        </w:tc>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80"/>
              <w:jc w:val="right"/>
              <w:rPr>
                <w:rFonts w:ascii="宋体" w:hAnsi="宋体" w:cs="宋体" w:eastAsia="宋体" w:hint="default"/>
                <w:sz w:val="18"/>
                <w:szCs w:val="18"/>
              </w:rPr>
            </w:pPr>
            <w:r>
              <w:rPr>
                <w:rFonts w:ascii="宋体" w:hAnsi="宋体" w:cs="宋体" w:eastAsia="宋体" w:hint="default"/>
                <w:sz w:val="18"/>
                <w:szCs w:val="18"/>
              </w:rPr>
              <w:t>一致</w:t>
            </w:r>
          </w:p>
        </w:tc>
        <w:tc>
          <w:tcPr>
            <w:tcW w:w="936" w:type="dxa"/>
            <w:tcBorders>
              <w:top w:val="nil" w:sz="6" w:space="0" w:color="auto"/>
              <w:left w:val="single" w:sz="4" w:space="0" w:color="000000"/>
              <w:bottom w:val="nil" w:sz="6" w:space="0" w:color="auto"/>
              <w:right w:val="single" w:sz="4" w:space="0" w:color="000000"/>
            </w:tcBorders>
          </w:tcPr>
          <w:p>
            <w:pPr/>
          </w:p>
        </w:tc>
        <w:tc>
          <w:tcPr>
            <w:tcW w:w="470" w:type="dxa"/>
            <w:tcBorders>
              <w:top w:val="nil" w:sz="6" w:space="0" w:color="auto"/>
              <w:left w:val="single" w:sz="4" w:space="0" w:color="000000"/>
              <w:bottom w:val="nil" w:sz="6" w:space="0" w:color="auto"/>
              <w:right w:val="single" w:sz="4" w:space="0" w:color="000000"/>
            </w:tcBorders>
          </w:tcPr>
          <w:p>
            <w:pP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行中</w:t>
            </w:r>
          </w:p>
        </w:tc>
        <w:tc>
          <w:tcPr>
            <w:tcW w:w="6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p>
        </w:tc>
        <w:tc>
          <w:tcPr>
            <w:tcW w:w="23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http://www.cninfo.com.cn)</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溢科</w:t>
            </w: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z w:val="18"/>
                <w:szCs w:val="18"/>
              </w:rPr>
              <w:t>支付有</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z w:val="18"/>
                <w:szCs w:val="18"/>
              </w:rPr>
              <w:t>标签</w:t>
            </w: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25"/>
              <w:jc w:val="center"/>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732"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470" w:type="dxa"/>
            <w:tcBorders>
              <w:top w:val="nil" w:sz="6" w:space="0" w:color="auto"/>
              <w:left w:val="single" w:sz="4" w:space="0" w:color="000000"/>
              <w:bottom w:val="nil" w:sz="6" w:space="0" w:color="auto"/>
              <w:right w:val="single" w:sz="4" w:space="0" w:color="000000"/>
            </w:tcBorders>
          </w:tcPr>
          <w:p>
            <w:pP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2019</w:t>
            </w:r>
          </w:p>
        </w:tc>
        <w:tc>
          <w:tcPr>
            <w:tcW w:w="850" w:type="dxa"/>
            <w:tcBorders>
              <w:top w:val="nil" w:sz="6" w:space="0" w:color="auto"/>
              <w:left w:val="single" w:sz="4"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02</w:t>
            </w:r>
          </w:p>
        </w:tc>
        <w:tc>
          <w:tcPr>
            <w:tcW w:w="23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z w:val="18"/>
                <w:szCs w:val="18"/>
              </w:rPr>
              <w:t>《关于公司签署日常经营</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技股</w:t>
            </w: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z w:val="18"/>
                <w:szCs w:val="18"/>
              </w:rPr>
              <w:t>限公</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OBU</w:t>
            </w:r>
            <w:r>
              <w:rPr>
                <w:rFonts w:ascii="宋体" w:hAnsi="宋体" w:cs="宋体" w:eastAsia="宋体" w:hint="default"/>
                <w:sz w:val="18"/>
                <w:szCs w:val="18"/>
              </w:rPr>
              <w:t>）</w:t>
            </w:r>
          </w:p>
        </w:tc>
        <w:tc>
          <w:tcPr>
            <w:tcW w:w="711" w:type="dxa"/>
            <w:tcBorders>
              <w:top w:val="nil" w:sz="6" w:space="0" w:color="auto"/>
              <w:left w:val="single" w:sz="4" w:space="0" w:color="000000"/>
              <w:bottom w:val="nil" w:sz="6" w:space="0" w:color="auto"/>
              <w:right w:val="single" w:sz="4" w:space="0" w:color="000000"/>
            </w:tcBorders>
          </w:tcPr>
          <w:p>
            <w:pPr/>
          </w:p>
        </w:tc>
        <w:tc>
          <w:tcPr>
            <w:tcW w:w="732"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470" w:type="dxa"/>
            <w:tcBorders>
              <w:top w:val="nil" w:sz="6" w:space="0" w:color="auto"/>
              <w:left w:val="single" w:sz="4" w:space="0" w:color="000000"/>
              <w:bottom w:val="nil" w:sz="6" w:space="0" w:color="auto"/>
              <w:right w:val="single" w:sz="4" w:space="0" w:color="000000"/>
            </w:tcBorders>
          </w:tcPr>
          <w:p>
            <w:pP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tc>
        <w:tc>
          <w:tcPr>
            <w:tcW w:w="850" w:type="dxa"/>
            <w:tcBorders>
              <w:top w:val="nil" w:sz="6" w:space="0" w:color="auto"/>
              <w:left w:val="single" w:sz="4"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3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z w:val="18"/>
                <w:szCs w:val="18"/>
              </w:rPr>
              <w:t>重大合同的公告》（公告编</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份有</w:t>
            </w: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司、山</w:t>
            </w:r>
          </w:p>
        </w:tc>
        <w:tc>
          <w:tcPr>
            <w:tcW w:w="958"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
        </w:tc>
        <w:tc>
          <w:tcPr>
            <w:tcW w:w="732"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470" w:type="dxa"/>
            <w:tcBorders>
              <w:top w:val="nil" w:sz="6" w:space="0" w:color="auto"/>
              <w:left w:val="single" w:sz="4" w:space="0" w:color="000000"/>
              <w:bottom w:val="nil" w:sz="6" w:space="0" w:color="auto"/>
              <w:right w:val="single" w:sz="4" w:space="0" w:color="000000"/>
            </w:tcBorders>
          </w:tcPr>
          <w:p>
            <w:pP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z w:val="18"/>
                <w:szCs w:val="18"/>
              </w:rPr>
              <w:t>日离</w:t>
            </w:r>
          </w:p>
        </w:tc>
        <w:tc>
          <w:tcPr>
            <w:tcW w:w="850" w:type="dxa"/>
            <w:tcBorders>
              <w:top w:val="nil" w:sz="6" w:space="0" w:color="auto"/>
              <w:left w:val="single" w:sz="4"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4" w:space="0" w:color="000000"/>
            </w:tcBorders>
          </w:tcPr>
          <w:p>
            <w:pPr/>
          </w:p>
        </w:tc>
        <w:tc>
          <w:tcPr>
            <w:tcW w:w="235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2019-088</w:t>
            </w:r>
            <w:r>
              <w:rPr>
                <w:rFonts w:ascii="宋体" w:hAnsi="宋体" w:cs="宋体" w:eastAsia="宋体" w:hint="default"/>
                <w:sz w:val="18"/>
                <w:szCs w:val="18"/>
              </w:rPr>
              <w:t>）、《关于公</w:t>
            </w:r>
          </w:p>
        </w:tc>
      </w:tr>
      <w:tr>
        <w:trPr>
          <w:trHeight w:val="307"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限公</w:t>
            </w: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z w:val="18"/>
                <w:szCs w:val="18"/>
              </w:rPr>
              <w:t>东高速</w:t>
            </w:r>
          </w:p>
        </w:tc>
        <w:tc>
          <w:tcPr>
            <w:tcW w:w="958"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
        </w:tc>
        <w:tc>
          <w:tcPr>
            <w:tcW w:w="732"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470" w:type="dxa"/>
            <w:tcBorders>
              <w:top w:val="nil" w:sz="6" w:space="0" w:color="auto"/>
              <w:left w:val="single" w:sz="4" w:space="0" w:color="000000"/>
              <w:bottom w:val="nil" w:sz="6" w:space="0" w:color="auto"/>
              <w:right w:val="single" w:sz="4" w:space="0" w:color="000000"/>
            </w:tcBorders>
          </w:tcPr>
          <w:p>
            <w:pP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任）王</w:t>
            </w:r>
          </w:p>
        </w:tc>
        <w:tc>
          <w:tcPr>
            <w:tcW w:w="850" w:type="dxa"/>
            <w:tcBorders>
              <w:top w:val="nil" w:sz="6" w:space="0" w:color="auto"/>
              <w:left w:val="single" w:sz="4"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4" w:space="0" w:color="000000"/>
            </w:tcBorders>
          </w:tcPr>
          <w:p>
            <w:pPr/>
          </w:p>
        </w:tc>
        <w:tc>
          <w:tcPr>
            <w:tcW w:w="23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z w:val="18"/>
                <w:szCs w:val="18"/>
              </w:rPr>
              <w:t>司与参股公司关联交易及</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信联科</w:t>
            </w:r>
          </w:p>
        </w:tc>
        <w:tc>
          <w:tcPr>
            <w:tcW w:w="958"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
        </w:tc>
        <w:tc>
          <w:tcPr>
            <w:tcW w:w="732"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470" w:type="dxa"/>
            <w:tcBorders>
              <w:top w:val="nil" w:sz="6" w:space="0" w:color="auto"/>
              <w:left w:val="single" w:sz="4" w:space="0" w:color="000000"/>
              <w:bottom w:val="nil" w:sz="6" w:space="0" w:color="auto"/>
              <w:right w:val="single" w:sz="4" w:space="0" w:color="000000"/>
            </w:tcBorders>
          </w:tcPr>
          <w:p>
            <w:pP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明宽在</w:t>
            </w:r>
          </w:p>
        </w:tc>
        <w:tc>
          <w:tcPr>
            <w:tcW w:w="850" w:type="dxa"/>
            <w:tcBorders>
              <w:top w:val="nil" w:sz="6" w:space="0" w:color="auto"/>
              <w:left w:val="single" w:sz="4"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4" w:space="0" w:color="000000"/>
            </w:tcBorders>
          </w:tcPr>
          <w:p>
            <w:pPr/>
          </w:p>
        </w:tc>
        <w:tc>
          <w:tcPr>
            <w:tcW w:w="23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新增</w:t>
            </w:r>
            <w:r>
              <w:rPr>
                <w:rFonts w:ascii="宋体" w:hAnsi="宋体" w:cs="宋体" w:eastAsia="宋体" w:hint="default"/>
                <w:sz w:val="18"/>
                <w:szCs w:val="18"/>
              </w:rPr>
              <w:t>2019</w:t>
            </w:r>
            <w:r>
              <w:rPr>
                <w:rFonts w:ascii="宋体" w:hAnsi="宋体" w:cs="宋体" w:eastAsia="宋体" w:hint="default"/>
                <w:sz w:val="18"/>
                <w:szCs w:val="18"/>
              </w:rPr>
              <w:t>年度日常关联交</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技有限</w:t>
            </w:r>
          </w:p>
        </w:tc>
        <w:tc>
          <w:tcPr>
            <w:tcW w:w="958"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
        </w:tc>
        <w:tc>
          <w:tcPr>
            <w:tcW w:w="732"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470" w:type="dxa"/>
            <w:tcBorders>
              <w:top w:val="nil" w:sz="6" w:space="0" w:color="auto"/>
              <w:left w:val="single" w:sz="4" w:space="0" w:color="000000"/>
              <w:bottom w:val="nil" w:sz="6" w:space="0" w:color="auto"/>
              <w:right w:val="single" w:sz="4" w:space="0" w:color="000000"/>
            </w:tcBorders>
          </w:tcPr>
          <w:p>
            <w:pP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信联科</w:t>
            </w:r>
          </w:p>
        </w:tc>
        <w:tc>
          <w:tcPr>
            <w:tcW w:w="850" w:type="dxa"/>
            <w:tcBorders>
              <w:top w:val="nil" w:sz="6" w:space="0" w:color="auto"/>
              <w:left w:val="single" w:sz="4"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4" w:space="0" w:color="000000"/>
            </w:tcBorders>
          </w:tcPr>
          <w:p>
            <w:pPr/>
          </w:p>
        </w:tc>
        <w:tc>
          <w:tcPr>
            <w:tcW w:w="23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易预计的公告</w:t>
            </w:r>
            <w:r>
              <w:rPr>
                <w:rFonts w:ascii="宋体" w:hAnsi="宋体" w:cs="宋体" w:eastAsia="宋体" w:hint="default"/>
                <w:spacing w:val="-116"/>
                <w:sz w:val="18"/>
                <w:szCs w:val="18"/>
              </w:rPr>
              <w:t>》</w:t>
            </w:r>
            <w:r>
              <w:rPr>
                <w:rFonts w:ascii="宋体" w:hAnsi="宋体" w:cs="宋体" w:eastAsia="宋体" w:hint="default"/>
                <w:sz w:val="18"/>
                <w:szCs w:val="18"/>
              </w:rPr>
              <w:t>（公告编号：</w:t>
            </w:r>
          </w:p>
        </w:tc>
      </w:tr>
      <w:tr>
        <w:trPr>
          <w:trHeight w:val="317" w:hRule="exact"/>
        </w:trPr>
        <w:tc>
          <w:tcPr>
            <w:tcW w:w="732" w:type="dxa"/>
            <w:tcBorders>
              <w:top w:val="nil" w:sz="6" w:space="0" w:color="auto"/>
              <w:left w:val="single" w:sz="4" w:space="0" w:color="000000"/>
              <w:bottom w:val="nil" w:sz="6" w:space="0" w:color="auto"/>
              <w:right w:val="single" w:sz="4" w:space="0" w:color="000000"/>
            </w:tcBorders>
          </w:tcPr>
          <w:p>
            <w:pP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58"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
        </w:tc>
        <w:tc>
          <w:tcPr>
            <w:tcW w:w="732"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470" w:type="dxa"/>
            <w:tcBorders>
              <w:top w:val="nil" w:sz="6" w:space="0" w:color="auto"/>
              <w:left w:val="single" w:sz="4" w:space="0" w:color="000000"/>
              <w:bottom w:val="nil" w:sz="6" w:space="0" w:color="auto"/>
              <w:right w:val="single" w:sz="4" w:space="0" w:color="000000"/>
            </w:tcBorders>
          </w:tcPr>
          <w:p>
            <w:pP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技担任</w:t>
            </w:r>
          </w:p>
        </w:tc>
        <w:tc>
          <w:tcPr>
            <w:tcW w:w="850" w:type="dxa"/>
            <w:tcBorders>
              <w:top w:val="nil" w:sz="6" w:space="0" w:color="auto"/>
              <w:left w:val="single" w:sz="4"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4" w:space="0" w:color="000000"/>
            </w:tcBorders>
          </w:tcPr>
          <w:p>
            <w:pPr/>
          </w:p>
        </w:tc>
        <w:tc>
          <w:tcPr>
            <w:tcW w:w="23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2019-111</w:t>
            </w:r>
            <w:r>
              <w:rPr>
                <w:rFonts w:ascii="宋体" w:hAnsi="宋体" w:cs="宋体" w:eastAsia="宋体" w:hint="default"/>
                <w:sz w:val="18"/>
                <w:szCs w:val="18"/>
              </w:rPr>
              <w:t>）</w:t>
            </w:r>
          </w:p>
        </w:tc>
      </w:tr>
      <w:tr>
        <w:trPr>
          <w:trHeight w:val="307" w:hRule="exact"/>
        </w:trPr>
        <w:tc>
          <w:tcPr>
            <w:tcW w:w="732" w:type="dxa"/>
            <w:tcBorders>
              <w:top w:val="nil" w:sz="6" w:space="0" w:color="auto"/>
              <w:left w:val="single" w:sz="4" w:space="0" w:color="000000"/>
              <w:bottom w:val="nil" w:sz="6" w:space="0" w:color="auto"/>
              <w:right w:val="single" w:sz="4" w:space="0" w:color="000000"/>
            </w:tcBorders>
          </w:tcPr>
          <w:p>
            <w:pPr/>
          </w:p>
        </w:tc>
        <w:tc>
          <w:tcPr>
            <w:tcW w:w="7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
        </w:tc>
        <w:tc>
          <w:tcPr>
            <w:tcW w:w="732"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470" w:type="dxa"/>
            <w:tcBorders>
              <w:top w:val="nil" w:sz="6" w:space="0" w:color="auto"/>
              <w:left w:val="single" w:sz="4" w:space="0" w:color="000000"/>
              <w:bottom w:val="nil" w:sz="6" w:space="0" w:color="auto"/>
              <w:right w:val="single" w:sz="4" w:space="0" w:color="000000"/>
            </w:tcBorders>
          </w:tcPr>
          <w:p>
            <w:pP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nil" w:sz="6" w:space="0" w:color="auto"/>
              <w:left w:val="single" w:sz="4"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4" w:space="0" w:color="000000"/>
            </w:tcBorders>
          </w:tcPr>
          <w:p>
            <w:pPr/>
          </w:p>
        </w:tc>
        <w:tc>
          <w:tcPr>
            <w:tcW w:w="235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
        </w:tc>
        <w:tc>
          <w:tcPr>
            <w:tcW w:w="732"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470" w:type="dxa"/>
            <w:tcBorders>
              <w:top w:val="nil" w:sz="6" w:space="0" w:color="auto"/>
              <w:left w:val="single" w:sz="4" w:space="0" w:color="000000"/>
              <w:bottom w:val="nil" w:sz="6" w:space="0" w:color="auto"/>
              <w:right w:val="single" w:sz="4" w:space="0" w:color="000000"/>
            </w:tcBorders>
          </w:tcPr>
          <w:p>
            <w:pP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信联科</w:t>
            </w:r>
          </w:p>
        </w:tc>
        <w:tc>
          <w:tcPr>
            <w:tcW w:w="850" w:type="dxa"/>
            <w:tcBorders>
              <w:top w:val="nil" w:sz="6" w:space="0" w:color="auto"/>
              <w:left w:val="single" w:sz="4"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4" w:space="0" w:color="000000"/>
            </w:tcBorders>
          </w:tcPr>
          <w:p>
            <w:pPr/>
          </w:p>
        </w:tc>
        <w:tc>
          <w:tcPr>
            <w:tcW w:w="235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
        </w:tc>
        <w:tc>
          <w:tcPr>
            <w:tcW w:w="732"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470" w:type="dxa"/>
            <w:tcBorders>
              <w:top w:val="nil" w:sz="6" w:space="0" w:color="auto"/>
              <w:left w:val="single" w:sz="4" w:space="0" w:color="000000"/>
              <w:bottom w:val="nil" w:sz="6" w:space="0" w:color="auto"/>
              <w:right w:val="single" w:sz="4" w:space="0" w:color="000000"/>
            </w:tcBorders>
          </w:tcPr>
          <w:p>
            <w:pP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技属于</w:t>
            </w:r>
          </w:p>
        </w:tc>
        <w:tc>
          <w:tcPr>
            <w:tcW w:w="850" w:type="dxa"/>
            <w:tcBorders>
              <w:top w:val="nil" w:sz="6" w:space="0" w:color="auto"/>
              <w:left w:val="single" w:sz="4"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4" w:space="0" w:color="000000"/>
            </w:tcBorders>
          </w:tcPr>
          <w:p>
            <w:pPr/>
          </w:p>
        </w:tc>
        <w:tc>
          <w:tcPr>
            <w:tcW w:w="235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
        </w:tc>
        <w:tc>
          <w:tcPr>
            <w:tcW w:w="732"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470" w:type="dxa"/>
            <w:tcBorders>
              <w:top w:val="nil" w:sz="6" w:space="0" w:color="auto"/>
              <w:left w:val="single" w:sz="4" w:space="0" w:color="000000"/>
              <w:bottom w:val="nil" w:sz="6" w:space="0" w:color="auto"/>
              <w:right w:val="single" w:sz="4" w:space="0" w:color="000000"/>
            </w:tcBorders>
          </w:tcPr>
          <w:p>
            <w:pP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公司关</w:t>
            </w:r>
          </w:p>
        </w:tc>
        <w:tc>
          <w:tcPr>
            <w:tcW w:w="850" w:type="dxa"/>
            <w:tcBorders>
              <w:top w:val="nil" w:sz="6" w:space="0" w:color="auto"/>
              <w:left w:val="single" w:sz="4" w:space="0" w:color="000000"/>
              <w:bottom w:val="nil" w:sz="6" w:space="0" w:color="auto"/>
              <w:right w:val="single" w:sz="4" w:space="0" w:color="000000"/>
            </w:tcBorders>
          </w:tcPr>
          <w:p>
            <w:pPr/>
          </w:p>
        </w:tc>
        <w:tc>
          <w:tcPr>
            <w:tcW w:w="602" w:type="dxa"/>
            <w:tcBorders>
              <w:top w:val="nil" w:sz="6" w:space="0" w:color="auto"/>
              <w:left w:val="single" w:sz="4" w:space="0" w:color="000000"/>
              <w:bottom w:val="nil" w:sz="6" w:space="0" w:color="auto"/>
              <w:right w:val="single" w:sz="4" w:space="0" w:color="000000"/>
            </w:tcBorders>
          </w:tcPr>
          <w:p>
            <w:pPr/>
          </w:p>
        </w:tc>
        <w:tc>
          <w:tcPr>
            <w:tcW w:w="2353"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732" w:type="dxa"/>
            <w:tcBorders>
              <w:top w:val="nil" w:sz="6" w:space="0" w:color="auto"/>
              <w:left w:val="single" w:sz="4" w:space="0" w:color="000000"/>
              <w:bottom w:val="single" w:sz="4" w:space="0" w:color="000000"/>
              <w:right w:val="single" w:sz="4" w:space="0" w:color="000000"/>
            </w:tcBorders>
          </w:tcPr>
          <w:p>
            <w:pPr/>
          </w:p>
        </w:tc>
        <w:tc>
          <w:tcPr>
            <w:tcW w:w="7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711" w:type="dxa"/>
            <w:tcBorders>
              <w:top w:val="nil" w:sz="6" w:space="0" w:color="auto"/>
              <w:left w:val="single" w:sz="4" w:space="0" w:color="000000"/>
              <w:bottom w:val="single" w:sz="4" w:space="0" w:color="000000"/>
              <w:right w:val="single" w:sz="4" w:space="0" w:color="000000"/>
            </w:tcBorders>
          </w:tcPr>
          <w:p>
            <w:pPr/>
          </w:p>
        </w:tc>
        <w:tc>
          <w:tcPr>
            <w:tcW w:w="732" w:type="dxa"/>
            <w:tcBorders>
              <w:top w:val="nil" w:sz="6" w:space="0" w:color="auto"/>
              <w:left w:val="single" w:sz="4" w:space="0" w:color="000000"/>
              <w:bottom w:val="single" w:sz="4" w:space="0" w:color="000000"/>
              <w:right w:val="single" w:sz="4" w:space="0" w:color="000000"/>
            </w:tcBorders>
          </w:tcPr>
          <w:p>
            <w:pPr/>
          </w:p>
        </w:tc>
        <w:tc>
          <w:tcPr>
            <w:tcW w:w="936" w:type="dxa"/>
            <w:tcBorders>
              <w:top w:val="nil" w:sz="6" w:space="0" w:color="auto"/>
              <w:left w:val="single" w:sz="4" w:space="0" w:color="000000"/>
              <w:bottom w:val="single" w:sz="4" w:space="0" w:color="000000"/>
              <w:right w:val="single" w:sz="4" w:space="0" w:color="000000"/>
            </w:tcBorders>
          </w:tcPr>
          <w:p>
            <w:pPr/>
          </w:p>
        </w:tc>
        <w:tc>
          <w:tcPr>
            <w:tcW w:w="470" w:type="dxa"/>
            <w:tcBorders>
              <w:top w:val="nil" w:sz="6" w:space="0" w:color="auto"/>
              <w:left w:val="single" w:sz="4" w:space="0" w:color="000000"/>
              <w:bottom w:val="single" w:sz="4" w:space="0" w:color="000000"/>
              <w:right w:val="single" w:sz="4" w:space="0" w:color="000000"/>
            </w:tcBorders>
          </w:tcPr>
          <w:p>
            <w:pPr/>
          </w:p>
        </w:tc>
        <w:tc>
          <w:tcPr>
            <w:tcW w:w="7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联方。</w:t>
            </w:r>
          </w:p>
        </w:tc>
        <w:tc>
          <w:tcPr>
            <w:tcW w:w="850" w:type="dxa"/>
            <w:tcBorders>
              <w:top w:val="nil" w:sz="6" w:space="0" w:color="auto"/>
              <w:left w:val="single" w:sz="4" w:space="0" w:color="000000"/>
              <w:bottom w:val="single" w:sz="4" w:space="0" w:color="000000"/>
              <w:right w:val="single" w:sz="4" w:space="0" w:color="000000"/>
            </w:tcBorders>
          </w:tcPr>
          <w:p>
            <w:pPr/>
          </w:p>
        </w:tc>
        <w:tc>
          <w:tcPr>
            <w:tcW w:w="602" w:type="dxa"/>
            <w:tcBorders>
              <w:top w:val="nil" w:sz="6" w:space="0" w:color="auto"/>
              <w:left w:val="single" w:sz="4" w:space="0" w:color="000000"/>
              <w:bottom w:val="single" w:sz="4" w:space="0" w:color="000000"/>
              <w:right w:val="single" w:sz="4" w:space="0" w:color="000000"/>
            </w:tcBorders>
          </w:tcPr>
          <w:p>
            <w:pPr/>
          </w:p>
        </w:tc>
        <w:tc>
          <w:tcPr>
            <w:tcW w:w="2353"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7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江苏联</w:t>
            </w: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ETC</w:t>
            </w:r>
            <w:r>
              <w:rPr>
                <w:rFonts w:ascii="宋体" w:hAnsi="宋体" w:cs="宋体" w:eastAsia="宋体" w:hint="default"/>
                <w:sz w:val="18"/>
                <w:szCs w:val="18"/>
              </w:rPr>
              <w:t>门架</w:t>
            </w:r>
          </w:p>
        </w:tc>
        <w:tc>
          <w:tcPr>
            <w:tcW w:w="7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27"/>
              <w:jc w:val="center"/>
              <w:rPr>
                <w:rFonts w:ascii="Times New Roman" w:hAnsi="Times New Roman" w:cs="Times New Roman" w:eastAsia="Times New Roman" w:hint="default"/>
                <w:sz w:val="18"/>
                <w:szCs w:val="18"/>
              </w:rPr>
            </w:pPr>
            <w:r>
              <w:rPr>
                <w:rFonts w:ascii="Times New Roman"/>
                <w:sz w:val="18"/>
              </w:rPr>
              <w:t>2019</w:t>
            </w:r>
          </w:p>
        </w:tc>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180"/>
              <w:jc w:val="right"/>
              <w:rPr>
                <w:rFonts w:ascii="宋体" w:hAnsi="宋体" w:cs="宋体" w:eastAsia="宋体" w:hint="default"/>
                <w:sz w:val="18"/>
                <w:szCs w:val="18"/>
              </w:rPr>
            </w:pPr>
            <w:r>
              <w:rPr>
                <w:rFonts w:ascii="宋体" w:hAnsi="宋体" w:cs="宋体" w:eastAsia="宋体" w:hint="default"/>
                <w:sz w:val="18"/>
                <w:szCs w:val="18"/>
              </w:rPr>
              <w:t>中标</w:t>
            </w:r>
          </w:p>
        </w:tc>
        <w:tc>
          <w:tcPr>
            <w:tcW w:w="9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26,224.02</w:t>
            </w:r>
          </w:p>
        </w:tc>
        <w:tc>
          <w:tcPr>
            <w:tcW w:w="4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正在履</w:t>
            </w:r>
          </w:p>
        </w:tc>
        <w:tc>
          <w:tcPr>
            <w:tcW w:w="6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2019</w:t>
            </w:r>
          </w:p>
        </w:tc>
        <w:tc>
          <w:tcPr>
            <w:tcW w:w="23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54"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市金</w:t>
            </w:r>
          </w:p>
        </w:tc>
        <w:tc>
          <w:tcPr>
            <w:tcW w:w="7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105" w:right="0"/>
              <w:jc w:val="left"/>
              <w:rPr>
                <w:rFonts w:ascii="宋体" w:hAnsi="宋体" w:cs="宋体" w:eastAsia="宋体" w:hint="default"/>
                <w:sz w:val="18"/>
                <w:szCs w:val="18"/>
              </w:rPr>
            </w:pPr>
            <w:r>
              <w:rPr>
                <w:rFonts w:ascii="宋体" w:hAnsi="宋体" w:cs="宋体" w:eastAsia="宋体" w:hint="default"/>
                <w:sz w:val="18"/>
                <w:szCs w:val="18"/>
              </w:rPr>
              <w:t>网高速</w:t>
            </w: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105" w:right="0"/>
              <w:jc w:val="left"/>
              <w:rPr>
                <w:rFonts w:ascii="宋体" w:hAnsi="宋体" w:cs="宋体" w:eastAsia="宋体" w:hint="default"/>
                <w:sz w:val="18"/>
                <w:szCs w:val="18"/>
              </w:rPr>
            </w:pPr>
            <w:r>
              <w:rPr>
                <w:rFonts w:ascii="宋体" w:hAnsi="宋体" w:cs="宋体" w:eastAsia="宋体" w:hint="default"/>
                <w:sz w:val="18"/>
                <w:szCs w:val="18"/>
              </w:rPr>
              <w:t>系统及车</w:t>
            </w:r>
          </w:p>
        </w:tc>
        <w:tc>
          <w:tcPr>
            <w:tcW w:w="7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36"/>
              <w:jc w:val="center"/>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p>
        </w:tc>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180"/>
              <w:jc w:val="right"/>
              <w:rPr>
                <w:rFonts w:ascii="宋体" w:hAnsi="宋体" w:cs="宋体" w:eastAsia="宋体" w:hint="default"/>
                <w:sz w:val="18"/>
                <w:szCs w:val="18"/>
              </w:rPr>
            </w:pPr>
            <w:r>
              <w:rPr>
                <w:rFonts w:ascii="宋体" w:hAnsi="宋体" w:cs="宋体" w:eastAsia="宋体" w:hint="default"/>
                <w:sz w:val="18"/>
                <w:szCs w:val="18"/>
              </w:rPr>
              <w:t>定价</w:t>
            </w:r>
          </w:p>
        </w:tc>
        <w:tc>
          <w:tcPr>
            <w:tcW w:w="936" w:type="dxa"/>
            <w:tcBorders>
              <w:top w:val="nil" w:sz="6" w:space="0" w:color="auto"/>
              <w:left w:val="single" w:sz="4" w:space="0" w:color="000000"/>
              <w:bottom w:val="single" w:sz="4" w:space="0" w:color="000000"/>
              <w:right w:val="single" w:sz="4" w:space="0" w:color="000000"/>
            </w:tcBorders>
          </w:tcPr>
          <w:p>
            <w:pPr/>
          </w:p>
        </w:tc>
        <w:tc>
          <w:tcPr>
            <w:tcW w:w="470" w:type="dxa"/>
            <w:tcBorders>
              <w:top w:val="nil" w:sz="6" w:space="0" w:color="auto"/>
              <w:left w:val="single" w:sz="4" w:space="0" w:color="000000"/>
              <w:bottom w:val="single" w:sz="4" w:space="0" w:color="000000"/>
              <w:right w:val="single" w:sz="4" w:space="0" w:color="000000"/>
            </w:tcBorders>
          </w:tcPr>
          <w:p>
            <w:pPr/>
          </w:p>
        </w:tc>
        <w:tc>
          <w:tcPr>
            <w:tcW w:w="756"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行中</w:t>
            </w:r>
          </w:p>
        </w:tc>
        <w:tc>
          <w:tcPr>
            <w:tcW w:w="6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8</w:t>
            </w:r>
          </w:p>
        </w:tc>
        <w:tc>
          <w:tcPr>
            <w:tcW w:w="23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http://www.cninfo.com.cn)</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732"/>
        <w:gridCol w:w="756"/>
        <w:gridCol w:w="958"/>
        <w:gridCol w:w="711"/>
        <w:gridCol w:w="732"/>
        <w:gridCol w:w="936"/>
        <w:gridCol w:w="470"/>
        <w:gridCol w:w="756"/>
        <w:gridCol w:w="850"/>
        <w:gridCol w:w="602"/>
        <w:gridCol w:w="2353"/>
      </w:tblGrid>
      <w:tr>
        <w:trPr>
          <w:trHeight w:val="320"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溢科</w:t>
            </w:r>
          </w:p>
        </w:tc>
        <w:tc>
          <w:tcPr>
            <w:tcW w:w="7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公路相</w:t>
            </w: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道</w:t>
            </w:r>
            <w:r>
              <w:rPr>
                <w:rFonts w:ascii="宋体" w:hAnsi="宋体" w:cs="宋体" w:eastAsia="宋体" w:hint="default"/>
                <w:sz w:val="18"/>
                <w:szCs w:val="18"/>
              </w:rPr>
              <w:t>RSU</w:t>
            </w:r>
            <w:r>
              <w:rPr>
                <w:rFonts w:ascii="宋体" w:hAnsi="宋体" w:cs="宋体" w:eastAsia="宋体" w:hint="default"/>
                <w:sz w:val="18"/>
                <w:szCs w:val="18"/>
              </w:rPr>
              <w:t>天</w:t>
            </w:r>
          </w:p>
        </w:tc>
        <w:tc>
          <w:tcPr>
            <w:tcW w:w="7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67"/>
              <w:jc w:val="center"/>
              <w:rPr>
                <w:rFonts w:ascii="Times New Roman" w:hAnsi="Times New Roman" w:cs="Times New Roman" w:eastAsia="Times New Roman" w:hint="default"/>
                <w:sz w:val="18"/>
                <w:szCs w:val="18"/>
              </w:rPr>
            </w:pPr>
            <w:r>
              <w:rPr>
                <w:rFonts w:ascii="Times New Roman"/>
                <w:sz w:val="18"/>
              </w:rPr>
              <w:t>-2020</w:t>
            </w:r>
          </w:p>
        </w:tc>
        <w:tc>
          <w:tcPr>
            <w:tcW w:w="732"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756"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6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p>
        </w:tc>
        <w:tc>
          <w:tcPr>
            <w:tcW w:w="23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《关于公司已中标项目签</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技股</w:t>
            </w: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z w:val="18"/>
                <w:szCs w:val="18"/>
              </w:rPr>
              <w:t>关各路</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z w:val="18"/>
                <w:szCs w:val="18"/>
              </w:rPr>
              <w:t>线及控制</w:t>
            </w: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36"/>
              <w:jc w:val="center"/>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732"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6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3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z w:val="18"/>
                <w:szCs w:val="18"/>
              </w:rPr>
              <w:t>订日常经营合同的进展公</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份有</w:t>
            </w: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z w:val="18"/>
                <w:szCs w:val="18"/>
              </w:rPr>
              <w:t>（桥）</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z w:val="18"/>
                <w:szCs w:val="18"/>
              </w:rPr>
              <w:t>系统设备</w:t>
            </w:r>
          </w:p>
        </w:tc>
        <w:tc>
          <w:tcPr>
            <w:tcW w:w="711" w:type="dxa"/>
            <w:tcBorders>
              <w:top w:val="nil" w:sz="6" w:space="0" w:color="auto"/>
              <w:left w:val="single" w:sz="4" w:space="0" w:color="000000"/>
              <w:bottom w:val="nil" w:sz="6" w:space="0" w:color="auto"/>
              <w:right w:val="single" w:sz="4" w:space="0" w:color="000000"/>
            </w:tcBorders>
          </w:tcPr>
          <w:p>
            <w:pPr/>
          </w:p>
        </w:tc>
        <w:tc>
          <w:tcPr>
            <w:tcW w:w="732"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602" w:type="dxa"/>
            <w:tcBorders>
              <w:top w:val="nil" w:sz="6" w:space="0" w:color="auto"/>
              <w:left w:val="single" w:sz="4" w:space="0" w:color="000000"/>
              <w:bottom w:val="nil" w:sz="6" w:space="0" w:color="auto"/>
              <w:right w:val="single" w:sz="4" w:space="0" w:color="000000"/>
            </w:tcBorders>
          </w:tcPr>
          <w:p>
            <w:pPr/>
          </w:p>
        </w:tc>
        <w:tc>
          <w:tcPr>
            <w:tcW w:w="23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pacing w:val="-6"/>
                <w:sz w:val="18"/>
                <w:szCs w:val="18"/>
              </w:rPr>
              <w:t>告》（公告编号：</w:t>
            </w:r>
            <w:r>
              <w:rPr>
                <w:rFonts w:ascii="Times New Roman" w:hAnsi="Times New Roman" w:cs="Times New Roman" w:eastAsia="Times New Roman" w:hint="default"/>
                <w:spacing w:val="-6"/>
                <w:sz w:val="18"/>
                <w:szCs w:val="18"/>
              </w:rPr>
              <w:t>2019-074</w:t>
            </w:r>
            <w:r>
              <w:rPr>
                <w:rFonts w:ascii="宋体" w:hAnsi="宋体" w:cs="宋体" w:eastAsia="宋体" w:hint="default"/>
                <w:spacing w:val="-6"/>
                <w:sz w:val="18"/>
                <w:szCs w:val="18"/>
              </w:rPr>
              <w:t>）</w:t>
            </w:r>
          </w:p>
        </w:tc>
      </w:tr>
      <w:tr>
        <w:trPr>
          <w:trHeight w:val="307"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限公</w:t>
            </w: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58" w:type="dxa"/>
            <w:tcBorders>
              <w:top w:val="nil" w:sz="6" w:space="0" w:color="auto"/>
              <w:left w:val="single" w:sz="4" w:space="0" w:color="000000"/>
              <w:bottom w:val="nil" w:sz="6" w:space="0" w:color="auto"/>
              <w:right w:val="single" w:sz="4" w:space="0" w:color="000000"/>
            </w:tcBorders>
          </w:tcPr>
          <w:p>
            <w:pPr/>
          </w:p>
        </w:tc>
        <w:tc>
          <w:tcPr>
            <w:tcW w:w="711" w:type="dxa"/>
            <w:tcBorders>
              <w:top w:val="nil" w:sz="6" w:space="0" w:color="auto"/>
              <w:left w:val="single" w:sz="4" w:space="0" w:color="000000"/>
              <w:bottom w:val="nil" w:sz="6" w:space="0" w:color="auto"/>
              <w:right w:val="single" w:sz="4" w:space="0" w:color="000000"/>
            </w:tcBorders>
          </w:tcPr>
          <w:p>
            <w:pPr/>
          </w:p>
        </w:tc>
        <w:tc>
          <w:tcPr>
            <w:tcW w:w="732"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602" w:type="dxa"/>
            <w:tcBorders>
              <w:top w:val="nil" w:sz="6" w:space="0" w:color="auto"/>
              <w:left w:val="single" w:sz="4" w:space="0" w:color="000000"/>
              <w:bottom w:val="nil" w:sz="6" w:space="0" w:color="auto"/>
              <w:right w:val="single" w:sz="4" w:space="0" w:color="000000"/>
            </w:tcBorders>
          </w:tcPr>
          <w:p>
            <w:pPr/>
          </w:p>
        </w:tc>
        <w:tc>
          <w:tcPr>
            <w:tcW w:w="2353"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711" w:type="dxa"/>
            <w:tcBorders>
              <w:top w:val="nil" w:sz="6" w:space="0" w:color="auto"/>
              <w:left w:val="single" w:sz="4" w:space="0" w:color="000000"/>
              <w:bottom w:val="single" w:sz="4" w:space="0" w:color="000000"/>
              <w:right w:val="single" w:sz="4" w:space="0" w:color="000000"/>
            </w:tcBorders>
          </w:tcPr>
          <w:p>
            <w:pPr/>
          </w:p>
        </w:tc>
        <w:tc>
          <w:tcPr>
            <w:tcW w:w="732"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602" w:type="dxa"/>
            <w:tcBorders>
              <w:top w:val="nil" w:sz="6" w:space="0" w:color="auto"/>
              <w:left w:val="single" w:sz="4" w:space="0" w:color="000000"/>
              <w:bottom w:val="single" w:sz="4" w:space="0" w:color="000000"/>
              <w:right w:val="single" w:sz="4" w:space="0" w:color="000000"/>
            </w:tcBorders>
          </w:tcPr>
          <w:p>
            <w:pPr/>
          </w:p>
        </w:tc>
        <w:tc>
          <w:tcPr>
            <w:tcW w:w="2353" w:type="dxa"/>
            <w:tcBorders>
              <w:top w:val="nil" w:sz="6" w:space="0" w:color="auto"/>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335" w:lineRule="exact"/>
        <w:ind w:left="212" w:right="1194"/>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212" w:right="1194"/>
        <w:jc w:val="left"/>
      </w:pPr>
      <w:r>
        <w:rPr/>
        <w:t>行业和产品分类</w:t>
      </w:r>
    </w:p>
    <w:p>
      <w:pPr>
        <w:pStyle w:val="BodyText"/>
        <w:spacing w:line="240" w:lineRule="auto" w:before="115"/>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智能交通行业</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1,491,224,575.50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372,156,271.64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8" w:right="0"/>
              <w:jc w:val="left"/>
              <w:rPr>
                <w:rFonts w:ascii="Times New Roman" w:hAnsi="Times New Roman" w:cs="Times New Roman" w:eastAsia="Times New Roman" w:hint="default"/>
                <w:sz w:val="18"/>
                <w:szCs w:val="18"/>
              </w:rPr>
            </w:pPr>
            <w:r>
              <w:rPr>
                <w:rFonts w:ascii="Times New Roman"/>
                <w:sz w:val="18"/>
              </w:rPr>
              <w:t>300.70%</w:t>
            </w:r>
          </w:p>
        </w:tc>
      </w:tr>
    </w:tbl>
    <w:p>
      <w:pPr>
        <w:pStyle w:val="BodyText"/>
        <w:spacing w:line="240" w:lineRule="auto" w:before="49"/>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高速公路</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ETC</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设 备</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1,476,903,015.59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358,265,487.28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96.27%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312.24%</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智能停车场设备</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5,294,847.27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0.36%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10,696,533.83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2.87%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-50.50%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9,026,712.64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3,194,250.53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182.59%</w:t>
            </w:r>
          </w:p>
        </w:tc>
      </w:tr>
    </w:tbl>
    <w:p>
      <w:pPr>
        <w:pStyle w:val="BodyText"/>
        <w:spacing w:line="357" w:lineRule="auto" w:before="49"/>
        <w:ind w:left="212" w:right="10394"/>
        <w:jc w:val="left"/>
      </w:pPr>
      <w:r>
        <w:rPr/>
        <w:t>说明 无</w:t>
      </w:r>
    </w:p>
    <w:p>
      <w:pPr>
        <w:spacing w:line="240" w:lineRule="auto" w:before="5"/>
        <w:rPr>
          <w:rFonts w:ascii="宋体" w:hAnsi="宋体" w:cs="宋体" w:eastAsia="宋体" w:hint="default"/>
          <w:sz w:val="15"/>
          <w:szCs w:val="15"/>
        </w:rPr>
      </w:pPr>
    </w:p>
    <w:p>
      <w:pPr>
        <w:pStyle w:val="Heading4"/>
        <w:spacing w:line="240" w:lineRule="auto"/>
        <w:ind w:left="212" w:right="1194"/>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212" w:right="11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1"/>
          <w:szCs w:val="21"/>
        </w:rPr>
      </w:pPr>
    </w:p>
    <w:p>
      <w:pPr>
        <w:pStyle w:val="Heading4"/>
        <w:spacing w:line="240" w:lineRule="auto"/>
        <w:ind w:left="212" w:right="1194"/>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212" w:right="11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4"/>
        <w:spacing w:line="240" w:lineRule="auto"/>
        <w:ind w:left="212" w:right="1194"/>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212" w:right="1194"/>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4315"/>
        <w:gridCol w:w="5382"/>
      </w:tblGrid>
      <w:tr>
        <w:trPr>
          <w:trHeight w:val="403" w:hRule="exact"/>
        </w:trPr>
        <w:tc>
          <w:tcPr>
            <w:tcW w:w="4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1,522,398,784.24</w:t>
            </w:r>
          </w:p>
        </w:tc>
      </w:tr>
      <w:tr>
        <w:trPr>
          <w:trHeight w:val="401" w:hRule="exact"/>
        </w:trPr>
        <w:tc>
          <w:tcPr>
            <w:tcW w:w="4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53.23%</w:t>
            </w:r>
          </w:p>
        </w:tc>
      </w:tr>
      <w:tr>
        <w:trPr>
          <w:trHeight w:val="716" w:hRule="exact"/>
        </w:trPr>
        <w:tc>
          <w:tcPr>
            <w:tcW w:w="4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4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6.28%</w:t>
            </w:r>
          </w:p>
        </w:tc>
      </w:tr>
    </w:tbl>
    <w:p>
      <w:pPr>
        <w:pStyle w:val="BodyText"/>
        <w:spacing w:line="240" w:lineRule="auto" w:before="49"/>
        <w:ind w:left="212" w:right="1194"/>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after="0" w:line="240" w:lineRule="auto"/>
        <w:jc w:val="left"/>
        <w:sectPr>
          <w:pgSz w:w="11910" w:h="16840"/>
          <w:pgMar w:header="745"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321"/>
        <w:gridCol w:w="3145"/>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572,708,833.63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20.02%</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449,414,582.91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15.71%</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184,540,583.98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6.45%</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179,603,539.57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6.28%</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136,131,244.15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4.76%</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1,522,398,784.24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53.23%</w:t>
            </w:r>
          </w:p>
        </w:tc>
      </w:tr>
    </w:tbl>
    <w:p>
      <w:pPr>
        <w:pStyle w:val="BodyText"/>
        <w:spacing w:line="240" w:lineRule="auto" w:before="49"/>
        <w:ind w:right="967"/>
        <w:jc w:val="left"/>
      </w:pPr>
      <w:r>
        <w:rPr/>
        <w:t>主要客户其他情况说明</w:t>
      </w:r>
    </w:p>
    <w:p>
      <w:pPr>
        <w:pStyle w:val="BodyText"/>
        <w:spacing w:line="340" w:lineRule="auto" w:before="115"/>
        <w:ind w:right="4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公司主要客户包含山东高速信联科技有限公司（以下简称“信联科技”）。</w:t>
      </w:r>
    </w:p>
    <w:p>
      <w:pPr>
        <w:pStyle w:val="BodyText"/>
        <w:spacing w:line="338" w:lineRule="auto" w:before="39"/>
        <w:ind w:right="1123"/>
        <w:jc w:val="left"/>
      </w:pPr>
      <w:r>
        <w:rPr/>
        <w:t>公司持有信联科技</w:t>
      </w:r>
      <w:r>
        <w:rPr>
          <w:spacing w:val="-59"/>
        </w:rPr>
        <w:t> </w:t>
      </w:r>
      <w:r>
        <w:rPr>
          <w:rFonts w:ascii="宋体" w:hAnsi="宋体" w:cs="宋体" w:eastAsia="宋体" w:hint="default"/>
        </w:rPr>
        <w:t>6.20%</w:t>
      </w:r>
      <w:r>
        <w:rPr/>
        <w:t>的股权，信联科技属于公司参股公司。鉴于公司原董事（</w:t>
      </w:r>
      <w:r>
        <w:rPr>
          <w:rFonts w:ascii="宋体" w:hAnsi="宋体" w:cs="宋体" w:eastAsia="宋体" w:hint="default"/>
        </w:rPr>
        <w:t>2019</w:t>
      </w:r>
      <w:r>
        <w:rPr>
          <w:rFonts w:ascii="宋体" w:hAnsi="宋体" w:cs="宋体" w:eastAsia="宋体" w:hint="default"/>
          <w:spacing w:val="-60"/>
        </w:rPr>
        <w:t> </w:t>
      </w:r>
      <w:r>
        <w:rPr/>
        <w:t>年</w:t>
      </w:r>
      <w:r>
        <w:rPr>
          <w:spacing w:val="-61"/>
        </w:rPr>
        <w:t> </w:t>
      </w:r>
      <w:r>
        <w:rPr>
          <w:rFonts w:ascii="宋体" w:hAnsi="宋体" w:cs="宋体" w:eastAsia="宋体" w:hint="default"/>
        </w:rPr>
        <w:t>12</w:t>
      </w:r>
      <w:r>
        <w:rPr>
          <w:rFonts w:ascii="宋体" w:hAnsi="宋体" w:cs="宋体" w:eastAsia="宋体" w:hint="default"/>
          <w:spacing w:val="-59"/>
        </w:rPr>
        <w:t> </w:t>
      </w:r>
      <w:r>
        <w:rPr/>
        <w:t>月</w:t>
      </w:r>
      <w:r>
        <w:rPr>
          <w:spacing w:val="-61"/>
        </w:rPr>
        <w:t> </w:t>
      </w:r>
      <w:r>
        <w:rPr>
          <w:rFonts w:ascii="宋体" w:hAnsi="宋体" w:cs="宋体" w:eastAsia="宋体" w:hint="default"/>
        </w:rPr>
        <w:t>17</w:t>
      </w:r>
      <w:r>
        <w:rPr>
          <w:rFonts w:ascii="宋体" w:hAnsi="宋体" w:cs="宋体" w:eastAsia="宋体" w:hint="default"/>
          <w:spacing w:val="-59"/>
        </w:rPr>
        <w:t> </w:t>
      </w:r>
      <w:r>
        <w:rPr/>
        <w:t>日离任）王明宽在信联科 技担任董事，信联科技符合《股票上市规则》第</w:t>
      </w:r>
      <w:r>
        <w:rPr>
          <w:spacing w:val="-45"/>
        </w:rPr>
        <w:t> </w:t>
      </w:r>
      <w:r>
        <w:rPr>
          <w:rFonts w:ascii="宋体" w:hAnsi="宋体" w:cs="宋体" w:eastAsia="宋体" w:hint="default"/>
        </w:rPr>
        <w:t>10.1.3</w:t>
      </w:r>
      <w:r>
        <w:rPr>
          <w:rFonts w:ascii="宋体" w:hAnsi="宋体" w:cs="宋体" w:eastAsia="宋体" w:hint="default"/>
          <w:spacing w:val="-44"/>
        </w:rPr>
        <w:t> </w:t>
      </w:r>
      <w:r>
        <w:rPr/>
        <w:t>条第（三）款规定的关联关系情形，属于公司关联法人。 除上述情况外，公司其他董事、监事、高级管理人员、核心技术人员、持股</w:t>
      </w:r>
      <w:r>
        <w:rPr>
          <w:spacing w:val="-44"/>
        </w:rPr>
        <w:t> </w:t>
      </w:r>
      <w:r>
        <w:rPr>
          <w:rFonts w:ascii="宋体" w:hAnsi="宋体" w:cs="宋体" w:eastAsia="宋体" w:hint="default"/>
        </w:rPr>
        <w:t>5%</w:t>
      </w:r>
      <w:r>
        <w:rPr/>
        <w:t>以上股东、实际控制人和其他关联方在上述</w:t>
      </w:r>
    </w:p>
    <w:p>
      <w:pPr>
        <w:pStyle w:val="BodyText"/>
        <w:spacing w:line="360" w:lineRule="auto" w:before="2"/>
        <w:ind w:right="8234"/>
        <w:jc w:val="left"/>
      </w:pPr>
      <w:r>
        <w:rPr/>
        <w:t>客户中不直接或间接拥有权益。 公司主要供应商情况</w:t>
      </w: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601,016,374.58</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32.22%</w:t>
            </w:r>
          </w:p>
        </w:tc>
      </w:tr>
      <w:tr>
        <w:trPr>
          <w:trHeight w:val="716"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65"/>
        <w:ind w:right="967"/>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36"/>
        <w:gridCol w:w="3169"/>
        <w:gridCol w:w="2321"/>
        <w:gridCol w:w="3145"/>
      </w:tblGrid>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278,133,605.98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14.91%</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107,055,558.14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5.74%</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87,786,645.69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4.71%</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66,504,898.33</w:t>
            </w:r>
            <w:r>
              <w:rPr>
                <w:rFonts w:ascii="Times New Roman"/>
                <w:sz w:val="18"/>
              </w:rPr>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3.56%</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61,535,666.44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w:t>
            </w:r>
          </w:p>
        </w:tc>
      </w:tr>
      <w:tr>
        <w:trPr>
          <w:trHeight w:val="404"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601,016,374.58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32.22%</w:t>
            </w:r>
          </w:p>
        </w:tc>
      </w:tr>
    </w:tbl>
    <w:p>
      <w:pPr>
        <w:pStyle w:val="BodyText"/>
        <w:spacing w:line="240" w:lineRule="auto" w:before="49"/>
        <w:ind w:right="967"/>
        <w:jc w:val="left"/>
      </w:pPr>
      <w:r>
        <w:rPr/>
        <w:t>主要供应商其他情况说明</w:t>
      </w:r>
    </w:p>
    <w:p>
      <w:pPr>
        <w:pStyle w:val="BodyText"/>
        <w:spacing w:line="240" w:lineRule="auto" w:before="115"/>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4"/>
        <w:spacing w:line="240" w:lineRule="auto"/>
        <w:ind w:right="967"/>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37"/>
        <w:gridCol w:w="1637"/>
        <w:gridCol w:w="1462"/>
        <w:gridCol w:w="2919"/>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56" w:hRule="exact"/>
        </w:trPr>
        <w:tc>
          <w:tcPr>
            <w:tcW w:w="19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462" w:type="dxa"/>
            <w:tcBorders>
              <w:top w:val="single" w:sz="4" w:space="0" w:color="000000"/>
              <w:left w:val="single" w:sz="4" w:space="0" w:color="000000"/>
              <w:bottom w:val="nil" w:sz="6" w:space="0" w:color="auto"/>
              <w:right w:val="single" w:sz="4" w:space="0" w:color="000000"/>
            </w:tcBorders>
          </w:tcPr>
          <w:p>
            <w:pPr/>
          </w:p>
        </w:tc>
        <w:tc>
          <w:tcPr>
            <w:tcW w:w="29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主要系本报告期职工薪酬、股份支付</w:t>
            </w:r>
          </w:p>
        </w:tc>
      </w:tr>
      <w:tr>
        <w:trPr>
          <w:trHeight w:val="317" w:hRule="exact"/>
        </w:trPr>
        <w:tc>
          <w:tcPr>
            <w:tcW w:w="19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479" w:right="0"/>
              <w:jc w:val="left"/>
              <w:rPr>
                <w:rFonts w:ascii="Times New Roman" w:hAnsi="Times New Roman" w:cs="Times New Roman" w:eastAsia="Times New Roman" w:hint="default"/>
                <w:sz w:val="18"/>
                <w:szCs w:val="18"/>
              </w:rPr>
            </w:pPr>
            <w:r>
              <w:rPr>
                <w:rFonts w:ascii="Times New Roman"/>
                <w:sz w:val="18"/>
              </w:rPr>
              <w:t>141,262,942.39</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575" w:right="0"/>
              <w:jc w:val="left"/>
              <w:rPr>
                <w:rFonts w:ascii="Times New Roman" w:hAnsi="Times New Roman" w:cs="Times New Roman" w:eastAsia="Times New Roman" w:hint="default"/>
                <w:sz w:val="18"/>
                <w:szCs w:val="18"/>
              </w:rPr>
            </w:pPr>
            <w:r>
              <w:rPr>
                <w:rFonts w:ascii="Times New Roman"/>
                <w:sz w:val="18"/>
              </w:rPr>
              <w:t>84,327,840.11</w:t>
            </w: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873" w:right="0"/>
              <w:jc w:val="left"/>
              <w:rPr>
                <w:rFonts w:ascii="Times New Roman" w:hAnsi="Times New Roman" w:cs="Times New Roman" w:eastAsia="Times New Roman" w:hint="default"/>
                <w:sz w:val="18"/>
                <w:szCs w:val="18"/>
              </w:rPr>
            </w:pPr>
            <w:r>
              <w:rPr>
                <w:rFonts w:ascii="Times New Roman"/>
                <w:sz w:val="18"/>
              </w:rPr>
              <w:t>67.52%</w:t>
            </w:r>
          </w:p>
        </w:tc>
        <w:tc>
          <w:tcPr>
            <w:tcW w:w="29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费用、物流费、售后服务费同比增加</w:t>
            </w:r>
          </w:p>
        </w:tc>
      </w:tr>
      <w:tr>
        <w:trPr>
          <w:trHeight w:val="355" w:hRule="exact"/>
        </w:trPr>
        <w:tc>
          <w:tcPr>
            <w:tcW w:w="19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462" w:type="dxa"/>
            <w:tcBorders>
              <w:top w:val="nil" w:sz="6" w:space="0" w:color="auto"/>
              <w:left w:val="single" w:sz="4" w:space="0" w:color="000000"/>
              <w:bottom w:val="single" w:sz="4" w:space="0" w:color="000000"/>
              <w:right w:val="single" w:sz="4" w:space="0" w:color="000000"/>
            </w:tcBorders>
          </w:tcPr>
          <w:p>
            <w:pPr/>
          </w:p>
        </w:tc>
        <w:tc>
          <w:tcPr>
            <w:tcW w:w="29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所致。</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637"/>
        <w:gridCol w:w="1637"/>
        <w:gridCol w:w="1462"/>
        <w:gridCol w:w="2919"/>
      </w:tblGrid>
      <w:tr>
        <w:trPr>
          <w:trHeight w:val="102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115,249,066.64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70,936,770.63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62.47%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主要系本报告期职工薪酬、股份支付</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费用以及长期资产的折旧摊销费用 同比增加所致。</w:t>
            </w: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-16,828,747.21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-6,931,057.80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-142.80%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主要系本报告期利息收入以及采购 现金折扣同比增加所致。</w:t>
            </w:r>
          </w:p>
        </w:tc>
      </w:tr>
      <w:tr>
        <w:trPr>
          <w:trHeight w:val="355" w:hRule="exact"/>
        </w:trPr>
        <w:tc>
          <w:tcPr>
            <w:tcW w:w="19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462" w:type="dxa"/>
            <w:tcBorders>
              <w:top w:val="single" w:sz="4" w:space="0" w:color="000000"/>
              <w:left w:val="single" w:sz="4" w:space="0" w:color="000000"/>
              <w:bottom w:val="nil" w:sz="6" w:space="0" w:color="auto"/>
              <w:right w:val="single" w:sz="4" w:space="0" w:color="000000"/>
            </w:tcBorders>
          </w:tcPr>
          <w:p>
            <w:pPr/>
          </w:p>
        </w:tc>
        <w:tc>
          <w:tcPr>
            <w:tcW w:w="29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主要系本报告期职工薪酬、股份支付</w:t>
            </w:r>
          </w:p>
        </w:tc>
      </w:tr>
      <w:tr>
        <w:trPr>
          <w:trHeight w:val="317" w:hRule="exact"/>
        </w:trPr>
        <w:tc>
          <w:tcPr>
            <w:tcW w:w="19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100,683,953.90</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73,280,083.65</w:t>
            </w: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37.40%</w:t>
            </w:r>
          </w:p>
        </w:tc>
        <w:tc>
          <w:tcPr>
            <w:tcW w:w="29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费用以及进一步加大其他研发费用</w:t>
            </w:r>
          </w:p>
        </w:tc>
      </w:tr>
      <w:tr>
        <w:trPr>
          <w:trHeight w:val="355" w:hRule="exact"/>
        </w:trPr>
        <w:tc>
          <w:tcPr>
            <w:tcW w:w="19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462" w:type="dxa"/>
            <w:tcBorders>
              <w:top w:val="nil" w:sz="6" w:space="0" w:color="auto"/>
              <w:left w:val="single" w:sz="4" w:space="0" w:color="000000"/>
              <w:bottom w:val="single" w:sz="4" w:space="0" w:color="000000"/>
              <w:right w:val="single" w:sz="4" w:space="0" w:color="000000"/>
            </w:tcBorders>
          </w:tcPr>
          <w:p>
            <w:pPr/>
          </w:p>
        </w:tc>
        <w:tc>
          <w:tcPr>
            <w:tcW w:w="29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投入增加所致。</w:t>
            </w: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40" w:lineRule="auto"/>
        <w:ind w:left="513" w:right="967"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公司成立之初至今，持续重视研究、开发与新产品、新技术、新市场及新应用的投入。目前，公司主要从事两个方面的</w:t>
      </w:r>
    </w:p>
    <w:p>
      <w:pPr>
        <w:pStyle w:val="BodyText"/>
        <w:spacing w:line="316" w:lineRule="auto" w:before="1"/>
        <w:ind w:right="967"/>
        <w:jc w:val="left"/>
      </w:pPr>
      <w:r>
        <w:rPr>
          <w:spacing w:val="-2"/>
        </w:rPr>
        <w:t>技术开发项目。一方面是基于现有产品在性能、功能等方面的创新开发，满足市场与客户需求；另一方面是根据行业技术的</w:t>
      </w:r>
      <w:r>
        <w:rPr>
          <w:spacing w:val="-65"/>
        </w:rPr>
        <w:t> </w:t>
      </w:r>
      <w:r>
        <w:rPr>
          <w:spacing w:val="-65"/>
        </w:rPr>
      </w:r>
      <w:r>
        <w:rPr/>
        <w:t>发展方向进行的前瞻性技术研究，为公司的长远发展提供技术储备。</w:t>
      </w:r>
    </w:p>
    <w:p>
      <w:pPr>
        <w:pStyle w:val="BodyText"/>
        <w:spacing w:line="307" w:lineRule="auto" w:before="59"/>
        <w:ind w:right="1131" w:firstLine="360"/>
        <w:jc w:val="both"/>
      </w:pPr>
      <w:r>
        <w:rPr>
          <w:rFonts w:ascii="Times New Roman" w:hAnsi="Times New Roman" w:cs="Times New Roman" w:eastAsia="Times New Roman" w:hint="default"/>
          <w:spacing w:val="-2"/>
        </w:rPr>
        <w:t>2019</w:t>
      </w:r>
      <w:r>
        <w:rPr>
          <w:spacing w:val="-2"/>
        </w:rPr>
        <w:t>年公司持续加强了研发工作，一方面通过自主开发的门架天线远程批量升级系统准时高效地完成了门架天线系统升</w:t>
      </w:r>
      <w:r>
        <w:rPr/>
        <w:t> </w:t>
      </w:r>
      <w:r>
        <w:rPr>
          <w:spacing w:val="-2"/>
        </w:rPr>
        <w:t>级，并根据交通部路网中心的要求配合路段业主和集成商完成天线国密改造和出入口车道天线升级；另一方面未雨绸缪积极</w:t>
      </w:r>
      <w:r>
        <w:rPr>
          <w:spacing w:val="-64"/>
        </w:rPr>
        <w:t> </w:t>
      </w:r>
      <w:r>
        <w:rPr>
          <w:spacing w:val="-64"/>
        </w:rPr>
      </w:r>
      <w:r>
        <w:rPr/>
        <w:t>部署</w:t>
      </w:r>
      <w:r>
        <w:rPr>
          <w:rFonts w:ascii="Times New Roman" w:hAnsi="Times New Roman" w:cs="Times New Roman" w:eastAsia="Times New Roman" w:hint="default"/>
        </w:rPr>
        <w:t>ETC</w:t>
      </w:r>
      <w:r>
        <w:rPr/>
        <w:t>拓展应用的研发，围绕</w:t>
      </w:r>
      <w:r>
        <w:rPr>
          <w:rFonts w:ascii="Times New Roman" w:hAnsi="Times New Roman" w:cs="Times New Roman" w:eastAsia="Times New Roman" w:hint="default"/>
        </w:rPr>
        <w:t>ETC</w:t>
      </w:r>
      <w:r>
        <w:rPr/>
        <w:t>前装、</w:t>
      </w:r>
      <w:r>
        <w:rPr>
          <w:rFonts w:ascii="Times New Roman" w:hAnsi="Times New Roman" w:cs="Times New Roman" w:eastAsia="Times New Roman" w:hint="default"/>
        </w:rPr>
        <w:t>ETC</w:t>
      </w:r>
      <w:r>
        <w:rPr/>
        <w:t>支付场景拓展、</w:t>
      </w:r>
      <w:r>
        <w:rPr>
          <w:rFonts w:ascii="Times New Roman" w:hAnsi="Times New Roman" w:cs="Times New Roman" w:eastAsia="Times New Roman" w:hint="default"/>
        </w:rPr>
        <w:t>ETC</w:t>
      </w:r>
      <w:r>
        <w:rPr/>
        <w:t>生态圈建设等领域，成功研发相关产品，并且已经在加 油站、路边停车等多个场景试点落地应用，成功打造了</w:t>
      </w:r>
      <w:r>
        <w:rPr>
          <w:rFonts w:ascii="Times New Roman" w:hAnsi="Times New Roman" w:cs="Times New Roman" w:eastAsia="Times New Roman" w:hint="default"/>
        </w:rPr>
        <w:t>ETC</w:t>
      </w:r>
      <w:r>
        <w:rPr/>
        <w:t>无感支付系统整体解决方案。</w:t>
      </w:r>
    </w:p>
    <w:p>
      <w:pPr>
        <w:pStyle w:val="BodyText"/>
        <w:spacing w:line="240" w:lineRule="auto" w:before="45"/>
        <w:ind w:left="513" w:right="967"/>
        <w:jc w:val="left"/>
      </w:pPr>
      <w:r>
        <w:rPr>
          <w:rFonts w:ascii="Times New Roman" w:hAnsi="Times New Roman" w:cs="Times New Roman" w:eastAsia="Times New Roman" w:hint="default"/>
        </w:rPr>
        <w:t>2019</w:t>
      </w:r>
      <w:r>
        <w:rPr/>
        <w:t>年的研发投入金额依然保持在较高水平。截至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日，公司拥有近</w:t>
      </w:r>
      <w:r>
        <w:rPr>
          <w:rFonts w:ascii="Times New Roman" w:hAnsi="Times New Roman" w:cs="Times New Roman" w:eastAsia="Times New Roman" w:hint="default"/>
        </w:rPr>
        <w:t>460</w:t>
      </w:r>
      <w:r>
        <w:rPr/>
        <w:t>项专利权，其中发明专利近</w:t>
      </w:r>
      <w:r>
        <w:rPr>
          <w:rFonts w:ascii="Times New Roman" w:hAnsi="Times New Roman" w:cs="Times New Roman" w:eastAsia="Times New Roman" w:hint="default"/>
        </w:rPr>
        <w:t>200</w:t>
      </w:r>
      <w:r>
        <w:rPr/>
        <w:t>项，</w:t>
      </w:r>
    </w:p>
    <w:p>
      <w:pPr>
        <w:pStyle w:val="BodyText"/>
        <w:spacing w:line="340" w:lineRule="auto" w:before="63"/>
        <w:ind w:right="5354"/>
        <w:jc w:val="left"/>
      </w:pPr>
      <w:r>
        <w:rPr>
          <w:rFonts w:ascii="Times New Roman" w:hAnsi="Times New Roman" w:cs="Times New Roman" w:eastAsia="Times New Roman" w:hint="default"/>
        </w:rPr>
        <w:t>2019</w:t>
      </w:r>
      <w:r>
        <w:rPr/>
        <w:t>年公司新增专利权</w:t>
      </w:r>
      <w:r>
        <w:rPr>
          <w:rFonts w:ascii="Times New Roman" w:hAnsi="Times New Roman" w:cs="Times New Roman" w:eastAsia="Times New Roman" w:hint="default"/>
        </w:rPr>
        <w:t>53</w:t>
      </w:r>
      <w:r>
        <w:rPr/>
        <w:t>项；软件著作权近</w:t>
      </w:r>
      <w:r>
        <w:rPr>
          <w:rFonts w:ascii="Times New Roman" w:hAnsi="Times New Roman" w:cs="Times New Roman" w:eastAsia="Times New Roman" w:hint="default"/>
        </w:rPr>
        <w:t>90</w:t>
      </w:r>
      <w:r>
        <w:rPr/>
        <w:t>项，</w:t>
      </w:r>
      <w:r>
        <w:rPr>
          <w:rFonts w:ascii="Times New Roman" w:hAnsi="Times New Roman" w:cs="Times New Roman" w:eastAsia="Times New Roman" w:hint="default"/>
        </w:rPr>
        <w:t>2019</w:t>
      </w:r>
      <w:r>
        <w:rPr/>
        <w:t>年新增</w:t>
      </w:r>
      <w:r>
        <w:rPr>
          <w:rFonts w:ascii="Times New Roman" w:hAnsi="Times New Roman" w:cs="Times New Roman" w:eastAsia="Times New Roman" w:hint="default"/>
        </w:rPr>
        <w:t>13</w:t>
      </w:r>
      <w:r>
        <w:rPr/>
        <w:t>项。 公司研发投入情况</w:t>
      </w:r>
    </w:p>
    <w:p>
      <w:pPr>
        <w:spacing w:line="240" w:lineRule="auto" w:before="7"/>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4.42%</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100,683,953.90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73,280,083.65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37.40%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-8.61%</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67"/>
        <w:jc w:val="left"/>
      </w:pPr>
      <w:r>
        <w:rPr/>
        <w:t>研发投入总额占营业收入的比重较上年发生显著变化的原因</w:t>
      </w:r>
    </w:p>
    <w:p>
      <w:pPr>
        <w:pStyle w:val="BodyText"/>
        <w:spacing w:line="240" w:lineRule="auto" w:before="117"/>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right="967" w:firstLine="432"/>
        <w:jc w:val="left"/>
      </w:pPr>
      <w:r>
        <w:rPr>
          <w:spacing w:val="-2"/>
        </w:rPr>
        <w:t>报告期内营业收入同比增长</w:t>
      </w:r>
      <w:r>
        <w:rPr>
          <w:rFonts w:ascii="Times New Roman" w:hAnsi="Times New Roman" w:cs="Times New Roman" w:eastAsia="Times New Roman" w:hint="default"/>
          <w:spacing w:val="-2"/>
        </w:rPr>
        <w:t>373.49%</w:t>
      </w:r>
      <w:r>
        <w:rPr>
          <w:spacing w:val="-2"/>
        </w:rPr>
        <w:t>，营业收入的增长幅度超过研发投入的增长幅度，导致研发投入占营业收入的比重</w:t>
      </w:r>
      <w:r>
        <w:rPr/>
        <w:t> 降低。</w:t>
      </w:r>
    </w:p>
    <w:p>
      <w:pPr>
        <w:pStyle w:val="BodyText"/>
        <w:spacing w:line="240" w:lineRule="auto" w:before="72"/>
        <w:ind w:right="967"/>
        <w:jc w:val="left"/>
      </w:pPr>
      <w:r>
        <w:rPr/>
        <w:t>研发投入资本化率大幅变动的原因及其合理性说明</w:t>
      </w:r>
    </w:p>
    <w:p>
      <w:pPr>
        <w:pStyle w:val="BodyText"/>
        <w:spacing w:line="240" w:lineRule="auto" w:before="117"/>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4"/>
        <w:spacing w:line="240" w:lineRule="auto"/>
        <w:ind w:right="967"/>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3,466,030,980.63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604,995,063.33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472.90%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2,093,997,035.12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633,069,208.47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230.77%</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1,372,033,945.51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-28,074,145.14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578,676,361.40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449,473,209.01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28.75%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532,365,013.88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622,910,534.81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-14.54%</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46,311,347.52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-173,437,325.80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58,821,004.04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7,068,000.00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35,340,000.00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51,753,004.04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-35,340,000.00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1,470,097,407.48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-236,835,922.25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967"/>
        <w:jc w:val="left"/>
      </w:pPr>
      <w:r>
        <w:rPr/>
        <w:t>相关数据同比发生重大变动的主要影响因素说明</w:t>
      </w:r>
    </w:p>
    <w:p>
      <w:pPr>
        <w:pStyle w:val="BodyText"/>
        <w:spacing w:line="340" w:lineRule="auto" w:before="115"/>
        <w:ind w:right="40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宋体" w:hAnsi="宋体" w:cs="宋体" w:eastAsia="宋体" w:hint="default"/>
        </w:rPr>
        <w:t>1</w:t>
      </w:r>
      <w:r>
        <w:rPr/>
        <w:t>、经营活动现金流入同比增长</w:t>
      </w:r>
      <w:r>
        <w:rPr>
          <w:rFonts w:ascii="宋体" w:hAnsi="宋体" w:cs="宋体" w:eastAsia="宋体" w:hint="default"/>
        </w:rPr>
        <w:t>472.90%</w:t>
      </w:r>
      <w:r>
        <w:rPr/>
        <w:t>，主要系本报告期销售回款额同比增加所致；</w:t>
      </w:r>
    </w:p>
    <w:p>
      <w:pPr>
        <w:pStyle w:val="BodyText"/>
        <w:spacing w:line="240" w:lineRule="auto" w:before="39"/>
        <w:ind w:right="967"/>
        <w:jc w:val="left"/>
      </w:pPr>
      <w:r>
        <w:rPr>
          <w:rFonts w:ascii="宋体" w:hAnsi="宋体" w:cs="宋体" w:eastAsia="宋体" w:hint="default"/>
        </w:rPr>
        <w:t>2</w:t>
      </w:r>
      <w:r>
        <w:rPr/>
        <w:t>、经营活动现金流出同比增长</w:t>
      </w:r>
      <w:r>
        <w:rPr>
          <w:rFonts w:ascii="宋体" w:hAnsi="宋体" w:cs="宋体" w:eastAsia="宋体" w:hint="default"/>
        </w:rPr>
        <w:t>230.77%</w:t>
      </w:r>
      <w:r>
        <w:rPr/>
        <w:t>，主要系本报告期采购付款额同比增加所致；</w:t>
      </w:r>
    </w:p>
    <w:p>
      <w:pPr>
        <w:pStyle w:val="BodyText"/>
        <w:spacing w:line="240" w:lineRule="auto" w:before="117"/>
        <w:ind w:right="967"/>
        <w:jc w:val="left"/>
      </w:pPr>
      <w:r>
        <w:rPr>
          <w:rFonts w:ascii="宋体" w:hAnsi="宋体" w:cs="宋体" w:eastAsia="宋体" w:hint="default"/>
        </w:rPr>
        <w:t>3</w:t>
      </w:r>
      <w:r>
        <w:rPr/>
        <w:t>、经营活动产生的现金流量净额同比增加</w:t>
      </w:r>
      <w:r>
        <w:rPr>
          <w:rFonts w:ascii="宋体" w:hAnsi="宋体" w:cs="宋体" w:eastAsia="宋体" w:hint="default"/>
        </w:rPr>
        <w:t>140,010.81</w:t>
      </w:r>
      <w:r>
        <w:rPr/>
        <w:t>万元，主要系本报告期销售回款额同比增加所致；</w:t>
      </w:r>
    </w:p>
    <w:p>
      <w:pPr>
        <w:pStyle w:val="BodyText"/>
        <w:spacing w:line="240" w:lineRule="auto" w:before="117"/>
        <w:ind w:right="967"/>
        <w:jc w:val="left"/>
      </w:pPr>
      <w:r>
        <w:rPr>
          <w:rFonts w:ascii="宋体" w:hAnsi="宋体" w:cs="宋体" w:eastAsia="宋体" w:hint="default"/>
        </w:rPr>
        <w:t>4</w:t>
      </w:r>
      <w:r>
        <w:rPr/>
        <w:t>、投资活动产生的现金流量净额同比增加</w:t>
      </w:r>
      <w:r>
        <w:rPr>
          <w:rFonts w:ascii="宋体" w:hAnsi="宋体" w:cs="宋体" w:eastAsia="宋体" w:hint="default"/>
        </w:rPr>
        <w:t>21,974.87</w:t>
      </w:r>
      <w:r>
        <w:rPr/>
        <w:t>万元，主要系本报告期收到到期理财产品的现金同比增加所致；</w:t>
      </w:r>
    </w:p>
    <w:p>
      <w:pPr>
        <w:pStyle w:val="BodyText"/>
        <w:spacing w:line="240" w:lineRule="auto" w:before="115"/>
        <w:ind w:right="967"/>
        <w:jc w:val="left"/>
      </w:pPr>
      <w:r>
        <w:rPr>
          <w:rFonts w:ascii="Times New Roman" w:hAnsi="Times New Roman" w:cs="Times New Roman" w:eastAsia="Times New Roman" w:hint="default"/>
        </w:rPr>
        <w:t>5</w:t>
      </w:r>
      <w:r>
        <w:rPr/>
        <w:t>、筹资活动现金流入同比增加</w:t>
      </w:r>
      <w:r>
        <w:rPr>
          <w:rFonts w:ascii="Times New Roman" w:hAnsi="Times New Roman" w:cs="Times New Roman" w:eastAsia="Times New Roman" w:hint="default"/>
        </w:rPr>
        <w:t>5,882.10</w:t>
      </w:r>
      <w:r>
        <w:rPr/>
        <w:t>万元，主要系本报告期收到发行限制性股票的资金所致；</w:t>
      </w:r>
    </w:p>
    <w:p>
      <w:pPr>
        <w:pStyle w:val="BodyText"/>
        <w:spacing w:line="240" w:lineRule="auto" w:before="103"/>
        <w:ind w:right="967"/>
        <w:jc w:val="left"/>
      </w:pPr>
      <w:r>
        <w:rPr>
          <w:rFonts w:ascii="Times New Roman" w:hAnsi="Times New Roman" w:cs="Times New Roman" w:eastAsia="Times New Roman" w:hint="default"/>
        </w:rPr>
        <w:t>6</w:t>
      </w:r>
      <w:r>
        <w:rPr/>
        <w:t>、筹资活动现金流出同比减少</w:t>
      </w:r>
      <w:r>
        <w:rPr>
          <w:rFonts w:ascii="Times New Roman" w:hAnsi="Times New Roman" w:cs="Times New Roman" w:eastAsia="Times New Roman" w:hint="default"/>
        </w:rPr>
        <w:t>80.00%</w:t>
      </w:r>
      <w:r>
        <w:rPr/>
        <w:t>，主要系本报告期分配现金股利同比减少所致；</w:t>
      </w:r>
    </w:p>
    <w:p>
      <w:pPr>
        <w:pStyle w:val="BodyText"/>
        <w:spacing w:line="240" w:lineRule="auto" w:before="103"/>
        <w:ind w:right="967"/>
        <w:jc w:val="left"/>
      </w:pPr>
      <w:r>
        <w:rPr>
          <w:rFonts w:ascii="Times New Roman" w:hAnsi="Times New Roman" w:cs="Times New Roman" w:eastAsia="Times New Roman" w:hint="default"/>
        </w:rPr>
        <w:t>7</w:t>
      </w:r>
      <w:r>
        <w:rPr/>
        <w:t>、筹资活动产生的现金流量净额同比增加</w:t>
      </w:r>
      <w:r>
        <w:rPr>
          <w:rFonts w:ascii="Times New Roman" w:hAnsi="Times New Roman" w:cs="Times New Roman" w:eastAsia="Times New Roman" w:hint="default"/>
        </w:rPr>
        <w:t>8,709.30</w:t>
      </w:r>
      <w:r>
        <w:rPr/>
        <w:t>万元，主要系本报告期收到发行限制性股票的资金所致；</w:t>
      </w:r>
    </w:p>
    <w:p>
      <w:pPr>
        <w:pStyle w:val="BodyText"/>
        <w:spacing w:line="340" w:lineRule="auto" w:before="101"/>
        <w:ind w:right="2834"/>
        <w:jc w:val="left"/>
      </w:pPr>
      <w:r>
        <w:rPr>
          <w:rFonts w:ascii="Times New Roman" w:hAnsi="Times New Roman" w:cs="Times New Roman" w:eastAsia="Times New Roman" w:hint="default"/>
        </w:rPr>
        <w:t>8</w:t>
      </w:r>
      <w:r>
        <w:rPr/>
        <w:t>、现金及现金等价物净增加额同比增加</w:t>
      </w:r>
      <w:r>
        <w:rPr>
          <w:rFonts w:ascii="Times New Roman" w:hAnsi="Times New Roman" w:cs="Times New Roman" w:eastAsia="Times New Roman" w:hint="default"/>
        </w:rPr>
        <w:t>170,693.33</w:t>
      </w:r>
      <w:r>
        <w:rPr/>
        <w:t>万元，主要系本报告期销售回款额同比增加所致。 报告期内公司经营活动产生的现金净流量与本年度净利润存在重大差异的原因说明</w:t>
      </w:r>
    </w:p>
    <w:p>
      <w:pPr>
        <w:pStyle w:val="BodyText"/>
        <w:spacing w:line="240" w:lineRule="auto" w:before="41"/>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19" w:lineRule="auto" w:before="101"/>
        <w:ind w:right="1128" w:firstLine="360"/>
        <w:jc w:val="left"/>
      </w:pPr>
      <w:r>
        <w:rPr/>
        <w:t>报告期内，公司经营活动产生的现金流量净额为</w:t>
      </w:r>
      <w:r>
        <w:rPr>
          <w:spacing w:val="-46"/>
        </w:rPr>
        <w:t> </w:t>
      </w:r>
      <w:r>
        <w:rPr>
          <w:rFonts w:ascii="宋体" w:hAnsi="宋体" w:cs="宋体" w:eastAsia="宋体" w:hint="default"/>
        </w:rPr>
        <w:t>137,203.39</w:t>
      </w:r>
      <w:r>
        <w:rPr>
          <w:rFonts w:ascii="宋体" w:hAnsi="宋体" w:cs="宋体" w:eastAsia="宋体" w:hint="default"/>
          <w:spacing w:val="-47"/>
        </w:rPr>
        <w:t> </w:t>
      </w:r>
      <w:r>
        <w:rPr/>
        <w:t>万元，本年净利润为</w:t>
      </w:r>
      <w:r>
        <w:rPr>
          <w:spacing w:val="-46"/>
        </w:rPr>
        <w:t> </w:t>
      </w:r>
      <w:r>
        <w:rPr>
          <w:rFonts w:ascii="宋体" w:hAnsi="宋体" w:cs="宋体" w:eastAsia="宋体" w:hint="default"/>
        </w:rPr>
        <w:t>87,268.23</w:t>
      </w:r>
      <w:r>
        <w:rPr>
          <w:rFonts w:ascii="宋体" w:hAnsi="宋体" w:cs="宋体" w:eastAsia="宋体" w:hint="default"/>
          <w:spacing w:val="-45"/>
        </w:rPr>
        <w:t> </w:t>
      </w:r>
      <w:r>
        <w:rPr/>
        <w:t>万元，经营活动产生的现 金流量净额与净利润存在差异的原因是：</w:t>
      </w:r>
    </w:p>
    <w:p>
      <w:pPr>
        <w:pStyle w:val="BodyText"/>
        <w:spacing w:line="240" w:lineRule="auto" w:before="58"/>
        <w:ind w:left="513" w:right="967"/>
        <w:jc w:val="left"/>
      </w:pPr>
      <w:r>
        <w:rPr/>
        <w:t>（</w:t>
      </w:r>
      <w:r>
        <w:rPr>
          <w:rFonts w:ascii="宋体" w:hAnsi="宋体" w:cs="宋体" w:eastAsia="宋体" w:hint="default"/>
        </w:rPr>
        <w:t>1</w:t>
      </w:r>
      <w:r>
        <w:rPr/>
        <w:t>）报告期存货增加</w:t>
      </w:r>
      <w:r>
        <w:rPr>
          <w:spacing w:val="-48"/>
        </w:rPr>
        <w:t> </w:t>
      </w:r>
      <w:r>
        <w:rPr>
          <w:rFonts w:ascii="宋体" w:hAnsi="宋体" w:cs="宋体" w:eastAsia="宋体" w:hint="default"/>
        </w:rPr>
        <w:t>51,784.29</w:t>
      </w:r>
      <w:r>
        <w:rPr>
          <w:rFonts w:ascii="宋体" w:hAnsi="宋体" w:cs="宋体" w:eastAsia="宋体" w:hint="default"/>
          <w:spacing w:val="-45"/>
        </w:rPr>
        <w:t> </w:t>
      </w:r>
      <w:r>
        <w:rPr/>
        <w:t>万元，经营性应收项目增加</w:t>
      </w:r>
      <w:r>
        <w:rPr>
          <w:spacing w:val="-50"/>
        </w:rPr>
        <w:t> </w:t>
      </w:r>
      <w:r>
        <w:rPr>
          <w:rFonts w:ascii="宋体" w:hAnsi="宋体" w:cs="宋体" w:eastAsia="宋体" w:hint="default"/>
        </w:rPr>
        <w:t>60,850.76</w:t>
      </w:r>
      <w:r>
        <w:rPr>
          <w:rFonts w:ascii="宋体" w:hAnsi="宋体" w:cs="宋体" w:eastAsia="宋体" w:hint="default"/>
          <w:spacing w:val="-46"/>
        </w:rPr>
        <w:t> </w:t>
      </w:r>
      <w:r>
        <w:rPr/>
        <w:t>万元，经营性应付项目增加</w:t>
      </w:r>
      <w:r>
        <w:rPr>
          <w:spacing w:val="-47"/>
        </w:rPr>
        <w:t> </w:t>
      </w:r>
      <w:r>
        <w:rPr>
          <w:rFonts w:ascii="宋体" w:hAnsi="宋体" w:cs="宋体" w:eastAsia="宋体" w:hint="default"/>
        </w:rPr>
        <w:t>155,912.01</w:t>
      </w:r>
      <w:r>
        <w:rPr>
          <w:rFonts w:ascii="宋体" w:hAnsi="宋体" w:cs="宋体" w:eastAsia="宋体" w:hint="default"/>
          <w:spacing w:val="-46"/>
        </w:rPr>
        <w:t> </w:t>
      </w:r>
      <w:r>
        <w:rPr/>
        <w:t>万元；</w:t>
      </w:r>
    </w:p>
    <w:p>
      <w:pPr>
        <w:pStyle w:val="BodyText"/>
        <w:spacing w:line="240" w:lineRule="auto" w:before="117"/>
        <w:ind w:left="513" w:right="967"/>
        <w:jc w:val="left"/>
      </w:pPr>
      <w:r>
        <w:rPr/>
        <w:t>（</w:t>
      </w:r>
      <w:r>
        <w:rPr>
          <w:rFonts w:ascii="宋体" w:hAnsi="宋体" w:cs="宋体" w:eastAsia="宋体" w:hint="default"/>
        </w:rPr>
        <w:t>2</w:t>
      </w:r>
      <w:r>
        <w:rPr/>
        <w:t>）实现投资收益</w:t>
      </w:r>
      <w:r>
        <w:rPr>
          <w:spacing w:val="-48"/>
        </w:rPr>
        <w:t> </w:t>
      </w:r>
      <w:r>
        <w:rPr>
          <w:rFonts w:ascii="宋体" w:hAnsi="宋体" w:cs="宋体" w:eastAsia="宋体" w:hint="default"/>
        </w:rPr>
        <w:t>989.82</w:t>
      </w:r>
      <w:r>
        <w:rPr>
          <w:rFonts w:ascii="宋体" w:hAnsi="宋体" w:cs="宋体" w:eastAsia="宋体" w:hint="default"/>
          <w:spacing w:val="-47"/>
        </w:rPr>
        <w:t> </w:t>
      </w:r>
      <w:r>
        <w:rPr/>
        <w:t>万元；</w:t>
      </w:r>
    </w:p>
    <w:p>
      <w:pPr>
        <w:pStyle w:val="BodyText"/>
        <w:spacing w:line="240" w:lineRule="auto" w:before="115"/>
        <w:ind w:left="513" w:right="967"/>
        <w:jc w:val="left"/>
      </w:pPr>
      <w:r>
        <w:rPr/>
        <w:t>（</w:t>
      </w:r>
      <w:r>
        <w:rPr>
          <w:rFonts w:ascii="宋体" w:hAnsi="宋体" w:cs="宋体" w:eastAsia="宋体" w:hint="default"/>
        </w:rPr>
        <w:t>3</w:t>
      </w:r>
      <w:r>
        <w:rPr/>
        <w:t>）限制性股票激励费用</w:t>
      </w:r>
      <w:r>
        <w:rPr>
          <w:spacing w:val="-47"/>
        </w:rPr>
        <w:t> </w:t>
      </w:r>
      <w:r>
        <w:rPr>
          <w:rFonts w:ascii="宋体" w:hAnsi="宋体" w:cs="宋体" w:eastAsia="宋体" w:hint="default"/>
        </w:rPr>
        <w:t>2,550.80</w:t>
      </w:r>
      <w:r>
        <w:rPr>
          <w:rFonts w:ascii="宋体" w:hAnsi="宋体" w:cs="宋体" w:eastAsia="宋体" w:hint="default"/>
          <w:spacing w:val="-45"/>
        </w:rPr>
        <w:t> </w:t>
      </w:r>
      <w:r>
        <w:rPr/>
        <w:t>万元；</w:t>
      </w:r>
    </w:p>
    <w:p>
      <w:pPr>
        <w:pStyle w:val="BodyText"/>
        <w:spacing w:line="316" w:lineRule="auto" w:before="117"/>
        <w:ind w:right="1040" w:firstLine="360"/>
        <w:jc w:val="left"/>
      </w:pPr>
      <w:r>
        <w:rPr>
          <w:spacing w:val="-2"/>
        </w:rPr>
        <w:t>（</w:t>
      </w:r>
      <w:r>
        <w:rPr>
          <w:rFonts w:ascii="宋体" w:hAnsi="宋体" w:cs="宋体" w:eastAsia="宋体" w:hint="default"/>
          <w:spacing w:val="-2"/>
        </w:rPr>
        <w:t>4</w:t>
      </w:r>
      <w:r>
        <w:rPr>
          <w:spacing w:val="-2"/>
        </w:rPr>
        <w:t>）其他不影响经营活动现金流量但影响净利润的项目合计金额</w:t>
      </w:r>
      <w:r>
        <w:rPr>
          <w:rFonts w:ascii="宋体" w:hAnsi="宋体" w:cs="宋体" w:eastAsia="宋体" w:hint="default"/>
          <w:spacing w:val="-2"/>
        </w:rPr>
        <w:t>5,097.23</w:t>
      </w:r>
      <w:r>
        <w:rPr>
          <w:spacing w:val="-2"/>
        </w:rPr>
        <w:t>万元（主要包括资产减值准备</w:t>
      </w:r>
      <w:r>
        <w:rPr>
          <w:rFonts w:ascii="宋体" w:hAnsi="宋体" w:cs="宋体" w:eastAsia="宋体" w:hint="default"/>
          <w:spacing w:val="-2"/>
        </w:rPr>
        <w:t>3,938.98</w:t>
      </w:r>
      <w:r>
        <w:rPr>
          <w:spacing w:val="-2"/>
        </w:rPr>
        <w:t>万元，</w:t>
      </w:r>
      <w:r>
        <w:rPr/>
        <w:t> 长期资产的折旧、摊销</w:t>
      </w:r>
      <w:r>
        <w:rPr>
          <w:rFonts w:ascii="宋体" w:hAnsi="宋体" w:cs="宋体" w:eastAsia="宋体" w:hint="default"/>
        </w:rPr>
        <w:t>2,022.93</w:t>
      </w:r>
      <w:r>
        <w:rPr/>
        <w:t>万元、其他影响因素</w:t>
      </w:r>
      <w:r>
        <w:rPr>
          <w:rFonts w:ascii="宋体" w:hAnsi="宋体" w:cs="宋体" w:eastAsia="宋体" w:hint="default"/>
        </w:rPr>
        <w:t>-864.68</w:t>
      </w:r>
      <w:r>
        <w:rPr/>
        <w:t>万元。）</w:t>
      </w:r>
    </w:p>
    <w:p>
      <w:pPr>
        <w:spacing w:line="240" w:lineRule="auto" w:before="0"/>
        <w:rPr>
          <w:rFonts w:ascii="宋体" w:hAnsi="宋体" w:cs="宋体" w:eastAsia="宋体" w:hint="default"/>
          <w:sz w:val="15"/>
          <w:szCs w:val="15"/>
        </w:rPr>
      </w:pPr>
    </w:p>
    <w:p>
      <w:pPr>
        <w:pStyle w:val="Heading2"/>
        <w:spacing w:line="240" w:lineRule="auto"/>
        <w:ind w:right="967"/>
        <w:jc w:val="left"/>
        <w:rPr>
          <w:b w:val="0"/>
          <w:bCs w:val="0"/>
        </w:rPr>
      </w:pPr>
      <w:r>
        <w:rPr/>
        <w:t>三、非主营业务分析</w:t>
      </w:r>
      <w:r>
        <w:rPr>
          <w:b w:val="0"/>
          <w:bCs w:val="0"/>
        </w:rPr>
      </w:r>
    </w:p>
    <w:p>
      <w:pPr>
        <w:spacing w:line="240" w:lineRule="auto" w:before="11"/>
        <w:rPr>
          <w:rFonts w:ascii="Microsoft JhengHei" w:hAnsi="Microsoft JhengHei" w:cs="Microsoft JhengHei" w:eastAsia="Microsoft JhengHei" w:hint="default"/>
          <w:b/>
          <w:bCs/>
          <w:sz w:val="15"/>
          <w:szCs w:val="15"/>
        </w:rPr>
      </w:pPr>
    </w:p>
    <w:p>
      <w:pPr>
        <w:pStyle w:val="BodyText"/>
        <w:spacing w:line="240" w:lineRule="auto" w:before="44"/>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0" w:right="1131"/>
        <w:jc w:val="right"/>
      </w:pPr>
      <w:r>
        <w:rPr/>
        <w:t>单位：元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24"/>
        <w:gridCol w:w="1916"/>
        <w:gridCol w:w="1622"/>
        <w:gridCol w:w="2254"/>
        <w:gridCol w:w="2254"/>
      </w:tblGrid>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3"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027"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9,898,169.79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0.97%</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8"/>
              <w:jc w:val="left"/>
              <w:rPr>
                <w:rFonts w:ascii="宋体" w:hAnsi="宋体" w:cs="宋体" w:eastAsia="宋体" w:hint="default"/>
                <w:sz w:val="18"/>
                <w:szCs w:val="18"/>
              </w:rPr>
            </w:pPr>
            <w:r>
              <w:rPr>
                <w:rFonts w:ascii="宋体" w:hAnsi="宋体" w:cs="宋体" w:eastAsia="宋体" w:hint="default"/>
                <w:sz w:val="18"/>
                <w:szCs w:val="18"/>
              </w:rPr>
              <w:t>主要系公司购买理财产品以 及股权投资产生的投资收 益。</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8"/>
              <w:jc w:val="both"/>
              <w:rPr>
                <w:rFonts w:ascii="宋体" w:hAnsi="宋体" w:cs="宋体" w:eastAsia="宋体" w:hint="default"/>
                <w:sz w:val="18"/>
                <w:szCs w:val="18"/>
              </w:rPr>
            </w:pPr>
            <w:r>
              <w:rPr>
                <w:rFonts w:ascii="宋体" w:hAnsi="宋体" w:cs="宋体" w:eastAsia="宋体" w:hint="default"/>
                <w:sz w:val="18"/>
                <w:szCs w:val="18"/>
              </w:rPr>
              <w:t>购买理财产品产生的投资收 益不可持续，股权投资产生 的投资收益可持续。</w:t>
            </w:r>
          </w:p>
        </w:tc>
      </w:tr>
      <w:tr>
        <w:trPr>
          <w:trHeight w:val="71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-9,099,990.75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-0.89%</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8"/>
              <w:jc w:val="left"/>
              <w:rPr>
                <w:rFonts w:ascii="宋体" w:hAnsi="宋体" w:cs="宋体" w:eastAsia="宋体" w:hint="default"/>
                <w:sz w:val="18"/>
                <w:szCs w:val="18"/>
              </w:rPr>
            </w:pPr>
            <w:r>
              <w:rPr>
                <w:rFonts w:ascii="宋体" w:hAnsi="宋体" w:cs="宋体" w:eastAsia="宋体" w:hint="default"/>
                <w:sz w:val="18"/>
                <w:szCs w:val="18"/>
              </w:rPr>
              <w:t>主要系公司计提的存货跌价 准备。</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1,350,719.69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0.13%</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8"/>
              <w:jc w:val="left"/>
              <w:rPr>
                <w:rFonts w:ascii="宋体" w:hAnsi="宋体" w:cs="宋体" w:eastAsia="宋体" w:hint="default"/>
                <w:sz w:val="18"/>
                <w:szCs w:val="18"/>
              </w:rPr>
            </w:pPr>
            <w:r>
              <w:rPr>
                <w:rFonts w:ascii="宋体" w:hAnsi="宋体" w:cs="宋体" w:eastAsia="宋体" w:hint="default"/>
                <w:sz w:val="18"/>
                <w:szCs w:val="18"/>
              </w:rPr>
              <w:t>主要系供应商赔偿款以及客 户违约金。</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2,896,408.28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0.28%</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center"/>
              <w:rPr>
                <w:rFonts w:ascii="宋体" w:hAnsi="宋体" w:cs="宋体" w:eastAsia="宋体" w:hint="default"/>
                <w:sz w:val="18"/>
                <w:szCs w:val="18"/>
              </w:rPr>
            </w:pPr>
            <w:r>
              <w:rPr>
                <w:rFonts w:ascii="宋体" w:hAnsi="宋体" w:cs="宋体" w:eastAsia="宋体" w:hint="default"/>
                <w:sz w:val="18"/>
                <w:szCs w:val="18"/>
              </w:rPr>
              <w:t>主要系公司承担的赔偿款。</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5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60,418,517.87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5.93%</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58"/>
              <w:jc w:val="both"/>
              <w:rPr>
                <w:rFonts w:ascii="宋体" w:hAnsi="宋体" w:cs="宋体" w:eastAsia="宋体" w:hint="default"/>
                <w:sz w:val="18"/>
                <w:szCs w:val="18"/>
              </w:rPr>
            </w:pPr>
            <w:r>
              <w:rPr>
                <w:rFonts w:ascii="宋体" w:hAnsi="宋体" w:cs="宋体" w:eastAsia="宋体" w:hint="default"/>
                <w:sz w:val="18"/>
                <w:szCs w:val="18"/>
              </w:rPr>
              <w:t>主要系增值税即征即退收入 和与日常经营活动相关的政 府补助。</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3" w:right="238"/>
              <w:jc w:val="left"/>
              <w:rPr>
                <w:rFonts w:ascii="宋体" w:hAnsi="宋体" w:cs="宋体" w:eastAsia="宋体" w:hint="default"/>
                <w:sz w:val="18"/>
                <w:szCs w:val="18"/>
              </w:rPr>
            </w:pPr>
            <w:r>
              <w:rPr>
                <w:rFonts w:ascii="宋体" w:hAnsi="宋体" w:cs="宋体" w:eastAsia="宋体" w:hint="default"/>
                <w:sz w:val="18"/>
                <w:szCs w:val="18"/>
              </w:rPr>
              <w:t>增值税即征即退收入可持 续，其他不可持续。</w:t>
            </w:r>
          </w:p>
        </w:tc>
      </w:tr>
      <w:tr>
        <w:trPr>
          <w:trHeight w:val="715" w:hRule="exact"/>
        </w:trPr>
        <w:tc>
          <w:tcPr>
            <w:tcW w:w="15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48"/>
              <w:jc w:val="left"/>
              <w:rPr>
                <w:rFonts w:ascii="宋体" w:hAnsi="宋体" w:cs="宋体" w:eastAsia="宋体" w:hint="default"/>
                <w:sz w:val="18"/>
                <w:szCs w:val="18"/>
              </w:rPr>
            </w:pPr>
            <w:r>
              <w:rPr>
                <w:rFonts w:ascii="宋体" w:hAnsi="宋体" w:cs="宋体" w:eastAsia="宋体" w:hint="default"/>
                <w:sz w:val="18"/>
                <w:szCs w:val="18"/>
              </w:rPr>
              <w:t>信用减值损失（损 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-30,289,819.43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-2.97%</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8"/>
              <w:jc w:val="left"/>
              <w:rPr>
                <w:rFonts w:ascii="宋体" w:hAnsi="宋体" w:cs="宋体" w:eastAsia="宋体" w:hint="default"/>
                <w:sz w:val="18"/>
                <w:szCs w:val="18"/>
              </w:rPr>
            </w:pPr>
            <w:r>
              <w:rPr>
                <w:rFonts w:ascii="宋体" w:hAnsi="宋体" w:cs="宋体" w:eastAsia="宋体" w:hint="default"/>
                <w:sz w:val="18"/>
                <w:szCs w:val="18"/>
              </w:rPr>
              <w:t>主要系公司计提的坏账准 备。</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
        <w:rPr>
          <w:rFonts w:ascii="宋体" w:hAnsi="宋体" w:cs="宋体" w:eastAsia="宋体" w:hint="default"/>
          <w:sz w:val="18"/>
          <w:szCs w:val="18"/>
        </w:rPr>
      </w:pPr>
    </w:p>
    <w:p>
      <w:pPr>
        <w:pStyle w:val="Heading2"/>
        <w:spacing w:line="367" w:lineRule="exact"/>
        <w:ind w:right="967"/>
        <w:jc w:val="left"/>
        <w:rPr>
          <w:b w:val="0"/>
          <w:bCs w:val="0"/>
        </w:rPr>
      </w:pPr>
      <w:r>
        <w:rPr/>
        <w:t>四、资产及负债状况分析</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4"/>
        <w:spacing w:line="240" w:lineRule="auto"/>
        <w:ind w:right="967"/>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980" w:right="0"/>
        </w:sectPr>
      </w:pPr>
    </w:p>
    <w:p>
      <w:pPr>
        <w:pStyle w:val="BodyText"/>
        <w:spacing w:line="240" w:lineRule="auto" w:before="44"/>
        <w:ind w:right="-17"/>
        <w:jc w:val="left"/>
      </w:pPr>
      <w:r>
        <w:rPr/>
        <w:t>公司</w:t>
      </w:r>
      <w:r>
        <w:rPr>
          <w:spacing w:val="-46"/>
        </w:rPr>
        <w:t> </w:t>
      </w:r>
      <w:r>
        <w:rPr>
          <w:rFonts w:ascii="Times New Roman" w:hAnsi="Times New Roman" w:cs="Times New Roman" w:eastAsia="Times New Roman" w:hint="default"/>
        </w:rPr>
        <w:t>2019 </w:t>
      </w:r>
      <w:r>
        <w:rPr/>
        <w:t>年起首次执行新金融工具准则、新收入准则或新租赁准则且调整执行当年年初财务报表相关项目</w:t>
      </w:r>
    </w:p>
    <w:p>
      <w:pPr>
        <w:pStyle w:val="BodyText"/>
        <w:spacing w:line="240" w:lineRule="auto" w:before="101"/>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8525" w:space="395"/>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4"/>
        <w:gridCol w:w="1195"/>
        <w:gridCol w:w="1064"/>
        <w:gridCol w:w="797"/>
        <w:gridCol w:w="2919"/>
      </w:tblGrid>
      <w:tr>
        <w:trPr>
          <w:trHeight w:val="38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72" w:hRule="exact"/>
        </w:trPr>
        <w:tc>
          <w:tcPr>
            <w:tcW w:w="1368" w:type="dxa"/>
            <w:vMerge/>
            <w:tcBorders>
              <w:left w:val="single" w:sz="4" w:space="0" w:color="000000"/>
              <w:right w:val="single" w:sz="4" w:space="0" w:color="000000"/>
            </w:tcBorders>
            <w:shd w:val="clear" w:color="auto" w:fill="D2D2D2"/>
          </w:tcPr>
          <w:p>
            <w:pP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tcBorders>
              <w:left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1,880,152,293.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47.76%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407,032,250.96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18.34%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主要系本报告期经营活动现金净流 入所致。</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752,426,473.6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19.11%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302,533,158.64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623,034,107.1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15.83%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114,291,165.04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18,474,727.96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2,782,950.40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0.27%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197,818,484.9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203,899,862.05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99,041,175.08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56,775,871.54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1091"/>
        <w:gridCol w:w="1092"/>
        <w:gridCol w:w="793"/>
        <w:gridCol w:w="1135"/>
        <w:gridCol w:w="852"/>
        <w:gridCol w:w="1275"/>
        <w:gridCol w:w="1402"/>
        <w:gridCol w:w="725"/>
        <w:gridCol w:w="1205"/>
      </w:tblGrid>
      <w:tr>
        <w:trPr>
          <w:trHeight w:val="1337" w:hRule="exact"/>
        </w:trPr>
        <w:tc>
          <w:tcPr>
            <w:tcW w:w="10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5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122" w:right="118"/>
              <w:jc w:val="center"/>
              <w:rPr>
                <w:rFonts w:ascii="宋体" w:hAnsi="宋体" w:cs="宋体" w:eastAsia="宋体" w:hint="default"/>
                <w:sz w:val="18"/>
                <w:szCs w:val="18"/>
              </w:rPr>
            </w:pPr>
            <w:r>
              <w:rPr>
                <w:rFonts w:ascii="宋体" w:hAnsi="宋体" w:cs="宋体" w:eastAsia="宋体" w:hint="default"/>
                <w:sz w:val="18"/>
                <w:szCs w:val="18"/>
              </w:rPr>
              <w:t>本期公 允价值 变动损 益</w:t>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112" w:right="110"/>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8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151" w:right="149"/>
              <w:jc w:val="center"/>
              <w:rPr>
                <w:rFonts w:ascii="宋体" w:hAnsi="宋体" w:cs="宋体" w:eastAsia="宋体" w:hint="default"/>
                <w:sz w:val="18"/>
                <w:szCs w:val="18"/>
              </w:rPr>
            </w:pPr>
            <w:r>
              <w:rPr>
                <w:rFonts w:ascii="宋体" w:hAnsi="宋体" w:cs="宋体" w:eastAsia="宋体" w:hint="default"/>
                <w:sz w:val="18"/>
                <w:szCs w:val="18"/>
              </w:rPr>
              <w:t>本期计 提的减 值</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542" w:right="180" w:hanging="361"/>
              <w:jc w:val="left"/>
              <w:rPr>
                <w:rFonts w:ascii="宋体" w:hAnsi="宋体" w:cs="宋体" w:eastAsia="宋体" w:hint="default"/>
                <w:sz w:val="18"/>
                <w:szCs w:val="18"/>
              </w:rPr>
            </w:pPr>
            <w:r>
              <w:rPr>
                <w:rFonts w:ascii="宋体" w:hAnsi="宋体" w:cs="宋体" w:eastAsia="宋体" w:hint="default"/>
                <w:sz w:val="18"/>
                <w:szCs w:val="18"/>
              </w:rPr>
              <w:t>本期购买金 额</w:t>
            </w:r>
          </w:p>
        </w:tc>
        <w:tc>
          <w:tcPr>
            <w:tcW w:w="14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7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180" w:right="173"/>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2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478" w:type="dxa"/>
            <w:gridSpan w:val="8"/>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9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2" w:lineRule="auto" w:before="49"/>
              <w:ind w:left="10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 </w:t>
            </w:r>
            <w:r>
              <w:rPr>
                <w:rFonts w:ascii="宋体" w:hAnsi="宋体" w:cs="宋体" w:eastAsia="宋体" w:hint="default"/>
                <w:spacing w:val="-5"/>
                <w:sz w:val="18"/>
                <w:szCs w:val="18"/>
              </w:rPr>
              <w:t>融资产（不</w:t>
            </w:r>
            <w:r>
              <w:rPr>
                <w:rFonts w:ascii="宋体" w:hAnsi="宋体" w:cs="宋体" w:eastAsia="宋体" w:hint="default"/>
                <w:sz w:val="18"/>
                <w:szCs w:val="18"/>
              </w:rPr>
              <w:t> 含衍生金 融资产）</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45,000,000.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135,000,000.0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180,000,000.00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109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97" w:lineRule="auto" w:before="51"/>
              <w:ind w:left="102" w:right="12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 工具投资</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1,500,000.0</w:t>
            </w:r>
          </w:p>
          <w:p>
            <w:pPr>
              <w:pStyle w:val="TableParagraph"/>
              <w:spacing w:line="240" w:lineRule="auto" w:before="103"/>
              <w:ind w:right="102"/>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43,623,200.00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45,123,200.0</w:t>
            </w:r>
          </w:p>
          <w:p>
            <w:pPr>
              <w:pStyle w:val="TableParagraph"/>
              <w:spacing w:line="240" w:lineRule="auto" w:before="103"/>
              <w:ind w:right="102"/>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09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49"/>
              <w:ind w:left="102" w:right="257"/>
              <w:jc w:val="left"/>
              <w:rPr>
                <w:rFonts w:ascii="宋体" w:hAnsi="宋体" w:cs="宋体" w:eastAsia="宋体" w:hint="default"/>
                <w:sz w:val="18"/>
                <w:szCs w:val="18"/>
              </w:rPr>
            </w:pPr>
            <w:r>
              <w:rPr>
                <w:rFonts w:ascii="宋体" w:hAnsi="宋体" w:cs="宋体" w:eastAsia="宋体" w:hint="default"/>
                <w:sz w:val="18"/>
                <w:szCs w:val="18"/>
              </w:rPr>
              <w:t>金融资产 小计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46,500,000.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178,623,200.0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180,000,000.00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45,123,200.0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109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4" w:lineRule="auto" w:before="51"/>
              <w:ind w:left="102" w:right="257"/>
              <w:jc w:val="left"/>
              <w:rPr>
                <w:rFonts w:ascii="宋体" w:hAnsi="宋体" w:cs="宋体" w:eastAsia="宋体" w:hint="default"/>
                <w:sz w:val="18"/>
                <w:szCs w:val="18"/>
              </w:rPr>
            </w:pPr>
            <w:r>
              <w:rPr>
                <w:rFonts w:ascii="宋体" w:hAnsi="宋体" w:cs="宋体" w:eastAsia="宋体" w:hint="default"/>
                <w:sz w:val="18"/>
                <w:szCs w:val="18"/>
              </w:rPr>
              <w:t>应收款项 融资</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296,000.00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65,745</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,370.0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66,041,370.0</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109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46,796,000.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178,623,200.0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180,000,000.00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65,745</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,370.0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111,164,570.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r>
      <w:tr>
        <w:trPr>
          <w:trHeight w:val="404" w:hRule="exact"/>
        </w:trPr>
        <w:tc>
          <w:tcPr>
            <w:tcW w:w="109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79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57" w:lineRule="auto" w:before="49"/>
        <w:ind w:left="212" w:right="4634"/>
        <w:jc w:val="left"/>
      </w:pPr>
      <w:r>
        <w:rPr/>
        <w:t>其他变动的内容 应收款项融资的其他变动主要系本报告期收到客户支付货款的承兑汇票所致。 报告期内公司主要资产计量属性是否发生重大变化</w:t>
      </w:r>
    </w:p>
    <w:p>
      <w:pPr>
        <w:pStyle w:val="BodyText"/>
        <w:spacing w:line="240" w:lineRule="auto" w:before="29"/>
        <w:ind w:left="212" w:right="11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1"/>
        <w:rPr>
          <w:rFonts w:ascii="宋体" w:hAnsi="宋体" w:cs="宋体" w:eastAsia="宋体" w:hint="default"/>
          <w:sz w:val="20"/>
          <w:szCs w:val="20"/>
        </w:rPr>
      </w:pPr>
    </w:p>
    <w:p>
      <w:pPr>
        <w:pStyle w:val="Heading4"/>
        <w:spacing w:line="240" w:lineRule="auto"/>
        <w:ind w:left="212" w:right="1194"/>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1"/>
        <w:rPr>
          <w:rFonts w:ascii="Microsoft JhengHei" w:hAnsi="Microsoft JhengHei" w:cs="Microsoft JhengHei" w:eastAsia="Microsoft JhengHei" w:hint="default"/>
          <w:b/>
          <w:bCs/>
          <w:sz w:val="19"/>
          <w:szCs w:val="19"/>
        </w:rPr>
      </w:pPr>
    </w:p>
    <w:tbl>
      <w:tblPr>
        <w:tblW w:w="0" w:type="auto"/>
        <w:jc w:val="left"/>
        <w:tblInd w:w="196" w:type="dxa"/>
        <w:tblLayout w:type="fixed"/>
        <w:tblCellMar>
          <w:top w:w="0" w:type="dxa"/>
          <w:left w:w="0" w:type="dxa"/>
          <w:bottom w:w="0" w:type="dxa"/>
          <w:right w:w="0" w:type="dxa"/>
        </w:tblCellMar>
        <w:tblLook w:val="01E0"/>
      </w:tblPr>
      <w:tblGrid>
        <w:gridCol w:w="3851"/>
        <w:gridCol w:w="2648"/>
        <w:gridCol w:w="3161"/>
      </w:tblGrid>
      <w:tr>
        <w:trPr>
          <w:trHeight w:val="414" w:hRule="exact"/>
        </w:trPr>
        <w:tc>
          <w:tcPr>
            <w:tcW w:w="38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7"/>
              <w:ind w:left="1031" w:right="0"/>
              <w:jc w:val="left"/>
              <w:rPr>
                <w:rFonts w:ascii="宋体" w:hAnsi="宋体" w:cs="宋体" w:eastAsia="宋体" w:hint="default"/>
                <w:sz w:val="18"/>
                <w:szCs w:val="18"/>
              </w:rPr>
            </w:pPr>
            <w:r>
              <w:rPr>
                <w:rFonts w:ascii="宋体" w:hAnsi="宋体" w:cs="宋体" w:eastAsia="宋体" w:hint="default"/>
                <w:sz w:val="18"/>
                <w:szCs w:val="18"/>
              </w:rPr>
              <w:t>权利受限原因</w:t>
            </w:r>
          </w:p>
        </w:tc>
      </w:tr>
      <w:tr>
        <w:trPr>
          <w:trHeight w:val="349" w:hRule="exact"/>
        </w:trPr>
        <w:tc>
          <w:tcPr>
            <w:tcW w:w="38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264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2,616,496.00</w:t>
            </w:r>
          </w:p>
        </w:tc>
        <w:tc>
          <w:tcPr>
            <w:tcW w:w="316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票据保证金</w:t>
            </w:r>
          </w:p>
        </w:tc>
      </w:tr>
      <w:tr>
        <w:trPr>
          <w:trHeight w:val="347" w:hRule="exact"/>
        </w:trPr>
        <w:tc>
          <w:tcPr>
            <w:tcW w:w="38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2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2,718,208.87</w:t>
            </w:r>
          </w:p>
        </w:tc>
        <w:tc>
          <w:tcPr>
            <w:tcW w:w="3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财政资金监管户</w:t>
            </w:r>
          </w:p>
        </w:tc>
      </w:tr>
      <w:tr>
        <w:trPr>
          <w:trHeight w:val="347" w:hRule="exact"/>
        </w:trPr>
        <w:tc>
          <w:tcPr>
            <w:tcW w:w="38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2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751,023.09</w:t>
            </w:r>
          </w:p>
        </w:tc>
        <w:tc>
          <w:tcPr>
            <w:tcW w:w="3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因诉讼冻结</w:t>
            </w:r>
          </w:p>
        </w:tc>
      </w:tr>
      <w:tr>
        <w:trPr>
          <w:trHeight w:val="347" w:hRule="exact"/>
        </w:trPr>
        <w:tc>
          <w:tcPr>
            <w:tcW w:w="38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2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51,019.17</w:t>
            </w:r>
          </w:p>
        </w:tc>
        <w:tc>
          <w:tcPr>
            <w:tcW w:w="3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履约保证金</w:t>
            </w:r>
          </w:p>
        </w:tc>
      </w:tr>
      <w:tr>
        <w:trPr>
          <w:trHeight w:val="348" w:hRule="exact"/>
        </w:trPr>
        <w:tc>
          <w:tcPr>
            <w:tcW w:w="38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1,900,000.00</w:t>
            </w:r>
          </w:p>
        </w:tc>
        <w:tc>
          <w:tcPr>
            <w:tcW w:w="3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已背书未终止确认的应收票据</w:t>
            </w:r>
          </w:p>
        </w:tc>
      </w:tr>
      <w:tr>
        <w:trPr>
          <w:trHeight w:val="426" w:hRule="exact"/>
        </w:trPr>
        <w:tc>
          <w:tcPr>
            <w:tcW w:w="38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2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8,036,747.13</w:t>
            </w:r>
          </w:p>
        </w:tc>
        <w:tc>
          <w:tcPr>
            <w:tcW w:w="316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left="212" w:right="1194"/>
        <w:jc w:val="left"/>
        <w:rPr>
          <w:b w:val="0"/>
          <w:bCs w:val="0"/>
        </w:rPr>
      </w:pPr>
      <w:r>
        <w:rPr/>
        <w:t>五、投资状况分析</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left="212" w:right="1194"/>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left="212" w:right="11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79" w:top="1060" w:bottom="1160" w:left="920" w:right="0"/>
        </w:sectPr>
      </w:pPr>
    </w:p>
    <w:p>
      <w:pPr>
        <w:spacing w:line="240" w:lineRule="auto" w:before="6"/>
        <w:rPr>
          <w:rFonts w:ascii="宋体" w:hAnsi="宋体" w:cs="宋体" w:eastAsia="宋体" w:hint="default"/>
          <w:sz w:val="28"/>
          <w:szCs w:val="28"/>
        </w:rPr>
      </w:pPr>
      <w:r>
        <w:rPr/>
        <w:pict>
          <v:group style="position:absolute;margin-left:272.450012pt;margin-top:546.309998pt;width:19.45pt;height:220.5pt;mso-position-horizontal-relative:page;mso-position-vertical-relative:page;z-index:-1532488" coordorigin="5449,10926" coordsize="389,4410">
            <v:group style="position:absolute;left:5449;top:10926;width:389;height:4410" coordorigin="5449,10926" coordsize="389,4410">
              <v:shape style="position:absolute;left:5449;top:10926;width:389;height:4410" coordorigin="5449,10926" coordsize="389,4410" path="m5449,15336l5838,15336,5838,10926,5449,10926,5449,15336xe" filled="true" fillcolor="#ffffff" stroked="false">
                <v:path arrowok="t"/>
                <v:fill type="solid"/>
              </v:shape>
            </v:group>
            <v:group style="position:absolute;left:5471;top:12780;width:344;height:351" coordorigin="5471,12780" coordsize="344,351">
              <v:shape style="position:absolute;left:5471;top:12780;width:344;height:351" coordorigin="5471,12780" coordsize="344,351" path="m5471,13130l5814,13130,5814,12780,5471,12780,5471,13130xe" filled="true" fillcolor="#ffffff" stroked="false">
                <v:path arrowok="t"/>
                <v:fill type="solid"/>
              </v:shape>
            </v:group>
            <v:group style="position:absolute;left:5471;top:13130;width:344;height:353" coordorigin="5471,13130" coordsize="344,353">
              <v:shape style="position:absolute;left:5471;top:13130;width:344;height:353" coordorigin="5471,13130" coordsize="344,353" path="m5471,13483l5814,13483,5814,13130,5471,13130,5471,13483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0" w:right="0"/>
              <w:jc w:val="left"/>
              <w:rPr>
                <w:rFonts w:ascii="Times New Roman" w:hAnsi="Times New Roman" w:cs="Times New Roman" w:eastAsia="Times New Roman" w:hint="default"/>
                <w:sz w:val="18"/>
                <w:szCs w:val="18"/>
              </w:rPr>
            </w:pPr>
            <w:r>
              <w:rPr>
                <w:rFonts w:ascii="Times New Roman"/>
                <w:sz w:val="18"/>
              </w:rPr>
              <w:t>146,827,681.50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3" w:right="0"/>
              <w:jc w:val="left"/>
              <w:rPr>
                <w:rFonts w:ascii="Times New Roman" w:hAnsi="Times New Roman" w:cs="Times New Roman" w:eastAsia="Times New Roman" w:hint="default"/>
                <w:sz w:val="18"/>
                <w:szCs w:val="18"/>
              </w:rPr>
            </w:pPr>
            <w:r>
              <w:rPr>
                <w:rFonts w:ascii="Times New Roman"/>
                <w:sz w:val="18"/>
              </w:rPr>
              <w:t>194,173,391.79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-24.38%</w:t>
            </w: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586"/>
        <w:gridCol w:w="907"/>
        <w:gridCol w:w="490"/>
        <w:gridCol w:w="785"/>
        <w:gridCol w:w="492"/>
        <w:gridCol w:w="382"/>
        <w:gridCol w:w="696"/>
        <w:gridCol w:w="398"/>
        <w:gridCol w:w="778"/>
        <w:gridCol w:w="785"/>
        <w:gridCol w:w="588"/>
        <w:gridCol w:w="588"/>
        <w:gridCol w:w="589"/>
        <w:gridCol w:w="686"/>
        <w:gridCol w:w="948"/>
      </w:tblGrid>
      <w:tr>
        <w:trPr>
          <w:trHeight w:val="1340" w:hRule="exact"/>
        </w:trPr>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8" w:right="106"/>
              <w:jc w:val="both"/>
              <w:rPr>
                <w:rFonts w:ascii="宋体" w:hAnsi="宋体" w:cs="宋体" w:eastAsia="宋体" w:hint="default"/>
                <w:sz w:val="18"/>
                <w:szCs w:val="18"/>
              </w:rPr>
            </w:pPr>
            <w:r>
              <w:rPr>
                <w:rFonts w:ascii="宋体" w:hAnsi="宋体" w:cs="宋体" w:eastAsia="宋体" w:hint="default"/>
                <w:sz w:val="18"/>
                <w:szCs w:val="18"/>
              </w:rPr>
              <w:t>被投 资公 司名 称</w:t>
            </w:r>
          </w:p>
        </w:tc>
        <w:tc>
          <w:tcPr>
            <w:tcW w:w="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8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9" w:right="59"/>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9" w:right="60"/>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6" w:right="95"/>
              <w:jc w:val="both"/>
              <w:rPr>
                <w:rFonts w:ascii="宋体" w:hAnsi="宋体" w:cs="宋体" w:eastAsia="宋体" w:hint="default"/>
                <w:sz w:val="18"/>
                <w:szCs w:val="18"/>
              </w:rPr>
            </w:pPr>
            <w:r>
              <w:rPr>
                <w:rFonts w:ascii="宋体" w:hAnsi="宋体" w:cs="宋体" w:eastAsia="宋体" w:hint="default"/>
                <w:sz w:val="18"/>
                <w:szCs w:val="18"/>
              </w:rPr>
              <w:t>资 金 来 源</w:t>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5" w:right="101"/>
              <w:jc w:val="both"/>
              <w:rPr>
                <w:rFonts w:ascii="宋体" w:hAnsi="宋体" w:cs="宋体" w:eastAsia="宋体" w:hint="default"/>
                <w:sz w:val="18"/>
                <w:szCs w:val="18"/>
              </w:rPr>
            </w:pPr>
            <w:r>
              <w:rPr>
                <w:rFonts w:ascii="宋体" w:hAnsi="宋体" w:cs="宋体" w:eastAsia="宋体" w:hint="default"/>
                <w:sz w:val="18"/>
                <w:szCs w:val="18"/>
              </w:rPr>
              <w:t>投 资 期 限</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8" w:right="24"/>
              <w:jc w:val="center"/>
              <w:rPr>
                <w:rFonts w:ascii="宋体" w:hAnsi="宋体" w:cs="宋体" w:eastAsia="宋体" w:hint="default"/>
                <w:sz w:val="18"/>
                <w:szCs w:val="18"/>
              </w:rPr>
            </w:pPr>
            <w:r>
              <w:rPr>
                <w:rFonts w:ascii="宋体" w:hAnsi="宋体" w:cs="宋体" w:eastAsia="宋体" w:hint="default"/>
                <w:sz w:val="18"/>
                <w:szCs w:val="18"/>
              </w:rPr>
              <w:t>截至资产 负债表日 的进展情 况</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8" w:right="108"/>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10" w:right="107"/>
              <w:jc w:val="both"/>
              <w:rPr>
                <w:rFonts w:ascii="宋体" w:hAnsi="宋体" w:cs="宋体" w:eastAsia="宋体" w:hint="default"/>
                <w:sz w:val="18"/>
                <w:szCs w:val="18"/>
              </w:rPr>
            </w:pPr>
            <w:r>
              <w:rPr>
                <w:rFonts w:ascii="宋体" w:hAnsi="宋体" w:cs="宋体" w:eastAsia="宋体" w:hint="default"/>
                <w:sz w:val="18"/>
                <w:szCs w:val="18"/>
              </w:rPr>
              <w:t>本期 投资 盈亏</w:t>
            </w:r>
          </w:p>
        </w:tc>
        <w:tc>
          <w:tcPr>
            <w:tcW w:w="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7" w:right="110"/>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9" w:right="65"/>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7" w:right="0"/>
              <w:jc w:val="left"/>
              <w:rPr>
                <w:rFonts w:ascii="宋体" w:hAnsi="宋体" w:cs="宋体" w:eastAsia="宋体" w:hint="default"/>
                <w:sz w:val="18"/>
                <w:szCs w:val="18"/>
              </w:rPr>
            </w:pPr>
            <w:r>
              <w:rPr>
                <w:rFonts w:ascii="宋体" w:hAnsi="宋体" w:cs="宋体" w:eastAsia="宋体" w:hint="default"/>
                <w:sz w:val="18"/>
                <w:szCs w:val="18"/>
              </w:rPr>
              <w:t>披露索引</w:t>
            </w:r>
          </w:p>
          <w:p>
            <w:pPr>
              <w:pStyle w:val="TableParagraph"/>
              <w:spacing w:line="240" w:lineRule="auto" w:before="76"/>
              <w:ind w:left="107" w:right="0"/>
              <w:jc w:val="left"/>
              <w:rPr>
                <w:rFonts w:ascii="宋体" w:hAnsi="宋体" w:cs="宋体" w:eastAsia="宋体" w:hint="default"/>
                <w:sz w:val="18"/>
                <w:szCs w:val="18"/>
              </w:rPr>
            </w:pPr>
            <w:r>
              <w:rPr>
                <w:rFonts w:ascii="宋体" w:hAnsi="宋体" w:cs="宋体" w:eastAsia="宋体" w:hint="default"/>
                <w:sz w:val="18"/>
                <w:szCs w:val="18"/>
              </w:rPr>
              <w:t>（如有）</w:t>
            </w:r>
          </w:p>
        </w:tc>
      </w:tr>
      <w:tr>
        <w:trPr>
          <w:trHeight w:val="5705"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24" w:right="190"/>
              <w:jc w:val="both"/>
              <w:rPr>
                <w:rFonts w:ascii="宋体" w:hAnsi="宋体" w:cs="宋体" w:eastAsia="宋体" w:hint="default"/>
                <w:sz w:val="18"/>
                <w:szCs w:val="18"/>
              </w:rPr>
            </w:pPr>
            <w:r>
              <w:rPr>
                <w:rFonts w:ascii="宋体" w:hAnsi="宋体" w:cs="宋体" w:eastAsia="宋体" w:hint="default"/>
                <w:sz w:val="18"/>
                <w:szCs w:val="18"/>
              </w:rPr>
              <w:t>山东 高速 信联 支付 有限 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 w:right="-27"/>
              <w:jc w:val="left"/>
              <w:rPr>
                <w:rFonts w:ascii="宋体" w:hAnsi="宋体" w:cs="宋体" w:eastAsia="宋体" w:hint="default"/>
                <w:sz w:val="18"/>
                <w:szCs w:val="18"/>
              </w:rPr>
            </w:pPr>
            <w:r>
              <w:rPr>
                <w:rFonts w:ascii="宋体" w:hAnsi="宋体" w:cs="宋体" w:eastAsia="宋体" w:hint="default"/>
                <w:sz w:val="18"/>
                <w:szCs w:val="18"/>
              </w:rPr>
              <w:t>电子收费 及智能交 通系统的 设计、集 成、安装、 调试、管 </w:t>
            </w:r>
            <w:r>
              <w:rPr>
                <w:rFonts w:ascii="宋体" w:hAnsi="宋体" w:cs="宋体" w:eastAsia="宋体" w:hint="default"/>
                <w:spacing w:val="-11"/>
                <w:sz w:val="18"/>
                <w:szCs w:val="18"/>
              </w:rPr>
              <w:t>理、维护维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1"/>
                <w:sz w:val="18"/>
                <w:szCs w:val="18"/>
              </w:rPr>
              <w:t>修、清分结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1"/>
                <w:sz w:val="18"/>
                <w:szCs w:val="18"/>
              </w:rPr>
              <w:t>算、技术服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1"/>
                <w:sz w:val="18"/>
                <w:szCs w:val="18"/>
              </w:rPr>
              <w:t>务、设备和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系统检验 检测、销 售。</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45,359,11</w:t>
            </w:r>
          </w:p>
          <w:p>
            <w:pPr>
              <w:pStyle w:val="TableParagraph"/>
              <w:spacing w:line="240" w:lineRule="auto" w:before="103"/>
              <w:ind w:left="439" w:right="0"/>
              <w:jc w:val="left"/>
              <w:rPr>
                <w:rFonts w:ascii="Times New Roman" w:hAnsi="Times New Roman" w:cs="Times New Roman" w:eastAsia="Times New Roman" w:hint="default"/>
                <w:sz w:val="18"/>
                <w:szCs w:val="18"/>
              </w:rPr>
            </w:pPr>
            <w:r>
              <w:rPr>
                <w:rFonts w:ascii="Times New Roman"/>
                <w:sz w:val="18"/>
              </w:rPr>
              <w:t>8.66</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23.00</w:t>
            </w:r>
          </w:p>
          <w:p>
            <w:pPr>
              <w:pStyle w:val="TableParagraph"/>
              <w:spacing w:line="240" w:lineRule="auto" w:before="103"/>
              <w:ind w:left="30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16" w:lineRule="auto"/>
              <w:ind w:left="24" w:right="167"/>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23" w:right="120"/>
              <w:jc w:val="both"/>
              <w:rPr>
                <w:rFonts w:ascii="宋体" w:hAnsi="宋体" w:cs="宋体" w:eastAsia="宋体" w:hint="default"/>
                <w:sz w:val="18"/>
                <w:szCs w:val="18"/>
              </w:rPr>
            </w:pPr>
            <w:r>
              <w:rPr>
                <w:rFonts w:ascii="宋体" w:hAnsi="宋体" w:cs="宋体" w:eastAsia="宋体" w:hint="default"/>
                <w:sz w:val="18"/>
                <w:szCs w:val="18"/>
              </w:rPr>
              <w:t>北京万 集科技 股份有 限公司 等</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23" w:right="182"/>
              <w:jc w:val="left"/>
              <w:rPr>
                <w:rFonts w:ascii="宋体" w:hAnsi="宋体" w:cs="宋体" w:eastAsia="宋体" w:hint="default"/>
                <w:sz w:val="18"/>
                <w:szCs w:val="18"/>
              </w:rPr>
            </w:pPr>
            <w:r>
              <w:rPr>
                <w:rFonts w:ascii="宋体" w:hAnsi="宋体" w:cs="宋体" w:eastAsia="宋体" w:hint="default"/>
                <w:sz w:val="18"/>
                <w:szCs w:val="18"/>
              </w:rPr>
              <w:t>长 期</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23" w:right="22"/>
              <w:jc w:val="both"/>
              <w:rPr>
                <w:rFonts w:ascii="宋体" w:hAnsi="宋体" w:cs="宋体" w:eastAsia="宋体" w:hint="default"/>
                <w:sz w:val="18"/>
                <w:szCs w:val="18"/>
              </w:rPr>
            </w:pPr>
            <w:r>
              <w:rPr>
                <w:rFonts w:ascii="宋体" w:hAnsi="宋体" w:cs="宋体" w:eastAsia="宋体" w:hint="default"/>
                <w:sz w:val="18"/>
                <w:szCs w:val="18"/>
              </w:rPr>
              <w:t>电子收费 及智能交 通系统相 关产品与 服务</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23" w:right="29"/>
              <w:jc w:val="left"/>
              <w:rPr>
                <w:rFonts w:ascii="宋体" w:hAnsi="宋体" w:cs="宋体" w:eastAsia="宋体" w:hint="default"/>
                <w:sz w:val="18"/>
                <w:szCs w:val="18"/>
              </w:rPr>
            </w:pPr>
            <w:r>
              <w:rPr>
                <w:rFonts w:ascii="宋体" w:hAnsi="宋体" w:cs="宋体" w:eastAsia="宋体" w:hint="default"/>
                <w:sz w:val="18"/>
                <w:szCs w:val="18"/>
              </w:rPr>
              <w:t>股权产权 尚未过户</w:t>
            </w:r>
          </w:p>
        </w:tc>
        <w:tc>
          <w:tcPr>
            <w:tcW w:w="58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2"/>
              <w:jc w:val="left"/>
              <w:rPr>
                <w:rFonts w:ascii="宋体" w:hAnsi="宋体" w:cs="宋体" w:eastAsia="宋体" w:hint="default"/>
                <w:sz w:val="18"/>
                <w:szCs w:val="18"/>
              </w:rPr>
            </w:pPr>
            <w:r>
              <w:rPr>
                <w:rFonts w:ascii="宋体" w:hAnsi="宋体" w:cs="宋体" w:eastAsia="宋体" w:hint="default"/>
                <w:sz w:val="18"/>
                <w:szCs w:val="18"/>
              </w:rPr>
              <w:t>巨潮资讯 网</w:t>
            </w:r>
          </w:p>
          <w:p>
            <w:pPr>
              <w:pStyle w:val="TableParagraph"/>
              <w:spacing w:line="319" w:lineRule="auto" w:before="20"/>
              <w:ind w:left="23" w:right="12"/>
              <w:jc w:val="both"/>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http://ww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w.cninfo.co</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1"/>
                <w:sz w:val="18"/>
                <w:szCs w:val="18"/>
              </w:rPr>
              <w:t>m.cn</w:t>
            </w:r>
            <w:r>
              <w:rPr>
                <w:rFonts w:ascii="宋体" w:hAnsi="宋体" w:cs="宋体" w:eastAsia="宋体" w:hint="default"/>
                <w:spacing w:val="-31"/>
                <w:sz w:val="18"/>
                <w:szCs w:val="18"/>
              </w:rPr>
              <w:t>《</w:t>
            </w:r>
            <w:r>
              <w:rPr>
                <w:rFonts w:ascii="Times New Roman" w:hAnsi="Times New Roman" w:cs="Times New Roman" w:eastAsia="Times New Roman" w:hint="default"/>
                <w:spacing w:val="-31"/>
                <w:sz w:val="18"/>
                <w:szCs w:val="18"/>
              </w:rPr>
              <w:t>)</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对外 投资公告》</w:t>
            </w:r>
          </w:p>
          <w:p>
            <w:pPr>
              <w:pStyle w:val="TableParagraph"/>
              <w:spacing w:line="316" w:lineRule="auto" w:before="17"/>
              <w:ind w:left="23" w:right="192"/>
              <w:jc w:val="left"/>
              <w:rPr>
                <w:rFonts w:ascii="宋体" w:hAnsi="宋体" w:cs="宋体" w:eastAsia="宋体" w:hint="default"/>
                <w:sz w:val="18"/>
                <w:szCs w:val="18"/>
              </w:rPr>
            </w:pPr>
            <w:r>
              <w:rPr>
                <w:rFonts w:ascii="宋体" w:hAnsi="宋体" w:cs="宋体" w:eastAsia="宋体" w:hint="default"/>
                <w:sz w:val="18"/>
                <w:szCs w:val="18"/>
              </w:rPr>
              <w:t>（公告编 号：</w:t>
            </w:r>
          </w:p>
          <w:p>
            <w:pPr>
              <w:pStyle w:val="TableParagraph"/>
              <w:spacing w:line="240" w:lineRule="auto" w:before="1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2019-055</w:t>
            </w:r>
            <w:r>
              <w:rPr>
                <w:rFonts w:ascii="宋体" w:hAnsi="宋体" w:cs="宋体" w:eastAsia="宋体" w:hint="default"/>
                <w:sz w:val="18"/>
                <w:szCs w:val="18"/>
              </w:rPr>
              <w:t>）</w:t>
            </w:r>
          </w:p>
          <w:p>
            <w:pPr>
              <w:pStyle w:val="TableParagraph"/>
              <w:spacing w:line="316" w:lineRule="auto" w:before="63"/>
              <w:ind w:left="23" w:right="21"/>
              <w:jc w:val="left"/>
              <w:rPr>
                <w:rFonts w:ascii="宋体" w:hAnsi="宋体" w:cs="宋体" w:eastAsia="宋体" w:hint="default"/>
                <w:sz w:val="18"/>
                <w:szCs w:val="18"/>
              </w:rPr>
            </w:pPr>
            <w:r>
              <w:rPr>
                <w:rFonts w:ascii="宋体" w:hAnsi="宋体" w:cs="宋体" w:eastAsia="宋体" w:hint="default"/>
                <w:spacing w:val="-2"/>
                <w:sz w:val="18"/>
                <w:szCs w:val="18"/>
              </w:rPr>
              <w:t>及《对外投</w:t>
            </w:r>
            <w:r>
              <w:rPr>
                <w:rFonts w:ascii="宋体" w:hAnsi="宋体" w:cs="宋体" w:eastAsia="宋体" w:hint="default"/>
                <w:sz w:val="18"/>
                <w:szCs w:val="18"/>
              </w:rPr>
              <w:t> 资进展公 </w:t>
            </w:r>
            <w:r>
              <w:rPr>
                <w:rFonts w:ascii="宋体" w:hAnsi="宋体" w:cs="宋体" w:eastAsia="宋体" w:hint="default"/>
                <w:spacing w:val="-19"/>
                <w:sz w:val="18"/>
                <w:szCs w:val="18"/>
              </w:rPr>
              <w:t>告》（公告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编号： </w:t>
            </w:r>
            <w:r>
              <w:rPr>
                <w:rFonts w:ascii="Times New Roman" w:hAnsi="Times New Roman" w:cs="Times New Roman" w:eastAsia="Times New Roman" w:hint="default"/>
                <w:sz w:val="18"/>
                <w:szCs w:val="18"/>
              </w:rPr>
              <w:t>2019-057</w:t>
            </w:r>
            <w:r>
              <w:rPr>
                <w:rFonts w:ascii="宋体" w:hAnsi="宋体" w:cs="宋体" w:eastAsia="宋体" w:hint="default"/>
                <w:sz w:val="18"/>
                <w:szCs w:val="18"/>
              </w:rPr>
              <w:t>、</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2019-068</w:t>
            </w:r>
            <w:r>
              <w:rPr>
                <w:rFonts w:ascii="宋体" w:hAnsi="宋体" w:cs="宋体" w:eastAsia="宋体" w:hint="default"/>
                <w:sz w:val="18"/>
                <w:szCs w:val="18"/>
              </w:rPr>
              <w:t>、</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2019-070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和</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2019-091</w:t>
            </w:r>
            <w:r>
              <w:rPr>
                <w:rFonts w:ascii="宋体" w:hAnsi="宋体" w:cs="宋体" w:eastAsia="宋体" w:hint="default"/>
                <w:sz w:val="18"/>
                <w:szCs w:val="18"/>
              </w:rPr>
              <w:t>）</w:t>
            </w:r>
          </w:p>
        </w:tc>
      </w:tr>
      <w:tr>
        <w:trPr>
          <w:trHeight w:val="4419"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16" w:lineRule="auto"/>
              <w:ind w:left="24" w:right="190"/>
              <w:jc w:val="both"/>
              <w:rPr>
                <w:rFonts w:ascii="宋体" w:hAnsi="宋体" w:cs="宋体" w:eastAsia="宋体" w:hint="default"/>
                <w:sz w:val="18"/>
                <w:szCs w:val="18"/>
              </w:rPr>
            </w:pPr>
            <w:r>
              <w:rPr>
                <w:rFonts w:ascii="宋体" w:hAnsi="宋体" w:cs="宋体" w:eastAsia="宋体" w:hint="default"/>
                <w:sz w:val="18"/>
                <w:szCs w:val="18"/>
              </w:rPr>
              <w:t>山东 高速 信联 科技 有限 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7"/>
              <w:jc w:val="left"/>
              <w:rPr>
                <w:rFonts w:ascii="宋体" w:hAnsi="宋体" w:cs="宋体" w:eastAsia="宋体" w:hint="default"/>
                <w:sz w:val="18"/>
                <w:szCs w:val="18"/>
              </w:rPr>
            </w:pPr>
            <w:r>
              <w:rPr>
                <w:rFonts w:ascii="宋体" w:hAnsi="宋体" w:cs="宋体" w:eastAsia="宋体" w:hint="default"/>
                <w:sz w:val="18"/>
                <w:szCs w:val="18"/>
              </w:rPr>
              <w:t>智能交通 系统的设 计、集成、 安装、调 试、管理、 </w:t>
            </w:r>
            <w:r>
              <w:rPr>
                <w:rFonts w:ascii="宋体" w:hAnsi="宋体" w:cs="宋体" w:eastAsia="宋体" w:hint="default"/>
                <w:spacing w:val="-11"/>
                <w:sz w:val="18"/>
                <w:szCs w:val="18"/>
              </w:rPr>
              <w:t>维护、技术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1"/>
                <w:sz w:val="18"/>
                <w:szCs w:val="18"/>
              </w:rPr>
              <w:t>服务、检验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检测、销 </w:t>
            </w:r>
            <w:r>
              <w:rPr>
                <w:rFonts w:ascii="宋体" w:hAnsi="宋体" w:cs="宋体" w:eastAsia="宋体" w:hint="default"/>
                <w:spacing w:val="-11"/>
                <w:sz w:val="18"/>
                <w:szCs w:val="18"/>
              </w:rPr>
              <w:t>售；软件开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1"/>
                <w:sz w:val="18"/>
                <w:szCs w:val="18"/>
              </w:rPr>
              <w:t>发；信息系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统集成服 </w:t>
            </w:r>
            <w:r>
              <w:rPr>
                <w:rFonts w:ascii="宋体" w:hAnsi="宋体" w:cs="宋体" w:eastAsia="宋体" w:hint="default"/>
                <w:spacing w:val="-11"/>
                <w:sz w:val="18"/>
                <w:szCs w:val="18"/>
              </w:rPr>
              <w:t>务；信息技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术咨询服 </w:t>
            </w:r>
            <w:r>
              <w:rPr>
                <w:rFonts w:ascii="宋体" w:hAnsi="宋体" w:cs="宋体" w:eastAsia="宋体" w:hint="default"/>
                <w:spacing w:val="-11"/>
                <w:sz w:val="18"/>
                <w:szCs w:val="18"/>
              </w:rPr>
              <w:t>务；集成电</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43,623,20</w:t>
            </w:r>
          </w:p>
          <w:p>
            <w:pPr>
              <w:pStyle w:val="TableParagraph"/>
              <w:spacing w:line="240" w:lineRule="auto" w:before="102"/>
              <w:ind w:left="439" w:right="0"/>
              <w:jc w:val="left"/>
              <w:rPr>
                <w:rFonts w:ascii="Times New Roman" w:hAnsi="Times New Roman" w:cs="Times New Roman" w:eastAsia="Times New Roman" w:hint="default"/>
                <w:sz w:val="18"/>
                <w:szCs w:val="18"/>
              </w:rPr>
            </w:pPr>
            <w:r>
              <w:rPr>
                <w:rFonts w:ascii="Times New Roman"/>
                <w:sz w:val="18"/>
              </w:rPr>
              <w:t>0.00</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0" w:right="0"/>
              <w:jc w:val="center"/>
              <w:rPr>
                <w:rFonts w:ascii="Times New Roman" w:hAnsi="Times New Roman" w:cs="Times New Roman" w:eastAsia="Times New Roman" w:hint="default"/>
                <w:sz w:val="18"/>
                <w:szCs w:val="18"/>
              </w:rPr>
            </w:pPr>
            <w:r>
              <w:rPr>
                <w:rFonts w:ascii="Times New Roman"/>
                <w:sz w:val="18"/>
              </w:rPr>
              <w:t>6.20</w:t>
            </w:r>
          </w:p>
          <w:p>
            <w:pPr>
              <w:pStyle w:val="TableParagraph"/>
              <w:spacing w:line="240" w:lineRule="auto" w:before="102"/>
              <w:ind w:left="28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24" w:right="167"/>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23" w:right="120"/>
              <w:jc w:val="both"/>
              <w:rPr>
                <w:rFonts w:ascii="宋体" w:hAnsi="宋体" w:cs="宋体" w:eastAsia="宋体" w:hint="default"/>
                <w:sz w:val="18"/>
                <w:szCs w:val="18"/>
              </w:rPr>
            </w:pPr>
            <w:r>
              <w:rPr>
                <w:rFonts w:ascii="宋体" w:hAnsi="宋体" w:cs="宋体" w:eastAsia="宋体" w:hint="default"/>
                <w:sz w:val="18"/>
                <w:szCs w:val="18"/>
              </w:rPr>
              <w:t>北京万 集科技 股份有 限公司 上海云 鑫创业 投资有 限公司 等</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196" w:lineRule="exact"/>
              <w:ind w:left="-13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长</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期</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23" w:right="22"/>
              <w:jc w:val="both"/>
              <w:rPr>
                <w:rFonts w:ascii="宋体" w:hAnsi="宋体" w:cs="宋体" w:eastAsia="宋体" w:hint="default"/>
                <w:sz w:val="18"/>
                <w:szCs w:val="18"/>
              </w:rPr>
            </w:pPr>
            <w:r>
              <w:rPr>
                <w:rFonts w:ascii="宋体" w:hAnsi="宋体" w:cs="宋体" w:eastAsia="宋体" w:hint="default"/>
                <w:sz w:val="18"/>
                <w:szCs w:val="18"/>
              </w:rPr>
              <w:t>智能交通 系统相关 产品与服 务</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314" w:lineRule="auto"/>
              <w:ind w:left="23" w:right="29"/>
              <w:jc w:val="left"/>
              <w:rPr>
                <w:rFonts w:ascii="宋体" w:hAnsi="宋体" w:cs="宋体" w:eastAsia="宋体" w:hint="default"/>
                <w:sz w:val="18"/>
                <w:szCs w:val="18"/>
              </w:rPr>
            </w:pPr>
            <w:r>
              <w:rPr>
                <w:rFonts w:ascii="宋体" w:hAnsi="宋体" w:cs="宋体" w:eastAsia="宋体" w:hint="default"/>
                <w:sz w:val="18"/>
                <w:szCs w:val="18"/>
              </w:rPr>
              <w:t>股权产权 过户完成</w:t>
            </w:r>
          </w:p>
        </w:tc>
        <w:tc>
          <w:tcPr>
            <w:tcW w:w="58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2"/>
              <w:jc w:val="left"/>
              <w:rPr>
                <w:rFonts w:ascii="宋体" w:hAnsi="宋体" w:cs="宋体" w:eastAsia="宋体" w:hint="default"/>
                <w:sz w:val="18"/>
                <w:szCs w:val="18"/>
              </w:rPr>
            </w:pPr>
            <w:r>
              <w:rPr>
                <w:rFonts w:ascii="宋体" w:hAnsi="宋体" w:cs="宋体" w:eastAsia="宋体" w:hint="default"/>
                <w:sz w:val="18"/>
                <w:szCs w:val="18"/>
              </w:rPr>
              <w:t>巨潮资讯 网</w:t>
            </w:r>
          </w:p>
          <w:p>
            <w:pPr>
              <w:pStyle w:val="TableParagraph"/>
              <w:spacing w:line="319" w:lineRule="auto" w:before="17"/>
              <w:ind w:left="23" w:right="12"/>
              <w:jc w:val="both"/>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http://ww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w.cninfo.co</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1"/>
                <w:sz w:val="18"/>
                <w:szCs w:val="18"/>
              </w:rPr>
              <w:t>m.cn</w:t>
            </w:r>
            <w:r>
              <w:rPr>
                <w:rFonts w:ascii="宋体" w:hAnsi="宋体" w:cs="宋体" w:eastAsia="宋体" w:hint="default"/>
                <w:spacing w:val="-31"/>
                <w:sz w:val="18"/>
                <w:szCs w:val="18"/>
              </w:rPr>
              <w:t>《</w:t>
            </w:r>
            <w:r>
              <w:rPr>
                <w:rFonts w:ascii="Times New Roman" w:hAnsi="Times New Roman" w:cs="Times New Roman" w:eastAsia="Times New Roman" w:hint="default"/>
                <w:spacing w:val="-31"/>
                <w:sz w:val="18"/>
                <w:szCs w:val="18"/>
              </w:rPr>
              <w:t>)</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对外 投资公告》</w:t>
            </w:r>
          </w:p>
          <w:p>
            <w:pPr>
              <w:pStyle w:val="TableParagraph"/>
              <w:spacing w:line="316" w:lineRule="auto" w:before="17"/>
              <w:ind w:left="23" w:right="192"/>
              <w:jc w:val="left"/>
              <w:rPr>
                <w:rFonts w:ascii="宋体" w:hAnsi="宋体" w:cs="宋体" w:eastAsia="宋体" w:hint="default"/>
                <w:sz w:val="18"/>
                <w:szCs w:val="18"/>
              </w:rPr>
            </w:pPr>
            <w:r>
              <w:rPr>
                <w:rFonts w:ascii="宋体" w:hAnsi="宋体" w:cs="宋体" w:eastAsia="宋体" w:hint="default"/>
                <w:sz w:val="18"/>
                <w:szCs w:val="18"/>
              </w:rPr>
              <w:t>（公告编 号：</w:t>
            </w:r>
          </w:p>
          <w:p>
            <w:pPr>
              <w:pStyle w:val="TableParagraph"/>
              <w:spacing w:line="240" w:lineRule="auto" w:before="1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2019-055</w:t>
            </w:r>
            <w:r>
              <w:rPr>
                <w:rFonts w:ascii="宋体" w:hAnsi="宋体" w:cs="宋体" w:eastAsia="宋体" w:hint="default"/>
                <w:sz w:val="18"/>
                <w:szCs w:val="18"/>
              </w:rPr>
              <w:t>）</w:t>
            </w:r>
          </w:p>
          <w:p>
            <w:pPr>
              <w:pStyle w:val="TableParagraph"/>
              <w:spacing w:line="319" w:lineRule="auto" w:before="63"/>
              <w:ind w:left="23" w:right="21"/>
              <w:jc w:val="left"/>
              <w:rPr>
                <w:rFonts w:ascii="宋体" w:hAnsi="宋体" w:cs="宋体" w:eastAsia="宋体" w:hint="default"/>
                <w:sz w:val="18"/>
                <w:szCs w:val="18"/>
              </w:rPr>
            </w:pPr>
            <w:r>
              <w:rPr>
                <w:rFonts w:ascii="宋体" w:hAnsi="宋体" w:cs="宋体" w:eastAsia="宋体" w:hint="default"/>
                <w:spacing w:val="-2"/>
                <w:sz w:val="18"/>
                <w:szCs w:val="18"/>
              </w:rPr>
              <w:t>及《对外投</w:t>
            </w:r>
            <w:r>
              <w:rPr>
                <w:rFonts w:ascii="宋体" w:hAnsi="宋体" w:cs="宋体" w:eastAsia="宋体" w:hint="default"/>
                <w:sz w:val="18"/>
                <w:szCs w:val="18"/>
              </w:rPr>
              <w:t> 资进展公 </w:t>
            </w:r>
            <w:r>
              <w:rPr>
                <w:rFonts w:ascii="宋体" w:hAnsi="宋体" w:cs="宋体" w:eastAsia="宋体" w:hint="default"/>
                <w:spacing w:val="-19"/>
                <w:sz w:val="18"/>
                <w:szCs w:val="18"/>
              </w:rPr>
              <w:t>告》（公告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编号： </w:t>
            </w:r>
            <w:r>
              <w:rPr>
                <w:rFonts w:ascii="Times New Roman" w:hAnsi="Times New Roman" w:cs="Times New Roman" w:eastAsia="Times New Roman" w:hint="default"/>
                <w:sz w:val="18"/>
                <w:szCs w:val="18"/>
              </w:rPr>
              <w:t>2019-057</w:t>
            </w:r>
            <w:r>
              <w:rPr>
                <w:rFonts w:ascii="宋体" w:hAnsi="宋体" w:cs="宋体" w:eastAsia="宋体" w:hint="default"/>
                <w:sz w:val="18"/>
                <w:szCs w:val="18"/>
              </w:rPr>
              <w:t>、</w:t>
            </w:r>
          </w:p>
        </w:tc>
      </w:tr>
    </w:tbl>
    <w:p>
      <w:pPr>
        <w:spacing w:after="0" w:line="319"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586"/>
        <w:gridCol w:w="907"/>
        <w:gridCol w:w="490"/>
        <w:gridCol w:w="785"/>
        <w:gridCol w:w="492"/>
        <w:gridCol w:w="382"/>
        <w:gridCol w:w="696"/>
        <w:gridCol w:w="398"/>
        <w:gridCol w:w="778"/>
        <w:gridCol w:w="785"/>
        <w:gridCol w:w="588"/>
        <w:gridCol w:w="588"/>
        <w:gridCol w:w="589"/>
        <w:gridCol w:w="686"/>
        <w:gridCol w:w="948"/>
      </w:tblGrid>
      <w:tr>
        <w:trPr>
          <w:trHeight w:val="1299" w:hRule="exact"/>
        </w:trPr>
        <w:tc>
          <w:tcPr>
            <w:tcW w:w="58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路设计。</w:t>
            </w:r>
          </w:p>
        </w:tc>
        <w:tc>
          <w:tcPr>
            <w:tcW w:w="4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2019-068</w:t>
            </w:r>
            <w:r>
              <w:rPr>
                <w:rFonts w:ascii="宋体" w:hAnsi="宋体" w:cs="宋体" w:eastAsia="宋体" w:hint="default"/>
                <w:sz w:val="18"/>
                <w:szCs w:val="18"/>
              </w:rPr>
              <w:t>、</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2019-070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和</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2019-091</w:t>
            </w:r>
            <w:r>
              <w:rPr>
                <w:rFonts w:ascii="宋体" w:hAnsi="宋体" w:cs="宋体" w:eastAsia="宋体" w:hint="default"/>
                <w:sz w:val="18"/>
                <w:szCs w:val="18"/>
              </w:rPr>
              <w:t>）</w:t>
            </w:r>
          </w:p>
        </w:tc>
      </w:tr>
      <w:tr>
        <w:trPr>
          <w:trHeight w:val="6330"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4" w:right="190"/>
              <w:jc w:val="both"/>
              <w:rPr>
                <w:rFonts w:ascii="宋体" w:hAnsi="宋体" w:cs="宋体" w:eastAsia="宋体" w:hint="default"/>
                <w:sz w:val="18"/>
                <w:szCs w:val="18"/>
              </w:rPr>
            </w:pPr>
            <w:r>
              <w:rPr>
                <w:rFonts w:ascii="宋体" w:hAnsi="宋体" w:cs="宋体" w:eastAsia="宋体" w:hint="default"/>
                <w:sz w:val="18"/>
                <w:szCs w:val="18"/>
              </w:rPr>
              <w:t>深圳 宝溢 交通 科技 有限 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7"/>
              <w:jc w:val="left"/>
              <w:rPr>
                <w:rFonts w:ascii="宋体" w:hAnsi="宋体" w:cs="宋体" w:eastAsia="宋体" w:hint="default"/>
                <w:sz w:val="18"/>
                <w:szCs w:val="18"/>
              </w:rPr>
            </w:pPr>
            <w:r>
              <w:rPr>
                <w:rFonts w:ascii="宋体" w:hAnsi="宋体" w:cs="宋体" w:eastAsia="宋体" w:hint="default"/>
                <w:sz w:val="18"/>
                <w:szCs w:val="18"/>
              </w:rPr>
              <w:t>城市静态 智能交通 系统设计、 技术开发 和运营服 </w:t>
            </w:r>
            <w:r>
              <w:rPr>
                <w:rFonts w:ascii="宋体" w:hAnsi="宋体" w:cs="宋体" w:eastAsia="宋体" w:hint="default"/>
                <w:spacing w:val="-11"/>
                <w:sz w:val="18"/>
                <w:szCs w:val="18"/>
              </w:rPr>
              <w:t>务；无线收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1"/>
                <w:sz w:val="18"/>
                <w:szCs w:val="18"/>
              </w:rPr>
              <w:t>发设备、智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能终端设 </w:t>
            </w:r>
            <w:r>
              <w:rPr>
                <w:rFonts w:ascii="宋体" w:hAnsi="宋体" w:cs="宋体" w:eastAsia="宋体" w:hint="default"/>
                <w:spacing w:val="-11"/>
                <w:sz w:val="18"/>
                <w:szCs w:val="18"/>
              </w:rPr>
              <w:t>备、网络与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电子通信 </w:t>
            </w:r>
            <w:r>
              <w:rPr>
                <w:rFonts w:ascii="宋体" w:hAnsi="宋体" w:cs="宋体" w:eastAsia="宋体" w:hint="default"/>
                <w:spacing w:val="-11"/>
                <w:sz w:val="18"/>
                <w:szCs w:val="18"/>
              </w:rPr>
              <w:t>产品、软件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1"/>
                <w:sz w:val="18"/>
                <w:szCs w:val="18"/>
              </w:rPr>
              <w:t>产品、计算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机与电子 信息的技 </w:t>
            </w:r>
            <w:r>
              <w:rPr>
                <w:rFonts w:ascii="宋体" w:hAnsi="宋体" w:cs="宋体" w:eastAsia="宋体" w:hint="default"/>
                <w:spacing w:val="-11"/>
                <w:sz w:val="18"/>
                <w:szCs w:val="18"/>
              </w:rPr>
              <w:t>术开发、设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计、销售、 上门安装、 技术服务 及技术咨 询。</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71"/>
              <w:jc w:val="center"/>
              <w:rPr>
                <w:rFonts w:ascii="宋体" w:hAnsi="宋体" w:cs="宋体" w:eastAsia="宋体" w:hint="default"/>
                <w:sz w:val="18"/>
                <w:szCs w:val="18"/>
              </w:rPr>
            </w:pPr>
            <w:r>
              <w:rPr>
                <w:rFonts w:ascii="宋体" w:hAnsi="宋体" w:cs="宋体" w:eastAsia="宋体" w:hint="default"/>
                <w:sz w:val="18"/>
                <w:szCs w:val="18"/>
              </w:rPr>
              <w:t>新设</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14,700,00</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0.00</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49.00</w:t>
            </w:r>
          </w:p>
          <w:p>
            <w:pPr>
              <w:pStyle w:val="TableParagraph"/>
              <w:spacing w:line="240" w:lineRule="auto" w:before="105"/>
              <w:ind w:left="30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4" w:right="167"/>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120"/>
              <w:jc w:val="both"/>
              <w:rPr>
                <w:rFonts w:ascii="宋体" w:hAnsi="宋体" w:cs="宋体" w:eastAsia="宋体" w:hint="default"/>
                <w:sz w:val="18"/>
                <w:szCs w:val="18"/>
              </w:rPr>
            </w:pPr>
            <w:r>
              <w:rPr>
                <w:rFonts w:ascii="宋体" w:hAnsi="宋体" w:cs="宋体" w:eastAsia="宋体" w:hint="default"/>
                <w:sz w:val="18"/>
                <w:szCs w:val="18"/>
              </w:rPr>
              <w:t>江苏通 行宝智 慧交通 科技股 份有限 公司</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182"/>
              <w:jc w:val="left"/>
              <w:rPr>
                <w:rFonts w:ascii="宋体" w:hAnsi="宋体" w:cs="宋体" w:eastAsia="宋体" w:hint="default"/>
                <w:sz w:val="18"/>
                <w:szCs w:val="18"/>
              </w:rPr>
            </w:pPr>
            <w:r>
              <w:rPr>
                <w:rFonts w:ascii="宋体" w:hAnsi="宋体" w:cs="宋体" w:eastAsia="宋体" w:hint="default"/>
                <w:sz w:val="18"/>
                <w:szCs w:val="18"/>
              </w:rPr>
              <w:t>长 期</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3" w:right="22"/>
              <w:jc w:val="both"/>
              <w:rPr>
                <w:rFonts w:ascii="宋体" w:hAnsi="宋体" w:cs="宋体" w:eastAsia="宋体" w:hint="default"/>
                <w:sz w:val="18"/>
                <w:szCs w:val="18"/>
              </w:rPr>
            </w:pPr>
            <w:r>
              <w:rPr>
                <w:rFonts w:ascii="宋体" w:hAnsi="宋体" w:cs="宋体" w:eastAsia="宋体" w:hint="default"/>
                <w:sz w:val="18"/>
                <w:szCs w:val="18"/>
              </w:rPr>
              <w:t>城市静态 智能交通 相关产品 与服务</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29"/>
              <w:jc w:val="left"/>
              <w:rPr>
                <w:rFonts w:ascii="宋体" w:hAnsi="宋体" w:cs="宋体" w:eastAsia="宋体" w:hint="default"/>
                <w:sz w:val="18"/>
                <w:szCs w:val="18"/>
              </w:rPr>
            </w:pPr>
            <w:r>
              <w:rPr>
                <w:rFonts w:ascii="宋体" w:hAnsi="宋体" w:cs="宋体" w:eastAsia="宋体" w:hint="default"/>
                <w:sz w:val="18"/>
                <w:szCs w:val="18"/>
              </w:rPr>
              <w:t>股权产权 登记完成</w:t>
            </w:r>
          </w:p>
        </w:tc>
        <w:tc>
          <w:tcPr>
            <w:tcW w:w="58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-16,48</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0.76</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6"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103,682,3</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18.66</w:t>
            </w:r>
          </w:p>
        </w:tc>
        <w:tc>
          <w:tcPr>
            <w:tcW w:w="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-16,48</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0.76</w:t>
            </w:r>
          </w:p>
        </w:tc>
        <w:tc>
          <w:tcPr>
            <w:tcW w:w="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3"/>
        <w:rPr>
          <w:rFonts w:ascii="Times New Roman" w:hAnsi="Times New Roman" w:cs="Times New Roman" w:eastAsia="Times New Roman" w:hint="default"/>
          <w:sz w:val="28"/>
          <w:szCs w:val="28"/>
        </w:rPr>
      </w:pPr>
    </w:p>
    <w:p>
      <w:pPr>
        <w:pStyle w:val="Heading4"/>
        <w:spacing w:line="335" w:lineRule="exact"/>
        <w:ind w:right="967"/>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355" w:hRule="exact"/>
        </w:trPr>
        <w:tc>
          <w:tcPr>
            <w:tcW w:w="732" w:type="dxa"/>
            <w:tcBorders>
              <w:top w:val="single" w:sz="4" w:space="0" w:color="000000"/>
              <w:left w:val="single" w:sz="4" w:space="0" w:color="000000"/>
              <w:bottom w:val="nil" w:sz="6" w:space="0" w:color="auto"/>
              <w:right w:val="single" w:sz="4" w:space="0" w:color="000000"/>
            </w:tcBorders>
            <w:shd w:val="clear" w:color="auto" w:fill="D2D2D2"/>
          </w:tcPr>
          <w:p>
            <w:pPr/>
          </w:p>
        </w:tc>
        <w:tc>
          <w:tcPr>
            <w:tcW w:w="737" w:type="dxa"/>
            <w:tcBorders>
              <w:top w:val="single" w:sz="4" w:space="0" w:color="000000"/>
              <w:left w:val="single" w:sz="4" w:space="0" w:color="000000"/>
              <w:bottom w:val="nil" w:sz="6" w:space="0" w:color="auto"/>
              <w:right w:val="single" w:sz="4" w:space="0" w:color="000000"/>
            </w:tcBorders>
            <w:shd w:val="clear" w:color="auto" w:fill="D2D2D2"/>
          </w:tcPr>
          <w:p>
            <w:pPr/>
          </w:p>
        </w:tc>
        <w:tc>
          <w:tcPr>
            <w:tcW w:w="7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37" w:type="dxa"/>
            <w:tcBorders>
              <w:top w:val="single" w:sz="4" w:space="0" w:color="000000"/>
              <w:left w:val="single" w:sz="4" w:space="0" w:color="000000"/>
              <w:bottom w:val="nil" w:sz="6" w:space="0" w:color="auto"/>
              <w:right w:val="single" w:sz="4" w:space="0" w:color="000000"/>
            </w:tcBorders>
            <w:shd w:val="clear" w:color="auto" w:fill="D2D2D2"/>
          </w:tcPr>
          <w:p>
            <w:pPr/>
          </w:p>
        </w:tc>
        <w:tc>
          <w:tcPr>
            <w:tcW w:w="737" w:type="dxa"/>
            <w:tcBorders>
              <w:top w:val="single" w:sz="4" w:space="0" w:color="000000"/>
              <w:left w:val="single" w:sz="4" w:space="0" w:color="000000"/>
              <w:bottom w:val="nil" w:sz="6" w:space="0" w:color="auto"/>
              <w:right w:val="single" w:sz="4" w:space="0" w:color="000000"/>
            </w:tcBorders>
            <w:shd w:val="clear" w:color="auto" w:fill="D2D2D2"/>
          </w:tcPr>
          <w:p>
            <w:pPr/>
          </w:p>
        </w:tc>
        <w:tc>
          <w:tcPr>
            <w:tcW w:w="73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截至报</w:t>
            </w:r>
          </w:p>
        </w:tc>
        <w:tc>
          <w:tcPr>
            <w:tcW w:w="737" w:type="dxa"/>
            <w:tcBorders>
              <w:top w:val="single" w:sz="4" w:space="0" w:color="000000"/>
              <w:left w:val="single" w:sz="4" w:space="0" w:color="000000"/>
              <w:bottom w:val="nil" w:sz="6" w:space="0" w:color="auto"/>
              <w:right w:val="single" w:sz="4" w:space="0" w:color="000000"/>
            </w:tcBorders>
            <w:shd w:val="clear" w:color="auto" w:fill="D2D2D2"/>
          </w:tcPr>
          <w:p>
            <w:pPr/>
          </w:p>
        </w:tc>
        <w:tc>
          <w:tcPr>
            <w:tcW w:w="737" w:type="dxa"/>
            <w:tcBorders>
              <w:top w:val="single" w:sz="4" w:space="0" w:color="000000"/>
              <w:left w:val="single" w:sz="4" w:space="0" w:color="000000"/>
              <w:bottom w:val="nil" w:sz="6" w:space="0" w:color="auto"/>
              <w:right w:val="single" w:sz="4" w:space="0" w:color="000000"/>
            </w:tcBorders>
            <w:shd w:val="clear" w:color="auto" w:fill="D2D2D2"/>
          </w:tcPr>
          <w:p>
            <w:pPr/>
          </w:p>
        </w:tc>
        <w:tc>
          <w:tcPr>
            <w:tcW w:w="7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3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截止报</w:t>
            </w:r>
          </w:p>
        </w:tc>
        <w:tc>
          <w:tcPr>
            <w:tcW w:w="73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right="92"/>
              <w:jc w:val="right"/>
              <w:rPr>
                <w:rFonts w:ascii="宋体" w:hAnsi="宋体" w:cs="宋体" w:eastAsia="宋体" w:hint="default"/>
                <w:sz w:val="18"/>
                <w:szCs w:val="18"/>
              </w:rPr>
            </w:pPr>
            <w:r>
              <w:rPr>
                <w:rFonts w:ascii="宋体" w:hAnsi="宋体" w:cs="宋体" w:eastAsia="宋体" w:hint="default"/>
                <w:sz w:val="18"/>
                <w:szCs w:val="18"/>
              </w:rPr>
              <w:t>未达到</w:t>
            </w:r>
          </w:p>
        </w:tc>
        <w:tc>
          <w:tcPr>
            <w:tcW w:w="7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3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936" w:hRule="exact"/>
        </w:trPr>
        <w:tc>
          <w:tcPr>
            <w:tcW w:w="7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93" w:right="89"/>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7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93" w:right="92"/>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7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93" w:right="91"/>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93" w:right="89"/>
              <w:jc w:val="both"/>
              <w:rPr>
                <w:rFonts w:ascii="宋体" w:hAnsi="宋体" w:cs="宋体" w:eastAsia="宋体" w:hint="default"/>
                <w:sz w:val="18"/>
                <w:szCs w:val="18"/>
              </w:rPr>
            </w:pPr>
            <w:r>
              <w:rPr>
                <w:rFonts w:ascii="宋体" w:hAnsi="宋体" w:cs="宋体" w:eastAsia="宋体" w:hint="default"/>
                <w:sz w:val="18"/>
                <w:szCs w:val="18"/>
              </w:rPr>
              <w:t>告期末 累计实 际投入</w:t>
            </w:r>
          </w:p>
        </w:tc>
        <w:tc>
          <w:tcPr>
            <w:tcW w:w="7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73" w:right="89"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93" w:right="91"/>
              <w:jc w:val="both"/>
              <w:rPr>
                <w:rFonts w:ascii="宋体" w:hAnsi="宋体" w:cs="宋体" w:eastAsia="宋体" w:hint="default"/>
                <w:sz w:val="18"/>
                <w:szCs w:val="18"/>
              </w:rPr>
            </w:pPr>
            <w:r>
              <w:rPr>
                <w:rFonts w:ascii="宋体" w:hAnsi="宋体" w:cs="宋体" w:eastAsia="宋体" w:hint="default"/>
                <w:sz w:val="18"/>
                <w:szCs w:val="18"/>
              </w:rPr>
              <w:t>告期末 累计实 现的收</w:t>
            </w:r>
          </w:p>
        </w:tc>
        <w:tc>
          <w:tcPr>
            <w:tcW w:w="7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93" w:right="92"/>
              <w:jc w:val="both"/>
              <w:rPr>
                <w:rFonts w:ascii="宋体" w:hAnsi="宋体" w:cs="宋体" w:eastAsia="宋体" w:hint="default"/>
                <w:sz w:val="18"/>
                <w:szCs w:val="18"/>
              </w:rPr>
            </w:pPr>
            <w:r>
              <w:rPr>
                <w:rFonts w:ascii="宋体" w:hAnsi="宋体" w:cs="宋体" w:eastAsia="宋体" w:hint="default"/>
                <w:sz w:val="18"/>
                <w:szCs w:val="18"/>
              </w:rPr>
              <w:t>计划进 度和预 计收益</w:t>
            </w:r>
          </w:p>
        </w:tc>
        <w:tc>
          <w:tcPr>
            <w:tcW w:w="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93" w:right="89"/>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93" w:right="91"/>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357" w:hRule="exact"/>
        </w:trPr>
        <w:tc>
          <w:tcPr>
            <w:tcW w:w="732" w:type="dxa"/>
            <w:tcBorders>
              <w:top w:val="nil" w:sz="6" w:space="0" w:color="auto"/>
              <w:left w:val="single" w:sz="4" w:space="0" w:color="000000"/>
              <w:bottom w:val="single" w:sz="4" w:space="0" w:color="000000"/>
              <w:right w:val="single" w:sz="4" w:space="0" w:color="000000"/>
            </w:tcBorders>
            <w:shd w:val="clear" w:color="auto" w:fill="D2D2D2"/>
          </w:tcPr>
          <w:p>
            <w:pPr/>
          </w:p>
        </w:tc>
        <w:tc>
          <w:tcPr>
            <w:tcW w:w="737" w:type="dxa"/>
            <w:tcBorders>
              <w:top w:val="nil" w:sz="6" w:space="0" w:color="auto"/>
              <w:left w:val="single" w:sz="4" w:space="0" w:color="000000"/>
              <w:bottom w:val="single" w:sz="4" w:space="0" w:color="000000"/>
              <w:right w:val="single" w:sz="4" w:space="0" w:color="000000"/>
            </w:tcBorders>
            <w:shd w:val="clear" w:color="auto" w:fill="D2D2D2"/>
          </w:tcPr>
          <w:p>
            <w:pPr/>
          </w:p>
        </w:tc>
        <w:tc>
          <w:tcPr>
            <w:tcW w:w="7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37" w:type="dxa"/>
            <w:tcBorders>
              <w:top w:val="nil" w:sz="6" w:space="0" w:color="auto"/>
              <w:left w:val="single" w:sz="4" w:space="0" w:color="000000"/>
              <w:bottom w:val="single" w:sz="4" w:space="0" w:color="000000"/>
              <w:right w:val="single" w:sz="4" w:space="0" w:color="000000"/>
            </w:tcBorders>
            <w:shd w:val="clear" w:color="auto" w:fill="D2D2D2"/>
          </w:tcPr>
          <w:p>
            <w:pPr/>
          </w:p>
        </w:tc>
        <w:tc>
          <w:tcPr>
            <w:tcW w:w="737" w:type="dxa"/>
            <w:tcBorders>
              <w:top w:val="nil" w:sz="6" w:space="0" w:color="auto"/>
              <w:left w:val="single" w:sz="4" w:space="0" w:color="000000"/>
              <w:bottom w:val="single" w:sz="4" w:space="0" w:color="000000"/>
              <w:right w:val="single" w:sz="4" w:space="0" w:color="000000"/>
            </w:tcBorders>
            <w:shd w:val="clear" w:color="auto" w:fill="D2D2D2"/>
          </w:tcPr>
          <w:p>
            <w:pPr/>
          </w:p>
        </w:tc>
        <w:tc>
          <w:tcPr>
            <w:tcW w:w="73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37" w:type="dxa"/>
            <w:tcBorders>
              <w:top w:val="nil" w:sz="6" w:space="0" w:color="auto"/>
              <w:left w:val="single" w:sz="4" w:space="0" w:color="000000"/>
              <w:bottom w:val="single" w:sz="4" w:space="0" w:color="000000"/>
              <w:right w:val="single" w:sz="4" w:space="0" w:color="000000"/>
            </w:tcBorders>
            <w:shd w:val="clear" w:color="auto" w:fill="D2D2D2"/>
          </w:tcPr>
          <w:p>
            <w:pPr/>
          </w:p>
        </w:tc>
        <w:tc>
          <w:tcPr>
            <w:tcW w:w="737" w:type="dxa"/>
            <w:tcBorders>
              <w:top w:val="nil" w:sz="6" w:space="0" w:color="auto"/>
              <w:left w:val="single" w:sz="4" w:space="0" w:color="000000"/>
              <w:bottom w:val="single" w:sz="4" w:space="0" w:color="000000"/>
              <w:right w:val="single" w:sz="4" w:space="0" w:color="000000"/>
            </w:tcBorders>
            <w:shd w:val="clear" w:color="auto" w:fill="D2D2D2"/>
          </w:tcPr>
          <w:p>
            <w:pPr/>
          </w:p>
        </w:tc>
        <w:tc>
          <w:tcPr>
            <w:tcW w:w="7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3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益</w:t>
            </w:r>
          </w:p>
        </w:tc>
        <w:tc>
          <w:tcPr>
            <w:tcW w:w="73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92"/>
              <w:jc w:val="right"/>
              <w:rPr>
                <w:rFonts w:ascii="宋体" w:hAnsi="宋体" w:cs="宋体" w:eastAsia="宋体" w:hint="default"/>
                <w:sz w:val="18"/>
                <w:szCs w:val="18"/>
              </w:rPr>
            </w:pPr>
            <w:r>
              <w:rPr>
                <w:rFonts w:ascii="宋体" w:hAnsi="宋体" w:cs="宋体" w:eastAsia="宋体" w:hint="default"/>
                <w:sz w:val="18"/>
                <w:szCs w:val="18"/>
              </w:rPr>
              <w:t>的原因</w:t>
            </w:r>
          </w:p>
        </w:tc>
        <w:tc>
          <w:tcPr>
            <w:tcW w:w="7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3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56"/>
              <w:jc w:val="left"/>
              <w:rPr>
                <w:rFonts w:ascii="宋体" w:hAnsi="宋体" w:cs="宋体" w:eastAsia="宋体" w:hint="default"/>
                <w:sz w:val="18"/>
                <w:szCs w:val="18"/>
              </w:rPr>
            </w:pPr>
            <w:r>
              <w:rPr>
                <w:rFonts w:ascii="宋体" w:hAnsi="宋体" w:cs="宋体" w:eastAsia="宋体" w:hint="default"/>
                <w:sz w:val="18"/>
                <w:szCs w:val="18"/>
              </w:rPr>
              <w:t>佛山基 地项目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自建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智能交 通行业</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42,764,7</w:t>
            </w:r>
          </w:p>
          <w:p>
            <w:pPr>
              <w:pStyle w:val="TableParagraph"/>
              <w:spacing w:line="240" w:lineRule="auto" w:before="103"/>
              <w:ind w:left="297" w:right="0"/>
              <w:jc w:val="left"/>
              <w:rPr>
                <w:rFonts w:ascii="Times New Roman" w:hAnsi="Times New Roman" w:cs="Times New Roman" w:eastAsia="Times New Roman" w:hint="default"/>
                <w:sz w:val="18"/>
                <w:szCs w:val="18"/>
              </w:rPr>
            </w:pPr>
            <w:r>
              <w:rPr>
                <w:rFonts w:ascii="Times New Roman"/>
                <w:sz w:val="18"/>
              </w:rPr>
              <w:t>16.28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98,892,5</w:t>
            </w:r>
          </w:p>
          <w:p>
            <w:pPr>
              <w:pStyle w:val="TableParagraph"/>
              <w:spacing w:line="240" w:lineRule="auto" w:before="103"/>
              <w:ind w:left="297" w:right="0"/>
              <w:jc w:val="left"/>
              <w:rPr>
                <w:rFonts w:ascii="Times New Roman" w:hAnsi="Times New Roman" w:cs="Times New Roman" w:eastAsia="Times New Roman" w:hint="default"/>
                <w:sz w:val="18"/>
                <w:szCs w:val="18"/>
              </w:rPr>
            </w:pPr>
            <w:r>
              <w:rPr>
                <w:rFonts w:ascii="Times New Roman"/>
                <w:sz w:val="18"/>
              </w:rPr>
              <w:t>90.18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募集资 </w:t>
            </w:r>
            <w:r>
              <w:rPr>
                <w:rFonts w:ascii="宋体" w:hAnsi="宋体" w:cs="宋体" w:eastAsia="宋体" w:hint="default"/>
                <w:spacing w:val="-11"/>
                <w:sz w:val="18"/>
                <w:szCs w:val="18"/>
              </w:rPr>
              <w:t>金、自筹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34.48%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项目尚 未投产</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成都乔</w:t>
            </w: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r>
      <w:tr>
        <w:trPr>
          <w:trHeight w:val="936"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56"/>
              <w:jc w:val="both"/>
              <w:rPr>
                <w:rFonts w:ascii="宋体" w:hAnsi="宋体" w:cs="宋体" w:eastAsia="宋体" w:hint="default"/>
                <w:sz w:val="18"/>
                <w:szCs w:val="18"/>
              </w:rPr>
            </w:pPr>
            <w:r>
              <w:rPr>
                <w:rFonts w:ascii="宋体" w:hAnsi="宋体" w:cs="宋体" w:eastAsia="宋体" w:hint="default"/>
                <w:sz w:val="18"/>
                <w:szCs w:val="18"/>
              </w:rPr>
              <w:t>治希顿 办公区 工程项</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收购</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智能交 通行业</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232,061.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66</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11,465,3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85.38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r>
      <w:tr>
        <w:trPr>
          <w:trHeight w:val="357"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r>
      <w:tr>
        <w:trPr>
          <w:trHeight w:val="357"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广州万</w:t>
            </w: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r>
      <w:tr>
        <w:trPr>
          <w:trHeight w:val="628"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156"/>
              <w:jc w:val="left"/>
              <w:rPr>
                <w:rFonts w:ascii="宋体" w:hAnsi="宋体" w:cs="宋体" w:eastAsia="宋体" w:hint="default"/>
                <w:sz w:val="18"/>
                <w:szCs w:val="18"/>
              </w:rPr>
            </w:pPr>
            <w:r>
              <w:rPr>
                <w:rFonts w:ascii="宋体" w:hAnsi="宋体" w:cs="宋体" w:eastAsia="宋体" w:hint="default"/>
                <w:sz w:val="18"/>
                <w:szCs w:val="18"/>
              </w:rPr>
              <w:t>科云办 公区装</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收购</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314" w:lineRule="auto" w:before="11"/>
              <w:ind w:left="23" w:right="161"/>
              <w:jc w:val="left"/>
              <w:rPr>
                <w:rFonts w:ascii="宋体" w:hAnsi="宋体" w:cs="宋体" w:eastAsia="宋体" w:hint="default"/>
                <w:sz w:val="18"/>
                <w:szCs w:val="18"/>
              </w:rPr>
            </w:pPr>
            <w:r>
              <w:rPr>
                <w:rFonts w:ascii="宋体" w:hAnsi="宋体" w:cs="宋体" w:eastAsia="宋体" w:hint="default"/>
                <w:sz w:val="18"/>
                <w:szCs w:val="18"/>
              </w:rPr>
              <w:t>智能交 通行业</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z w:val="18"/>
              </w:rPr>
              <w:t>148,584.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8"/>
              <w:jc w:val="right"/>
              <w:rPr>
                <w:rFonts w:ascii="Times New Roman" w:hAnsi="Times New Roman" w:cs="Times New Roman" w:eastAsia="Times New Roman" w:hint="default"/>
                <w:sz w:val="18"/>
                <w:szCs w:val="18"/>
              </w:rPr>
            </w:pPr>
            <w:r>
              <w:rPr>
                <w:rFonts w:ascii="Times New Roman"/>
                <w:sz w:val="18"/>
              </w:rPr>
              <w:t>148,584.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314" w:lineRule="auto" w:before="11"/>
              <w:ind w:left="23" w:right="16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r>
      <w:tr>
        <w:trPr>
          <w:trHeight w:val="355"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修项目</w:t>
            </w: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43,145,3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62.84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110,506,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560.46</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88"/>
        <w:gridCol w:w="895"/>
        <w:gridCol w:w="1090"/>
        <w:gridCol w:w="1178"/>
        <w:gridCol w:w="1193"/>
        <w:gridCol w:w="958"/>
        <w:gridCol w:w="955"/>
        <w:gridCol w:w="956"/>
        <w:gridCol w:w="958"/>
      </w:tblGrid>
      <w:tr>
        <w:trPr>
          <w:trHeight w:val="1027"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29"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3" w:right="79"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88"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5" w:right="4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12" w:right="48"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03" w:right="23"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83" w:right="19" w:hanging="360"/>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3"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2"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43,623,200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43,623,200.00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43,623,200.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5"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43,623,200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43,623,200.000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43,623,200.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335" w:lineRule="exact"/>
        <w:ind w:right="967"/>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7"/>
        <w:gridCol w:w="862"/>
        <w:gridCol w:w="878"/>
        <w:gridCol w:w="869"/>
        <w:gridCol w:w="871"/>
        <w:gridCol w:w="869"/>
        <w:gridCol w:w="869"/>
        <w:gridCol w:w="871"/>
        <w:gridCol w:w="869"/>
        <w:gridCol w:w="871"/>
        <w:gridCol w:w="869"/>
      </w:tblGrid>
      <w:tr>
        <w:trPr>
          <w:trHeight w:val="1337"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6" w:right="71"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0"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67"/>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357" w:hRule="exact"/>
        </w:trPr>
        <w:tc>
          <w:tcPr>
            <w:tcW w:w="867" w:type="dxa"/>
            <w:tcBorders>
              <w:top w:val="single" w:sz="4" w:space="0" w:color="000000"/>
              <w:left w:val="single" w:sz="4" w:space="0" w:color="000000"/>
              <w:bottom w:val="nil" w:sz="6" w:space="0" w:color="auto"/>
              <w:right w:val="single" w:sz="4" w:space="0" w:color="000000"/>
            </w:tcBorders>
          </w:tcPr>
          <w:p>
            <w:pPr/>
          </w:p>
        </w:tc>
        <w:tc>
          <w:tcPr>
            <w:tcW w:w="862" w:type="dxa"/>
            <w:tcBorders>
              <w:top w:val="single" w:sz="4" w:space="0" w:color="000000"/>
              <w:left w:val="single" w:sz="4" w:space="0" w:color="000000"/>
              <w:bottom w:val="nil" w:sz="6" w:space="0" w:color="auto"/>
              <w:right w:val="single" w:sz="4" w:space="0" w:color="000000"/>
            </w:tcBorders>
          </w:tcPr>
          <w:p>
            <w:pPr/>
          </w:p>
        </w:tc>
        <w:tc>
          <w:tcPr>
            <w:tcW w:w="878"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尚未使用</w:t>
            </w:r>
          </w:p>
        </w:tc>
        <w:tc>
          <w:tcPr>
            <w:tcW w:w="869"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867" w:type="dxa"/>
            <w:tcBorders>
              <w:top w:val="nil" w:sz="6" w:space="0" w:color="auto"/>
              <w:left w:val="single" w:sz="4" w:space="0" w:color="000000"/>
              <w:bottom w:val="nil" w:sz="6" w:space="0" w:color="auto"/>
              <w:right w:val="single" w:sz="4" w:space="0" w:color="000000"/>
            </w:tcBorders>
          </w:tcPr>
          <w:p>
            <w:pPr/>
          </w:p>
        </w:tc>
        <w:tc>
          <w:tcPr>
            <w:tcW w:w="862"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6" w:right="0"/>
              <w:jc w:val="left"/>
              <w:rPr>
                <w:rFonts w:ascii="宋体" w:hAnsi="宋体" w:cs="宋体" w:eastAsia="宋体" w:hint="default"/>
                <w:sz w:val="18"/>
                <w:szCs w:val="18"/>
              </w:rPr>
            </w:pPr>
            <w:r>
              <w:rPr>
                <w:rFonts w:ascii="宋体" w:hAnsi="宋体" w:cs="宋体" w:eastAsia="宋体" w:hint="default"/>
                <w:sz w:val="18"/>
                <w:szCs w:val="18"/>
              </w:rPr>
              <w:t>的募集资</w:t>
            </w:r>
          </w:p>
        </w:tc>
        <w:tc>
          <w:tcPr>
            <w:tcW w:w="8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67" w:type="dxa"/>
            <w:tcBorders>
              <w:top w:val="nil" w:sz="6" w:space="0" w:color="auto"/>
              <w:left w:val="single" w:sz="4" w:space="0" w:color="000000"/>
              <w:bottom w:val="nil" w:sz="6" w:space="0" w:color="auto"/>
              <w:right w:val="single" w:sz="4" w:space="0" w:color="000000"/>
            </w:tcBorders>
          </w:tcPr>
          <w:p>
            <w:pPr/>
          </w:p>
        </w:tc>
        <w:tc>
          <w:tcPr>
            <w:tcW w:w="862"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金存放于</w:t>
            </w:r>
          </w:p>
        </w:tc>
        <w:tc>
          <w:tcPr>
            <w:tcW w:w="8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67" w:type="dxa"/>
            <w:tcBorders>
              <w:top w:val="nil" w:sz="6" w:space="0" w:color="auto"/>
              <w:left w:val="single" w:sz="4" w:space="0" w:color="000000"/>
              <w:bottom w:val="nil" w:sz="6" w:space="0" w:color="auto"/>
              <w:right w:val="single" w:sz="4" w:space="0" w:color="000000"/>
            </w:tcBorders>
          </w:tcPr>
          <w:p>
            <w:pPr/>
          </w:p>
        </w:tc>
        <w:tc>
          <w:tcPr>
            <w:tcW w:w="862"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8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67" w:type="dxa"/>
            <w:tcBorders>
              <w:top w:val="nil" w:sz="6" w:space="0" w:color="auto"/>
              <w:left w:val="single" w:sz="4" w:space="0" w:color="000000"/>
              <w:bottom w:val="nil" w:sz="6" w:space="0" w:color="auto"/>
              <w:right w:val="single" w:sz="4" w:space="0" w:color="000000"/>
            </w:tcBorders>
          </w:tcPr>
          <w:p>
            <w:pPr/>
          </w:p>
        </w:tc>
        <w:tc>
          <w:tcPr>
            <w:tcW w:w="862"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三方监管</w:t>
            </w:r>
          </w:p>
        </w:tc>
        <w:tc>
          <w:tcPr>
            <w:tcW w:w="8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67" w:type="dxa"/>
            <w:tcBorders>
              <w:top w:val="nil" w:sz="6" w:space="0" w:color="auto"/>
              <w:left w:val="single" w:sz="4" w:space="0" w:color="000000"/>
              <w:bottom w:val="nil" w:sz="6" w:space="0" w:color="auto"/>
              <w:right w:val="single" w:sz="4" w:space="0" w:color="000000"/>
            </w:tcBorders>
          </w:tcPr>
          <w:p>
            <w:pPr/>
          </w:p>
        </w:tc>
        <w:tc>
          <w:tcPr>
            <w:tcW w:w="862"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账户</w:t>
            </w:r>
            <w:r>
              <w:rPr>
                <w:rFonts w:ascii="宋体" w:hAnsi="宋体" w:cs="宋体" w:eastAsia="宋体" w:hint="default"/>
                <w:spacing w:val="-87"/>
                <w:sz w:val="18"/>
                <w:szCs w:val="18"/>
              </w:rPr>
              <w:t>，</w:t>
            </w:r>
            <w:r>
              <w:rPr>
                <w:rFonts w:ascii="宋体" w:hAnsi="宋体" w:cs="宋体" w:eastAsia="宋体" w:hint="default"/>
                <w:sz w:val="18"/>
                <w:szCs w:val="18"/>
              </w:rPr>
              <w:t>将用</w:t>
            </w:r>
          </w:p>
        </w:tc>
        <w:tc>
          <w:tcPr>
            <w:tcW w:w="8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67" w:type="dxa"/>
            <w:tcBorders>
              <w:top w:val="nil" w:sz="6" w:space="0" w:color="auto"/>
              <w:left w:val="single" w:sz="4" w:space="0" w:color="000000"/>
              <w:bottom w:val="nil" w:sz="6" w:space="0" w:color="auto"/>
              <w:right w:val="single" w:sz="4" w:space="0" w:color="000000"/>
            </w:tcBorders>
          </w:tcPr>
          <w:p>
            <w:pPr/>
          </w:p>
        </w:tc>
        <w:tc>
          <w:tcPr>
            <w:tcW w:w="862"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于后续募</w:t>
            </w:r>
          </w:p>
        </w:tc>
        <w:tc>
          <w:tcPr>
            <w:tcW w:w="869"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8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6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14" w:lineRule="auto"/>
              <w:ind w:left="23" w:right="107"/>
              <w:jc w:val="left"/>
              <w:rPr>
                <w:rFonts w:ascii="宋体" w:hAnsi="宋体" w:cs="宋体" w:eastAsia="宋体" w:hint="default"/>
                <w:sz w:val="18"/>
                <w:szCs w:val="18"/>
              </w:rPr>
            </w:pPr>
            <w:r>
              <w:rPr>
                <w:rFonts w:ascii="宋体" w:hAnsi="宋体" w:cs="宋体" w:eastAsia="宋体" w:hint="default"/>
                <w:sz w:val="18"/>
                <w:szCs w:val="18"/>
              </w:rPr>
              <w:t>首次公开 发行</w:t>
            </w:r>
          </w:p>
        </w:tc>
        <w:tc>
          <w:tcPr>
            <w:tcW w:w="8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05" w:right="0"/>
              <w:jc w:val="center"/>
              <w:rPr>
                <w:rFonts w:ascii="Times New Roman" w:hAnsi="Times New Roman" w:cs="Times New Roman" w:eastAsia="Times New Roman" w:hint="default"/>
                <w:sz w:val="18"/>
                <w:szCs w:val="18"/>
              </w:rPr>
            </w:pPr>
            <w:r>
              <w:rPr>
                <w:rFonts w:ascii="Times New Roman"/>
                <w:sz w:val="18"/>
              </w:rPr>
              <w:t>55,448.48</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9"/>
              <w:jc w:val="right"/>
              <w:rPr>
                <w:rFonts w:ascii="Times New Roman" w:hAnsi="Times New Roman" w:cs="Times New Roman" w:eastAsia="Times New Roman" w:hint="default"/>
                <w:sz w:val="18"/>
                <w:szCs w:val="18"/>
              </w:rPr>
            </w:pPr>
            <w:r>
              <w:rPr>
                <w:rFonts w:ascii="Times New Roman"/>
                <w:w w:val="95"/>
                <w:sz w:val="18"/>
              </w:rPr>
              <w:t>3,971.54</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93" w:right="0"/>
              <w:jc w:val="center"/>
              <w:rPr>
                <w:rFonts w:ascii="Times New Roman" w:hAnsi="Times New Roman" w:cs="Times New Roman" w:eastAsia="Times New Roman" w:hint="default"/>
                <w:sz w:val="18"/>
                <w:szCs w:val="18"/>
              </w:rPr>
            </w:pPr>
            <w:r>
              <w:rPr>
                <w:rFonts w:ascii="Times New Roman"/>
                <w:sz w:val="18"/>
              </w:rPr>
              <w:t>26,666.39</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20"/>
              <w:jc w:val="right"/>
              <w:rPr>
                <w:rFonts w:ascii="Times New Roman" w:hAnsi="Times New Roman" w:cs="Times New Roman" w:eastAsia="Times New Roman" w:hint="default"/>
                <w:sz w:val="18"/>
                <w:szCs w:val="18"/>
              </w:rPr>
            </w:pPr>
            <w:r>
              <w:rPr>
                <w:rFonts w:ascii="Times New Roman"/>
                <w:spacing w:val="-1"/>
                <w:sz w:val="18"/>
              </w:rPr>
              <w:t>703.33</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20"/>
              <w:jc w:val="right"/>
              <w:rPr>
                <w:rFonts w:ascii="Times New Roman" w:hAnsi="Times New Roman" w:cs="Times New Roman" w:eastAsia="Times New Roman" w:hint="default"/>
                <w:sz w:val="18"/>
                <w:szCs w:val="18"/>
              </w:rPr>
            </w:pPr>
            <w:r>
              <w:rPr>
                <w:rFonts w:ascii="Times New Roman"/>
                <w:sz w:val="18"/>
              </w:rPr>
              <w:t>1.27%</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9"/>
              <w:jc w:val="right"/>
              <w:rPr>
                <w:rFonts w:ascii="Times New Roman" w:hAnsi="Times New Roman" w:cs="Times New Roman" w:eastAsia="Times New Roman" w:hint="default"/>
                <w:sz w:val="18"/>
                <w:szCs w:val="18"/>
              </w:rPr>
            </w:pPr>
            <w:r>
              <w:rPr>
                <w:rFonts w:ascii="Times New Roman"/>
                <w:spacing w:val="-1"/>
                <w:sz w:val="18"/>
              </w:rPr>
              <w:t>31,367.59</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19"/>
              <w:jc w:val="left"/>
              <w:rPr>
                <w:rFonts w:ascii="宋体" w:hAnsi="宋体" w:cs="宋体" w:eastAsia="宋体" w:hint="default"/>
                <w:sz w:val="18"/>
                <w:szCs w:val="18"/>
              </w:rPr>
            </w:pPr>
            <w:r>
              <w:rPr>
                <w:rFonts w:ascii="宋体" w:hAnsi="宋体" w:cs="宋体" w:eastAsia="宋体" w:hint="default"/>
                <w:sz w:val="18"/>
                <w:szCs w:val="18"/>
              </w:rPr>
              <w:t>投项目建 </w:t>
            </w:r>
            <w:r>
              <w:rPr>
                <w:rFonts w:ascii="宋体" w:hAnsi="宋体" w:cs="宋体" w:eastAsia="宋体" w:hint="default"/>
                <w:spacing w:val="-18"/>
                <w:sz w:val="18"/>
                <w:szCs w:val="18"/>
              </w:rPr>
              <w:t>设；董事会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批准公司</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96" w:right="0"/>
              <w:jc w:val="center"/>
              <w:rPr>
                <w:rFonts w:ascii="Times New Roman" w:hAnsi="Times New Roman" w:cs="Times New Roman" w:eastAsia="Times New Roman" w:hint="default"/>
                <w:sz w:val="18"/>
                <w:szCs w:val="18"/>
              </w:rPr>
            </w:pPr>
            <w:r>
              <w:rPr>
                <w:rFonts w:ascii="Times New Roman"/>
                <w:sz w:val="18"/>
              </w:rPr>
              <w:t>31,367.59</w:t>
            </w:r>
          </w:p>
        </w:tc>
      </w:tr>
      <w:tr>
        <w:trPr>
          <w:trHeight w:val="312" w:hRule="exact"/>
        </w:trPr>
        <w:tc>
          <w:tcPr>
            <w:tcW w:w="867" w:type="dxa"/>
            <w:tcBorders>
              <w:top w:val="nil" w:sz="6" w:space="0" w:color="auto"/>
              <w:left w:val="single" w:sz="4" w:space="0" w:color="000000"/>
              <w:bottom w:val="nil" w:sz="6" w:space="0" w:color="auto"/>
              <w:right w:val="single" w:sz="4" w:space="0" w:color="000000"/>
            </w:tcBorders>
          </w:tcPr>
          <w:p>
            <w:pPr/>
          </w:p>
        </w:tc>
        <w:tc>
          <w:tcPr>
            <w:tcW w:w="862"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及全资子</w:t>
            </w:r>
          </w:p>
        </w:tc>
        <w:tc>
          <w:tcPr>
            <w:tcW w:w="8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67" w:type="dxa"/>
            <w:tcBorders>
              <w:top w:val="nil" w:sz="6" w:space="0" w:color="auto"/>
              <w:left w:val="single" w:sz="4" w:space="0" w:color="000000"/>
              <w:bottom w:val="nil" w:sz="6" w:space="0" w:color="auto"/>
              <w:right w:val="single" w:sz="4" w:space="0" w:color="000000"/>
            </w:tcBorders>
          </w:tcPr>
          <w:p>
            <w:pPr/>
          </w:p>
        </w:tc>
        <w:tc>
          <w:tcPr>
            <w:tcW w:w="862"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公司佛山</w:t>
            </w:r>
          </w:p>
        </w:tc>
        <w:tc>
          <w:tcPr>
            <w:tcW w:w="8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67" w:type="dxa"/>
            <w:tcBorders>
              <w:top w:val="nil" w:sz="6" w:space="0" w:color="auto"/>
              <w:left w:val="single" w:sz="4" w:space="0" w:color="000000"/>
              <w:bottom w:val="nil" w:sz="6" w:space="0" w:color="auto"/>
              <w:right w:val="single" w:sz="4" w:space="0" w:color="000000"/>
            </w:tcBorders>
          </w:tcPr>
          <w:p>
            <w:pPr/>
          </w:p>
        </w:tc>
        <w:tc>
          <w:tcPr>
            <w:tcW w:w="862"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金溢利用</w:t>
            </w:r>
          </w:p>
        </w:tc>
        <w:tc>
          <w:tcPr>
            <w:tcW w:w="8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67" w:type="dxa"/>
            <w:tcBorders>
              <w:top w:val="nil" w:sz="6" w:space="0" w:color="auto"/>
              <w:left w:val="single" w:sz="4" w:space="0" w:color="000000"/>
              <w:bottom w:val="nil" w:sz="6" w:space="0" w:color="auto"/>
              <w:right w:val="single" w:sz="4" w:space="0" w:color="000000"/>
            </w:tcBorders>
          </w:tcPr>
          <w:p>
            <w:pPr/>
          </w:p>
        </w:tc>
        <w:tc>
          <w:tcPr>
            <w:tcW w:w="862"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部分闲置</w:t>
            </w:r>
          </w:p>
        </w:tc>
        <w:tc>
          <w:tcPr>
            <w:tcW w:w="8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67" w:type="dxa"/>
            <w:tcBorders>
              <w:top w:val="nil" w:sz="6" w:space="0" w:color="auto"/>
              <w:left w:val="single" w:sz="4" w:space="0" w:color="000000"/>
              <w:bottom w:val="nil" w:sz="6" w:space="0" w:color="auto"/>
              <w:right w:val="single" w:sz="4" w:space="0" w:color="000000"/>
            </w:tcBorders>
          </w:tcPr>
          <w:p>
            <w:pPr/>
          </w:p>
        </w:tc>
        <w:tc>
          <w:tcPr>
            <w:tcW w:w="862"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8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67" w:type="dxa"/>
            <w:tcBorders>
              <w:top w:val="nil" w:sz="6" w:space="0" w:color="auto"/>
              <w:left w:val="single" w:sz="4" w:space="0" w:color="000000"/>
              <w:bottom w:val="nil" w:sz="6" w:space="0" w:color="auto"/>
              <w:right w:val="single" w:sz="4" w:space="0" w:color="000000"/>
            </w:tcBorders>
          </w:tcPr>
          <w:p>
            <w:pPr/>
          </w:p>
        </w:tc>
        <w:tc>
          <w:tcPr>
            <w:tcW w:w="862"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进行现金</w:t>
            </w:r>
          </w:p>
        </w:tc>
        <w:tc>
          <w:tcPr>
            <w:tcW w:w="869"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867" w:type="dxa"/>
            <w:tcBorders>
              <w:top w:val="nil" w:sz="6" w:space="0" w:color="auto"/>
              <w:left w:val="single" w:sz="4" w:space="0" w:color="000000"/>
              <w:bottom w:val="single" w:sz="4" w:space="0" w:color="000000"/>
              <w:right w:val="single" w:sz="4" w:space="0" w:color="000000"/>
            </w:tcBorders>
          </w:tcPr>
          <w:p>
            <w:pPr/>
          </w:p>
        </w:tc>
        <w:tc>
          <w:tcPr>
            <w:tcW w:w="862" w:type="dxa"/>
            <w:tcBorders>
              <w:top w:val="nil" w:sz="6" w:space="0" w:color="auto"/>
              <w:left w:val="single" w:sz="4" w:space="0" w:color="000000"/>
              <w:bottom w:val="single" w:sz="4" w:space="0" w:color="000000"/>
              <w:right w:val="single" w:sz="4" w:space="0" w:color="000000"/>
            </w:tcBorders>
          </w:tcPr>
          <w:p>
            <w:pPr/>
          </w:p>
        </w:tc>
        <w:tc>
          <w:tcPr>
            <w:tcW w:w="878"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管理。</w:t>
            </w:r>
          </w:p>
        </w:tc>
        <w:tc>
          <w:tcPr>
            <w:tcW w:w="869"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center"/>
              <w:rPr>
                <w:rFonts w:ascii="Times New Roman" w:hAnsi="Times New Roman" w:cs="Times New Roman" w:eastAsia="Times New Roman" w:hint="default"/>
                <w:sz w:val="18"/>
                <w:szCs w:val="18"/>
              </w:rPr>
            </w:pPr>
            <w:r>
              <w:rPr>
                <w:rFonts w:ascii="Times New Roman"/>
                <w:sz w:val="18"/>
              </w:rPr>
              <w:t>55,448.48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3,971.54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26,666.39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703.33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31,367.59</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31,367.59</w:t>
            </w:r>
          </w:p>
        </w:tc>
      </w:tr>
      <w:tr>
        <w:trPr>
          <w:trHeight w:val="402"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626"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）实际募集资金金额：经中国证券监督管理委员会《关于深圳市金溢科技股份有限公司首次公开发行股票的批复》（证</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监许可</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2017[399]</w:t>
            </w:r>
            <w:r>
              <w:rPr>
                <w:rFonts w:ascii="宋体" w:hAnsi="宋体" w:cs="宋体" w:eastAsia="宋体" w:hint="default"/>
                <w:spacing w:val="-2"/>
                <w:sz w:val="18"/>
                <w:szCs w:val="18"/>
              </w:rPr>
              <w:t>号文）核准并经深圳证券交易所《关于深圳市金溢科技股份有限公司人民币普通股股票上市的通知》（深</w:t>
            </w:r>
            <w:r>
              <w:rPr>
                <w:rFonts w:ascii="宋体" w:hAnsi="宋体" w:cs="宋体" w:eastAsia="宋体" w:hint="default"/>
                <w:sz w:val="18"/>
                <w:szCs w:val="18"/>
              </w:rPr>
              <w:t> 证上</w:t>
            </w:r>
            <w:r>
              <w:rPr>
                <w:rFonts w:ascii="Times New Roman" w:hAnsi="Times New Roman" w:cs="Times New Roman" w:eastAsia="Times New Roman" w:hint="default"/>
                <w:sz w:val="18"/>
                <w:szCs w:val="18"/>
              </w:rPr>
              <w:t>[2017]299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号）同意，公司向社会公开发行人民币普通股（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股）股票</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2,952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万股，每股面值</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元，每股发行价格为人 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21.80</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元，共计募集资金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64,353.60</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万元，减除发行费用人民币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8,905.12</w:t>
            </w:r>
            <w:r>
              <w:rPr>
                <w:rFonts w:ascii="Times New Roman" w:hAnsi="Times New Roman" w:cs="Times New Roman" w:eastAsia="Times New Roman" w:hint="default"/>
                <w:spacing w:val="2"/>
                <w:sz w:val="18"/>
                <w:szCs w:val="18"/>
              </w:rPr>
              <w:t> </w:t>
            </w:r>
            <w:r>
              <w:rPr>
                <w:rFonts w:ascii="宋体" w:hAnsi="宋体" w:cs="宋体" w:eastAsia="宋体" w:hint="default"/>
                <w:spacing w:val="-11"/>
                <w:sz w:val="18"/>
                <w:szCs w:val="18"/>
              </w:rPr>
              <w:t>万元（含增值税）后，募集资金净额为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55,448.48</w:t>
            </w:r>
          </w:p>
          <w:p>
            <w:pPr>
              <w:pStyle w:val="TableParagraph"/>
              <w:spacing w:line="300" w:lineRule="auto" w:before="13"/>
              <w:ind w:left="24" w:right="78"/>
              <w:jc w:val="both"/>
              <w:rPr>
                <w:rFonts w:ascii="宋体" w:hAnsi="宋体" w:cs="宋体" w:eastAsia="宋体" w:hint="default"/>
                <w:sz w:val="18"/>
                <w:szCs w:val="18"/>
              </w:rPr>
            </w:pPr>
            <w:r>
              <w:rPr>
                <w:rFonts w:ascii="宋体" w:hAnsi="宋体" w:cs="宋体" w:eastAsia="宋体" w:hint="default"/>
                <w:sz w:val="18"/>
                <w:szCs w:val="18"/>
              </w:rPr>
              <w:t>万元。截至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日，本公司上述发行的募集资金已全部到位，业经天健会计师事务所（特殊普通合伙）验证， </w:t>
            </w:r>
            <w:r>
              <w:rPr>
                <w:rFonts w:ascii="宋体" w:hAnsi="宋体" w:cs="宋体" w:eastAsia="宋体" w:hint="default"/>
                <w:spacing w:val="-4"/>
                <w:sz w:val="18"/>
                <w:szCs w:val="18"/>
              </w:rPr>
              <w:t>并由其出具《验资报告》（天健验</w:t>
            </w:r>
            <w:r>
              <w:rPr>
                <w:rFonts w:ascii="Times New Roman" w:hAnsi="Times New Roman" w:cs="Times New Roman" w:eastAsia="Times New Roman" w:hint="default"/>
                <w:spacing w:val="-4"/>
                <w:sz w:val="18"/>
                <w:szCs w:val="18"/>
              </w:rPr>
              <w:t>[2017]3-42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号）确认。</w:t>
            </w:r>
          </w:p>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）募集资金使用和结余情况：</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z w:val="18"/>
                <w:szCs w:val="18"/>
              </w:rPr>
              <w:t> </w:t>
            </w:r>
            <w:r>
              <w:rPr>
                <w:rFonts w:ascii="宋体" w:hAnsi="宋体" w:cs="宋体" w:eastAsia="宋体" w:hint="default"/>
                <w:sz w:val="18"/>
                <w:szCs w:val="18"/>
              </w:rPr>
              <w:t>年度实际使用募集资金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3,971.54 </w:t>
            </w:r>
            <w:r>
              <w:rPr>
                <w:rFonts w:ascii="宋体" w:hAnsi="宋体" w:cs="宋体" w:eastAsia="宋体" w:hint="default"/>
                <w:spacing w:val="-4"/>
                <w:sz w:val="18"/>
                <w:szCs w:val="18"/>
              </w:rPr>
              <w:t>万元，截至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日，募集资金余额为人</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万元（包括累</w:t>
            </w:r>
            <w:r>
              <w:rPr>
                <w:rFonts w:ascii="宋体" w:hAnsi="宋体" w:cs="宋体" w:eastAsia="宋体" w:hint="default"/>
                <w:spacing w:val="-3"/>
                <w:sz w:val="18"/>
                <w:szCs w:val="18"/>
              </w:rPr>
              <w:t>计</w:t>
            </w:r>
            <w:r>
              <w:rPr>
                <w:rFonts w:ascii="宋体" w:hAnsi="宋体" w:cs="宋体" w:eastAsia="宋体" w:hint="default"/>
                <w:sz w:val="18"/>
                <w:szCs w:val="18"/>
              </w:rPr>
              <w:t>收到的银行存款利息扣除银行手续费等的净额</w:t>
            </w:r>
            <w:r>
              <w:rPr>
                <w:rFonts w:ascii="宋体" w:hAnsi="宋体" w:cs="宋体" w:eastAsia="宋体" w:hint="default"/>
                <w:spacing w:val="-92"/>
                <w:sz w:val="18"/>
                <w:szCs w:val="18"/>
              </w:rPr>
              <w:t>）</w:t>
            </w:r>
            <w:r>
              <w:rPr>
                <w:rFonts w:ascii="宋体" w:hAnsi="宋体" w:cs="宋体" w:eastAsia="宋体" w:hint="default"/>
                <w:sz w:val="18"/>
                <w:szCs w:val="18"/>
              </w:rPr>
              <w:t>。</w:t>
            </w: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单位：万元</w:t>
      </w:r>
    </w:p>
    <w:p>
      <w:pPr>
        <w:spacing w:after="0" w:line="240" w:lineRule="auto"/>
        <w:jc w:val="right"/>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133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521"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49"/>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360" w:hRule="exact"/>
        </w:trPr>
        <w:tc>
          <w:tcPr>
            <w:tcW w:w="17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佛山智能交通射频</w:t>
            </w:r>
          </w:p>
        </w:tc>
        <w:tc>
          <w:tcPr>
            <w:tcW w:w="778" w:type="dxa"/>
            <w:tcBorders>
              <w:top w:val="single" w:sz="4" w:space="0" w:color="000000"/>
              <w:left w:val="single" w:sz="4" w:space="0" w:color="000000"/>
              <w:bottom w:val="nil" w:sz="6" w:space="0" w:color="auto"/>
              <w:right w:val="single" w:sz="4" w:space="0" w:color="000000"/>
            </w:tcBorders>
          </w:tcPr>
          <w:p>
            <w:pPr/>
          </w:p>
        </w:tc>
        <w:tc>
          <w:tcPr>
            <w:tcW w:w="781"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81"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识别与电子支付产品</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28,680.96</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28,680.96</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3,271.5</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w w:val="95"/>
                <w:sz w:val="18"/>
              </w:rPr>
              <w:t>8,512.53</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6"/>
              <w:jc w:val="right"/>
              <w:rPr>
                <w:rFonts w:ascii="Times New Roman" w:hAnsi="Times New Roman" w:cs="Times New Roman" w:eastAsia="Times New Roman" w:hint="default"/>
                <w:sz w:val="18"/>
                <w:szCs w:val="18"/>
              </w:rPr>
            </w:pPr>
            <w:r>
              <w:rPr>
                <w:rFonts w:ascii="Times New Roman"/>
                <w:sz w:val="18"/>
              </w:rPr>
              <w:t>29.68%</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tc>
        <w:tc>
          <w:tcPr>
            <w:tcW w:w="7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3" w:hRule="exact"/>
        </w:trPr>
        <w:tc>
          <w:tcPr>
            <w:tcW w:w="17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生产基地项目</w:t>
            </w:r>
          </w:p>
        </w:tc>
        <w:tc>
          <w:tcPr>
            <w:tcW w:w="778" w:type="dxa"/>
            <w:tcBorders>
              <w:top w:val="nil" w:sz="6" w:space="0" w:color="auto"/>
              <w:left w:val="single" w:sz="4" w:space="0" w:color="000000"/>
              <w:bottom w:val="single" w:sz="4" w:space="0" w:color="000000"/>
              <w:right w:val="single" w:sz="4" w:space="0" w:color="000000"/>
            </w:tcBorders>
          </w:tcPr>
          <w:p>
            <w:pPr/>
          </w:p>
        </w:tc>
        <w:tc>
          <w:tcPr>
            <w:tcW w:w="781"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772"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c>
          <w:tcPr>
            <w:tcW w:w="781"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81"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研发中心建设项目</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16,027.63</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16,027.63</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10,525.24</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6"/>
              <w:jc w:val="right"/>
              <w:rPr>
                <w:rFonts w:ascii="Times New Roman" w:hAnsi="Times New Roman" w:cs="Times New Roman" w:eastAsia="Times New Roman" w:hint="default"/>
                <w:sz w:val="18"/>
                <w:szCs w:val="18"/>
              </w:rPr>
            </w:pPr>
            <w:r>
              <w:rPr>
                <w:rFonts w:ascii="Times New Roman"/>
                <w:sz w:val="18"/>
              </w:rPr>
              <w:t>65.67%</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tc>
        <w:tc>
          <w:tcPr>
            <w:tcW w:w="78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4" w:hRule="exact"/>
        </w:trPr>
        <w:tc>
          <w:tcPr>
            <w:tcW w:w="1772"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c>
          <w:tcPr>
            <w:tcW w:w="781"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15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营销服务网络建设 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5,698.01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5,698.01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2,586.74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45.40%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1" w:hRule="exact"/>
        </w:trPr>
        <w:tc>
          <w:tcPr>
            <w:tcW w:w="1772"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c>
          <w:tcPr>
            <w:tcW w:w="781"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81"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补充运营资金</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w w:val="95"/>
                <w:sz w:val="18"/>
              </w:rPr>
              <w:t>5,041.88</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w w:val="95"/>
                <w:sz w:val="18"/>
              </w:rPr>
              <w:t>5,041.88</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w w:val="95"/>
                <w:sz w:val="18"/>
              </w:rPr>
              <w:t>5,041.88</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tc>
        <w:tc>
          <w:tcPr>
            <w:tcW w:w="78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4" w:hRule="exact"/>
        </w:trPr>
        <w:tc>
          <w:tcPr>
            <w:tcW w:w="1772"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c>
          <w:tcPr>
            <w:tcW w:w="781"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40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55,448.48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55,448.48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3,971.54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26,666.39</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55,448.48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55,448.48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3,971.54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26,666.39</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r>
      <w:tr>
        <w:trPr>
          <w:trHeight w:val="360"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日，公司召开第二届董事会第三十六次会议和第二届监事会第十九次会议，审议通</w:t>
            </w:r>
          </w:p>
        </w:tc>
      </w:tr>
      <w:tr>
        <w:trPr>
          <w:trHeight w:val="312"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
        </w:tc>
        <w:tc>
          <w:tcPr>
            <w:tcW w:w="7799"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过了《关于延长部分募集</w:t>
            </w:r>
            <w:r>
              <w:rPr>
                <w:rFonts w:ascii="宋体" w:hAnsi="宋体" w:cs="宋体" w:eastAsia="宋体" w:hint="default"/>
                <w:spacing w:val="2"/>
                <w:sz w:val="18"/>
                <w:szCs w:val="18"/>
              </w:rPr>
              <w:t>资金</w:t>
            </w:r>
            <w:r>
              <w:rPr>
                <w:rFonts w:ascii="宋体" w:hAnsi="宋体" w:cs="宋体" w:eastAsia="宋体" w:hint="default"/>
                <w:sz w:val="18"/>
                <w:szCs w:val="18"/>
              </w:rPr>
              <w:t>投资项目实施期限的议案</w:t>
            </w:r>
            <w:r>
              <w:rPr>
                <w:rFonts w:ascii="宋体" w:hAnsi="宋体" w:cs="宋体" w:eastAsia="宋体" w:hint="default"/>
                <w:spacing w:val="-89"/>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同</w:t>
            </w:r>
            <w:r>
              <w:rPr>
                <w:rFonts w:ascii="宋体" w:hAnsi="宋体" w:cs="宋体" w:eastAsia="宋体" w:hint="default"/>
                <w:sz w:val="18"/>
                <w:szCs w:val="18"/>
              </w:rPr>
              <w:t>意公司延长募集资金投资</w:t>
            </w:r>
            <w:r>
              <w:rPr>
                <w:rFonts w:ascii="宋体" w:hAnsi="宋体" w:cs="宋体" w:eastAsia="宋体" w:hint="default"/>
                <w:spacing w:val="2"/>
                <w:sz w:val="18"/>
                <w:szCs w:val="18"/>
              </w:rPr>
              <w:t>项目</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佛山智</w:t>
            </w:r>
          </w:p>
        </w:tc>
      </w:tr>
      <w:tr>
        <w:trPr>
          <w:trHeight w:val="312"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
        </w:tc>
        <w:tc>
          <w:tcPr>
            <w:tcW w:w="7799"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1"/>
                <w:sz w:val="18"/>
                <w:szCs w:val="18"/>
              </w:rPr>
              <w:t>能交通射频识别与电子支付产品生产基地项目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研发中心建设项目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和</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营销服务网络建设项目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的</w:t>
            </w:r>
          </w:p>
        </w:tc>
      </w:tr>
      <w:tr>
        <w:trPr>
          <w:trHeight w:val="312"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
        </w:tc>
        <w:tc>
          <w:tcPr>
            <w:tcW w:w="7799"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实施期限至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日。详情请见公司于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日发布的《关于延长部分募集资金</w:t>
            </w:r>
          </w:p>
        </w:tc>
      </w:tr>
      <w:tr>
        <w:trPr>
          <w:trHeight w:val="264"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
        </w:tc>
        <w:tc>
          <w:tcPr>
            <w:tcW w:w="7799"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投资项目实施期限的公告</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公</w:t>
            </w:r>
            <w:r>
              <w:rPr>
                <w:rFonts w:ascii="宋体" w:hAnsi="宋体" w:cs="宋体" w:eastAsia="宋体" w:hint="default"/>
                <w:sz w:val="18"/>
                <w:szCs w:val="18"/>
              </w:rPr>
              <w:t>告编号：</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05</w:t>
            </w:r>
            <w:r>
              <w:rPr>
                <w:rFonts w:ascii="宋体" w:hAnsi="宋体" w:cs="宋体" w:eastAsia="宋体" w:hint="default"/>
                <w:spacing w:val="-92"/>
                <w:sz w:val="18"/>
                <w:szCs w:val="18"/>
              </w:rPr>
              <w:t>）。</w:t>
            </w:r>
            <w:r>
              <w:rPr>
                <w:rFonts w:ascii="宋体" w:hAnsi="宋体" w:cs="宋体" w:eastAsia="宋体" w:hint="default"/>
                <w:sz w:val="18"/>
                <w:szCs w:val="18"/>
              </w:rPr>
            </w:r>
          </w:p>
        </w:tc>
      </w:tr>
      <w:tr>
        <w:trPr>
          <w:trHeight w:val="638"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93" w:lineRule="exact"/>
              <w:ind w:left="24" w:right="0"/>
              <w:jc w:val="left"/>
              <w:rPr>
                <w:rFonts w:ascii="宋体" w:hAnsi="宋体" w:cs="宋体" w:eastAsia="宋体" w:hint="default"/>
                <w:sz w:val="18"/>
                <w:szCs w:val="18"/>
              </w:rPr>
            </w:pPr>
            <w:r>
              <w:rPr>
                <w:rFonts w:ascii="宋体" w:hAnsi="宋体" w:cs="宋体" w:eastAsia="宋体" w:hint="default"/>
                <w:sz w:val="18"/>
                <w:szCs w:val="18"/>
              </w:rPr>
              <w:t>未达到计划进度或预</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计收益的情况和原因</w:t>
            </w:r>
          </w:p>
        </w:tc>
        <w:tc>
          <w:tcPr>
            <w:tcW w:w="7799" w:type="dxa"/>
            <w:gridSpan w:val="10"/>
            <w:tcBorders>
              <w:top w:val="nil" w:sz="6" w:space="0" w:color="auto"/>
              <w:left w:val="single" w:sz="4" w:space="0" w:color="000000"/>
              <w:bottom w:val="nil" w:sz="6" w:space="0" w:color="auto"/>
              <w:right w:val="single" w:sz="4" w:space="0" w:color="000000"/>
            </w:tcBorders>
          </w:tcPr>
          <w:p>
            <w:pPr>
              <w:pStyle w:val="TableParagraph"/>
              <w:spacing w:line="300" w:lineRule="auto" w:before="92"/>
              <w:ind w:left="24"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佛山智能交通射频识别与电子支付产品生产基地项目未达到计划进度是由于实际执行过程中受到</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施工用地地形复杂等影响，造成施工难度增加，投资进度有所放缓。</w:t>
            </w:r>
          </w:p>
        </w:tc>
      </w:tr>
      <w:tr>
        <w:trPr>
          <w:trHeight w:val="420"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79" w:lineRule="exact"/>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118"/>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研发中心建设项目未达到计划进度是根据研发中心研发需求变化及项目实际现场安排，原计划投</w:t>
            </w:r>
          </w:p>
        </w:tc>
      </w:tr>
      <w:tr>
        <w:trPr>
          <w:trHeight w:val="312"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
        </w:tc>
        <w:tc>
          <w:tcPr>
            <w:tcW w:w="7799"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入的设备硬件和软件需求需要重新评估，导致相关工作未能按原拟定的投入使用时间开展，原计划</w:t>
            </w:r>
          </w:p>
        </w:tc>
      </w:tr>
      <w:tr>
        <w:trPr>
          <w:trHeight w:val="332"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
        </w:tc>
        <w:tc>
          <w:tcPr>
            <w:tcW w:w="7799"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进度发生了延迟。</w:t>
            </w:r>
          </w:p>
        </w:tc>
      </w:tr>
      <w:tr>
        <w:trPr>
          <w:trHeight w:val="337"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
        </w:tc>
        <w:tc>
          <w:tcPr>
            <w:tcW w:w="7799"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营销服务网络建设项目未达到计划进度是由于国家政策和公司新时期的战略对技术支持和客户服</w:t>
            </w:r>
          </w:p>
        </w:tc>
      </w:tr>
      <w:tr>
        <w:trPr>
          <w:trHeight w:val="353"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务的规划发生了新的变化，营销网络的建设进度有一定程度的延缓。</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94"/>
              <w:ind w:left="24" w:right="0"/>
              <w:jc w:val="left"/>
              <w:rPr>
                <w:rFonts w:ascii="宋体" w:hAnsi="宋体" w:cs="宋体" w:eastAsia="宋体" w:hint="default"/>
                <w:sz w:val="18"/>
                <w:szCs w:val="18"/>
              </w:rPr>
            </w:pPr>
            <w:r>
              <w:rPr>
                <w:rFonts w:ascii="宋体" w:hAnsi="宋体" w:cs="宋体" w:eastAsia="宋体" w:hint="default"/>
                <w:sz w:val="18"/>
                <w:szCs w:val="18"/>
              </w:rPr>
              <w:t>超募资金的金额</w:t>
            </w:r>
            <w:r>
              <w:rPr>
                <w:rFonts w:ascii="宋体" w:hAnsi="宋体" w:cs="宋体" w:eastAsia="宋体" w:hint="default"/>
                <w:spacing w:val="-87"/>
                <w:sz w:val="18"/>
                <w:szCs w:val="18"/>
              </w:rPr>
              <w:t>、</w:t>
            </w:r>
            <w:r>
              <w:rPr>
                <w:rFonts w:ascii="宋体" w:hAnsi="宋体" w:cs="宋体" w:eastAsia="宋体" w:hint="default"/>
                <w:sz w:val="18"/>
                <w:szCs w:val="18"/>
              </w:rPr>
              <w:t>用途</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及使用进展情况</w:t>
            </w:r>
          </w:p>
        </w:tc>
        <w:tc>
          <w:tcPr>
            <w:tcW w:w="7799" w:type="dxa"/>
            <w:gridSpan w:val="10"/>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94"/>
              <w:ind w:left="24" w:right="0"/>
              <w:jc w:val="left"/>
              <w:rPr>
                <w:rFonts w:ascii="宋体" w:hAnsi="宋体" w:cs="宋体" w:eastAsia="宋体" w:hint="default"/>
                <w:sz w:val="18"/>
                <w:szCs w:val="18"/>
              </w:rPr>
            </w:pPr>
            <w:r>
              <w:rPr>
                <w:rFonts w:ascii="宋体" w:hAnsi="宋体" w:cs="宋体" w:eastAsia="宋体" w:hint="default"/>
                <w:sz w:val="18"/>
                <w:szCs w:val="18"/>
              </w:rPr>
              <w:t>募集资金投资项目实</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施地点变更情况</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85pt;width:479.2pt;height:691.8pt;mso-position-horizontal-relative:page;mso-position-vertical-relative:page;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9"/>
                  </w:tblGrid>
                  <w:tr>
                    <w:trPr>
                      <w:trHeight w:val="1649"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日，公司召开第二届董事会第二十九次会议和第二届监事会第十四次会议，审议通过 </w:t>
                        </w:r>
                        <w:r>
                          <w:rPr>
                            <w:rFonts w:ascii="宋体" w:hAnsi="宋体" w:cs="宋体" w:eastAsia="宋体" w:hint="default"/>
                            <w:spacing w:val="-3"/>
                            <w:sz w:val="18"/>
                            <w:szCs w:val="18"/>
                          </w:rPr>
                          <w:t>了《关于变更部分募集资金投资项目实施地点的议案》，同意公司根据实际情况和业务发展的需要</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变更募集资金投资项目之</w:t>
                        </w:r>
                        <w:r>
                          <w:rPr>
                            <w:rFonts w:ascii="Times New Roman" w:hAnsi="Times New Roman" w:cs="Times New Roman" w:eastAsia="Times New Roman" w:hint="default"/>
                            <w:sz w:val="18"/>
                            <w:szCs w:val="18"/>
                          </w:rPr>
                          <w:t>“</w:t>
                        </w:r>
                        <w:r>
                          <w:rPr>
                            <w:rFonts w:ascii="宋体" w:hAnsi="宋体" w:cs="宋体" w:eastAsia="宋体" w:hint="default"/>
                            <w:sz w:val="18"/>
                            <w:szCs w:val="18"/>
                          </w:rPr>
                          <w:t>营销服务网络建设项目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的实施地点，即变更部分办事处的设立地点，其 中兰州办事处变更为乌鲁木齐办事处，南宁办事处变更为贵阳办事处。详情请见公司于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p>
                      <w:p>
                        <w:pPr>
                          <w:pStyle w:val="TableParagraph"/>
                          <w:spacing w:line="240" w:lineRule="auto" w:before="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日发布的《关于变更部</w:t>
                        </w:r>
                        <w:r>
                          <w:rPr>
                            <w:rFonts w:ascii="宋体" w:hAnsi="宋体" w:cs="宋体" w:eastAsia="宋体" w:hint="default"/>
                            <w:spacing w:val="-3"/>
                            <w:sz w:val="18"/>
                            <w:szCs w:val="18"/>
                          </w:rPr>
                          <w:t>分</w:t>
                        </w:r>
                        <w:r>
                          <w:rPr>
                            <w:rFonts w:ascii="宋体" w:hAnsi="宋体" w:cs="宋体" w:eastAsia="宋体" w:hint="default"/>
                            <w:sz w:val="18"/>
                            <w:szCs w:val="18"/>
                          </w:rPr>
                          <w:t>募集资金投资项目实施地点的公告</w:t>
                        </w:r>
                        <w:r>
                          <w:rPr>
                            <w:rFonts w:ascii="宋体" w:hAnsi="宋体" w:cs="宋体" w:eastAsia="宋体" w:hint="default"/>
                            <w:spacing w:val="-92"/>
                            <w:sz w:val="18"/>
                            <w:szCs w:val="18"/>
                          </w:rPr>
                          <w:t>》</w:t>
                        </w:r>
                        <w:r>
                          <w:rPr>
                            <w:rFonts w:ascii="宋体" w:hAnsi="宋体" w:cs="宋体" w:eastAsia="宋体" w:hint="default"/>
                            <w:sz w:val="18"/>
                            <w:szCs w:val="18"/>
                          </w:rPr>
                          <w:t>（公告编号</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2019</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770"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4148"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23"/>
                          <w:jc w:val="both"/>
                          <w:rPr>
                            <w:rFonts w:ascii="宋体" w:hAnsi="宋体" w:cs="宋体" w:eastAsia="宋体" w:hint="default"/>
                            <w:sz w:val="18"/>
                            <w:szCs w:val="18"/>
                          </w:rPr>
                        </w:pPr>
                        <w:r>
                          <w:rPr>
                            <w:rFonts w:ascii="宋体" w:hAnsi="宋体" w:cs="宋体" w:eastAsia="宋体" w:hint="default"/>
                            <w:sz w:val="18"/>
                            <w:szCs w:val="18"/>
                          </w:rPr>
                          <w:t>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营销服务网络建设项目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原计划拟分别投资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540 </w:t>
                        </w:r>
                        <w:r>
                          <w:rPr>
                            <w:rFonts w:ascii="宋体" w:hAnsi="宋体" w:cs="宋体" w:eastAsia="宋体" w:hint="default"/>
                            <w:spacing w:val="-5"/>
                            <w:sz w:val="18"/>
                            <w:szCs w:val="18"/>
                          </w:rPr>
                          <w:t>万元、</w:t>
                        </w:r>
                        <w:r>
                          <w:rPr>
                            <w:rFonts w:ascii="Times New Roman" w:hAnsi="Times New Roman" w:cs="Times New Roman" w:eastAsia="Times New Roman" w:hint="default"/>
                            <w:spacing w:val="-5"/>
                            <w:sz w:val="18"/>
                            <w:szCs w:val="18"/>
                          </w:rPr>
                          <w:t>432</w:t>
                        </w:r>
                        <w:r>
                          <w:rPr>
                            <w:rFonts w:ascii="Times New Roman" w:hAnsi="Times New Roman" w:cs="Times New Roman" w:eastAsia="Times New Roman" w:hint="default"/>
                            <w:sz w:val="18"/>
                            <w:szCs w:val="18"/>
                          </w:rPr>
                          <w:t> </w:t>
                        </w:r>
                        <w:r>
                          <w:rPr>
                            <w:rFonts w:ascii="宋体" w:hAnsi="宋体" w:cs="宋体" w:eastAsia="宋体" w:hint="default"/>
                            <w:sz w:val="18"/>
                            <w:szCs w:val="18"/>
                          </w:rPr>
                          <w:t>万元在成都及杭州购买办公楼 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420.41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万元在厦门、沈阳等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座城市租赁办公楼，为满足成都分公司人才队伍壮大和未来业 务拓展需要，成都分公司亟需扩充办公场地，吸引优秀人才，随着近年来房地产价格不断上涨，成 都分公司原拟用于购置办公楼及装修的资金已不能满足当期的需求，故将取消在杭州购买及装修办 公用房资金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万元，取消原计划的基本预备费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271.33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万元，将成都分公司的场地投入增加至</w:t>
                        </w:r>
                      </w:p>
                      <w:p>
                        <w:pPr>
                          <w:pStyle w:val="TableParagraph"/>
                          <w:spacing w:line="309" w:lineRule="auto" w:before="5"/>
                          <w:ind w:left="24" w:right="2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1,243.33</w:t>
                        </w:r>
                        <w:r>
                          <w:rPr>
                            <w:rFonts w:ascii="Times New Roman" w:hAnsi="Times New Roman" w:cs="Times New Roman" w:eastAsia="Times New Roman" w:hint="default"/>
                            <w:spacing w:val="-17"/>
                            <w:sz w:val="18"/>
                            <w:szCs w:val="18"/>
                          </w:rPr>
                          <w:t> </w:t>
                        </w:r>
                        <w:r>
                          <w:rPr>
                            <w:rFonts w:ascii="宋体" w:hAnsi="宋体" w:cs="宋体" w:eastAsia="宋体" w:hint="default"/>
                            <w:spacing w:val="-7"/>
                            <w:sz w:val="18"/>
                            <w:szCs w:val="18"/>
                          </w:rPr>
                          <w:t>万元，增加后场地投入总投入由</w:t>
                        </w:r>
                        <w:r>
                          <w:rPr>
                            <w:rFonts w:ascii="宋体" w:hAnsi="宋体" w:cs="宋体" w:eastAsia="宋体" w:hint="default"/>
                            <w:spacing w:val="-63"/>
                            <w:sz w:val="18"/>
                            <w:szCs w:val="18"/>
                          </w:rPr>
                          <w:t> </w:t>
                        </w:r>
                        <w:r>
                          <w:rPr>
                            <w:rFonts w:ascii="Times New Roman" w:hAnsi="Times New Roman" w:cs="Times New Roman" w:eastAsia="Times New Roman" w:hint="default"/>
                            <w:spacing w:val="-1"/>
                            <w:sz w:val="18"/>
                            <w:szCs w:val="18"/>
                          </w:rPr>
                          <w:t>1,392.41</w:t>
                        </w:r>
                        <w:r>
                          <w:rPr>
                            <w:rFonts w:ascii="Times New Roman" w:hAnsi="Times New Roman" w:cs="Times New Roman" w:eastAsia="Times New Roman" w:hint="default"/>
                            <w:spacing w:val="-16"/>
                            <w:sz w:val="18"/>
                            <w:szCs w:val="18"/>
                          </w:rPr>
                          <w:t> </w:t>
                        </w:r>
                        <w:r>
                          <w:rPr>
                            <w:rFonts w:ascii="宋体" w:hAnsi="宋体" w:cs="宋体" w:eastAsia="宋体" w:hint="default"/>
                            <w:spacing w:val="-1"/>
                            <w:sz w:val="18"/>
                            <w:szCs w:val="18"/>
                          </w:rPr>
                          <w:t>万元变为</w:t>
                        </w:r>
                        <w:r>
                          <w:rPr>
                            <w:rFonts w:ascii="宋体" w:hAnsi="宋体" w:cs="宋体" w:eastAsia="宋体" w:hint="default"/>
                            <w:spacing w:val="-64"/>
                            <w:sz w:val="18"/>
                            <w:szCs w:val="18"/>
                          </w:rPr>
                          <w:t> </w:t>
                        </w:r>
                        <w:r>
                          <w:rPr>
                            <w:rFonts w:ascii="Times New Roman" w:hAnsi="Times New Roman" w:cs="Times New Roman" w:eastAsia="Times New Roman" w:hint="default"/>
                            <w:spacing w:val="-1"/>
                            <w:sz w:val="18"/>
                            <w:szCs w:val="18"/>
                          </w:rPr>
                          <w:t>1,663.74</w:t>
                        </w:r>
                        <w:r>
                          <w:rPr>
                            <w:rFonts w:ascii="Times New Roman" w:hAnsi="Times New Roman" w:cs="Times New Roman" w:eastAsia="Times New Roman" w:hint="default"/>
                            <w:spacing w:val="-16"/>
                            <w:sz w:val="18"/>
                            <w:szCs w:val="18"/>
                          </w:rPr>
                          <w:t> </w:t>
                        </w:r>
                        <w:r>
                          <w:rPr>
                            <w:rFonts w:ascii="宋体" w:hAnsi="宋体" w:cs="宋体" w:eastAsia="宋体" w:hint="default"/>
                            <w:spacing w:val="-8"/>
                            <w:sz w:val="18"/>
                            <w:szCs w:val="18"/>
                          </w:rPr>
                          <w:t>万元，本次调整用途金额为</w:t>
                        </w:r>
                        <w:r>
                          <w:rPr>
                            <w:rFonts w:ascii="宋体" w:hAnsi="宋体" w:cs="宋体" w:eastAsia="宋体" w:hint="default"/>
                            <w:spacing w:val="-65"/>
                            <w:sz w:val="18"/>
                            <w:szCs w:val="18"/>
                          </w:rPr>
                          <w:t> </w:t>
                        </w:r>
                        <w:r>
                          <w:rPr>
                            <w:rFonts w:ascii="Times New Roman" w:hAnsi="Times New Roman" w:cs="Times New Roman" w:eastAsia="Times New Roman" w:hint="default"/>
                            <w:spacing w:val="-1"/>
                            <w:sz w:val="18"/>
                            <w:szCs w:val="18"/>
                          </w:rPr>
                          <w:t>703.33</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万元，杭州分公司将使用现有租赁的办公用房，其他办事处的租赁计划不变，调整后营销服务网络 建设项目投资总额不变。公司分别于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日召开第二届董事会第十</w:t>
                        </w:r>
                      </w:p>
                      <w:p>
                        <w:pPr>
                          <w:pStyle w:val="TableParagraph"/>
                          <w:spacing w:line="309" w:lineRule="auto" w:before="5"/>
                          <w:ind w:left="24" w:right="18"/>
                          <w:jc w:val="both"/>
                          <w:rPr>
                            <w:rFonts w:ascii="宋体" w:hAnsi="宋体" w:cs="宋体" w:eastAsia="宋体" w:hint="default"/>
                            <w:sz w:val="18"/>
                            <w:szCs w:val="18"/>
                          </w:rPr>
                        </w:pPr>
                        <w:r>
                          <w:rPr>
                            <w:rFonts w:ascii="宋体" w:hAnsi="宋体" w:cs="宋体" w:eastAsia="宋体" w:hint="default"/>
                            <w:sz w:val="18"/>
                            <w:szCs w:val="18"/>
                          </w:rPr>
                          <w:t>次会议、第二届监事会第六次会议和</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年第一次临时股东大会，审议通过了《关于调整部分募集</w:t>
                        </w:r>
                        <w:r>
                          <w:rPr>
                            <w:rFonts w:ascii="宋体" w:hAnsi="宋体" w:cs="宋体" w:eastAsia="宋体" w:hint="default"/>
                            <w:sz w:val="18"/>
                            <w:szCs w:val="18"/>
                          </w:rPr>
                          <w:t> </w:t>
                        </w:r>
                        <w:r>
                          <w:rPr>
                            <w:rFonts w:ascii="宋体" w:hAnsi="宋体" w:cs="宋体" w:eastAsia="宋体" w:hint="default"/>
                            <w:spacing w:val="-5"/>
                            <w:sz w:val="18"/>
                            <w:szCs w:val="18"/>
                          </w:rPr>
                          <w:t>资金投资项目具体投资计划的议案》，同意公司根据实际情况和业务发展需要，调整募集资金投资项</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目之</w:t>
                        </w:r>
                        <w:r>
                          <w:rPr>
                            <w:rFonts w:ascii="Times New Roman" w:hAnsi="Times New Roman" w:cs="Times New Roman" w:eastAsia="Times New Roman" w:hint="default"/>
                            <w:sz w:val="18"/>
                            <w:szCs w:val="18"/>
                          </w:rPr>
                          <w:t>“</w:t>
                        </w:r>
                        <w:r>
                          <w:rPr>
                            <w:rFonts w:ascii="宋体" w:hAnsi="宋体" w:cs="宋体" w:eastAsia="宋体" w:hint="default"/>
                            <w:sz w:val="18"/>
                            <w:szCs w:val="18"/>
                          </w:rPr>
                          <w:t>营销服务网络建设项目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的具体投资计划。详情请见公司于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p>
                      <w:p>
                        <w:pPr>
                          <w:pStyle w:val="TableParagraph"/>
                          <w:spacing w:line="240" w:lineRule="auto" w:before="5"/>
                          <w:ind w:left="24"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日发布的《关于调整部分募集资金投资项目具体投资计划的公告》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公告编号：</w:t>
                        </w:r>
                        <w:r>
                          <w:rPr>
                            <w:rFonts w:ascii="Times New Roman" w:hAnsi="Times New Roman" w:cs="Times New Roman" w:eastAsia="Times New Roman" w:hint="default"/>
                            <w:spacing w:val="-3"/>
                            <w:sz w:val="18"/>
                            <w:szCs w:val="18"/>
                          </w:rPr>
                          <w:t>2017-064)</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2018</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年第一次临时股东大会决议公告》</w:t>
                        </w:r>
                        <w:r>
                          <w:rPr>
                            <w:rFonts w:ascii="Times New Roman" w:hAnsi="Times New Roman" w:cs="Times New Roman" w:eastAsia="Times New Roman" w:hint="default"/>
                            <w:sz w:val="18"/>
                            <w:szCs w:val="18"/>
                          </w:rPr>
                          <w:t>(</w:t>
                        </w: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2018-006)</w:t>
                        </w:r>
                        <w:r>
                          <w:rPr>
                            <w:rFonts w:ascii="宋体" w:hAnsi="宋体" w:cs="宋体" w:eastAsia="宋体" w:hint="default"/>
                            <w:sz w:val="18"/>
                            <w:szCs w:val="18"/>
                          </w:rPr>
                          <w:t>。</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9"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日，公司召开第二届董事会第三次会议，审议通过了《关于使用募集资金置换预先投</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入募投项目自筹资金的议案</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同意公司使用募集资金置换截至</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日以自筹资</w:t>
                        </w:r>
                        <w:r>
                          <w:rPr>
                            <w:rFonts w:ascii="宋体" w:hAnsi="宋体" w:cs="宋体" w:eastAsia="宋体" w:hint="default"/>
                            <w:spacing w:val="-3"/>
                            <w:sz w:val="18"/>
                            <w:szCs w:val="18"/>
                          </w:rPr>
                          <w:t>金</w:t>
                        </w:r>
                        <w:r>
                          <w:rPr>
                            <w:rFonts w:ascii="宋体" w:hAnsi="宋体" w:cs="宋体" w:eastAsia="宋体" w:hint="default"/>
                            <w:sz w:val="18"/>
                            <w:szCs w:val="18"/>
                          </w:rPr>
                          <w:t>预先投</w:t>
                        </w:r>
                      </w:p>
                      <w:p>
                        <w:pPr>
                          <w:pStyle w:val="TableParagraph"/>
                          <w:spacing w:line="300" w:lineRule="auto" w:before="63"/>
                          <w:ind w:left="24" w:right="65"/>
                          <w:jc w:val="left"/>
                          <w:rPr>
                            <w:rFonts w:ascii="宋体" w:hAnsi="宋体" w:cs="宋体" w:eastAsia="宋体" w:hint="default"/>
                            <w:sz w:val="18"/>
                            <w:szCs w:val="18"/>
                          </w:rPr>
                        </w:pPr>
                        <w:r>
                          <w:rPr>
                            <w:rFonts w:ascii="宋体" w:hAnsi="宋体" w:cs="宋体" w:eastAsia="宋体" w:hint="default"/>
                            <w:sz w:val="18"/>
                            <w:szCs w:val="18"/>
                          </w:rPr>
                          <w:t>入募集资金投资项目的实际投资金额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445.41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万元，详情请见公司于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日发布的《关于 </w:t>
                        </w:r>
                        <w:r>
                          <w:rPr>
                            <w:rFonts w:ascii="宋体" w:hAnsi="宋体" w:cs="宋体" w:eastAsia="宋体" w:hint="default"/>
                            <w:spacing w:val="-7"/>
                            <w:sz w:val="18"/>
                            <w:szCs w:val="18"/>
                          </w:rPr>
                          <w:t>使用募集资金置换预先投入募投项目自筹资金的公告》（公告编号：</w:t>
                        </w:r>
                        <w:r>
                          <w:rPr>
                            <w:rFonts w:ascii="Times New Roman" w:hAnsi="Times New Roman" w:cs="Times New Roman" w:eastAsia="Times New Roman" w:hint="default"/>
                            <w:spacing w:val="-7"/>
                            <w:sz w:val="18"/>
                            <w:szCs w:val="18"/>
                          </w:rPr>
                          <w:t>2017-010</w:t>
                        </w:r>
                        <w:r>
                          <w:rPr>
                            <w:rFonts w:ascii="宋体" w:hAnsi="宋体" w:cs="宋体" w:eastAsia="宋体" w:hint="default"/>
                            <w:spacing w:val="-7"/>
                            <w:sz w:val="18"/>
                            <w:szCs w:val="18"/>
                          </w:rPr>
                          <w:t>）。</w:t>
                        </w:r>
                        <w:r>
                          <w:rPr>
                            <w:rFonts w:ascii="宋体" w:hAnsi="宋体" w:cs="宋体" w:eastAsia="宋体" w:hint="default"/>
                            <w:sz w:val="18"/>
                            <w:szCs w:val="18"/>
                          </w:rPr>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08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9"/>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1.2019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日公司召开第二届董事会第二十五次会议和第二届监事会第十二次会议，审议通过</w:t>
                        </w:r>
                        <w:r>
                          <w:rPr>
                            <w:rFonts w:ascii="宋体" w:hAnsi="宋体" w:cs="宋体" w:eastAsia="宋体" w:hint="default"/>
                            <w:sz w:val="18"/>
                            <w:szCs w:val="18"/>
                          </w:rPr>
                          <w:t> </w:t>
                        </w:r>
                        <w:r>
                          <w:rPr>
                            <w:rFonts w:ascii="宋体" w:hAnsi="宋体" w:cs="宋体" w:eastAsia="宋体" w:hint="default"/>
                            <w:spacing w:val="-5"/>
                            <w:sz w:val="18"/>
                            <w:szCs w:val="18"/>
                          </w:rPr>
                          <w:t>了《关于使用部分闲置募集资金暂时补充流动资金的议案》，同意公司在确保不影响募集资金投资项</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目建设的情况下，使用总额度不超过人民币</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万元（含本数）的闲置募集资金暂时补充流动</w:t>
                        </w:r>
                      </w:p>
                      <w:p>
                        <w:pPr>
                          <w:pStyle w:val="TableParagraph"/>
                          <w:spacing w:line="240" w:lineRule="auto" w:before="7"/>
                          <w:ind w:left="24" w:right="0"/>
                          <w:jc w:val="both"/>
                          <w:rPr>
                            <w:rFonts w:ascii="宋体" w:hAnsi="宋体" w:cs="宋体" w:eastAsia="宋体" w:hint="default"/>
                            <w:sz w:val="18"/>
                            <w:szCs w:val="18"/>
                          </w:rPr>
                        </w:pPr>
                        <w:r>
                          <w:rPr>
                            <w:rFonts w:ascii="宋体" w:hAnsi="宋体" w:cs="宋体" w:eastAsia="宋体" w:hint="default"/>
                            <w:sz w:val="18"/>
                            <w:szCs w:val="18"/>
                          </w:rPr>
                          <w:t>资金，使用期限自董事会审议通过之日起不超过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个月。详情请见公司于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日发布的</w:t>
                        </w:r>
                      </w:p>
                      <w:p>
                        <w:pPr>
                          <w:pStyle w:val="TableParagraph"/>
                          <w:spacing w:line="240" w:lineRule="auto" w:before="63"/>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《关于使用部分闲置募集资金暂时补充流动资金的公告</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公</w:t>
                        </w:r>
                        <w:r>
                          <w:rPr>
                            <w:rFonts w:ascii="宋体" w:hAnsi="宋体" w:cs="宋体" w:eastAsia="宋体" w:hint="default"/>
                            <w:sz w:val="18"/>
                            <w:szCs w:val="18"/>
                          </w:rPr>
                          <w:t>告编号</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39</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22</w:t>
                        </w:r>
                        <w:r>
                          <w:rPr>
                            <w:rFonts w:ascii="Times New Roman" w:hAnsi="Times New Roman" w:cs="Times New Roman" w:eastAsia="Times New Roman" w:hint="default"/>
                            <w:sz w:val="18"/>
                            <w:szCs w:val="18"/>
                          </w:rPr>
                        </w:r>
                      </w:p>
                      <w:p>
                        <w:pPr>
                          <w:pStyle w:val="TableParagraph"/>
                          <w:spacing w:line="309" w:lineRule="auto" w:before="63"/>
                          <w:ind w:left="24" w:right="19"/>
                          <w:jc w:val="left"/>
                          <w:rPr>
                            <w:rFonts w:ascii="宋体" w:hAnsi="宋体" w:cs="宋体" w:eastAsia="宋体" w:hint="default"/>
                            <w:sz w:val="18"/>
                            <w:szCs w:val="18"/>
                          </w:rPr>
                        </w:pPr>
                        <w:r>
                          <w:rPr>
                            <w:rFonts w:ascii="宋体" w:hAnsi="宋体" w:cs="宋体" w:eastAsia="宋体" w:hint="default"/>
                            <w:sz w:val="18"/>
                            <w:szCs w:val="18"/>
                          </w:rPr>
                          <w:t>日，公司已将上述用于暂时补充流动资金的募集资金人民币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万元提前全部归还至募集资金 专用账户，并已将上述募集资金的归还情况通知了公司保荐机构及保荐代表人。详情请见公司于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1"/>
                            <w:sz w:val="18"/>
                            <w:szCs w:val="18"/>
                          </w:rPr>
                          <w:t>23</w:t>
                        </w:r>
                        <w:r>
                          <w:rPr>
                            <w:rFonts w:ascii="Times New Roman" w:hAnsi="Times New Roman" w:cs="Times New Roman" w:eastAsia="Times New Roman" w:hint="default"/>
                            <w:spacing w:val="-15"/>
                            <w:sz w:val="18"/>
                            <w:szCs w:val="18"/>
                          </w:rPr>
                          <w:t> </w:t>
                        </w:r>
                        <w:r>
                          <w:rPr>
                            <w:rFonts w:ascii="宋体" w:hAnsi="宋体" w:cs="宋体" w:eastAsia="宋体" w:hint="default"/>
                            <w:spacing w:val="-13"/>
                            <w:sz w:val="18"/>
                            <w:szCs w:val="18"/>
                          </w:rPr>
                          <w:t>日发布的《关于提前归还补充流动资金的闲置募集资金的公告（》公告编号：</w:t>
                        </w:r>
                        <w:r>
                          <w:rPr>
                            <w:rFonts w:ascii="Times New Roman" w:hAnsi="Times New Roman" w:cs="Times New Roman" w:eastAsia="Times New Roman" w:hint="default"/>
                            <w:spacing w:val="-13"/>
                            <w:sz w:val="18"/>
                            <w:szCs w:val="18"/>
                          </w:rPr>
                          <w:t>2019-052</w:t>
                        </w:r>
                        <w:r>
                          <w:rPr>
                            <w:rFonts w:ascii="宋体" w:hAnsi="宋体" w:cs="宋体" w:eastAsia="宋体" w:hint="default"/>
                            <w:spacing w:val="-13"/>
                            <w:sz w:val="18"/>
                            <w:szCs w:val="18"/>
                          </w:rPr>
                          <w:t>）。</w:t>
                        </w:r>
                        <w:r>
                          <w:rPr>
                            <w:rFonts w:ascii="宋体" w:hAnsi="宋体" w:cs="宋体" w:eastAsia="宋体" w:hint="default"/>
                            <w:sz w:val="18"/>
                            <w:szCs w:val="18"/>
                          </w:rPr>
                        </w:r>
                      </w:p>
                      <w:p>
                        <w:pPr>
                          <w:pStyle w:val="TableParagraph"/>
                          <w:spacing w:line="309" w:lineRule="auto" w:before="5"/>
                          <w:ind w:left="24"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日公司召开第二届董事会第二十九次会议和第二届监事会第十四次会议，审议通过 </w:t>
                        </w:r>
                        <w:r>
                          <w:rPr>
                            <w:rFonts w:ascii="宋体" w:hAnsi="宋体" w:cs="宋体" w:eastAsia="宋体" w:hint="default"/>
                            <w:spacing w:val="-5"/>
                            <w:sz w:val="18"/>
                            <w:szCs w:val="18"/>
                          </w:rPr>
                          <w:t>了《关于再次使用部分闲置募集资金暂时补充流动资金的议案》，同意公司在确保不影响募集资金投</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资项目建设的情况下，使用总额度不超过人民币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亿元（含本数）的闲置募集资金暂时补充流动资</w:t>
                        </w:r>
                      </w:p>
                      <w:p>
                        <w:pPr>
                          <w:pStyle w:val="TableParagraph"/>
                          <w:spacing w:line="240" w:lineRule="auto" w:before="5"/>
                          <w:ind w:left="24" w:right="0"/>
                          <w:jc w:val="both"/>
                          <w:rPr>
                            <w:rFonts w:ascii="宋体" w:hAnsi="宋体" w:cs="宋体" w:eastAsia="宋体" w:hint="default"/>
                            <w:sz w:val="18"/>
                            <w:szCs w:val="18"/>
                          </w:rPr>
                        </w:pPr>
                        <w:r>
                          <w:rPr>
                            <w:rFonts w:ascii="宋体" w:hAnsi="宋体" w:cs="宋体" w:eastAsia="宋体" w:hint="default"/>
                            <w:sz w:val="18"/>
                            <w:szCs w:val="18"/>
                          </w:rPr>
                          <w:t>金，使用期限自董事会审议通过之日起不超过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个月。详情请见公司于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日发布的《关</w:t>
                        </w:r>
                      </w:p>
                      <w:p>
                        <w:pPr>
                          <w:pStyle w:val="TableParagraph"/>
                          <w:spacing w:line="240" w:lineRule="auto" w:before="63"/>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于再次使用部分闲置募集资金暂时补充流动资金的公告</w:t>
                        </w:r>
                        <w:r>
                          <w:rPr>
                            <w:rFonts w:ascii="宋体" w:hAnsi="宋体" w:cs="宋体" w:eastAsia="宋体" w:hint="default"/>
                            <w:spacing w:val="-111"/>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公</w:t>
                        </w:r>
                        <w:r>
                          <w:rPr>
                            <w:rFonts w:ascii="宋体" w:hAnsi="宋体" w:cs="宋体" w:eastAsia="宋体" w:hint="default"/>
                            <w:sz w:val="18"/>
                            <w:szCs w:val="18"/>
                          </w:rPr>
                          <w:t>告编号</w:t>
                        </w:r>
                        <w:r>
                          <w:rPr>
                            <w:rFonts w:ascii="宋体" w:hAnsi="宋体" w:cs="宋体" w:eastAsia="宋体" w:hint="default"/>
                            <w:spacing w:val="-19"/>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19</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3</w:t>
                        </w:r>
                        <w:r>
                          <w:rPr>
                            <w:rFonts w:ascii="宋体" w:hAnsi="宋体" w:cs="宋体" w:eastAsia="宋体" w:hint="default"/>
                            <w:spacing w:val="-92"/>
                            <w:sz w:val="18"/>
                            <w:szCs w:val="18"/>
                          </w:rPr>
                          <w:t>）</w:t>
                        </w:r>
                        <w:r>
                          <w:rPr>
                            <w:rFonts w:ascii="宋体" w:hAnsi="宋体" w:cs="宋体" w:eastAsia="宋体" w:hint="default"/>
                            <w:spacing w:val="-20"/>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  </w:t>
                        </w:r>
                        <w:r>
                          <w:rPr>
                            <w:rFonts w:ascii="宋体" w:hAnsi="宋体" w:cs="宋体" w:eastAsia="宋体" w:hint="default"/>
                            <w:sz w:val="18"/>
                            <w:szCs w:val="18"/>
                          </w:rPr>
                          <w:t>年</w:t>
                        </w:r>
                        <w:r>
                          <w:rPr>
                            <w:rFonts w:ascii="宋体" w:hAnsi="宋体" w:cs="宋体" w:eastAsia="宋体" w:hint="default"/>
                            <w:spacing w:val="-2"/>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16</w:t>
                        </w:r>
                        <w:r>
                          <w:rPr>
                            <w:rFonts w:ascii="Times New Roman" w:hAnsi="Times New Roman" w:cs="Times New Roman" w:eastAsia="Times New Roman" w:hint="default"/>
                            <w:sz w:val="18"/>
                            <w:szCs w:val="18"/>
                          </w:rPr>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日，公司已将上述用于暂时补充流动资金的募集资金人民币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亿元提前全部归还至募集资金专用账</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户，并已将上述募集资金的归还情况通知了公司保荐机构及保荐代表人，详情请见公司于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日发布的《关于提</w:t>
                        </w:r>
                        <w:r>
                          <w:rPr>
                            <w:rFonts w:ascii="宋体" w:hAnsi="宋体" w:cs="宋体" w:eastAsia="宋体" w:hint="default"/>
                            <w:spacing w:val="-3"/>
                            <w:sz w:val="18"/>
                            <w:szCs w:val="18"/>
                          </w:rPr>
                          <w:t>前</w:t>
                        </w:r>
                        <w:r>
                          <w:rPr>
                            <w:rFonts w:ascii="宋体" w:hAnsi="宋体" w:cs="宋体" w:eastAsia="宋体" w:hint="default"/>
                            <w:sz w:val="18"/>
                            <w:szCs w:val="18"/>
                          </w:rPr>
                          <w:t>归还补充流动资金的闲置募集资金的公告</w:t>
                        </w:r>
                        <w:r>
                          <w:rPr>
                            <w:rFonts w:ascii="宋体" w:hAnsi="宋体" w:cs="宋体" w:eastAsia="宋体" w:hint="default"/>
                            <w:spacing w:val="-92"/>
                            <w:sz w:val="18"/>
                            <w:szCs w:val="18"/>
                          </w:rPr>
                          <w:t>》</w:t>
                        </w:r>
                        <w:r>
                          <w:rPr>
                            <w:rFonts w:ascii="宋体" w:hAnsi="宋体" w:cs="宋体" w:eastAsia="宋体" w:hint="default"/>
                            <w:sz w:val="18"/>
                            <w:szCs w:val="18"/>
                          </w:rPr>
                          <w:t>（公告编号</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宋体" w:hAnsi="宋体" w:cs="宋体" w:eastAsia="宋体" w:hint="default"/>
                            <w:spacing w:val="-92"/>
                            <w:sz w:val="18"/>
                            <w:szCs w:val="18"/>
                          </w:rPr>
                          <w:t>）。</w:t>
                        </w:r>
                        <w:r>
                          <w:rPr>
                            <w:rFonts w:ascii="宋体" w:hAnsi="宋体" w:cs="宋体" w:eastAsia="宋体" w:hint="default"/>
                            <w:sz w:val="18"/>
                            <w:szCs w:val="18"/>
                          </w:rPr>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0"/>
          <w:szCs w:val="20"/>
        </w:rPr>
      </w:pPr>
    </w:p>
    <w:p>
      <w:pPr>
        <w:pStyle w:val="BodyText"/>
        <w:spacing w:line="240" w:lineRule="auto" w:before="44"/>
        <w:ind w:left="0" w:right="114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BodyText"/>
        <w:spacing w:line="240" w:lineRule="auto" w:before="44"/>
        <w:ind w:left="0" w:right="1138"/>
        <w:jc w:val="right"/>
      </w:pPr>
      <w:r>
        <w:rPr/>
        <w:t>，</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9"/>
      </w:tblGrid>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尚未使用的募集资金存放于募集资金三方监管账户，将用于后续募投项目建设；公司第二届董事会</w:t>
            </w:r>
          </w:p>
        </w:tc>
      </w:tr>
      <w:tr>
        <w:trPr>
          <w:trHeight w:val="317"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第十二次会议、第二届监事会第七次会议和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年度股东大会审议通过了《关于公司及全资子公司</w:t>
            </w:r>
          </w:p>
        </w:tc>
      </w:tr>
      <w:tr>
        <w:trPr>
          <w:trHeight w:val="31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使用部分闲置募集资金进行现金管理的议案</w:t>
            </w:r>
            <w:r>
              <w:rPr>
                <w:rFonts w:ascii="宋体" w:hAnsi="宋体" w:cs="宋体" w:eastAsia="宋体" w:hint="default"/>
                <w:spacing w:val="-92"/>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公</w:t>
            </w:r>
            <w:r>
              <w:rPr>
                <w:rFonts w:ascii="宋体" w:hAnsi="宋体" w:cs="宋体" w:eastAsia="宋体" w:hint="default"/>
                <w:spacing w:val="1"/>
                <w:sz w:val="18"/>
                <w:szCs w:val="18"/>
              </w:rPr>
              <w:t>司</w:t>
            </w:r>
            <w:r>
              <w:rPr>
                <w:rFonts w:ascii="宋体" w:hAnsi="宋体" w:cs="宋体" w:eastAsia="宋体" w:hint="default"/>
                <w:sz w:val="18"/>
                <w:szCs w:val="18"/>
              </w:rPr>
              <w:t>分别于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22"/>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w:t>
            </w:r>
          </w:p>
        </w:tc>
      </w:tr>
      <w:tr>
        <w:trPr>
          <w:trHeight w:val="31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w:t>
            </w: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1"/>
                <w:sz w:val="18"/>
                <w:szCs w:val="18"/>
              </w:rPr>
              <w:t>开第二届董事会第二十四次会议和第二届监事会第十一次会议、</w:t>
            </w:r>
            <w:r>
              <w:rPr>
                <w:rFonts w:ascii="Times New Roman" w:hAnsi="Times New Roman" w:cs="Times New Roman" w:eastAsia="Times New Roman" w:hint="default"/>
                <w:spacing w:val="-1"/>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pacing w:val="-2"/>
                <w:sz w:val="18"/>
                <w:szCs w:val="18"/>
              </w:rPr>
              <w:t>年度股东大会，同意公司及全</w:t>
            </w:r>
          </w:p>
        </w:tc>
      </w:tr>
      <w:tr>
        <w:trPr>
          <w:trHeight w:val="307"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用途及去向</w:t>
            </w: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资子公司在上述议案规定的期限到期后，延长使用部分闲置募集资金进行现金管理的期限，详情请</w:t>
            </w:r>
          </w:p>
        </w:tc>
      </w:tr>
      <w:tr>
        <w:trPr>
          <w:trHeight w:val="317"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日发布的《关于公司及全资子公司使用部分闲置募集</w:t>
            </w:r>
          </w:p>
        </w:tc>
      </w:tr>
      <w:tr>
        <w:trPr>
          <w:trHeight w:val="31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资金进行现金管理的公告</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公</w:t>
            </w:r>
            <w:r>
              <w:rPr>
                <w:rFonts w:ascii="宋体" w:hAnsi="宋体" w:cs="宋体" w:eastAsia="宋体" w:hint="default"/>
                <w:sz w:val="18"/>
                <w:szCs w:val="18"/>
              </w:rPr>
              <w:t>告编号：</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29</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  </w:t>
            </w:r>
            <w:r>
              <w:rPr>
                <w:rFonts w:ascii="宋体" w:hAnsi="宋体" w:cs="宋体" w:eastAsia="宋体" w:hint="default"/>
                <w:spacing w:val="-3"/>
                <w:sz w:val="18"/>
                <w:szCs w:val="18"/>
              </w:rPr>
              <w:t>年</w:t>
            </w:r>
            <w:r>
              <w:rPr>
                <w:rFonts w:ascii="宋体" w:hAnsi="宋体" w:cs="宋体" w:eastAsia="宋体" w:hint="default"/>
                <w:sz w:val="18"/>
                <w:szCs w:val="18"/>
              </w:rPr>
              <w:t>度股东大会决议公告</w:t>
            </w:r>
            <w:r>
              <w:rPr>
                <w:rFonts w:ascii="宋体" w:hAnsi="宋体" w:cs="宋体" w:eastAsia="宋体" w:hint="default"/>
                <w:spacing w:val="-92"/>
                <w:sz w:val="18"/>
                <w:szCs w:val="18"/>
              </w:rPr>
              <w:t>》</w:t>
            </w:r>
            <w:r>
              <w:rPr>
                <w:rFonts w:ascii="宋体" w:hAnsi="宋体" w:cs="宋体" w:eastAsia="宋体" w:hint="default"/>
                <w:sz w:val="18"/>
                <w:szCs w:val="18"/>
              </w:rPr>
              <w:t>（公告</w:t>
            </w:r>
            <w:r>
              <w:rPr>
                <w:rFonts w:ascii="宋体" w:hAnsi="宋体" w:cs="宋体" w:eastAsia="宋体" w:hint="default"/>
                <w:spacing w:val="2"/>
                <w:sz w:val="18"/>
                <w:szCs w:val="18"/>
              </w:rPr>
              <w:t>编</w:t>
            </w:r>
            <w:r>
              <w:rPr>
                <w:rFonts w:ascii="宋体" w:hAnsi="宋体" w:cs="宋体" w:eastAsia="宋体" w:hint="default"/>
                <w:sz w:val="18"/>
                <w:szCs w:val="18"/>
              </w:rPr>
              <w:t>号：</w:t>
            </w:r>
          </w:p>
        </w:tc>
      </w:tr>
      <w:tr>
        <w:trPr>
          <w:trHeight w:val="353"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6</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357"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募集资金使用及披露</w:t>
            </w:r>
          </w:p>
        </w:tc>
        <w:tc>
          <w:tcPr>
            <w:tcW w:w="779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中存在的问题或其他</w:t>
            </w: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9"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情况</w:t>
            </w:r>
          </w:p>
        </w:tc>
        <w:tc>
          <w:tcPr>
            <w:tcW w:w="7799" w:type="dxa"/>
            <w:tcBorders>
              <w:top w:val="nil" w:sz="6" w:space="0" w:color="auto"/>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BodyText"/>
        <w:spacing w:line="240" w:lineRule="auto" w:before="44"/>
        <w:ind w:left="0" w:right="1133"/>
        <w:jc w:val="right"/>
      </w:pPr>
      <w:r>
        <w:rPr/>
        <w:pict>
          <v:shape style="position:absolute;margin-left:56.459999pt;margin-top:-217.018265pt;width:479.35pt;height:377.3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7"/>
                    <w:gridCol w:w="958"/>
                    <w:gridCol w:w="958"/>
                    <w:gridCol w:w="958"/>
                    <w:gridCol w:w="958"/>
                    <w:gridCol w:w="956"/>
                    <w:gridCol w:w="958"/>
                    <w:gridCol w:w="955"/>
                    <w:gridCol w:w="958"/>
                    <w:gridCol w:w="958"/>
                  </w:tblGrid>
                  <w:tr>
                    <w:trPr>
                      <w:trHeight w:val="1340"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383"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2"/>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59"/>
                          <w:ind w:left="1" w:right="0"/>
                          <w:jc w:val="center"/>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04" w:right="22" w:hanging="181"/>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713"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2" w:right="21"/>
                          <w:jc w:val="left"/>
                          <w:rPr>
                            <w:rFonts w:ascii="宋体" w:hAnsi="宋体" w:cs="宋体" w:eastAsia="宋体" w:hint="default"/>
                            <w:sz w:val="18"/>
                            <w:szCs w:val="18"/>
                          </w:rPr>
                        </w:pPr>
                        <w:r>
                          <w:rPr>
                            <w:rFonts w:ascii="宋体" w:hAnsi="宋体" w:cs="宋体" w:eastAsia="宋体" w:hint="default"/>
                            <w:sz w:val="18"/>
                            <w:szCs w:val="18"/>
                          </w:rPr>
                          <w:t>营销服务网 络建设项目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营销服务网 络建设项目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5,698.01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2,586.74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45.40%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82"/>
                          <w:jc w:val="righ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5,698.01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2,586.74</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13" w:right="0"/>
                          <w:jc w:val="lef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13"/>
                          <w:jc w:val="righ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354" w:hRule="exact"/>
                    </w:trPr>
                    <w:tc>
                      <w:tcPr>
                        <w:tcW w:w="2873"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6699" w:type="dxa"/>
                        <w:gridSpan w:val="7"/>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本报告期内公司未发生募集资金投资项目实施方式调整情况。以前年度发生情况如</w:t>
                        </w:r>
                      </w:p>
                    </w:tc>
                  </w:tr>
                  <w:tr>
                    <w:trPr>
                      <w:trHeight w:val="316"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下：募投项目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营销服务网络建设项目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原计划拟分别投资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432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万元在成都</w:t>
                        </w:r>
                      </w:p>
                    </w:tc>
                  </w:tr>
                  <w:tr>
                    <w:trPr>
                      <w:trHeight w:val="312"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及杭州购买办公楼，投资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420.41 </w:t>
                        </w:r>
                        <w:r>
                          <w:rPr>
                            <w:rFonts w:ascii="宋体" w:hAnsi="宋体" w:cs="宋体" w:eastAsia="宋体" w:hint="default"/>
                            <w:sz w:val="18"/>
                            <w:szCs w:val="18"/>
                          </w:rPr>
                          <w:t>万元在厦门、沈阳等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座城市租赁办公楼，为满足</w:t>
                        </w:r>
                      </w:p>
                    </w:tc>
                  </w:tr>
                  <w:tr>
                    <w:trPr>
                      <w:trHeight w:val="307"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成都分公司人才队伍壮大和未来业务拓展需要，成都分公司亟需扩充办公场地，吸引</w:t>
                        </w:r>
                      </w:p>
                    </w:tc>
                  </w:tr>
                  <w:tr>
                    <w:trPr>
                      <w:trHeight w:val="312"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优秀人才，随着近年来房地产价格不断上涨，成都分公司原拟用于购置办公楼及装修</w:t>
                        </w:r>
                      </w:p>
                    </w:tc>
                  </w:tr>
                  <w:tr>
                    <w:trPr>
                      <w:trHeight w:val="317"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的资金已不能满足当期的需求，故将取消在杭州购买及装修办公用房资金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432 </w:t>
                        </w:r>
                        <w:r>
                          <w:rPr>
                            <w:rFonts w:ascii="宋体" w:hAnsi="宋体" w:cs="宋体" w:eastAsia="宋体" w:hint="default"/>
                            <w:sz w:val="18"/>
                            <w:szCs w:val="18"/>
                          </w:rPr>
                          <w:t>万元，</w:t>
                        </w:r>
                      </w:p>
                    </w:tc>
                  </w:tr>
                  <w:tr>
                    <w:trPr>
                      <w:trHeight w:val="312"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取消原计划的基本预备费</w:t>
                        </w:r>
                        <w:r>
                          <w:rPr>
                            <w:rFonts w:ascii="宋体" w:hAnsi="宋体" w:cs="宋体" w:eastAsia="宋体" w:hint="default"/>
                            <w:spacing w:val="-62"/>
                            <w:sz w:val="18"/>
                            <w:szCs w:val="18"/>
                          </w:rPr>
                          <w:t> </w:t>
                        </w:r>
                        <w:r>
                          <w:rPr>
                            <w:rFonts w:ascii="Times New Roman" w:hAnsi="Times New Roman" w:cs="Times New Roman" w:eastAsia="Times New Roman" w:hint="default"/>
                            <w:spacing w:val="1"/>
                            <w:sz w:val="18"/>
                            <w:szCs w:val="18"/>
                          </w:rPr>
                          <w:t>271</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将成都分公司的场地投入增加至</w:t>
                        </w:r>
                        <w:r>
                          <w:rPr>
                            <w:rFonts w:ascii="宋体" w:hAnsi="宋体" w:cs="宋体" w:eastAsia="宋体" w:hint="default"/>
                            <w:spacing w:val="-61"/>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43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w:t>
                        </w:r>
                      </w:p>
                    </w:tc>
                  </w:tr>
                  <w:tr>
                    <w:trPr>
                      <w:trHeight w:val="312"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pacing w:val="-5"/>
                            <w:sz w:val="18"/>
                            <w:szCs w:val="18"/>
                          </w:rPr>
                          <w:t>变更原因、决策程序及信息披露情况</w:t>
                        </w: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增加后场地投入总投入由</w:t>
                        </w:r>
                        <w:r>
                          <w:rPr>
                            <w:rFonts w:ascii="宋体" w:hAnsi="宋体" w:cs="宋体" w:eastAsia="宋体" w:hint="default"/>
                            <w:spacing w:val="-6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万元变为</w:t>
                        </w:r>
                        <w:r>
                          <w:rPr>
                            <w:rFonts w:ascii="宋体" w:hAnsi="宋体" w:cs="宋体" w:eastAsia="宋体" w:hint="default"/>
                            <w:spacing w:val="-69"/>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本</w:t>
                        </w:r>
                        <w:r>
                          <w:rPr>
                            <w:rFonts w:ascii="宋体" w:hAnsi="宋体" w:cs="宋体" w:eastAsia="宋体" w:hint="default"/>
                            <w:spacing w:val="-3"/>
                            <w:sz w:val="18"/>
                            <w:szCs w:val="18"/>
                          </w:rPr>
                          <w:t>次</w:t>
                        </w:r>
                        <w:r>
                          <w:rPr>
                            <w:rFonts w:ascii="宋体" w:hAnsi="宋体" w:cs="宋体" w:eastAsia="宋体" w:hint="default"/>
                            <w:sz w:val="18"/>
                            <w:szCs w:val="18"/>
                          </w:rPr>
                          <w:t>调整用途金额为</w:t>
                        </w:r>
                        <w:r>
                          <w:rPr>
                            <w:rFonts w:ascii="宋体" w:hAnsi="宋体" w:cs="宋体" w:eastAsia="宋体" w:hint="default"/>
                            <w:spacing w:val="-66"/>
                            <w:sz w:val="18"/>
                            <w:szCs w:val="18"/>
                          </w:rPr>
                          <w:t> </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3</w:t>
                        </w:r>
                      </w:p>
                    </w:tc>
                  </w:tr>
                  <w:tr>
                    <w:trPr>
                      <w:trHeight w:val="312"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万元，杭州分公司将使用现有租赁的办公用房，其他办事处的租赁计划不变，调整后</w:t>
                        </w:r>
                      </w:p>
                    </w:tc>
                  </w:tr>
                  <w:tr>
                    <w:trPr>
                      <w:trHeight w:val="312"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营销服务网络建设项目投资总额不变。公司分别于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p>
                    </w:tc>
                  </w:tr>
                  <w:tr>
                    <w:trPr>
                      <w:trHeight w:val="312"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日召开第二届董事会第十次会议、第二届监事会第六次会议和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w:t>
                        </w:r>
                      </w:p>
                    </w:tc>
                  </w:tr>
                  <w:tr>
                    <w:trPr>
                      <w:trHeight w:val="307"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股东大会，审议通过了《关于调整部分募集资金投资项目具体投资计划的议案</w:t>
                        </w:r>
                        <w:r>
                          <w:rPr>
                            <w:rFonts w:ascii="宋体" w:hAnsi="宋体" w:cs="宋体" w:eastAsia="宋体" w:hint="default"/>
                            <w:spacing w:val="-92"/>
                            <w:sz w:val="18"/>
                            <w:szCs w:val="18"/>
                          </w:rPr>
                          <w:t>》</w:t>
                        </w:r>
                        <w:r>
                          <w:rPr>
                            <w:rFonts w:ascii="宋体" w:hAnsi="宋体" w:cs="宋体" w:eastAsia="宋体" w:hint="default"/>
                            <w:sz w:val="18"/>
                            <w:szCs w:val="18"/>
                          </w:rPr>
                          <w:t>，同</w:t>
                        </w:r>
                      </w:p>
                    </w:tc>
                  </w:tr>
                  <w:tr>
                    <w:trPr>
                      <w:trHeight w:val="317"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意公司根据实际情况和业务发展需要，调整募集资金投资项目之</w:t>
                        </w:r>
                        <w:r>
                          <w:rPr>
                            <w:rFonts w:ascii="Times New Roman" w:hAnsi="Times New Roman" w:cs="Times New Roman" w:eastAsia="Times New Roman" w:hint="default"/>
                            <w:sz w:val="18"/>
                            <w:szCs w:val="18"/>
                          </w:rPr>
                          <w:t>“</w:t>
                        </w:r>
                        <w:r>
                          <w:rPr>
                            <w:rFonts w:ascii="宋体" w:hAnsi="宋体" w:cs="宋体" w:eastAsia="宋体" w:hint="default"/>
                            <w:sz w:val="18"/>
                            <w:szCs w:val="18"/>
                          </w:rPr>
                          <w:t>营销服务网络建设</w:t>
                        </w:r>
                      </w:p>
                    </w:tc>
                  </w:tr>
                  <w:tr>
                    <w:trPr>
                      <w:trHeight w:val="312"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的具体投资计划。详情请见公司于</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日发布</w:t>
                        </w:r>
                      </w:p>
                    </w:tc>
                  </w:tr>
                  <w:tr>
                    <w:trPr>
                      <w:trHeight w:val="307"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的《关于调整部分募集资金投资项目具体投资计划的公告》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2017-064)</w:t>
                        </w:r>
                        <w:r>
                          <w:rPr>
                            <w:rFonts w:ascii="宋体" w:hAnsi="宋体" w:cs="宋体" w:eastAsia="宋体" w:hint="default"/>
                            <w:sz w:val="18"/>
                            <w:szCs w:val="18"/>
                          </w:rPr>
                          <w:t>、</w:t>
                        </w:r>
                      </w:p>
                    </w:tc>
                  </w:tr>
                  <w:tr>
                    <w:trPr>
                      <w:trHeight w:val="360" w:hRule="exact"/>
                    </w:trPr>
                    <w:tc>
                      <w:tcPr>
                        <w:tcW w:w="2873"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6699" w:type="dxa"/>
                        <w:gridSpan w:val="7"/>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年第一次临时股东大会决议公告》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2018-006)</w:t>
                        </w:r>
                        <w:r>
                          <w:rPr>
                            <w:rFonts w:ascii="宋体" w:hAnsi="宋体" w:cs="宋体" w:eastAsia="宋体" w:hint="default"/>
                            <w:sz w:val="18"/>
                            <w:szCs w:val="18"/>
                          </w:rPr>
                          <w:t>。</w:t>
                        </w:r>
                      </w:p>
                    </w:tc>
                  </w:tr>
                </w:tbl>
                <w:p>
                  <w:pPr/>
                </w:p>
              </w:txbxContent>
            </v:textbox>
            <w10:wrap type="none"/>
          </v:shape>
        </w:pict>
      </w:r>
      <w:r>
        <w:rPr/>
        <w:t>，</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73"/>
        <w:gridCol w:w="6699"/>
      </w:tblGrid>
      <w:tr>
        <w:trPr>
          <w:trHeight w:val="713"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营销服务网络建设项目未达到计划进度是由于国家政策和公司新时期的战略对技术 支持和客户服务的规划发生了新的变化，营销网络的建设进度有一定程度的延缓。</w:t>
            </w:r>
          </w:p>
        </w:tc>
      </w:tr>
      <w:tr>
        <w:trPr>
          <w:trHeight w:val="715"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sz w:val="18"/>
          <w:szCs w:val="18"/>
        </w:rPr>
      </w:pPr>
    </w:p>
    <w:p>
      <w:pPr>
        <w:pStyle w:val="Heading2"/>
        <w:spacing w:line="367" w:lineRule="exact"/>
        <w:ind w:right="967"/>
        <w:jc w:val="left"/>
        <w:rPr>
          <w:b w:val="0"/>
          <w:bCs w:val="0"/>
        </w:rPr>
      </w:pPr>
      <w:r>
        <w:rPr/>
        <w:t>六、重大资产和股权出售</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967"/>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4"/>
        <w:rPr>
          <w:rFonts w:ascii="宋体" w:hAnsi="宋体" w:cs="宋体" w:eastAsia="宋体" w:hint="default"/>
          <w:sz w:val="16"/>
          <w:szCs w:val="16"/>
        </w:rPr>
      </w:pPr>
    </w:p>
    <w:p>
      <w:pPr>
        <w:pStyle w:val="Heading4"/>
        <w:spacing w:line="240" w:lineRule="auto"/>
        <w:ind w:right="967"/>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967"/>
        <w:jc w:val="left"/>
        <w:rPr>
          <w:b w:val="0"/>
          <w:bCs w:val="0"/>
        </w:rPr>
      </w:pPr>
      <w:r>
        <w:rPr/>
        <w:t>七、主要控股参股公司分析</w:t>
      </w:r>
      <w:r>
        <w:rPr>
          <w:b w:val="0"/>
          <w:bCs w:val="0"/>
        </w:rPr>
      </w:r>
    </w:p>
    <w:p>
      <w:pPr>
        <w:spacing w:line="240" w:lineRule="auto" w:before="14"/>
        <w:rPr>
          <w:rFonts w:ascii="Microsoft JhengHei" w:hAnsi="Microsoft JhengHei" w:cs="Microsoft JhengHei" w:eastAsia="Microsoft JhengHei" w:hint="default"/>
          <w:b/>
          <w:bCs/>
          <w:sz w:val="15"/>
          <w:szCs w:val="15"/>
        </w:rPr>
      </w:pPr>
    </w:p>
    <w:p>
      <w:pPr>
        <w:spacing w:after="0" w:line="240" w:lineRule="auto"/>
        <w:rPr>
          <w:rFonts w:ascii="Microsoft JhengHei" w:hAnsi="Microsoft JhengHei" w:cs="Microsoft JhengHei" w:eastAsia="Microsoft JhengHei" w:hint="default"/>
          <w:sz w:val="15"/>
          <w:szCs w:val="15"/>
        </w:rPr>
        <w:sectPr>
          <w:pgSz w:w="11910" w:h="16840"/>
          <w:pgMar w:header="745" w:footer="979" w:top="1060" w:bottom="1160" w:left="980" w:right="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851" w:space="4069"/>
            <w:col w:w="2010"/>
          </w:cols>
        </w:sectPr>
      </w:pP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5"/>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北京中交金 溢科技有限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营运车联网 及场站管理 业务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6"/>
              <w:jc w:val="right"/>
              <w:rPr>
                <w:rFonts w:ascii="Times New Roman" w:hAnsi="Times New Roman" w:cs="Times New Roman" w:eastAsia="Times New Roman" w:hint="default"/>
                <w:sz w:val="18"/>
                <w:szCs w:val="18"/>
              </w:rPr>
            </w:pPr>
            <w:r>
              <w:rPr>
                <w:rFonts w:ascii="Times New Roman"/>
                <w:spacing w:val="-1"/>
                <w:sz w:val="18"/>
              </w:rPr>
              <w:t>12,000,000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10,996,831.3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1,631,655.91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10,015,815.1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19" w:right="0"/>
              <w:jc w:val="center"/>
              <w:rPr>
                <w:rFonts w:ascii="Times New Roman" w:hAnsi="Times New Roman" w:cs="Times New Roman" w:eastAsia="Times New Roman" w:hint="default"/>
                <w:sz w:val="18"/>
                <w:szCs w:val="18"/>
              </w:rPr>
            </w:pPr>
            <w:r>
              <w:rPr>
                <w:rFonts w:ascii="Times New Roman"/>
                <w:sz w:val="18"/>
              </w:rPr>
              <w:t>-640,634.84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-642,263.72</w:t>
            </w:r>
          </w:p>
        </w:tc>
      </w:tr>
      <w:tr>
        <w:trPr>
          <w:trHeight w:val="71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青岛金溢科 技有限公司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生产基地、 测试</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6"/>
              <w:jc w:val="right"/>
              <w:rPr>
                <w:rFonts w:ascii="Times New Roman" w:hAnsi="Times New Roman" w:cs="Times New Roman" w:eastAsia="Times New Roman" w:hint="default"/>
                <w:sz w:val="18"/>
                <w:szCs w:val="18"/>
              </w:rPr>
            </w:pPr>
            <w:r>
              <w:rPr>
                <w:rFonts w:ascii="Times New Roman"/>
                <w:spacing w:val="-1"/>
                <w:sz w:val="18"/>
              </w:rPr>
              <w:t>50,000,000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83,558,744.2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17,272,331.3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-3,474,692.9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-3,474,262.9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w:t>
            </w:r>
          </w:p>
        </w:tc>
      </w:tr>
      <w:tr>
        <w:trPr>
          <w:trHeight w:val="102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17"/>
              <w:jc w:val="both"/>
              <w:rPr>
                <w:rFonts w:ascii="宋体" w:hAnsi="宋体" w:cs="宋体" w:eastAsia="宋体" w:hint="default"/>
                <w:sz w:val="18"/>
                <w:szCs w:val="18"/>
              </w:rPr>
            </w:pPr>
            <w:r>
              <w:rPr>
                <w:rFonts w:ascii="宋体" w:hAnsi="宋体" w:cs="宋体" w:eastAsia="宋体" w:hint="default"/>
                <w:sz w:val="18"/>
                <w:szCs w:val="18"/>
              </w:rPr>
              <w:t>伟龙金溢科 技</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停车收费管 理智能化业 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6"/>
              <w:jc w:val="right"/>
              <w:rPr>
                <w:rFonts w:ascii="Times New Roman" w:hAnsi="Times New Roman" w:cs="Times New Roman" w:eastAsia="Times New Roman" w:hint="default"/>
                <w:sz w:val="18"/>
                <w:szCs w:val="18"/>
              </w:rPr>
            </w:pPr>
            <w:r>
              <w:rPr>
                <w:rFonts w:ascii="Times New Roman"/>
                <w:spacing w:val="-1"/>
                <w:sz w:val="18"/>
              </w:rPr>
              <w:t>13,000,000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16,251,476.7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-20,973,465.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16,687,920.3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-5,474,457.2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-5,478,381.6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w:t>
            </w:r>
          </w:p>
        </w:tc>
      </w:tr>
      <w:tr>
        <w:trPr>
          <w:trHeight w:val="133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广东华信金 溢信息技术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UHF </w:t>
            </w:r>
            <w:r>
              <w:rPr>
                <w:rFonts w:ascii="宋体" w:hAnsi="宋体" w:cs="宋体" w:eastAsia="宋体" w:hint="default"/>
                <w:sz w:val="18"/>
                <w:szCs w:val="18"/>
              </w:rPr>
              <w:t>频段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读写设 备及解决方 案提供</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6"/>
              <w:jc w:val="right"/>
              <w:rPr>
                <w:rFonts w:ascii="Times New Roman" w:hAnsi="Times New Roman" w:cs="Times New Roman" w:eastAsia="Times New Roman" w:hint="default"/>
                <w:sz w:val="18"/>
                <w:szCs w:val="18"/>
              </w:rPr>
            </w:pPr>
            <w:r>
              <w:rPr>
                <w:rFonts w:ascii="Times New Roman"/>
                <w:spacing w:val="-1"/>
                <w:sz w:val="18"/>
              </w:rPr>
              <w:t>10,000,000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209,090.11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-7,410,399.5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9" w:right="0"/>
              <w:jc w:val="center"/>
              <w:rPr>
                <w:rFonts w:ascii="Times New Roman" w:hAnsi="Times New Roman" w:cs="Times New Roman" w:eastAsia="Times New Roman" w:hint="default"/>
                <w:sz w:val="18"/>
                <w:szCs w:val="18"/>
              </w:rPr>
            </w:pPr>
            <w:r>
              <w:rPr>
                <w:rFonts w:ascii="Times New Roman"/>
                <w:sz w:val="18"/>
              </w:rPr>
              <w:t>-174,767.57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-187,371.09</w:t>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佛山金溢科 技有限公司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生产基地</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6"/>
              <w:jc w:val="right"/>
              <w:rPr>
                <w:rFonts w:ascii="Times New Roman" w:hAnsi="Times New Roman" w:cs="Times New Roman" w:eastAsia="Times New Roman" w:hint="default"/>
                <w:sz w:val="18"/>
                <w:szCs w:val="18"/>
              </w:rPr>
            </w:pPr>
            <w:r>
              <w:rPr>
                <w:rFonts w:ascii="Times New Roman"/>
                <w:spacing w:val="-1"/>
                <w:sz w:val="18"/>
              </w:rPr>
              <w:t>80,000,000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343,501,410.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307,800,297.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-1,976,877.9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-1,974,869.6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w:t>
            </w:r>
          </w:p>
        </w:tc>
      </w:tr>
      <w:tr>
        <w:trPr>
          <w:trHeight w:val="360"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车辆电</w:t>
            </w:r>
          </w:p>
        </w:tc>
        <w:tc>
          <w:tcPr>
            <w:tcW w:w="1044" w:type="dxa"/>
            <w:tcBorders>
              <w:top w:val="single" w:sz="4" w:space="0" w:color="000000"/>
              <w:left w:val="single" w:sz="4" w:space="0" w:color="000000"/>
              <w:bottom w:val="nil" w:sz="6" w:space="0" w:color="auto"/>
              <w:right w:val="single" w:sz="4" w:space="0" w:color="000000"/>
            </w:tcBorders>
          </w:tcPr>
          <w:p>
            <w:pPr/>
          </w:p>
        </w:tc>
        <w:tc>
          <w:tcPr>
            <w:tcW w:w="1047"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619"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118"/>
              <w:jc w:val="left"/>
              <w:rPr>
                <w:rFonts w:ascii="宋体" w:hAnsi="宋体" w:cs="宋体" w:eastAsia="宋体" w:hint="default"/>
                <w:sz w:val="18"/>
                <w:szCs w:val="18"/>
              </w:rPr>
            </w:pPr>
            <w:r>
              <w:rPr>
                <w:rFonts w:ascii="宋体" w:hAnsi="宋体" w:cs="宋体" w:eastAsia="宋体" w:hint="default"/>
                <w:sz w:val="18"/>
                <w:szCs w:val="18"/>
              </w:rPr>
              <w:t>无锡金溢科 技有限公司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110"/>
              <w:jc w:val="left"/>
              <w:rPr>
                <w:rFonts w:ascii="宋体" w:hAnsi="宋体" w:cs="宋体" w:eastAsia="宋体" w:hint="default"/>
                <w:sz w:val="18"/>
                <w:szCs w:val="18"/>
              </w:rPr>
            </w:pPr>
            <w:r>
              <w:rPr>
                <w:rFonts w:ascii="宋体" w:hAnsi="宋体" w:cs="宋体" w:eastAsia="宋体" w:hint="default"/>
                <w:sz w:val="18"/>
                <w:szCs w:val="18"/>
              </w:rPr>
              <w:t>子标签设备 及解决方案</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6"/>
              <w:jc w:val="right"/>
              <w:rPr>
                <w:rFonts w:ascii="Times New Roman" w:hAnsi="Times New Roman" w:cs="Times New Roman" w:eastAsia="Times New Roman" w:hint="default"/>
                <w:sz w:val="18"/>
                <w:szCs w:val="18"/>
              </w:rPr>
            </w:pPr>
            <w:r>
              <w:rPr>
                <w:rFonts w:ascii="Times New Roman"/>
                <w:spacing w:val="-1"/>
                <w:sz w:val="18"/>
              </w:rPr>
              <w:t>10,000,000</w:t>
            </w:r>
          </w:p>
        </w:tc>
        <w:tc>
          <w:tcPr>
            <w:tcW w:w="104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907,550.68</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17" w:right="0"/>
              <w:jc w:val="center"/>
              <w:rPr>
                <w:rFonts w:ascii="Times New Roman" w:hAnsi="Times New Roman" w:cs="Times New Roman" w:eastAsia="Times New Roman" w:hint="default"/>
                <w:sz w:val="18"/>
                <w:szCs w:val="18"/>
              </w:rPr>
            </w:pPr>
            <w:r>
              <w:rPr>
                <w:rFonts w:ascii="Times New Roman"/>
                <w:sz w:val="18"/>
              </w:rPr>
              <w:t>-896,670.73</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19" w:right="0"/>
              <w:jc w:val="center"/>
              <w:rPr>
                <w:rFonts w:ascii="Times New Roman" w:hAnsi="Times New Roman" w:cs="Times New Roman" w:eastAsia="Times New Roman" w:hint="default"/>
                <w:sz w:val="18"/>
                <w:szCs w:val="18"/>
              </w:rPr>
            </w:pPr>
            <w:r>
              <w:rPr>
                <w:rFonts w:ascii="Times New Roman"/>
                <w:sz w:val="18"/>
              </w:rPr>
              <w:t>-768,187.30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-768,187.30</w:t>
            </w:r>
          </w:p>
        </w:tc>
      </w:tr>
      <w:tr>
        <w:trPr>
          <w:trHeight w:val="360"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提供</w:t>
            </w:r>
          </w:p>
        </w:tc>
        <w:tc>
          <w:tcPr>
            <w:tcW w:w="1044" w:type="dxa"/>
            <w:tcBorders>
              <w:top w:val="nil" w:sz="6" w:space="0" w:color="auto"/>
              <w:left w:val="single" w:sz="4" w:space="0" w:color="000000"/>
              <w:bottom w:val="single" w:sz="4" w:space="0" w:color="000000"/>
              <w:right w:val="single" w:sz="4" w:space="0" w:color="000000"/>
            </w:tcBorders>
          </w:tcPr>
          <w:p>
            <w:pPr/>
          </w:p>
        </w:tc>
        <w:tc>
          <w:tcPr>
            <w:tcW w:w="1047"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49"/>
        <w:ind w:right="967"/>
        <w:jc w:val="left"/>
      </w:pPr>
      <w:r>
        <w:rPr/>
        <w:t>报告期内取得和处置子公司的情况</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pStyle w:val="BodyText"/>
        <w:spacing w:line="348"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主要控股参股公司情况说明 无</w:t>
      </w:r>
    </w:p>
    <w:p>
      <w:pPr>
        <w:spacing w:line="240" w:lineRule="auto" w:before="3"/>
        <w:rPr>
          <w:rFonts w:ascii="宋体" w:hAnsi="宋体" w:cs="宋体" w:eastAsia="宋体" w:hint="default"/>
          <w:sz w:val="13"/>
          <w:szCs w:val="13"/>
        </w:rPr>
      </w:pPr>
    </w:p>
    <w:p>
      <w:pPr>
        <w:pStyle w:val="Heading2"/>
        <w:spacing w:line="240" w:lineRule="auto"/>
        <w:ind w:right="967"/>
        <w:jc w:val="left"/>
        <w:rPr>
          <w:b w:val="0"/>
          <w:bCs w:val="0"/>
        </w:rPr>
      </w:pPr>
      <w:r>
        <w:rPr/>
        <w:t>八、公司控制的结构化主体情况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967"/>
        <w:jc w:val="left"/>
        <w:rPr>
          <w:b w:val="0"/>
          <w:bCs w:val="0"/>
        </w:rPr>
      </w:pPr>
      <w:r>
        <w:rPr/>
        <w:t>九、公司未来发展的展望</w:t>
      </w:r>
      <w:r>
        <w:rPr>
          <w:b w:val="0"/>
          <w:bCs w:val="0"/>
        </w:rPr>
      </w:r>
    </w:p>
    <w:p>
      <w:pPr>
        <w:spacing w:line="240" w:lineRule="auto" w:before="16"/>
        <w:rPr>
          <w:rFonts w:ascii="Microsoft JhengHei" w:hAnsi="Microsoft JhengHei" w:cs="Microsoft JhengHei" w:eastAsia="Microsoft JhengHei" w:hint="default"/>
          <w:b/>
          <w:bCs/>
          <w:sz w:val="14"/>
          <w:szCs w:val="14"/>
        </w:rPr>
      </w:pPr>
    </w:p>
    <w:p>
      <w:pPr>
        <w:pStyle w:val="Heading5"/>
        <w:spacing w:line="240" w:lineRule="auto"/>
        <w:ind w:right="967"/>
        <w:jc w:val="left"/>
        <w:rPr>
          <w:b w:val="0"/>
          <w:bCs w:val="0"/>
        </w:rPr>
      </w:pPr>
      <w:r>
        <w:rPr/>
        <w:t>（一）行业格局和趋势</w:t>
      </w:r>
      <w:r>
        <w:rPr>
          <w:b w:val="0"/>
          <w:bCs w:val="0"/>
        </w:rPr>
      </w:r>
    </w:p>
    <w:p>
      <w:pPr>
        <w:pStyle w:val="Heading5"/>
        <w:spacing w:line="240" w:lineRule="auto" w:before="40"/>
        <w:ind w:right="967"/>
        <w:jc w:val="left"/>
        <w:rPr>
          <w:b w:val="0"/>
          <w:bCs w:val="0"/>
        </w:rPr>
      </w:pPr>
      <w:r>
        <w:rPr>
          <w:rFonts w:ascii="Times New Roman" w:hAnsi="Times New Roman" w:cs="Times New Roman" w:eastAsia="Times New Roman" w:hint="default"/>
        </w:rPr>
        <w:t>1</w:t>
      </w:r>
      <w:r>
        <w:rPr/>
        <w:t>、路域</w:t>
      </w:r>
      <w:r>
        <w:rPr>
          <w:b w:val="0"/>
          <w:bCs w:val="0"/>
        </w:rPr>
      </w:r>
    </w:p>
    <w:p>
      <w:pPr>
        <w:pStyle w:val="BodyText"/>
        <w:spacing w:line="300" w:lineRule="auto" w:before="96"/>
        <w:ind w:right="1038" w:firstLine="36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spacing w:val="-5"/>
        </w:rPr>
        <w:t>年，在取消省界收费站政策的推动下，</w:t>
      </w:r>
      <w:r>
        <w:rPr>
          <w:rFonts w:ascii="Times New Roman" w:hAnsi="Times New Roman" w:cs="Times New Roman" w:eastAsia="Times New Roman" w:hint="default"/>
          <w:spacing w:val="-5"/>
        </w:rPr>
        <w:t>ETC</w:t>
      </w:r>
      <w:r>
        <w:rPr>
          <w:rFonts w:ascii="Times New Roman" w:hAnsi="Times New Roman" w:cs="Times New Roman" w:eastAsia="Times New Roman" w:hint="default"/>
        </w:rPr>
        <w:t> </w:t>
      </w:r>
      <w:r>
        <w:rPr>
          <w:spacing w:val="-3"/>
        </w:rPr>
        <w:t>行业实现了跨越式的发展。</w:t>
      </w:r>
      <w:r>
        <w:rPr>
          <w:rFonts w:ascii="Times New Roman" w:hAnsi="Times New Roman" w:cs="Times New Roman" w:eastAsia="Times New Roman" w:hint="default"/>
          <w:spacing w:val="-3"/>
        </w:rPr>
        <w:t>2020</w:t>
      </w:r>
      <w:r>
        <w:rPr>
          <w:rFonts w:ascii="Times New Roman" w:hAnsi="Times New Roman" w:cs="Times New Roman" w:eastAsia="Times New Roman" w:hint="default"/>
          <w:spacing w:val="2"/>
        </w:rPr>
        <w:t> </w:t>
      </w:r>
      <w:r>
        <w:rPr>
          <w:spacing w:val="-11"/>
        </w:rPr>
        <w:t>年，全国</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亿</w:t>
      </w:r>
      <w:r>
        <w:rPr>
          <w:spacing w:val="-45"/>
        </w:rPr>
        <w:t> </w:t>
      </w:r>
      <w:r>
        <w:rPr>
          <w:rFonts w:ascii="Times New Roman" w:hAnsi="Times New Roman" w:cs="Times New Roman" w:eastAsia="Times New Roman" w:hint="default"/>
        </w:rPr>
        <w:t>ETC</w:t>
      </w:r>
      <w:r>
        <w:rPr>
          <w:rFonts w:ascii="Times New Roman" w:hAnsi="Times New Roman" w:cs="Times New Roman" w:eastAsia="Times New Roman" w:hint="default"/>
          <w:spacing w:val="1"/>
        </w:rPr>
        <w:t> </w:t>
      </w:r>
      <w:r>
        <w:rPr/>
        <w:t>车辆的庞大用户群， 为</w:t>
      </w:r>
      <w:r>
        <w:rPr>
          <w:spacing w:val="-42"/>
        </w:rPr>
        <w:t> </w:t>
      </w:r>
      <w:r>
        <w:rPr>
          <w:rFonts w:ascii="Times New Roman" w:hAnsi="Times New Roman" w:cs="Times New Roman" w:eastAsia="Times New Roman" w:hint="default"/>
        </w:rPr>
        <w:t>ETC</w:t>
      </w:r>
      <w:r>
        <w:rPr>
          <w:rFonts w:ascii="Times New Roman" w:hAnsi="Times New Roman" w:cs="Times New Roman" w:eastAsia="Times New Roman" w:hint="default"/>
          <w:spacing w:val="2"/>
        </w:rPr>
        <w:t> </w:t>
      </w:r>
      <w:r>
        <w:rPr/>
        <w:t>向高速以外的场景拓展应用及拓展基于</w:t>
      </w:r>
      <w:r>
        <w:rPr>
          <w:spacing w:val="-42"/>
        </w:rPr>
        <w:t> </w:t>
      </w:r>
      <w:r>
        <w:rPr>
          <w:rFonts w:ascii="Times New Roman" w:hAnsi="Times New Roman" w:cs="Times New Roman" w:eastAsia="Times New Roman" w:hint="default"/>
        </w:rPr>
        <w:t>ETC</w:t>
      </w:r>
      <w:r>
        <w:rPr>
          <w:rFonts w:ascii="Times New Roman" w:hAnsi="Times New Roman" w:cs="Times New Roman" w:eastAsia="Times New Roman" w:hint="default"/>
          <w:spacing w:val="2"/>
        </w:rPr>
        <w:t> </w:t>
      </w:r>
      <w:r>
        <w:rPr>
          <w:spacing w:val="-4"/>
        </w:rPr>
        <w:t>技术的无感支付应用奠定了最重要的基础。</w:t>
      </w:r>
      <w:r>
        <w:rPr>
          <w:rFonts w:ascii="Times New Roman" w:hAnsi="Times New Roman" w:cs="Times New Roman" w:eastAsia="Times New Roman" w:hint="default"/>
          <w:spacing w:val="-4"/>
        </w:rPr>
        <w:t>ETC</w:t>
      </w:r>
      <w:r>
        <w:rPr>
          <w:rFonts w:ascii="Times New Roman" w:hAnsi="Times New Roman" w:cs="Times New Roman" w:eastAsia="Times New Roman" w:hint="default"/>
          <w:spacing w:val="3"/>
        </w:rPr>
        <w:t> </w:t>
      </w:r>
      <w:r>
        <w:rPr/>
        <w:t>独有的车辆身份精准识</w:t>
      </w:r>
      <w:r>
        <w:rPr>
          <w:spacing w:val="-85"/>
        </w:rPr>
        <w:t> </w:t>
      </w:r>
      <w:r>
        <w:rPr>
          <w:spacing w:val="-85"/>
        </w:rPr>
      </w:r>
      <w:r>
        <w:rPr/>
        <w:t>别和符合金融级安全规范的小额支付特征也为开展</w:t>
      </w:r>
      <w:r>
        <w:rPr>
          <w:spacing w:val="-46"/>
        </w:rPr>
        <w:t> </w:t>
      </w:r>
      <w:r>
        <w:rPr>
          <w:rFonts w:ascii="Times New Roman" w:hAnsi="Times New Roman" w:cs="Times New Roman" w:eastAsia="Times New Roman" w:hint="default"/>
        </w:rPr>
        <w:t>ETC</w:t>
      </w:r>
      <w:r>
        <w:rPr>
          <w:rFonts w:ascii="Times New Roman" w:hAnsi="Times New Roman" w:cs="Times New Roman" w:eastAsia="Times New Roman" w:hint="default"/>
          <w:spacing w:val="-2"/>
        </w:rPr>
        <w:t> </w:t>
      </w:r>
      <w:r>
        <w:rPr/>
        <w:t>无感支付应用提供了核心技术支撑和交易安全保障。</w:t>
      </w:r>
      <w:r>
        <w:rPr>
          <w:rFonts w:ascii="Times New Roman" w:hAnsi="Times New Roman" w:cs="Times New Roman" w:eastAsia="Times New Roman" w:hint="default"/>
        </w:rPr>
        <w:t>2020 </w:t>
      </w:r>
      <w:r>
        <w:rPr>
          <w:spacing w:val="-3"/>
        </w:rPr>
        <w:t>年，在高</w:t>
      </w:r>
      <w:r>
        <w:rPr/>
        <w:t> 速领域，存量汽车及新增车辆中需要安装</w:t>
      </w:r>
      <w:r>
        <w:rPr>
          <w:spacing w:val="-45"/>
        </w:rPr>
        <w:t> </w:t>
      </w:r>
      <w:r>
        <w:rPr>
          <w:rFonts w:ascii="Times New Roman" w:hAnsi="Times New Roman" w:cs="Times New Roman" w:eastAsia="Times New Roman" w:hint="default"/>
        </w:rPr>
        <w:t>ETC</w:t>
      </w:r>
      <w:r>
        <w:rPr>
          <w:rFonts w:ascii="Times New Roman" w:hAnsi="Times New Roman" w:cs="Times New Roman" w:eastAsia="Times New Roman" w:hint="default"/>
          <w:spacing w:val="-1"/>
        </w:rPr>
        <w:t> </w:t>
      </w:r>
      <w:r>
        <w:rPr/>
        <w:t>的车辆仍有相当的规模，随着全国联调的第一批设备即将过质保期，</w:t>
      </w:r>
      <w:r>
        <w:rPr>
          <w:rFonts w:ascii="Times New Roman" w:hAnsi="Times New Roman" w:cs="Times New Roman" w:eastAsia="Times New Roman" w:hint="default"/>
        </w:rPr>
        <w:t>ETC</w:t>
      </w:r>
      <w:r>
        <w:rPr>
          <w:rFonts w:ascii="Times New Roman" w:hAnsi="Times New Roman" w:cs="Times New Roman" w:eastAsia="Times New Roman" w:hint="default"/>
          <w:spacing w:val="2"/>
        </w:rPr>
        <w:t> </w:t>
      </w:r>
      <w:r>
        <w:rPr/>
        <w:t>设 备也会迎来一波更换期，同时新建高速公路的出入口、中间门架系统，都将新增 </w:t>
      </w:r>
      <w:r>
        <w:rPr>
          <w:rFonts w:ascii="Times New Roman" w:hAnsi="Times New Roman" w:cs="Times New Roman" w:eastAsia="Times New Roman" w:hint="default"/>
        </w:rPr>
        <w:t>RSU </w:t>
      </w:r>
      <w:r>
        <w:rPr/>
        <w:t>采购需求。</w:t>
      </w:r>
      <w:r>
        <w:rPr>
          <w:rFonts w:ascii="Times New Roman" w:hAnsi="Times New Roman" w:cs="Times New Roman" w:eastAsia="Times New Roman" w:hint="default"/>
        </w:rPr>
        <w:t>2020 </w:t>
      </w:r>
      <w:r>
        <w:rPr/>
        <w:t>年高速公路 </w:t>
      </w:r>
      <w:r>
        <w:rPr>
          <w:rFonts w:ascii="Times New Roman" w:hAnsi="Times New Roman" w:cs="Times New Roman" w:eastAsia="Times New Roman" w:hint="default"/>
        </w:rPr>
        <w:t>ETC</w:t>
      </w:r>
      <w:r>
        <w:rPr>
          <w:rFonts w:ascii="Times New Roman" w:hAnsi="Times New Roman" w:cs="Times New Roman" w:eastAsia="Times New Roman" w:hint="default"/>
          <w:spacing w:val="-10"/>
        </w:rPr>
        <w:t> </w:t>
      </w:r>
      <w:r>
        <w:rPr/>
        <w:t>领 域，因为</w:t>
      </w:r>
      <w:r>
        <w:rPr>
          <w:spacing w:val="-46"/>
        </w:rPr>
        <w:t> </w:t>
      </w:r>
      <w:r>
        <w:rPr>
          <w:rFonts w:ascii="Times New Roman" w:hAnsi="Times New Roman" w:cs="Times New Roman" w:eastAsia="Times New Roman" w:hint="default"/>
        </w:rPr>
        <w:t>ETC</w:t>
      </w:r>
      <w:r>
        <w:rPr>
          <w:rFonts w:ascii="Times New Roman" w:hAnsi="Times New Roman" w:cs="Times New Roman" w:eastAsia="Times New Roman" w:hint="default"/>
          <w:spacing w:val="-2"/>
        </w:rPr>
        <w:t> </w:t>
      </w:r>
      <w:r>
        <w:rPr/>
        <w:t>产品的供需紧张关系将比</w:t>
      </w:r>
      <w:r>
        <w:rPr>
          <w:spacing w:val="-46"/>
        </w:rPr>
        <w:t> </w:t>
      </w:r>
      <w:r>
        <w:rPr>
          <w:rFonts w:ascii="Times New Roman" w:hAnsi="Times New Roman" w:cs="Times New Roman" w:eastAsia="Times New Roman" w:hint="default"/>
        </w:rPr>
        <w:t>2019 </w:t>
      </w:r>
      <w:r>
        <w:rPr/>
        <w:t>年缓解，产品质量、性能和服务在市场竞争中更为重要。</w:t>
      </w:r>
    </w:p>
    <w:p>
      <w:pPr>
        <w:pStyle w:val="Heading5"/>
        <w:spacing w:line="307" w:lineRule="exact"/>
        <w:ind w:right="967"/>
        <w:jc w:val="left"/>
        <w:rPr>
          <w:b w:val="0"/>
          <w:bCs w:val="0"/>
        </w:rPr>
      </w:pPr>
      <w:r>
        <w:rPr>
          <w:rFonts w:ascii="Times New Roman" w:hAnsi="Times New Roman" w:cs="Times New Roman" w:eastAsia="Times New Roman" w:hint="default"/>
        </w:rPr>
        <w:t>2</w:t>
      </w:r>
      <w:r>
        <w:rPr/>
        <w:t>、车域</w:t>
      </w:r>
      <w:r>
        <w:rPr>
          <w:b w:val="0"/>
          <w:bCs w:val="0"/>
        </w:rPr>
      </w:r>
    </w:p>
    <w:p>
      <w:pPr>
        <w:pStyle w:val="BodyText"/>
        <w:spacing w:line="300" w:lineRule="auto" w:before="96"/>
        <w:ind w:right="1131" w:firstLine="360"/>
        <w:jc w:val="both"/>
      </w:pP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6</w:t>
      </w:r>
      <w:r>
        <w:rPr>
          <w:spacing w:val="-2"/>
        </w:rPr>
        <w:t>日，国家工信部发布关于调整《道路机动车辆产品准入审查要求》相关内容的通知，针对车辆生产企业及检</w:t>
      </w:r>
      <w:r>
        <w:rPr/>
        <w:t> </w:t>
      </w:r>
      <w:r>
        <w:rPr>
          <w:spacing w:val="-4"/>
        </w:rPr>
        <w:t>测机构，要求选装</w:t>
      </w:r>
      <w:r>
        <w:rPr>
          <w:rFonts w:ascii="Times New Roman" w:hAnsi="Times New Roman" w:cs="Times New Roman" w:eastAsia="Times New Roman" w:hint="default"/>
          <w:spacing w:val="-4"/>
        </w:rPr>
        <w:t>ETC</w:t>
      </w:r>
      <w:r>
        <w:rPr>
          <w:spacing w:val="-4"/>
        </w:rPr>
        <w:t>装置的车辆应按照相关标准进行检测，自</w:t>
      </w:r>
      <w:r>
        <w:rPr>
          <w:rFonts w:ascii="Times New Roman" w:hAnsi="Times New Roman" w:cs="Times New Roman" w:eastAsia="Times New Roman" w:hint="default"/>
          <w:spacing w:val="-4"/>
        </w:rPr>
        <w:t>2020</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1</w:t>
      </w:r>
      <w:r>
        <w:rPr>
          <w:spacing w:val="-4"/>
        </w:rPr>
        <w:t>日起，新申请批准的车型应在选装配置中增加</w:t>
      </w:r>
      <w:r>
        <w:rPr>
          <w:rFonts w:ascii="Times New Roman" w:hAnsi="Times New Roman" w:cs="Times New Roman" w:eastAsia="Times New Roman" w:hint="default"/>
          <w:spacing w:val="-4"/>
        </w:rPr>
        <w:t>ETC</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spacing w:val="-1"/>
        </w:rPr>
        <w:t>车载装置。</w:t>
      </w:r>
      <w:r>
        <w:rPr>
          <w:rFonts w:ascii="Times New Roman" w:hAnsi="Times New Roman" w:cs="Times New Roman" w:eastAsia="Times New Roman" w:hint="default"/>
          <w:spacing w:val="-1"/>
        </w:rPr>
        <w:t>ETC</w:t>
      </w:r>
      <w:r>
        <w:rPr>
          <w:spacing w:val="-1"/>
        </w:rPr>
        <w:t>车载装置预计最快将在这两三年内从后装市场基本转变为前装市场，目前各汽车厂商已加紧完成前装</w:t>
      </w:r>
      <w:r>
        <w:rPr>
          <w:rFonts w:ascii="Times New Roman" w:hAnsi="Times New Roman" w:cs="Times New Roman" w:eastAsia="Times New Roman" w:hint="default"/>
          <w:spacing w:val="-1"/>
        </w:rPr>
        <w:t>ETC</w:t>
      </w:r>
      <w:r>
        <w:rPr>
          <w:spacing w:val="-1"/>
        </w:rPr>
        <w:t>研</w:t>
      </w:r>
      <w:r>
        <w:rPr>
          <w:spacing w:val="-78"/>
        </w:rPr>
        <w:t> </w:t>
      </w:r>
      <w:r>
        <w:rPr>
          <w:spacing w:val="-1"/>
        </w:rPr>
        <w:t>发和生产等相关工作。前装</w:t>
      </w:r>
      <w:r>
        <w:rPr>
          <w:rFonts w:ascii="Times New Roman" w:hAnsi="Times New Roman" w:cs="Times New Roman" w:eastAsia="Times New Roman" w:hint="default"/>
          <w:spacing w:val="-1"/>
        </w:rPr>
        <w:t>ETC</w:t>
      </w:r>
      <w:r>
        <w:rPr>
          <w:spacing w:val="-1"/>
        </w:rPr>
        <w:t>产品相较于后装</w:t>
      </w:r>
      <w:r>
        <w:rPr>
          <w:rFonts w:ascii="Times New Roman" w:hAnsi="Times New Roman" w:cs="Times New Roman" w:eastAsia="Times New Roman" w:hint="default"/>
          <w:spacing w:val="-1"/>
        </w:rPr>
        <w:t>ETC</w:t>
      </w:r>
      <w:r>
        <w:rPr>
          <w:spacing w:val="-1"/>
        </w:rPr>
        <w:t>具有更稳定的质量、更高的性能和更好的使用体验，预计将得到车主的</w:t>
      </w:r>
      <w:r>
        <w:rPr>
          <w:spacing w:val="-80"/>
        </w:rPr>
        <w:t> </w:t>
      </w:r>
      <w:r>
        <w:rPr>
          <w:spacing w:val="-80"/>
        </w:rPr>
      </w:r>
      <w:r>
        <w:rPr/>
        <w:t>普遍欢迎，具体市场需求目前尚无法准确估计。</w:t>
      </w:r>
    </w:p>
    <w:p>
      <w:pPr>
        <w:pStyle w:val="Heading5"/>
        <w:spacing w:line="240" w:lineRule="auto" w:before="15"/>
        <w:ind w:right="967"/>
        <w:jc w:val="left"/>
        <w:rPr>
          <w:b w:val="0"/>
          <w:bCs w:val="0"/>
        </w:rPr>
      </w:pPr>
      <w:r>
        <w:rPr>
          <w:rFonts w:ascii="Times New Roman" w:hAnsi="Times New Roman" w:cs="Times New Roman" w:eastAsia="Times New Roman" w:hint="default"/>
        </w:rPr>
        <w:t>3</w:t>
      </w:r>
      <w:r>
        <w:rPr/>
        <w:t>、场域</w:t>
      </w:r>
      <w:r>
        <w:rPr>
          <w:b w:val="0"/>
          <w:bCs w:val="0"/>
        </w:rPr>
      </w:r>
    </w:p>
    <w:p>
      <w:pPr>
        <w:pStyle w:val="BodyText"/>
        <w:spacing w:line="300" w:lineRule="auto" w:before="94"/>
        <w:ind w:right="1131" w:firstLine="360"/>
        <w:jc w:val="both"/>
      </w:pP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月国家发改委、交通运输部发布《加快推进高速公路电子不停车快捷收费应用服务实施方案》，其明确提出 鼓励 </w:t>
      </w:r>
      <w:r>
        <w:rPr>
          <w:rFonts w:ascii="Times New Roman" w:hAnsi="Times New Roman" w:cs="Times New Roman" w:eastAsia="Times New Roman" w:hint="default"/>
        </w:rPr>
        <w:t>ETC </w:t>
      </w:r>
      <w:r>
        <w:rPr/>
        <w:t>在停车场等涉车领域应用，</w:t>
      </w:r>
      <w:r>
        <w:rPr>
          <w:rFonts w:ascii="Times New Roman" w:hAnsi="Times New Roman" w:cs="Times New Roman" w:eastAsia="Times New Roman" w:hint="default"/>
        </w:rPr>
        <w:t>2020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20"/>
        </w:rPr>
        <w:t> </w:t>
      </w:r>
      <w:r>
        <w:rPr/>
        <w:t>月底前，基本实现机场、火车站、客运站、港口码头等大型交通场站停车 场景</w:t>
      </w:r>
      <w:r>
        <w:rPr>
          <w:spacing w:val="-43"/>
        </w:rPr>
        <w:t> </w:t>
      </w:r>
      <w:r>
        <w:rPr>
          <w:rFonts w:ascii="Times New Roman" w:hAnsi="Times New Roman" w:cs="Times New Roman" w:eastAsia="Times New Roman" w:hint="default"/>
        </w:rPr>
        <w:t>ETC</w:t>
      </w:r>
      <w:r>
        <w:rPr>
          <w:rFonts w:ascii="Times New Roman" w:hAnsi="Times New Roman" w:cs="Times New Roman" w:eastAsia="Times New Roman" w:hint="default"/>
          <w:spacing w:val="2"/>
        </w:rPr>
        <w:t> </w:t>
      </w:r>
      <w:r>
        <w:rPr/>
        <w:t>服务全覆盖；推广</w:t>
      </w:r>
      <w:r>
        <w:rPr>
          <w:spacing w:val="-44"/>
        </w:rPr>
        <w:t> </w:t>
      </w:r>
      <w:r>
        <w:rPr>
          <w:rFonts w:ascii="Times New Roman" w:hAnsi="Times New Roman" w:cs="Times New Roman" w:eastAsia="Times New Roman" w:hint="default"/>
        </w:rPr>
        <w:t>ETC</w:t>
      </w:r>
      <w:r>
        <w:rPr>
          <w:rFonts w:ascii="Times New Roman" w:hAnsi="Times New Roman" w:cs="Times New Roman" w:eastAsia="Times New Roman" w:hint="default"/>
          <w:spacing w:val="2"/>
        </w:rPr>
        <w:t> </w:t>
      </w:r>
      <w:r>
        <w:rPr/>
        <w:t>在居民小区、旅游景区等停车场景的应用。</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年国家支持</w:t>
      </w:r>
      <w:r>
        <w:rPr>
          <w:spacing w:val="-44"/>
        </w:rPr>
        <w:t> </w:t>
      </w:r>
      <w:r>
        <w:rPr>
          <w:rFonts w:ascii="Times New Roman" w:hAnsi="Times New Roman" w:cs="Times New Roman" w:eastAsia="Times New Roman" w:hint="default"/>
        </w:rPr>
        <w:t>ETC</w:t>
      </w:r>
      <w:r>
        <w:rPr>
          <w:rFonts w:ascii="Times New Roman" w:hAnsi="Times New Roman" w:cs="Times New Roman" w:eastAsia="Times New Roman" w:hint="default"/>
          <w:spacing w:val="2"/>
        </w:rPr>
        <w:t> </w:t>
      </w:r>
      <w:r>
        <w:rPr/>
        <w:t>发展的政策保持了很强 的延续性。</w:t>
      </w:r>
      <w:r>
        <w:rPr>
          <w:rFonts w:ascii="Times New Roman" w:hAnsi="Times New Roman" w:cs="Times New Roman" w:eastAsia="Times New Roman" w:hint="default"/>
        </w:rPr>
        <w:t>2020</w:t>
      </w:r>
      <w:r>
        <w:rPr>
          <w:rFonts w:ascii="Times New Roman" w:hAnsi="Times New Roman" w:cs="Times New Roman" w:eastAsia="Times New Roman" w:hint="default"/>
          <w:spacing w:val="10"/>
        </w:rPr>
        <w:t> </w:t>
      </w:r>
      <w:r>
        <w:rPr/>
        <w:t>年</w:t>
      </w:r>
      <w:r>
        <w:rPr>
          <w:spacing w:val="-36"/>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月</w:t>
      </w:r>
      <w:r>
        <w:rPr>
          <w:spacing w:val="-36"/>
        </w:rPr>
        <w:t> </w:t>
      </w:r>
      <w:r>
        <w:rPr>
          <w:rFonts w:ascii="Times New Roman" w:hAnsi="Times New Roman" w:cs="Times New Roman" w:eastAsia="Times New Roman" w:hint="default"/>
        </w:rPr>
        <w:t>6</w:t>
      </w:r>
      <w:r>
        <w:rPr>
          <w:rFonts w:ascii="Times New Roman" w:hAnsi="Times New Roman" w:cs="Times New Roman" w:eastAsia="Times New Roman" w:hint="default"/>
          <w:spacing w:val="10"/>
        </w:rPr>
        <w:t> </w:t>
      </w:r>
      <w:r>
        <w:rPr/>
        <w:t>日，交通部发布《关于统筹推进疫情防控和经济社会发展交通工作的实施意见》，要求持续深化 </w:t>
      </w:r>
      <w:r>
        <w:rPr>
          <w:rFonts w:ascii="Times New Roman" w:hAnsi="Times New Roman" w:cs="Times New Roman" w:eastAsia="Times New Roman" w:hint="default"/>
        </w:rPr>
        <w:t>ETC </w:t>
      </w:r>
      <w:r>
        <w:rPr/>
        <w:t>拓展应用。</w:t>
      </w:r>
      <w:r>
        <w:rPr>
          <w:rFonts w:ascii="Times New Roman" w:hAnsi="Times New Roman" w:cs="Times New Roman" w:eastAsia="Times New Roman" w:hint="default"/>
        </w:rPr>
        <w:t>ETC</w:t>
      </w:r>
      <w:r>
        <w:rPr>
          <w:rFonts w:ascii="Times New Roman" w:hAnsi="Times New Roman" w:cs="Times New Roman" w:eastAsia="Times New Roman" w:hint="default"/>
          <w:spacing w:val="-2"/>
        </w:rPr>
        <w:t> </w:t>
      </w:r>
      <w:r>
        <w:rPr/>
        <w:t>将从高速的单一应用领域走向城市更广泛的领域，市场需求和客户将更多样化。</w:t>
      </w:r>
    </w:p>
    <w:p>
      <w:pPr>
        <w:pStyle w:val="Heading5"/>
        <w:spacing w:line="310" w:lineRule="exact"/>
        <w:ind w:right="967"/>
        <w:jc w:val="left"/>
        <w:rPr>
          <w:b w:val="0"/>
          <w:bCs w:val="0"/>
        </w:rPr>
      </w:pPr>
      <w:r>
        <w:rPr>
          <w:rFonts w:ascii="Times New Roman" w:hAnsi="Times New Roman" w:cs="Times New Roman" w:eastAsia="Times New Roman" w:hint="default"/>
        </w:rPr>
        <w:t>4</w:t>
      </w:r>
      <w:r>
        <w:rPr/>
        <w:t>、城域</w:t>
      </w:r>
      <w:r>
        <w:rPr>
          <w:b w:val="0"/>
          <w:bCs w:val="0"/>
        </w:rPr>
      </w:r>
    </w:p>
    <w:p>
      <w:pPr>
        <w:pStyle w:val="BodyText"/>
        <w:spacing w:line="300" w:lineRule="auto" w:before="97"/>
        <w:ind w:right="1132" w:firstLine="360"/>
        <w:jc w:val="both"/>
      </w:pPr>
      <w:r>
        <w:rPr/>
        <w:t>在城市 </w:t>
      </w:r>
      <w:r>
        <w:rPr>
          <w:rFonts w:ascii="Times New Roman" w:hAnsi="Times New Roman" w:cs="Times New Roman" w:eastAsia="Times New Roman" w:hint="default"/>
        </w:rPr>
        <w:t>ETC</w:t>
      </w:r>
      <w:r>
        <w:rPr>
          <w:rFonts w:ascii="Times New Roman" w:hAnsi="Times New Roman" w:cs="Times New Roman" w:eastAsia="Times New Roman" w:hint="default"/>
          <w:spacing w:val="-18"/>
        </w:rPr>
        <w:t> </w:t>
      </w:r>
      <w:r>
        <w:rPr/>
        <w:t>领域，市场需求和客户将呈现多样化，同时呈现市场分散化，对于拥有完善的销售渠道及服务渠道的大型 厂商更加有利，有利于行业头部厂商提高市场占有率。总体看，</w:t>
      </w:r>
      <w:r>
        <w:rPr>
          <w:rFonts w:ascii="Times New Roman" w:hAnsi="Times New Roman" w:cs="Times New Roman" w:eastAsia="Times New Roman" w:hint="default"/>
        </w:rPr>
        <w:t>ETC</w:t>
      </w:r>
      <w:r>
        <w:rPr>
          <w:rFonts w:ascii="Times New Roman" w:hAnsi="Times New Roman" w:cs="Times New Roman" w:eastAsia="Times New Roman" w:hint="default"/>
          <w:spacing w:val="-1"/>
        </w:rPr>
        <w:t> </w:t>
      </w:r>
      <w:r>
        <w:rPr/>
        <w:t>市场仍在持续发展，未来更有利于大型厂商。</w:t>
      </w:r>
    </w:p>
    <w:p>
      <w:pPr>
        <w:pStyle w:val="BodyText"/>
        <w:spacing w:line="300" w:lineRule="auto" w:before="51"/>
        <w:ind w:right="1127" w:firstLine="360"/>
        <w:jc w:val="both"/>
      </w:pPr>
      <w:r>
        <w:rPr/>
        <w:t>在汽车电子标识领域，随着交管电子证照资源库的建立及运行、机动车检验标志电子化试点的落地、交管</w:t>
      </w:r>
      <w:r>
        <w:rPr>
          <w:spacing w:val="-68"/>
        </w:rPr>
        <w:t> </w:t>
      </w:r>
      <w:r>
        <w:rPr>
          <w:rFonts w:ascii="Times New Roman" w:hAnsi="Times New Roman" w:cs="Times New Roman" w:eastAsia="Times New Roman" w:hint="default"/>
        </w:rPr>
        <w:t>12123APP</w:t>
      </w:r>
      <w:r>
        <w:rPr>
          <w:rFonts w:ascii="Times New Roman" w:hAnsi="Times New Roman" w:cs="Times New Roman" w:eastAsia="Times New Roman" w:hint="default"/>
          <w:spacing w:val="-23"/>
        </w:rPr>
        <w:t> </w:t>
      </w:r>
      <w:r>
        <w:rPr/>
        <w:t>的 </w:t>
      </w:r>
      <w:r>
        <w:rPr>
          <w:spacing w:val="-2"/>
        </w:rPr>
        <w:t>实际使用，汽车电子标识卡的社会化发行也会很落地，汽车电子标识在交通管理、保险行业中的应用日趋成熟和广泛，</w:t>
      </w:r>
      <w:r>
        <w:rPr>
          <w:rFonts w:ascii="Times New Roman" w:hAnsi="Times New Roman" w:cs="Times New Roman" w:eastAsia="Times New Roman" w:hint="default"/>
          <w:spacing w:val="-2"/>
        </w:rPr>
        <w:t>2020</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t>年汽车电子标识仍有一定的市场空间。</w:t>
      </w:r>
    </w:p>
    <w:p>
      <w:pPr>
        <w:pStyle w:val="BodyText"/>
        <w:spacing w:line="300" w:lineRule="auto" w:before="72"/>
        <w:ind w:right="1128" w:firstLine="360"/>
        <w:jc w:val="both"/>
      </w:pPr>
      <w:r>
        <w:rPr/>
        <w:t>在</w:t>
      </w:r>
      <w:r>
        <w:rPr>
          <w:spacing w:val="-49"/>
        </w:rPr>
        <w:t> </w:t>
      </w:r>
      <w:r>
        <w:rPr>
          <w:rFonts w:ascii="Times New Roman" w:hAnsi="Times New Roman" w:cs="Times New Roman" w:eastAsia="Times New Roman" w:hint="default"/>
        </w:rPr>
        <w:t>V2X</w:t>
      </w:r>
      <w:r>
        <w:rPr>
          <w:rFonts w:ascii="Times New Roman" w:hAnsi="Times New Roman" w:cs="Times New Roman" w:eastAsia="Times New Roman" w:hint="default"/>
          <w:spacing w:val="-2"/>
        </w:rPr>
        <w:t> </w:t>
      </w:r>
      <w:r>
        <w:rPr/>
        <w:t>领域，</w:t>
      </w:r>
      <w:r>
        <w:rPr>
          <w:rFonts w:ascii="Times New Roman" w:hAnsi="Times New Roman" w:cs="Times New Roman" w:eastAsia="Times New Roman" w:hint="default"/>
        </w:rPr>
        <w:t>2020</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rPr>
        <w:t>24</w:t>
      </w:r>
      <w:r>
        <w:rPr>
          <w:rFonts w:ascii="Times New Roman" w:hAnsi="Times New Roman" w:cs="Times New Roman" w:eastAsia="Times New Roman" w:hint="default"/>
          <w:spacing w:val="-4"/>
        </w:rPr>
        <w:t> </w:t>
      </w:r>
      <w:r>
        <w:rPr/>
        <w:t>日，国家发改委、工信部、科技部等</w:t>
      </w:r>
      <w:r>
        <w:rPr>
          <w:spacing w:val="-49"/>
        </w:rPr>
        <w:t> </w:t>
      </w:r>
      <w:r>
        <w:rPr>
          <w:rFonts w:ascii="Times New Roman" w:hAnsi="Times New Roman" w:cs="Times New Roman" w:eastAsia="Times New Roman" w:hint="default"/>
          <w:spacing w:val="-3"/>
        </w:rPr>
        <w:t>11 </w:t>
      </w:r>
      <w:r>
        <w:rPr/>
        <w:t>个部委联合发布的《智能汽车创新发展战略》提 出，到</w:t>
      </w:r>
      <w:r>
        <w:rPr>
          <w:spacing w:val="-45"/>
        </w:rPr>
        <w:t> </w:t>
      </w:r>
      <w:r>
        <w:rPr>
          <w:rFonts w:ascii="Times New Roman" w:hAnsi="Times New Roman" w:cs="Times New Roman" w:eastAsia="Times New Roman" w:hint="default"/>
        </w:rPr>
        <w:t>2025</w:t>
      </w:r>
      <w:r>
        <w:rPr>
          <w:rFonts w:ascii="Times New Roman" w:hAnsi="Times New Roman" w:cs="Times New Roman" w:eastAsia="Times New Roman" w:hint="default"/>
          <w:spacing w:val="1"/>
        </w:rPr>
        <w:t> </w:t>
      </w:r>
      <w:r>
        <w:rPr/>
        <w:t>年，智能交通系统和智慧城市相关设施建设取得积极进展，车用无线通信网络</w:t>
      </w:r>
      <w:r>
        <w:rPr>
          <w:rFonts w:ascii="Times New Roman" w:hAnsi="Times New Roman" w:cs="Times New Roman" w:eastAsia="Times New Roman" w:hint="default"/>
        </w:rPr>
        <w:t>(LTE-V2X</w:t>
      </w:r>
      <w:r>
        <w:rPr>
          <w:rFonts w:ascii="Times New Roman" w:hAnsi="Times New Roman" w:cs="Times New Roman" w:eastAsia="Times New Roman" w:hint="default"/>
          <w:spacing w:val="1"/>
        </w:rPr>
        <w:t> </w:t>
      </w:r>
      <w:r>
        <w:rPr/>
        <w:t>等</w:t>
      </w:r>
      <w:r>
        <w:rPr>
          <w:rFonts w:ascii="Times New Roman" w:hAnsi="Times New Roman" w:cs="Times New Roman" w:eastAsia="Times New Roman" w:hint="default"/>
        </w:rPr>
        <w:t>)</w:t>
      </w:r>
      <w:r>
        <w:rPr/>
        <w:t>实现区域覆盖，新 一代车用无线通信网络</w:t>
      </w:r>
      <w:r>
        <w:rPr>
          <w:rFonts w:ascii="Times New Roman" w:hAnsi="Times New Roman" w:cs="Times New Roman" w:eastAsia="Times New Roman" w:hint="default"/>
        </w:rPr>
        <w:t>(5G-V2X)</w:t>
      </w:r>
      <w:hyperlink r:id="rId14">
        <w:r>
          <w:rPr/>
          <w:t>在部分城市、高速公路</w:t>
        </w:r>
      </w:hyperlink>
      <w:r>
        <w:rPr/>
        <w:t>逐步开展应用。</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41"/>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日工信部公示了《汽车驾驶自动化分级》推</w:t>
      </w:r>
      <w:r>
        <w:rPr>
          <w:w w:val="99"/>
        </w:rPr>
        <w:t> </w:t>
      </w:r>
      <w:r>
        <w:rPr>
          <w:spacing w:val="-3"/>
        </w:rPr>
        <w:t>荐性国家标准报批稿，</w:t>
      </w:r>
      <w:r>
        <w:rPr>
          <w:rFonts w:ascii="Times New Roman" w:hAnsi="Times New Roman" w:cs="Times New Roman" w:eastAsia="Times New Roman" w:hint="default"/>
          <w:spacing w:val="-3"/>
        </w:rPr>
        <w:t>3</w:t>
      </w:r>
      <w:r>
        <w:rPr>
          <w:rFonts w:ascii="Times New Roman" w:hAnsi="Times New Roman" w:cs="Times New Roman" w:eastAsia="Times New Roman" w:hint="default"/>
          <w:spacing w:val="3"/>
        </w:rPr>
        <w:t> </w:t>
      </w:r>
      <w:r>
        <w:rPr/>
        <w:t>月</w:t>
      </w:r>
      <w:r>
        <w:rPr>
          <w:spacing w:val="-46"/>
        </w:rPr>
        <w:t> </w:t>
      </w:r>
      <w:r>
        <w:rPr>
          <w:rFonts w:ascii="Times New Roman" w:hAnsi="Times New Roman" w:cs="Times New Roman" w:eastAsia="Times New Roman" w:hint="default"/>
        </w:rPr>
        <w:t>12 </w:t>
      </w:r>
      <w:r>
        <w:rPr>
          <w:spacing w:val="-5"/>
        </w:rPr>
        <w:t>日，发改委、工信部下发《关于组织实施</w:t>
      </w:r>
      <w:r>
        <w:rPr>
          <w:spacing w:val="-42"/>
        </w:rPr>
        <w:t> </w:t>
      </w:r>
      <w:r>
        <w:rPr>
          <w:rFonts w:ascii="Times New Roman" w:hAnsi="Times New Roman" w:cs="Times New Roman" w:eastAsia="Times New Roman" w:hint="default"/>
        </w:rPr>
        <w:t>2020</w:t>
      </w:r>
      <w:r>
        <w:rPr>
          <w:rFonts w:ascii="Times New Roman" w:hAnsi="Times New Roman" w:cs="Times New Roman" w:eastAsia="Times New Roman" w:hint="default"/>
          <w:spacing w:val="4"/>
        </w:rPr>
        <w:t> </w:t>
      </w:r>
      <w:r>
        <w:rPr/>
        <w:t>年新型基础设施建设工程</w:t>
      </w:r>
      <w:r>
        <w:rPr>
          <w:rFonts w:ascii="Times New Roman" w:hAnsi="Times New Roman" w:cs="Times New Roman" w:eastAsia="Times New Roman" w:hint="default"/>
        </w:rPr>
        <w:t>(</w:t>
      </w:r>
      <w:r>
        <w:rPr/>
        <w:t>宽带网络和</w:t>
      </w:r>
      <w:r>
        <w:rPr>
          <w:spacing w:val="-43"/>
        </w:rPr>
        <w:t> </w:t>
      </w:r>
      <w:r>
        <w:rPr>
          <w:rFonts w:ascii="Times New Roman" w:hAnsi="Times New Roman" w:cs="Times New Roman" w:eastAsia="Times New Roman" w:hint="default"/>
        </w:rPr>
        <w:t>5G</w:t>
      </w:r>
      <w:r>
        <w:rPr>
          <w:rFonts w:ascii="Times New Roman" w:hAnsi="Times New Roman" w:cs="Times New Roman" w:eastAsia="Times New Roman" w:hint="default"/>
          <w:spacing w:val="-2"/>
        </w:rPr>
        <w:t> </w:t>
      </w:r>
      <w:r>
        <w:rPr/>
        <w:t>领域</w:t>
      </w:r>
      <w:r>
        <w:rPr>
          <w:rFonts w:ascii="Times New Roman" w:hAnsi="Times New Roman" w:cs="Times New Roman" w:eastAsia="Times New Roman" w:hint="default"/>
        </w:rPr>
        <w:t>) </w:t>
      </w:r>
      <w:r>
        <w:rPr>
          <w:spacing w:val="-12"/>
        </w:rPr>
        <w:t>的通知》，将基于</w:t>
      </w:r>
      <w:r>
        <w:rPr>
          <w:spacing w:val="-41"/>
        </w:rPr>
        <w:t> </w:t>
      </w:r>
      <w:r>
        <w:rPr>
          <w:rFonts w:ascii="Times New Roman" w:hAnsi="Times New Roman" w:cs="Times New Roman" w:eastAsia="Times New Roman" w:hint="default"/>
          <w:spacing w:val="1"/>
          <w:w w:val="99"/>
        </w:rPr>
        <w:t>5G </w:t>
      </w:r>
      <w:r>
        <w:rPr/>
        <w:t>的车路协同车联网大规模验证与应用列为</w:t>
      </w:r>
      <w:r>
        <w:rPr>
          <w:spacing w:val="-41"/>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大</w:t>
      </w:r>
      <w:r>
        <w:rPr>
          <w:spacing w:val="-41"/>
        </w:rPr>
        <w:t> </w:t>
      </w:r>
      <w:r>
        <w:rPr>
          <w:rFonts w:ascii="Times New Roman" w:hAnsi="Times New Roman" w:cs="Times New Roman" w:eastAsia="Times New Roman" w:hint="default"/>
          <w:w w:val="99"/>
        </w:rPr>
        <w:t>5G</w:t>
      </w:r>
      <w:r>
        <w:rPr>
          <w:rFonts w:ascii="Times New Roman" w:hAnsi="Times New Roman" w:cs="Times New Roman" w:eastAsia="Times New Roman" w:hint="default"/>
          <w:spacing w:val="1"/>
          <w:w w:val="99"/>
        </w:rPr>
        <w:t> </w:t>
      </w:r>
      <w:r>
        <w:rPr/>
        <w:t>新型基础设施建设工程之一，明确</w:t>
      </w:r>
      <w:r>
        <w:rPr>
          <w:spacing w:val="-41"/>
        </w:rPr>
        <w:t> </w:t>
      </w:r>
      <w:r>
        <w:rPr>
          <w:rFonts w:ascii="Times New Roman" w:hAnsi="Times New Roman" w:cs="Times New Roman" w:eastAsia="Times New Roman" w:hint="default"/>
          <w:spacing w:val="-1"/>
          <w:w w:val="99"/>
        </w:rPr>
        <w:t>C-V2X</w:t>
      </w:r>
      <w:r>
        <w:rPr>
          <w:rFonts w:ascii="Times New Roman" w:hAnsi="Times New Roman" w:cs="Times New Roman" w:eastAsia="Times New Roman" w:hint="default"/>
          <w:spacing w:val="6"/>
          <w:w w:val="99"/>
        </w:rPr>
        <w:t> </w:t>
      </w:r>
      <w:r>
        <w:rPr>
          <w:spacing w:val="-1"/>
        </w:rPr>
        <w:t>车路协同</w:t>
      </w:r>
      <w:r>
        <w:rPr/>
        <w:t> 为新基建的实施内容。在政策的大力度推动及社会资本的积极参与下，预计近两年会有越来越多的 </w:t>
      </w:r>
      <w:r>
        <w:rPr>
          <w:rFonts w:ascii="Times New Roman" w:hAnsi="Times New Roman" w:cs="Times New Roman" w:eastAsia="Times New Roman" w:hint="default"/>
        </w:rPr>
        <w:t>C-V2X</w:t>
      </w:r>
      <w:r>
        <w:rPr>
          <w:rFonts w:ascii="Times New Roman" w:hAnsi="Times New Roman" w:cs="Times New Roman" w:eastAsia="Times New Roman" w:hint="default"/>
          <w:spacing w:val="-27"/>
        </w:rPr>
        <w:t> </w:t>
      </w:r>
      <w:r>
        <w:rPr/>
        <w:t>试点示范项目落 地，会有越来越多的示范区向先导区转型，试点规模化的程度将有所提升。</w:t>
      </w:r>
      <w:r>
        <w:rPr>
          <w:rFonts w:ascii="Times New Roman" w:hAnsi="Times New Roman" w:cs="Times New Roman" w:eastAsia="Times New Roman" w:hint="default"/>
        </w:rPr>
        <w:t>C-V2X </w:t>
      </w:r>
      <w:r>
        <w:rPr>
          <w:rFonts w:ascii="Times New Roman" w:hAnsi="Times New Roman" w:cs="Times New Roman" w:eastAsia="Times New Roman" w:hint="default"/>
          <w:spacing w:val="14"/>
        </w:rPr>
        <w:t> </w:t>
      </w:r>
      <w:r>
        <w:rPr/>
        <w:t>的商业化进程将加速推进，市场空间也</w:t>
      </w:r>
    </w:p>
    <w:p>
      <w:pPr>
        <w:spacing w:after="0" w:line="300"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both"/>
      </w:pPr>
      <w:r>
        <w:rPr/>
        <w:t>将持续增长。但</w:t>
      </w:r>
      <w:r>
        <w:rPr>
          <w:spacing w:val="-47"/>
        </w:rPr>
        <w:t> </w:t>
      </w:r>
      <w:r>
        <w:rPr>
          <w:rFonts w:ascii="Times New Roman" w:hAnsi="Times New Roman" w:cs="Times New Roman" w:eastAsia="Times New Roman" w:hint="default"/>
        </w:rPr>
        <w:t>C-V2X</w:t>
      </w:r>
      <w:r>
        <w:rPr>
          <w:rFonts w:ascii="Times New Roman" w:hAnsi="Times New Roman" w:cs="Times New Roman" w:eastAsia="Times New Roman" w:hint="default"/>
          <w:spacing w:val="-2"/>
        </w:rPr>
        <w:t> </w:t>
      </w:r>
      <w:r>
        <w:rPr/>
        <w:t>行业目前仍处于起步阶段，市场仍需持续培育，参与的企业较多，市场竞争格局仍未确定。</w:t>
      </w:r>
    </w:p>
    <w:p>
      <w:pPr>
        <w:pStyle w:val="BodyText"/>
        <w:spacing w:line="312" w:lineRule="auto" w:before="46"/>
        <w:ind w:left="513" w:right="967"/>
        <w:jc w:val="left"/>
      </w:pPr>
      <w:r>
        <w:rPr>
          <w:rFonts w:ascii="Microsoft JhengHei" w:hAnsi="Microsoft JhengHei" w:cs="Microsoft JhengHei" w:eastAsia="Microsoft JhengHei" w:hint="default"/>
          <w:b/>
          <w:bCs/>
        </w:rPr>
        <w:t>（二）业务展望</w:t>
      </w:r>
      <w:r>
        <w:rPr>
          <w:rFonts w:ascii="Microsoft JhengHei" w:hAnsi="Microsoft JhengHei" w:cs="Microsoft JhengHei" w:eastAsia="Microsoft JhengHei" w:hint="default"/>
          <w:b/>
          <w:bCs/>
          <w:spacing w:val="-41"/>
        </w:rPr>
        <w:t> </w:t>
      </w:r>
      <w:r>
        <w:rPr>
          <w:rFonts w:ascii="Microsoft JhengHei" w:hAnsi="Microsoft JhengHei" w:cs="Microsoft JhengHei" w:eastAsia="Microsoft JhengHei" w:hint="default"/>
          <w:b/>
          <w:bCs/>
          <w:spacing w:val="-41"/>
        </w:rPr>
      </w:r>
      <w:r>
        <w:rPr>
          <w:spacing w:val="-2"/>
        </w:rPr>
        <w:t>公司经过新一轮的战略规划梳理，发展蓝图已然被描绘得更加清晰，所呈现业务组合定位更具有竞争力，呈现出可持续</w:t>
      </w:r>
    </w:p>
    <w:p>
      <w:pPr>
        <w:pStyle w:val="BodyText"/>
        <w:spacing w:line="300" w:lineRule="auto" w:before="22"/>
        <w:ind w:right="1129"/>
        <w:jc w:val="both"/>
      </w:pPr>
      <w:r>
        <w:rPr/>
        <w:t>性的业务发展路径。公司制定了从</w:t>
      </w:r>
      <w:r>
        <w:rPr>
          <w:rFonts w:ascii="Times New Roman" w:hAnsi="Times New Roman" w:cs="Times New Roman" w:eastAsia="Times New Roman" w:hint="default"/>
        </w:rPr>
        <w:t>“ETC</w:t>
      </w:r>
      <w:r>
        <w:rPr>
          <w:rFonts w:ascii="Times New Roman" w:hAnsi="Times New Roman" w:cs="Times New Roman" w:eastAsia="Times New Roman" w:hint="default"/>
          <w:spacing w:val="-5"/>
        </w:rPr>
        <w:t> </w:t>
      </w:r>
      <w:r>
        <w:rPr/>
        <w:t>到</w:t>
      </w:r>
      <w:r>
        <w:rPr>
          <w:spacing w:val="-50"/>
        </w:rPr>
        <w:t> </w:t>
      </w:r>
      <w:r>
        <w:rPr>
          <w:rFonts w:ascii="Times New Roman" w:hAnsi="Times New Roman" w:cs="Times New Roman" w:eastAsia="Times New Roman" w:hint="default"/>
        </w:rPr>
        <w:t>V2X”</w:t>
      </w:r>
      <w:r>
        <w:rPr/>
        <w:t>的战略路线，以</w:t>
      </w:r>
      <w:r>
        <w:rPr>
          <w:spacing w:val="-50"/>
        </w:rPr>
        <w:t> </w:t>
      </w:r>
      <w:r>
        <w:rPr>
          <w:rFonts w:ascii="Times New Roman" w:hAnsi="Times New Roman" w:cs="Times New Roman" w:eastAsia="Times New Roman" w:hint="default"/>
        </w:rPr>
        <w:t>ETC</w:t>
      </w:r>
      <w:r>
        <w:rPr>
          <w:rFonts w:ascii="Times New Roman" w:hAnsi="Times New Roman" w:cs="Times New Roman" w:eastAsia="Times New Roman" w:hint="default"/>
          <w:spacing w:val="-4"/>
        </w:rPr>
        <w:t> </w:t>
      </w:r>
      <w:r>
        <w:rPr/>
        <w:t>为起点，从能力线和场景线两个维度出发，全面布局 </w:t>
      </w:r>
      <w:r>
        <w:rPr>
          <w:rFonts w:ascii="Times New Roman" w:hAnsi="Times New Roman" w:cs="Times New Roman" w:eastAsia="Times New Roman" w:hint="default"/>
        </w:rPr>
        <w:t>ETC-X</w:t>
      </w:r>
      <w:r>
        <w:rPr>
          <w:rFonts w:ascii="Times New Roman" w:hAnsi="Times New Roman" w:cs="Times New Roman" w:eastAsia="Times New Roman" w:hint="default"/>
          <w:spacing w:val="-22"/>
        </w:rPr>
        <w:t> </w:t>
      </w:r>
      <w:r>
        <w:rPr/>
        <w:t>和</w:t>
      </w:r>
      <w:r>
        <w:rPr>
          <w:spacing w:val="-68"/>
        </w:rPr>
        <w:t> </w:t>
      </w:r>
      <w:r>
        <w:rPr>
          <w:rFonts w:ascii="Times New Roman" w:hAnsi="Times New Roman" w:cs="Times New Roman" w:eastAsia="Times New Roman" w:hint="default"/>
          <w:spacing w:val="-3"/>
        </w:rPr>
        <w:t>ETC+</w:t>
      </w:r>
      <w:r>
        <w:rPr>
          <w:spacing w:val="-3"/>
        </w:rPr>
        <w:t>。</w:t>
      </w:r>
      <w:r>
        <w:rPr>
          <w:rFonts w:ascii="Times New Roman" w:hAnsi="Times New Roman" w:cs="Times New Roman" w:eastAsia="Times New Roman" w:hint="default"/>
          <w:spacing w:val="-3"/>
        </w:rPr>
        <w:t>ETC-X</w:t>
      </w:r>
      <w:r>
        <w:rPr>
          <w:rFonts w:ascii="Times New Roman" w:hAnsi="Times New Roman" w:cs="Times New Roman" w:eastAsia="Times New Roman" w:hint="default"/>
          <w:spacing w:val="-22"/>
        </w:rPr>
        <w:t> </w:t>
      </w:r>
      <w:r>
        <w:rPr/>
        <w:t>将致力于数字交通的深化和融合，聚焦车端与路端的技术融合，打造聪明的车</w:t>
      </w:r>
      <w:r>
        <w:rPr>
          <w:rFonts w:ascii="Times New Roman" w:hAnsi="Times New Roman" w:cs="Times New Roman" w:eastAsia="Times New Roman" w:hint="default"/>
        </w:rPr>
        <w:t>+</w:t>
      </w:r>
      <w:r>
        <w:rPr/>
        <w:t>智慧的路，实现</w:t>
      </w:r>
      <w:r>
        <w:rPr>
          <w:rFonts w:ascii="Times New Roman" w:hAnsi="Times New Roman" w:cs="Times New Roman" w:eastAsia="Times New Roman" w:hint="default"/>
        </w:rPr>
        <w:t>“</w:t>
      </w:r>
      <w:r>
        <w:rPr/>
        <w:t>让 交通更智慧</w:t>
      </w:r>
      <w:r>
        <w:rPr>
          <w:rFonts w:ascii="Times New Roman" w:hAnsi="Times New Roman" w:cs="Times New Roman" w:eastAsia="Times New Roman" w:hint="default"/>
        </w:rPr>
        <w:t>”</w:t>
      </w:r>
      <w:r>
        <w:rPr/>
        <w:t>；</w:t>
      </w:r>
      <w:r>
        <w:rPr>
          <w:rFonts w:ascii="Times New Roman" w:hAnsi="Times New Roman" w:cs="Times New Roman" w:eastAsia="Times New Roman" w:hint="default"/>
        </w:rPr>
        <w:t>ETC+</w:t>
      </w:r>
      <w:r>
        <w:rPr/>
        <w:t>将致力于</w:t>
      </w:r>
      <w:r>
        <w:rPr>
          <w:spacing w:val="-60"/>
        </w:rPr>
        <w:t> </w:t>
      </w:r>
      <w:r>
        <w:rPr>
          <w:rFonts w:ascii="Times New Roman" w:hAnsi="Times New Roman" w:cs="Times New Roman" w:eastAsia="Times New Roman" w:hint="default"/>
        </w:rPr>
        <w:t>ETC</w:t>
      </w:r>
      <w:r>
        <w:rPr>
          <w:rFonts w:ascii="Times New Roman" w:hAnsi="Times New Roman" w:cs="Times New Roman" w:eastAsia="Times New Roman" w:hint="default"/>
          <w:spacing w:val="-16"/>
        </w:rPr>
        <w:t> </w:t>
      </w:r>
      <w:r>
        <w:rPr/>
        <w:t>支付场景的搭建和延伸，拓展路域、车域、城域、场域的多个应用场景，实现</w:t>
      </w:r>
      <w:r>
        <w:rPr>
          <w:rFonts w:ascii="Times New Roman" w:hAnsi="Times New Roman" w:cs="Times New Roman" w:eastAsia="Times New Roman" w:hint="default"/>
        </w:rPr>
        <w:t>“</w:t>
      </w:r>
      <w:r>
        <w:rPr/>
        <w:t>让生活更 简单</w:t>
      </w:r>
      <w:r>
        <w:rPr>
          <w:rFonts w:ascii="Times New Roman" w:hAnsi="Times New Roman" w:cs="Times New Roman" w:eastAsia="Times New Roman" w:hint="default"/>
        </w:rPr>
        <w:t>”</w:t>
      </w:r>
      <w:r>
        <w:rPr/>
        <w:t>，助力智能网联基础设施、智能网联汽车、智能网联交通系统以及</w:t>
      </w:r>
      <w:r>
        <w:rPr>
          <w:spacing w:val="-46"/>
        </w:rPr>
        <w:t> </w:t>
      </w:r>
      <w:r>
        <w:rPr>
          <w:rFonts w:ascii="Times New Roman" w:hAnsi="Times New Roman" w:cs="Times New Roman" w:eastAsia="Times New Roman" w:hint="default"/>
        </w:rPr>
        <w:t>MaaS</w:t>
      </w:r>
      <w:r>
        <w:rPr>
          <w:rFonts w:ascii="Times New Roman" w:hAnsi="Times New Roman" w:cs="Times New Roman" w:eastAsia="Times New Roman" w:hint="default"/>
          <w:spacing w:val="-1"/>
        </w:rPr>
        <w:t> </w:t>
      </w:r>
      <w:r>
        <w:rPr/>
        <w:t>平台服务的生态构建。</w:t>
      </w:r>
    </w:p>
    <w:p>
      <w:pPr>
        <w:pStyle w:val="BodyText"/>
        <w:spacing w:line="300" w:lineRule="auto" w:before="53"/>
        <w:ind w:right="1131" w:firstLine="360"/>
        <w:jc w:val="both"/>
      </w:pPr>
      <w:r>
        <w:rPr/>
        <w:t>在高速公路</w:t>
      </w:r>
      <w:r>
        <w:rPr>
          <w:spacing w:val="-56"/>
        </w:rPr>
        <w:t> </w:t>
      </w:r>
      <w:r>
        <w:rPr>
          <w:rFonts w:ascii="Times New Roman" w:hAnsi="Times New Roman" w:cs="Times New Roman" w:eastAsia="Times New Roman" w:hint="default"/>
        </w:rPr>
        <w:t>ETC</w:t>
      </w:r>
      <w:r>
        <w:rPr>
          <w:rFonts w:ascii="Times New Roman" w:hAnsi="Times New Roman" w:cs="Times New Roman" w:eastAsia="Times New Roman" w:hint="default"/>
          <w:spacing w:val="-11"/>
        </w:rPr>
        <w:t> </w:t>
      </w:r>
      <w:r>
        <w:rPr/>
        <w:t>市场，公司将积极抢占新车设备发行、存量</w:t>
      </w:r>
      <w:r>
        <w:rPr>
          <w:spacing w:val="-57"/>
        </w:rPr>
        <w:t> </w:t>
      </w:r>
      <w:r>
        <w:rPr>
          <w:rFonts w:ascii="Times New Roman" w:hAnsi="Times New Roman" w:cs="Times New Roman" w:eastAsia="Times New Roman" w:hint="default"/>
        </w:rPr>
        <w:t>ETC</w:t>
      </w:r>
      <w:r>
        <w:rPr>
          <w:rFonts w:ascii="Times New Roman" w:hAnsi="Times New Roman" w:cs="Times New Roman" w:eastAsia="Times New Roman" w:hint="default"/>
          <w:spacing w:val="-10"/>
        </w:rPr>
        <w:t> </w:t>
      </w:r>
      <w:r>
        <w:rPr/>
        <w:t>设备更新、收费系统完善、备份及新建高速等带来的 需求，凭借优异的产品质量、性能和服务优势，继续保持市场领先地位；前装</w:t>
      </w:r>
      <w:r>
        <w:rPr>
          <w:spacing w:val="-56"/>
        </w:rPr>
        <w:t> </w:t>
      </w:r>
      <w:r>
        <w:rPr>
          <w:rFonts w:ascii="Times New Roman" w:hAnsi="Times New Roman" w:cs="Times New Roman" w:eastAsia="Times New Roman" w:hint="default"/>
        </w:rPr>
        <w:t>ETC</w:t>
      </w:r>
      <w:r>
        <w:rPr>
          <w:rFonts w:ascii="Times New Roman" w:hAnsi="Times New Roman" w:cs="Times New Roman" w:eastAsia="Times New Roman" w:hint="default"/>
          <w:spacing w:val="-11"/>
        </w:rPr>
        <w:t> </w:t>
      </w:r>
      <w:r>
        <w:rPr/>
        <w:t>将是</w:t>
      </w:r>
      <w:r>
        <w:rPr>
          <w:spacing w:val="-56"/>
        </w:rPr>
        <w:t> </w:t>
      </w:r>
      <w:r>
        <w:rPr>
          <w:rFonts w:ascii="Times New Roman" w:hAnsi="Times New Roman" w:cs="Times New Roman" w:eastAsia="Times New Roman" w:hint="default"/>
        </w:rPr>
        <w:t>ETC</w:t>
      </w:r>
      <w:r>
        <w:rPr>
          <w:rFonts w:ascii="Times New Roman" w:hAnsi="Times New Roman" w:cs="Times New Roman" w:eastAsia="Times New Roman" w:hint="default"/>
          <w:spacing w:val="-11"/>
        </w:rPr>
        <w:t> </w:t>
      </w:r>
      <w:r>
        <w:rPr/>
        <w:t>电子标签的发展方向。公司凭 借 </w:t>
      </w:r>
      <w:r>
        <w:rPr>
          <w:rFonts w:ascii="Times New Roman" w:hAnsi="Times New Roman" w:cs="Times New Roman" w:eastAsia="Times New Roman" w:hint="default"/>
        </w:rPr>
        <w:t>ETC</w:t>
      </w:r>
      <w:r>
        <w:rPr>
          <w:rFonts w:ascii="Times New Roman" w:hAnsi="Times New Roman" w:cs="Times New Roman" w:eastAsia="Times New Roman" w:hint="default"/>
          <w:spacing w:val="-16"/>
        </w:rPr>
        <w:t> </w:t>
      </w:r>
      <w:r>
        <w:rPr/>
        <w:t>市场的品牌效应快速进入车厂供应商体系，并将努力通过提供增值服务、数据运营等实现从硬件提供商到解决方案 提供商，再到生态服务商的转型升级，未来公司在前装</w:t>
      </w:r>
      <w:r>
        <w:rPr>
          <w:spacing w:val="-45"/>
        </w:rPr>
        <w:t> </w:t>
      </w:r>
      <w:r>
        <w:rPr>
          <w:rFonts w:ascii="Times New Roman" w:hAnsi="Times New Roman" w:cs="Times New Roman" w:eastAsia="Times New Roman" w:hint="default"/>
        </w:rPr>
        <w:t>ETC</w:t>
      </w:r>
      <w:r>
        <w:rPr>
          <w:rFonts w:ascii="Times New Roman" w:hAnsi="Times New Roman" w:cs="Times New Roman" w:eastAsia="Times New Roman" w:hint="default"/>
          <w:spacing w:val="2"/>
        </w:rPr>
        <w:t> </w:t>
      </w:r>
      <w:r>
        <w:rPr/>
        <w:t>市场预计依然会保持领先地位；</w:t>
      </w:r>
      <w:r>
        <w:rPr>
          <w:rFonts w:ascii="Times New Roman" w:hAnsi="Times New Roman" w:cs="Times New Roman" w:eastAsia="Times New Roman" w:hint="default"/>
        </w:rPr>
        <w:t>ETC</w:t>
      </w:r>
      <w:r>
        <w:rPr>
          <w:rFonts w:ascii="Times New Roman" w:hAnsi="Times New Roman" w:cs="Times New Roman" w:eastAsia="Times New Roman" w:hint="default"/>
          <w:spacing w:val="-1"/>
        </w:rPr>
        <w:t> </w:t>
      </w:r>
      <w:r>
        <w:rPr/>
        <w:t>无感加油应用拓展随着项 目成功试点已经初见成效，未来将加大市场推广力度，实现规模化销售；</w:t>
      </w:r>
      <w:r>
        <w:rPr>
          <w:rFonts w:ascii="Times New Roman" w:hAnsi="Times New Roman" w:cs="Times New Roman" w:eastAsia="Times New Roman" w:hint="default"/>
        </w:rPr>
        <w:t>ETC</w:t>
      </w:r>
      <w:r>
        <w:rPr>
          <w:rFonts w:ascii="Times New Roman" w:hAnsi="Times New Roman" w:cs="Times New Roman" w:eastAsia="Times New Roman" w:hint="default"/>
          <w:spacing w:val="22"/>
        </w:rPr>
        <w:t> </w:t>
      </w:r>
      <w:r>
        <w:rPr/>
        <w:t>在停车场领域的渗透率将逐渐提高，公司将</w:t>
      </w:r>
      <w:r>
        <w:rPr>
          <w:spacing w:val="-88"/>
        </w:rPr>
        <w:t> </w:t>
      </w:r>
      <w:r>
        <w:rPr>
          <w:spacing w:val="-88"/>
        </w:rPr>
      </w:r>
      <w:r>
        <w:rPr/>
        <w:t>会凭借多年的技术实力和项目经验推动 </w:t>
      </w:r>
      <w:r>
        <w:rPr>
          <w:rFonts w:ascii="Times New Roman" w:hAnsi="Times New Roman" w:cs="Times New Roman" w:eastAsia="Times New Roman" w:hint="default"/>
        </w:rPr>
        <w:t>ETC</w:t>
      </w:r>
      <w:r>
        <w:rPr>
          <w:rFonts w:ascii="Times New Roman" w:hAnsi="Times New Roman" w:cs="Times New Roman" w:eastAsia="Times New Roman" w:hint="default"/>
          <w:spacing w:val="-16"/>
        </w:rPr>
        <w:t> </w:t>
      </w:r>
      <w:r>
        <w:rPr/>
        <w:t>在停车场的普及应用；汽车电子标识领域公司将加强研发力量完善产品线、加 强销售力量拓展市场、通过参与一些大项目的运营进而带动销售的增长；公司将凭借在交通领域的深厚积淀，加大 </w:t>
      </w:r>
      <w:r>
        <w:rPr>
          <w:rFonts w:ascii="Times New Roman" w:hAnsi="Times New Roman" w:cs="Times New Roman" w:eastAsia="Times New Roman" w:hint="default"/>
        </w:rPr>
        <w:t>V2X</w:t>
      </w:r>
      <w:r>
        <w:rPr>
          <w:rFonts w:ascii="Times New Roman" w:hAnsi="Times New Roman" w:cs="Times New Roman" w:eastAsia="Times New Roman" w:hint="default"/>
          <w:spacing w:val="-27"/>
        </w:rPr>
        <w:t> </w:t>
      </w:r>
      <w:r>
        <w:rPr/>
        <w:t>车 载 </w:t>
      </w:r>
      <w:r>
        <w:rPr>
          <w:rFonts w:ascii="Times New Roman" w:hAnsi="Times New Roman" w:cs="Times New Roman" w:eastAsia="Times New Roman" w:hint="default"/>
          <w:spacing w:val="-7"/>
          <w:w w:val="99"/>
        </w:rPr>
        <w:t>OBU</w:t>
      </w:r>
      <w:r>
        <w:rPr>
          <w:spacing w:val="-7"/>
          <w:w w:val="99"/>
        </w:rPr>
        <w:t>（包括前装和后装）、路侧</w:t>
      </w:r>
      <w:r>
        <w:rPr>
          <w:w w:val="99"/>
        </w:rPr>
        <w:t> </w:t>
      </w:r>
      <w:r>
        <w:rPr>
          <w:rFonts w:ascii="Times New Roman" w:hAnsi="Times New Roman" w:cs="Times New Roman" w:eastAsia="Times New Roman" w:hint="default"/>
          <w:spacing w:val="-1"/>
          <w:w w:val="99"/>
        </w:rPr>
        <w:t>RSU</w:t>
      </w:r>
      <w:r>
        <w:rPr>
          <w:spacing w:val="-1"/>
          <w:w w:val="99"/>
        </w:rPr>
        <w:t>、路侧集成系统、管理平台等多种形态产品的优化，加快</w:t>
      </w:r>
      <w:r>
        <w:rPr>
          <w:w w:val="99"/>
        </w:rPr>
        <w:t> </w:t>
      </w:r>
      <w:r>
        <w:rPr>
          <w:rFonts w:ascii="Times New Roman" w:hAnsi="Times New Roman" w:cs="Times New Roman" w:eastAsia="Times New Roman" w:hint="default"/>
          <w:spacing w:val="-1"/>
          <w:w w:val="99"/>
        </w:rPr>
        <w:t>5G-V2X</w:t>
      </w:r>
      <w:r>
        <w:rPr>
          <w:rFonts w:ascii="Times New Roman" w:hAnsi="Times New Roman" w:cs="Times New Roman" w:eastAsia="Times New Roman" w:hint="default"/>
          <w:w w:val="99"/>
        </w:rPr>
        <w:t> </w:t>
      </w:r>
      <w:r>
        <w:rPr>
          <w:spacing w:val="-1"/>
        </w:rPr>
        <w:t>产品的研发，加</w:t>
      </w:r>
      <w:r>
        <w:rPr>
          <w:spacing w:val="-86"/>
        </w:rPr>
        <w:t> </w:t>
      </w:r>
      <w:r>
        <w:rPr>
          <w:spacing w:val="-86"/>
        </w:rPr>
      </w:r>
      <w:r>
        <w:rPr/>
        <w:t>强与</w:t>
      </w:r>
      <w:r>
        <w:rPr>
          <w:spacing w:val="-53"/>
        </w:rPr>
        <w:t> </w:t>
      </w:r>
      <w:r>
        <w:rPr>
          <w:rFonts w:ascii="Times New Roman" w:hAnsi="Times New Roman" w:cs="Times New Roman" w:eastAsia="Times New Roman" w:hint="default"/>
        </w:rPr>
        <w:t>V2X</w:t>
      </w:r>
      <w:r>
        <w:rPr>
          <w:rFonts w:ascii="Times New Roman" w:hAnsi="Times New Roman" w:cs="Times New Roman" w:eastAsia="Times New Roman" w:hint="default"/>
          <w:spacing w:val="-8"/>
        </w:rPr>
        <w:t> </w:t>
      </w:r>
      <w:r>
        <w:rPr>
          <w:spacing w:val="-3"/>
        </w:rPr>
        <w:t>产业上下游企业合作，促进</w:t>
      </w:r>
      <w:r>
        <w:rPr>
          <w:spacing w:val="-53"/>
        </w:rPr>
        <w:t> </w:t>
      </w:r>
      <w:r>
        <w:rPr>
          <w:rFonts w:ascii="Times New Roman" w:hAnsi="Times New Roman" w:cs="Times New Roman" w:eastAsia="Times New Roman" w:hint="default"/>
        </w:rPr>
        <w:t>V2X</w:t>
      </w:r>
      <w:r>
        <w:rPr>
          <w:rFonts w:ascii="Times New Roman" w:hAnsi="Times New Roman" w:cs="Times New Roman" w:eastAsia="Times New Roman" w:hint="default"/>
          <w:spacing w:val="-8"/>
        </w:rPr>
        <w:t> </w:t>
      </w:r>
      <w:r>
        <w:rPr/>
        <w:t>试点示范建设从小范围向规模先导应用的过渡，加大在智慧城市、智慧公路领域 的研发投入并积极参与项目建设。</w:t>
      </w:r>
    </w:p>
    <w:p>
      <w:pPr>
        <w:pStyle w:val="BodyText"/>
        <w:spacing w:line="312" w:lineRule="auto" w:before="72"/>
        <w:ind w:right="1129" w:firstLine="360"/>
        <w:jc w:val="both"/>
      </w:pPr>
      <w:r>
        <w:rPr/>
        <w:t>新冠肺炎疫情对</w:t>
      </w:r>
      <w:r>
        <w:rPr>
          <w:spacing w:val="-43"/>
        </w:rPr>
        <w:t> </w:t>
      </w:r>
      <w:r>
        <w:rPr>
          <w:rFonts w:ascii="Times New Roman" w:hAnsi="Times New Roman" w:cs="Times New Roman" w:eastAsia="Times New Roman" w:hint="default"/>
        </w:rPr>
        <w:t>2020</w:t>
      </w:r>
      <w:r>
        <w:rPr>
          <w:rFonts w:ascii="Times New Roman" w:hAnsi="Times New Roman" w:cs="Times New Roman" w:eastAsia="Times New Roman" w:hint="default"/>
          <w:spacing w:val="4"/>
        </w:rPr>
        <w:t> </w:t>
      </w:r>
      <w:r>
        <w:rPr/>
        <w:t>年初全国整个经济产生了负面影响，交通领域也难以避免，交通领域的工程建设、业务开展、商 </w:t>
      </w:r>
      <w:r>
        <w:rPr>
          <w:spacing w:val="-2"/>
        </w:rPr>
        <w:t>务活动受疫情影响有所滞后，但预计疫情的影响主要是导致部分需求延后。公司在做好疫情防控的前提下，加快复工复产工</w:t>
      </w:r>
      <w:r>
        <w:rPr>
          <w:spacing w:val="-63"/>
        </w:rPr>
        <w:t> </w:t>
      </w:r>
      <w:r>
        <w:rPr>
          <w:spacing w:val="-63"/>
        </w:rPr>
      </w:r>
      <w:r>
        <w:rPr>
          <w:spacing w:val="-2"/>
        </w:rPr>
        <w:t>作，积极响应客户需求，尽可能降低疫情对公司经营的影响，公司的经营工作都在有序开展，总体来看疫情对行业和公司的</w:t>
      </w:r>
      <w:r>
        <w:rPr>
          <w:spacing w:val="-62"/>
        </w:rPr>
        <w:t> </w:t>
      </w:r>
      <w:r>
        <w:rPr>
          <w:spacing w:val="-62"/>
        </w:rPr>
      </w:r>
      <w:r>
        <w:rPr/>
        <w:t>影响较为可控。</w:t>
      </w:r>
    </w:p>
    <w:p>
      <w:pPr>
        <w:pStyle w:val="BodyText"/>
        <w:spacing w:line="307" w:lineRule="auto" w:before="61"/>
        <w:ind w:right="1131" w:firstLine="360"/>
        <w:jc w:val="both"/>
      </w:pPr>
      <w:r>
        <w:rPr/>
        <w:t>受疫情影响，围绕远距离测温</w:t>
      </w:r>
      <w:r>
        <w:rPr>
          <w:rFonts w:ascii="Times New Roman" w:hAnsi="Times New Roman" w:cs="Times New Roman" w:eastAsia="Times New Roman" w:hint="default"/>
        </w:rPr>
        <w:t>+</w:t>
      </w:r>
      <w:r>
        <w:rPr/>
        <w:t>无人值守为核心的技术应用进入爆发期，</w:t>
      </w:r>
      <w:r>
        <w:rPr>
          <w:rFonts w:ascii="Times New Roman" w:hAnsi="Times New Roman" w:cs="Times New Roman" w:eastAsia="Times New Roman" w:hint="default"/>
        </w:rPr>
        <w:t>ETC</w:t>
      </w:r>
      <w:r>
        <w:rPr>
          <w:rFonts w:ascii="Times New Roman" w:hAnsi="Times New Roman" w:cs="Times New Roman" w:eastAsia="Times New Roman" w:hint="default"/>
          <w:spacing w:val="-25"/>
        </w:rPr>
        <w:t> </w:t>
      </w:r>
      <w:r>
        <w:rPr/>
        <w:t>作为一种电子识别和收费的技术手段，是 </w:t>
      </w:r>
      <w:r>
        <w:rPr>
          <w:spacing w:val="-2"/>
        </w:rPr>
        <w:t>非接触式的，可以实现无人值守，可以大幅减少人工干预，这个技术客观上对疫情的防控是可以起到积极作用的，比如停车</w:t>
      </w:r>
      <w:r>
        <w:rPr>
          <w:spacing w:val="-64"/>
        </w:rPr>
        <w:t> </w:t>
      </w:r>
      <w:r>
        <w:rPr>
          <w:spacing w:val="-64"/>
        </w:rPr>
      </w:r>
      <w:r>
        <w:rPr/>
        <w:t>场、加油站属于人群高度流动和聚集的场所，使用 </w:t>
      </w:r>
      <w:r>
        <w:rPr>
          <w:rFonts w:ascii="Times New Roman" w:hAnsi="Times New Roman" w:cs="Times New Roman" w:eastAsia="Times New Roman" w:hint="default"/>
        </w:rPr>
        <w:t>ETC</w:t>
      </w:r>
      <w:r>
        <w:rPr>
          <w:rFonts w:ascii="Times New Roman" w:hAnsi="Times New Roman" w:cs="Times New Roman" w:eastAsia="Times New Roman" w:hint="default"/>
          <w:spacing w:val="-16"/>
        </w:rPr>
        <w:t> </w:t>
      </w:r>
      <w:r>
        <w:rPr/>
        <w:t>技术进行升级后，将减少车主停车、加油的时间，减少服务人员的 数量，提高停车场和加油站的经营效率，对疫情防控带来帮助。</w:t>
      </w:r>
    </w:p>
    <w:p>
      <w:pPr>
        <w:pStyle w:val="Heading5"/>
        <w:spacing w:line="240" w:lineRule="auto" w:before="9"/>
        <w:ind w:right="967"/>
        <w:jc w:val="left"/>
        <w:rPr>
          <w:b w:val="0"/>
          <w:bCs w:val="0"/>
        </w:rPr>
      </w:pPr>
      <w:r>
        <w:rPr/>
        <w:t>（三）可能面临的风险及应对措施</w:t>
      </w:r>
      <w:r>
        <w:rPr>
          <w:b w:val="0"/>
          <w:bCs w:val="0"/>
        </w:rPr>
      </w:r>
    </w:p>
    <w:p>
      <w:pPr>
        <w:pStyle w:val="BodyText"/>
        <w:spacing w:line="312" w:lineRule="auto" w:before="39"/>
        <w:ind w:left="513" w:right="1033"/>
        <w:jc w:val="left"/>
      </w:pP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、季节性波动风险</w:t>
      </w:r>
      <w:r>
        <w:rPr>
          <w:rFonts w:ascii="Microsoft JhengHei" w:hAnsi="Microsoft JhengHei" w:cs="Microsoft JhengHei" w:eastAsia="Microsoft JhengHei" w:hint="default"/>
          <w:b/>
          <w:bCs/>
          <w:spacing w:val="-40"/>
        </w:rPr>
        <w:t> </w:t>
      </w:r>
      <w:r>
        <w:rPr>
          <w:rFonts w:ascii="Microsoft JhengHei" w:hAnsi="Microsoft JhengHei" w:cs="Microsoft JhengHei" w:eastAsia="Microsoft JhengHei" w:hint="default"/>
          <w:b/>
          <w:bCs/>
          <w:spacing w:val="-40"/>
        </w:rPr>
      </w:r>
      <w:r>
        <w:rPr/>
        <w:t>公司所处智能交通行业，市场需求受政府政策影响较大，行业的主要客户为交通部门、高速公路管理局等类政府机构，</w:t>
      </w:r>
    </w:p>
    <w:p>
      <w:pPr>
        <w:pStyle w:val="BodyText"/>
        <w:spacing w:line="316" w:lineRule="auto" w:before="22"/>
        <w:ind w:right="1131"/>
        <w:jc w:val="both"/>
      </w:pPr>
      <w:r>
        <w:rPr>
          <w:spacing w:val="-2"/>
        </w:rPr>
        <w:t>该类客户通常有着严格的投资计划、资金安排、工期安排等管理流程，公司获取的订单受客户年度采购计划的影响，同时路</w:t>
      </w:r>
      <w:r>
        <w:rPr>
          <w:spacing w:val="-64"/>
        </w:rPr>
        <w:t> </w:t>
      </w:r>
      <w:r>
        <w:rPr>
          <w:spacing w:val="-64"/>
        </w:rPr>
      </w:r>
      <w:r>
        <w:rPr>
          <w:spacing w:val="-2"/>
        </w:rPr>
        <w:t>侧天线等设备安装多属于收费系统及车道改造项目内容，该类项目施工受天气和假期影响，而每个项目签订时间、实施内容</w:t>
      </w:r>
      <w:r>
        <w:rPr>
          <w:spacing w:val="-66"/>
        </w:rPr>
        <w:t> </w:t>
      </w:r>
      <w:r>
        <w:rPr>
          <w:spacing w:val="-66"/>
        </w:rPr>
      </w:r>
      <w:r>
        <w:rPr/>
        <w:t>和项目进度的不同会导致公司收入、利润、回款在年内分布不均衡，因此公司的业绩具有一定的季节性波动的风险。</w:t>
      </w:r>
    </w:p>
    <w:p>
      <w:pPr>
        <w:spacing w:line="314" w:lineRule="auto" w:before="3"/>
        <w:ind w:left="513" w:right="967"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Microsoft JhengHei" w:hAnsi="Microsoft JhengHei" w:cs="Microsoft JhengHei" w:eastAsia="Microsoft JhengHei" w:hint="default"/>
          <w:b/>
          <w:bCs/>
          <w:sz w:val="18"/>
          <w:szCs w:val="18"/>
        </w:rPr>
        <w:t>、技术泄密或被侵权及技术人员流失的风险</w:t>
      </w:r>
      <w:r>
        <w:rPr>
          <w:rFonts w:ascii="Microsoft JhengHei" w:hAnsi="Microsoft JhengHei" w:cs="Microsoft JhengHei" w:eastAsia="Microsoft JhengHei" w:hint="default"/>
          <w:b/>
          <w:bCs/>
          <w:spacing w:val="-35"/>
          <w:sz w:val="18"/>
          <w:szCs w:val="18"/>
        </w:rPr>
        <w:t> </w:t>
      </w:r>
      <w:r>
        <w:rPr>
          <w:rFonts w:ascii="Microsoft JhengHei" w:hAnsi="Microsoft JhengHei" w:cs="Microsoft JhengHei" w:eastAsia="Microsoft JhengHei" w:hint="default"/>
          <w:b/>
          <w:bCs/>
          <w:spacing w:val="-35"/>
          <w:sz w:val="18"/>
          <w:szCs w:val="18"/>
        </w:rPr>
      </w:r>
      <w:r>
        <w:rPr>
          <w:rFonts w:ascii="宋体" w:hAnsi="宋体" w:cs="宋体" w:eastAsia="宋体" w:hint="default"/>
          <w:spacing w:val="-4"/>
          <w:sz w:val="18"/>
          <w:szCs w:val="18"/>
        </w:rPr>
        <w:t>公司所处行业是知识经济时代的代表性产业，是近年来我国增长速度最快的高新技术行业之一。经过多年的积累和发展，</w:t>
      </w:r>
    </w:p>
    <w:p>
      <w:pPr>
        <w:pStyle w:val="BodyText"/>
        <w:spacing w:line="314" w:lineRule="auto" w:before="20"/>
        <w:ind w:right="1130"/>
        <w:jc w:val="both"/>
      </w:pPr>
      <w:r>
        <w:rPr>
          <w:spacing w:val="-2"/>
        </w:rPr>
        <w:t>公司掌握了智能交通领域内的多项关键技术。技术优势是公司核心竞争力的重要体现。公司重视对核心技术的保护，虽然与</w:t>
      </w:r>
      <w:r>
        <w:rPr>
          <w:spacing w:val="-63"/>
        </w:rPr>
        <w:t> </w:t>
      </w:r>
      <w:r>
        <w:rPr>
          <w:spacing w:val="-63"/>
        </w:rPr>
      </w:r>
      <w:r>
        <w:rPr/>
        <w:t>相关核心技术人员以及因业务关系知悉技术秘密的相关人员签订了保密及</w:t>
      </w:r>
      <w:r>
        <w:rPr>
          <w:rFonts w:ascii="Times New Roman" w:hAnsi="Times New Roman" w:cs="Times New Roman" w:eastAsia="Times New Roman" w:hint="default"/>
        </w:rPr>
        <w:t>/</w:t>
      </w:r>
      <w:r>
        <w:rPr/>
        <w:t>或竞业限制协议，但是如果发生公司核心技术人</w:t>
      </w:r>
      <w:r>
        <w:rPr>
          <w:spacing w:val="-47"/>
        </w:rPr>
        <w:t> </w:t>
      </w:r>
      <w:r>
        <w:rPr>
          <w:spacing w:val="-47"/>
        </w:rPr>
      </w:r>
      <w:r>
        <w:rPr>
          <w:spacing w:val="-2"/>
        </w:rPr>
        <w:t>员离职后继续从事与公司业务相同或相似的工作，或者关键岗位技术人员发生泄密事件，将有可能削弱公司的技术优势，进</w:t>
      </w:r>
      <w:r>
        <w:rPr>
          <w:spacing w:val="-63"/>
        </w:rPr>
        <w:t> </w:t>
      </w:r>
      <w:r>
        <w:rPr>
          <w:spacing w:val="-63"/>
        </w:rPr>
      </w:r>
      <w:r>
        <w:rPr>
          <w:spacing w:val="-2"/>
        </w:rPr>
        <w:t>而对经营带来不利影响。此外，公司仍可能存在知识产权被侵犯，进而对公司经营造成不利影响的风险。公司将加大知识产</w:t>
      </w:r>
      <w:r>
        <w:rPr>
          <w:spacing w:val="-65"/>
        </w:rPr>
        <w:t> </w:t>
      </w:r>
      <w:r>
        <w:rPr>
          <w:spacing w:val="-65"/>
        </w:rPr>
      </w:r>
      <w:r>
        <w:rPr/>
        <w:t>权的保护力度，对于可能出现的严重侵犯公司知识产权的情形，公司将通过法律手段保护自身合法权益。</w:t>
      </w:r>
    </w:p>
    <w:p>
      <w:pPr>
        <w:pStyle w:val="BodyText"/>
        <w:spacing w:line="319" w:lineRule="auto" w:before="59"/>
        <w:ind w:right="967" w:firstLine="360"/>
        <w:jc w:val="left"/>
      </w:pPr>
      <w:r>
        <w:rPr>
          <w:spacing w:val="-2"/>
        </w:rPr>
        <w:t>核心技术人员是公司保持技术优势的基础，公司一直对高水平的软、硬件开发与应用人才有较大的需求，随着业内技术</w:t>
      </w:r>
      <w:r>
        <w:rPr/>
        <w:t> </w:t>
      </w:r>
      <w:r>
        <w:rPr>
          <w:spacing w:val="-4"/>
        </w:rPr>
        <w:t>的不断更新，公司业务所处行业的市场竞争不断加剧，相关技术人才的竞争也日趋激烈，公司将不断完善人力资源管理体系，</w:t>
      </w:r>
      <w:r>
        <w:rPr>
          <w:spacing w:val="-44"/>
        </w:rPr>
        <w:t> </w:t>
      </w:r>
      <w:r>
        <w:rPr>
          <w:spacing w:val="-44"/>
        </w:rPr>
      </w:r>
      <w:r>
        <w:rPr>
          <w:spacing w:val="-2"/>
        </w:rPr>
        <w:t>采取一系列吸引和稳定核心技术人员的措施，包括核心技术人员持股、提高核心技术人员福利待遇、增加培训机会、创造良</w:t>
      </w:r>
      <w:r>
        <w:rPr>
          <w:spacing w:val="-64"/>
        </w:rPr>
        <w:t> </w:t>
      </w:r>
      <w:r>
        <w:rPr>
          <w:spacing w:val="-64"/>
        </w:rPr>
      </w:r>
      <w:r>
        <w:rPr/>
        <w:t>好的工作和文化氛围等。</w:t>
      </w:r>
    </w:p>
    <w:p>
      <w:pPr>
        <w:pStyle w:val="BodyText"/>
        <w:spacing w:line="240" w:lineRule="auto" w:before="58"/>
        <w:ind w:left="513" w:right="967"/>
        <w:jc w:val="left"/>
      </w:pPr>
      <w:r>
        <w:rPr/>
        <w:t>公司将加大知识产权的保护力度，对于可能出现的严重侵犯公司知识产权的情形，公司将通过法律手段保护自身合法权</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967"/>
        <w:jc w:val="left"/>
      </w:pPr>
      <w:r>
        <w:rPr/>
        <w:t>益。</w:t>
      </w:r>
    </w:p>
    <w:p>
      <w:pPr>
        <w:spacing w:line="312" w:lineRule="auto" w:before="60"/>
        <w:ind w:left="513" w:right="967"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Microsoft JhengHei" w:hAnsi="Microsoft JhengHei" w:cs="Microsoft JhengHei" w:eastAsia="Microsoft JhengHei" w:hint="default"/>
          <w:b/>
          <w:bCs/>
          <w:sz w:val="18"/>
          <w:szCs w:val="18"/>
        </w:rPr>
        <w:t>、报告期内对单一行业依赖的风险</w:t>
      </w:r>
      <w:r>
        <w:rPr>
          <w:rFonts w:ascii="Microsoft JhengHei" w:hAnsi="Microsoft JhengHei" w:cs="Microsoft JhengHei" w:eastAsia="Microsoft JhengHei" w:hint="default"/>
          <w:b/>
          <w:bCs/>
          <w:spacing w:val="-37"/>
          <w:sz w:val="18"/>
          <w:szCs w:val="18"/>
        </w:rPr>
        <w:t> </w:t>
      </w:r>
      <w:r>
        <w:rPr>
          <w:rFonts w:ascii="Microsoft JhengHei" w:hAnsi="Microsoft JhengHei" w:cs="Microsoft JhengHei" w:eastAsia="Microsoft JhengHei" w:hint="default"/>
          <w:b/>
          <w:bCs/>
          <w:spacing w:val="-37"/>
          <w:sz w:val="18"/>
          <w:szCs w:val="18"/>
        </w:rPr>
      </w:r>
      <w:r>
        <w:rPr>
          <w:rFonts w:ascii="宋体" w:hAnsi="宋体" w:cs="宋体" w:eastAsia="宋体" w:hint="default"/>
          <w:spacing w:val="-2"/>
          <w:sz w:val="18"/>
          <w:szCs w:val="18"/>
        </w:rPr>
        <w:t>公司目前业务主要服务于高速公路智能交通系统行业，主要产品集中应用于高速公路不停车收费系统。目前国内大部分</w:t>
      </w:r>
    </w:p>
    <w:p>
      <w:pPr>
        <w:pStyle w:val="BodyText"/>
        <w:spacing w:line="316" w:lineRule="auto" w:before="22"/>
        <w:ind w:right="1034"/>
        <w:jc w:val="left"/>
      </w:pPr>
      <w:r>
        <w:rPr/>
        <w:t>智能交通系统项目需求方或投资方是各级交通、公安和市政等公共事业主管部门，其他企业和个人市场需求比例相对较小。 </w:t>
      </w:r>
      <w:r>
        <w:rPr>
          <w:spacing w:val="-2"/>
        </w:rPr>
        <w:t>虽然各方面对智能交通行业给予厚望，但公共事业支出仍然受到财政预算、宏观政策的影响，特别是国家高速公路路网和城</w:t>
      </w:r>
      <w:r>
        <w:rPr>
          <w:spacing w:val="-63"/>
        </w:rPr>
        <w:t> </w:t>
      </w:r>
      <w:r>
        <w:rPr>
          <w:spacing w:val="-63"/>
        </w:rPr>
      </w:r>
      <w:r>
        <w:rPr>
          <w:spacing w:val="-2"/>
        </w:rPr>
        <w:t>市道路设施的建设投入规划与公司的业务机会存在紧密联系。公司当前及未来一段时期的经营业绩仍然与各地高速公路建设</w:t>
      </w:r>
      <w:r>
        <w:rPr>
          <w:spacing w:val="-64"/>
        </w:rPr>
        <w:t> </w:t>
      </w:r>
      <w:r>
        <w:rPr>
          <w:spacing w:val="-64"/>
        </w:rPr>
      </w:r>
      <w:r>
        <w:rPr/>
        <w:t>进度密切相关。从智能交通产品品种来看，公司产品相对单一，对高速公路行业存在较大依赖，抵御市场风险的能力偏弱。</w:t>
      </w:r>
      <w:r>
        <w:rPr/>
        <w:t> </w:t>
      </w:r>
      <w:r>
        <w:rPr>
          <w:spacing w:val="-2"/>
        </w:rPr>
        <w:t>公司在多项新业务（智慧公路、车路协同、汽车电子标识、汽车电子行业）已有战略布局和技术储备，未来将加大市场开拓</w:t>
      </w:r>
      <w:r>
        <w:rPr>
          <w:spacing w:val="-70"/>
        </w:rPr>
        <w:t> </w:t>
      </w:r>
      <w:r>
        <w:rPr>
          <w:spacing w:val="-70"/>
        </w:rPr>
      </w:r>
      <w:r>
        <w:rPr/>
        <w:t>力度，积极培育成为新的业绩增长点。</w:t>
      </w:r>
    </w:p>
    <w:p>
      <w:pPr>
        <w:spacing w:line="314" w:lineRule="auto" w:before="2"/>
        <w:ind w:left="513" w:right="967"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4</w:t>
      </w:r>
      <w:r>
        <w:rPr>
          <w:rFonts w:ascii="Microsoft JhengHei" w:hAnsi="Microsoft JhengHei" w:cs="Microsoft JhengHei" w:eastAsia="Microsoft JhengHei" w:hint="default"/>
          <w:b/>
          <w:bCs/>
          <w:sz w:val="18"/>
          <w:szCs w:val="18"/>
        </w:rPr>
        <w:t>、行业政策对公司经营带来的风险</w:t>
      </w:r>
      <w:r>
        <w:rPr>
          <w:rFonts w:ascii="Microsoft JhengHei" w:hAnsi="Microsoft JhengHei" w:cs="Microsoft JhengHei" w:eastAsia="Microsoft JhengHei" w:hint="default"/>
          <w:b/>
          <w:bCs/>
          <w:spacing w:val="-37"/>
          <w:sz w:val="18"/>
          <w:szCs w:val="18"/>
        </w:rPr>
        <w:t> </w:t>
      </w:r>
      <w:r>
        <w:rPr>
          <w:rFonts w:ascii="Microsoft JhengHei" w:hAnsi="Microsoft JhengHei" w:cs="Microsoft JhengHei" w:eastAsia="Microsoft JhengHei" w:hint="default"/>
          <w:b/>
          <w:bCs/>
          <w:spacing w:val="-37"/>
          <w:sz w:val="18"/>
          <w:szCs w:val="18"/>
        </w:rPr>
      </w:r>
      <w:r>
        <w:rPr>
          <w:rFonts w:ascii="宋体" w:hAnsi="宋体" w:cs="宋体" w:eastAsia="宋体" w:hint="default"/>
          <w:spacing w:val="-2"/>
          <w:sz w:val="18"/>
          <w:szCs w:val="18"/>
        </w:rPr>
        <w:t>公司业务属于智能交通领域，该领域的发展受到国家政策的影响显著，公司业绩也受政策刺激因素产生相应波动。</w:t>
      </w:r>
      <w:r>
        <w:rPr>
          <w:rFonts w:ascii="Times New Roman" w:hAnsi="Times New Roman" w:cs="Times New Roman" w:eastAsia="Times New Roman" w:hint="default"/>
          <w:spacing w:val="-2"/>
          <w:sz w:val="18"/>
          <w:szCs w:val="18"/>
        </w:rPr>
        <w:t>2019</w:t>
      </w:r>
    </w:p>
    <w:p>
      <w:pPr>
        <w:pStyle w:val="BodyText"/>
        <w:spacing w:line="300" w:lineRule="auto" w:before="1"/>
        <w:ind w:right="1036"/>
        <w:jc w:val="left"/>
      </w:pPr>
      <w:r>
        <w:rPr>
          <w:spacing w:val="-3"/>
        </w:rPr>
        <w:t>年</w:t>
      </w:r>
      <w:r>
        <w:rPr>
          <w:rFonts w:ascii="Times New Roman" w:hAnsi="Times New Roman" w:cs="Times New Roman" w:eastAsia="Times New Roman" w:hint="default"/>
          <w:spacing w:val="-3"/>
        </w:rPr>
        <w:t>5</w:t>
      </w:r>
      <w:r>
        <w:rPr>
          <w:spacing w:val="-3"/>
        </w:rPr>
        <w:t>月，国务院办公厅印发《深化收费公路制度改革取消高速公路省界收费站实施方案》（国办发〔</w:t>
      </w:r>
      <w:r>
        <w:rPr>
          <w:rFonts w:ascii="Times New Roman" w:hAnsi="Times New Roman" w:cs="Times New Roman" w:eastAsia="Times New Roman" w:hint="default"/>
          <w:spacing w:val="-3"/>
        </w:rPr>
        <w:t>2019</w:t>
      </w:r>
      <w:r>
        <w:rPr>
          <w:spacing w:val="-3"/>
        </w:rPr>
        <w:t>〕</w:t>
      </w:r>
      <w:r>
        <w:rPr>
          <w:rFonts w:ascii="Times New Roman" w:hAnsi="Times New Roman" w:cs="Times New Roman" w:eastAsia="Times New Roman" w:hint="default"/>
          <w:spacing w:val="-3"/>
        </w:rPr>
        <w:t>23</w:t>
      </w:r>
      <w:r>
        <w:rPr>
          <w:spacing w:val="-3"/>
        </w:rPr>
        <w:t>号），力争</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spacing w:val="-6"/>
        </w:rPr>
        <w:t>年底前基本取消全国高速公路省界收费站。同月，交通运输部办公厅印发《关于大力推动高速公路</w:t>
      </w:r>
      <w:r>
        <w:rPr>
          <w:rFonts w:ascii="Times New Roman" w:hAnsi="Times New Roman" w:cs="Times New Roman" w:eastAsia="Times New Roman" w:hint="default"/>
          <w:spacing w:val="-6"/>
        </w:rPr>
        <w:t>ETC</w:t>
      </w:r>
      <w:r>
        <w:rPr>
          <w:spacing w:val="-6"/>
        </w:rPr>
        <w:t>发展应用工作的通知》，</w:t>
      </w:r>
      <w:r>
        <w:rPr>
          <w:spacing w:val="-81"/>
        </w:rPr>
        <w:t> </w:t>
      </w:r>
      <w:r>
        <w:rPr>
          <w:spacing w:val="-81"/>
        </w:rPr>
      </w:r>
      <w:r>
        <w:rPr/>
        <w:t>提出到</w:t>
      </w:r>
      <w:r>
        <w:rPr>
          <w:rFonts w:ascii="Times New Roman" w:hAnsi="Times New Roman" w:cs="Times New Roman" w:eastAsia="Times New Roman" w:hint="default"/>
        </w:rPr>
        <w:t>2019</w:t>
      </w:r>
      <w:r>
        <w:rPr/>
        <w:t>年底，各省（区、市）汽车</w:t>
      </w:r>
      <w:r>
        <w:rPr>
          <w:rFonts w:ascii="Times New Roman" w:hAnsi="Times New Roman" w:cs="Times New Roman" w:eastAsia="Times New Roman" w:hint="default"/>
        </w:rPr>
        <w:t>ETC</w:t>
      </w:r>
      <w:r>
        <w:rPr/>
        <w:t>安装率达到</w:t>
      </w:r>
      <w:r>
        <w:rPr>
          <w:rFonts w:ascii="Times New Roman" w:hAnsi="Times New Roman" w:cs="Times New Roman" w:eastAsia="Times New Roman" w:hint="default"/>
        </w:rPr>
        <w:t>80</w:t>
      </w:r>
      <w:r>
        <w:rPr/>
        <w:t>％以上，通行高速公路的车辆</w:t>
      </w:r>
      <w:r>
        <w:rPr>
          <w:rFonts w:ascii="Times New Roman" w:hAnsi="Times New Roman" w:cs="Times New Roman" w:eastAsia="Times New Roman" w:hint="default"/>
        </w:rPr>
        <w:t>ETC</w:t>
      </w:r>
      <w:r>
        <w:rPr/>
        <w:t>使用率达到</w:t>
      </w:r>
      <w:r>
        <w:rPr>
          <w:rFonts w:ascii="Times New Roman" w:hAnsi="Times New Roman" w:cs="Times New Roman" w:eastAsia="Times New Roman" w:hint="default"/>
        </w:rPr>
        <w:t>90</w:t>
      </w:r>
      <w:r>
        <w:rPr/>
        <w:t>％以上，高速公路 基本实现不停车快捷收费。国家密集出台政策大力推广</w:t>
      </w:r>
      <w:r>
        <w:rPr>
          <w:rFonts w:ascii="Times New Roman" w:hAnsi="Times New Roman" w:cs="Times New Roman" w:eastAsia="Times New Roman" w:hint="default"/>
        </w:rPr>
        <w:t>ETC</w:t>
      </w:r>
      <w:r>
        <w:rPr/>
        <w:t>，对高速公路</w:t>
      </w:r>
      <w:r>
        <w:rPr>
          <w:rFonts w:ascii="Times New Roman" w:hAnsi="Times New Roman" w:cs="Times New Roman" w:eastAsia="Times New Roman" w:hint="default"/>
        </w:rPr>
        <w:t>ETC</w:t>
      </w:r>
      <w:r>
        <w:rPr/>
        <w:t>发展具有较大的推动作用。但是随着</w:t>
      </w:r>
      <w:r>
        <w:rPr>
          <w:rFonts w:ascii="Times New Roman" w:hAnsi="Times New Roman" w:cs="Times New Roman" w:eastAsia="Times New Roman" w:hint="default"/>
        </w:rPr>
        <w:t>ETC</w:t>
      </w:r>
      <w:r>
        <w:rPr/>
        <w:t>普及 率的提高，政策刺激效应将逐渐减弱，如公司不能顺利拓展业务领域和收入来源，公司业绩将可能出现不利影响。</w:t>
      </w:r>
    </w:p>
    <w:p>
      <w:pPr>
        <w:pStyle w:val="BodyText"/>
        <w:spacing w:line="314" w:lineRule="auto" w:before="12"/>
        <w:ind w:left="513" w:right="967"/>
        <w:jc w:val="left"/>
      </w:pPr>
      <w:r>
        <w:rPr>
          <w:rFonts w:ascii="Times New Roman" w:hAnsi="Times New Roman" w:cs="Times New Roman" w:eastAsia="Times New Roman" w:hint="default"/>
          <w:b/>
          <w:bCs/>
        </w:rPr>
        <w:t>5</w:t>
      </w:r>
      <w:r>
        <w:rPr>
          <w:rFonts w:ascii="Microsoft JhengHei" w:hAnsi="Microsoft JhengHei" w:cs="Microsoft JhengHei" w:eastAsia="Microsoft JhengHei" w:hint="default"/>
          <w:b/>
          <w:bCs/>
        </w:rPr>
        <w:t>、市场竞争风险</w:t>
      </w:r>
      <w:r>
        <w:rPr>
          <w:rFonts w:ascii="Microsoft JhengHei" w:hAnsi="Microsoft JhengHei" w:cs="Microsoft JhengHei" w:eastAsia="Microsoft JhengHei" w:hint="default"/>
          <w:b/>
          <w:bCs/>
          <w:spacing w:val="-40"/>
        </w:rPr>
        <w:t> </w:t>
      </w:r>
      <w:r>
        <w:rPr>
          <w:rFonts w:ascii="Microsoft JhengHei" w:hAnsi="Microsoft JhengHei" w:cs="Microsoft JhengHei" w:eastAsia="Microsoft JhengHei" w:hint="default"/>
          <w:b/>
          <w:bCs/>
          <w:spacing w:val="-40"/>
        </w:rPr>
      </w:r>
      <w:r>
        <w:rPr>
          <w:spacing w:val="-2"/>
        </w:rPr>
        <w:t>公司所处的行业产品毛利率较高，但需要较高的研发投入支撑行业技术不断进步。虽然公司目前具有较强的技术优势和</w:t>
      </w:r>
    </w:p>
    <w:p>
      <w:pPr>
        <w:pStyle w:val="BodyText"/>
        <w:spacing w:line="316" w:lineRule="auto" w:before="20"/>
        <w:ind w:right="1131"/>
        <w:jc w:val="both"/>
      </w:pPr>
      <w:r>
        <w:rPr>
          <w:spacing w:val="-2"/>
        </w:rPr>
        <w:t>市场占有率的优势，但随着其他同行业厂商在市场拓展和技术研发的不断投入和积累，公司能否继续保持上述竞争优势存在</w:t>
      </w:r>
      <w:r>
        <w:rPr>
          <w:spacing w:val="-64"/>
        </w:rPr>
        <w:t> </w:t>
      </w:r>
      <w:r>
        <w:rPr>
          <w:spacing w:val="-64"/>
        </w:rPr>
      </w:r>
      <w:r>
        <w:rPr>
          <w:spacing w:val="-2"/>
        </w:rPr>
        <w:t>一定风险。随着市场竞争的程度增加，可能会影响公司的盈利能力。同时，市场上新进入者有可能会采用低价策略增加其市</w:t>
      </w:r>
      <w:r>
        <w:rPr>
          <w:spacing w:val="-64"/>
        </w:rPr>
        <w:t> </w:t>
      </w:r>
      <w:r>
        <w:rPr>
          <w:spacing w:val="-64"/>
        </w:rPr>
      </w:r>
      <w:r>
        <w:rPr/>
        <w:t>场份额，从而可能造成市场的平均价格的下滑，相应影响公司的盈利能力。</w:t>
      </w:r>
    </w:p>
    <w:p>
      <w:pPr>
        <w:pStyle w:val="BodyText"/>
        <w:spacing w:line="307" w:lineRule="auto" w:before="60"/>
        <w:ind w:right="1128" w:firstLine="360"/>
        <w:jc w:val="both"/>
      </w:pPr>
      <w:r>
        <w:rPr>
          <w:spacing w:val="-2"/>
        </w:rPr>
        <w:t>面对市场竞争风险，公司将持续</w:t>
      </w:r>
      <w:r>
        <w:rPr>
          <w:rFonts w:ascii="Times New Roman" w:hAnsi="Times New Roman" w:cs="Times New Roman" w:eastAsia="Times New Roman" w:hint="default"/>
          <w:spacing w:val="-2"/>
        </w:rPr>
        <w:t>“</w:t>
      </w:r>
      <w:r>
        <w:rPr>
          <w:spacing w:val="-2"/>
        </w:rPr>
        <w:t>固老拓新</w:t>
      </w:r>
      <w:r>
        <w:rPr>
          <w:rFonts w:ascii="Times New Roman" w:hAnsi="Times New Roman" w:cs="Times New Roman" w:eastAsia="Times New Roman" w:hint="default"/>
          <w:spacing w:val="-2"/>
        </w:rPr>
        <w:t>”</w:t>
      </w:r>
      <w:r>
        <w:rPr>
          <w:spacing w:val="-2"/>
        </w:rPr>
        <w:t>，通过有效的市场和产品策略、拓展新应用和推进前装业务，保持市场领先</w:t>
      </w:r>
      <w:r>
        <w:rPr/>
        <w:t> </w:t>
      </w:r>
      <w:r>
        <w:rPr>
          <w:spacing w:val="-2"/>
        </w:rPr>
        <w:t>地位。一方面会针对行业更激烈的竞争态势，在市场营销的网络、渠道、团队、策略等方面做好全面布局，及时变更市场策</w:t>
      </w:r>
      <w:r>
        <w:rPr>
          <w:spacing w:val="-70"/>
        </w:rPr>
        <w:t> </w:t>
      </w:r>
      <w:r>
        <w:rPr>
          <w:spacing w:val="-70"/>
        </w:rPr>
      </w:r>
      <w:r>
        <w:rPr>
          <w:spacing w:val="-2"/>
        </w:rPr>
        <w:t>略；同时，在</w:t>
      </w:r>
      <w:r>
        <w:rPr>
          <w:rFonts w:ascii="Times New Roman" w:hAnsi="Times New Roman" w:cs="Times New Roman" w:eastAsia="Times New Roman" w:hint="default"/>
          <w:spacing w:val="-2"/>
        </w:rPr>
        <w:t>ETC</w:t>
      </w:r>
      <w:r>
        <w:rPr>
          <w:spacing w:val="-2"/>
        </w:rPr>
        <w:t>普及的形势下，用户规模和使用范围进一步扩大，对产品的功能、性价比、可靠性、支持和服务等，将提</w:t>
      </w:r>
      <w:r>
        <w:rPr>
          <w:spacing w:val="-48"/>
        </w:rPr>
        <w:t> </w:t>
      </w:r>
      <w:r>
        <w:rPr>
          <w:spacing w:val="-48"/>
        </w:rPr>
      </w:r>
      <w:r>
        <w:rPr>
          <w:spacing w:val="-2"/>
        </w:rPr>
        <w:t>出更高的要求，公司将继续加大研发投入，持续改进产品和提升用户服务；另外，公司将根据行业最新发展态势，寻找新的</w:t>
      </w:r>
      <w:r>
        <w:rPr>
          <w:spacing w:val="-67"/>
        </w:rPr>
        <w:t> </w:t>
      </w:r>
      <w:r>
        <w:rPr>
          <w:spacing w:val="-67"/>
        </w:rPr>
      </w:r>
      <w:r>
        <w:rPr/>
        <w:t>发展机会，大力开拓</w:t>
      </w:r>
      <w:r>
        <w:rPr>
          <w:rFonts w:ascii="Times New Roman" w:hAnsi="Times New Roman" w:cs="Times New Roman" w:eastAsia="Times New Roman" w:hint="default"/>
        </w:rPr>
        <w:t>OBU</w:t>
      </w:r>
      <w:r>
        <w:rPr/>
        <w:t>前装市场、城市</w:t>
      </w:r>
      <w:r>
        <w:rPr>
          <w:rFonts w:ascii="Times New Roman" w:hAnsi="Times New Roman" w:cs="Times New Roman" w:eastAsia="Times New Roman" w:hint="default"/>
        </w:rPr>
        <w:t>ETC</w:t>
      </w:r>
      <w:r>
        <w:rPr/>
        <w:t>市场、并积极推进</w:t>
      </w:r>
      <w:r>
        <w:rPr>
          <w:rFonts w:ascii="Times New Roman" w:hAnsi="Times New Roman" w:cs="Times New Roman" w:eastAsia="Times New Roman" w:hint="default"/>
        </w:rPr>
        <w:t>V2X</w:t>
      </w:r>
      <w:r>
        <w:rPr/>
        <w:t>业务，积极参与国家智慧高速公路建设等项目，以</w:t>
      </w:r>
      <w:r>
        <w:rPr>
          <w:rFonts w:ascii="Times New Roman" w:hAnsi="Times New Roman" w:cs="Times New Roman" w:eastAsia="Times New Roman" w:hint="default"/>
        </w:rPr>
        <w:t>“</w:t>
      </w:r>
      <w:r>
        <w:rPr/>
        <w:t>多</w:t>
      </w:r>
      <w:r>
        <w:rPr>
          <w:spacing w:val="-67"/>
        </w:rPr>
        <w:t> </w:t>
      </w:r>
      <w:r>
        <w:rPr/>
        <w:t>头并进</w:t>
      </w:r>
      <w:r>
        <w:rPr>
          <w:rFonts w:ascii="Times New Roman" w:hAnsi="Times New Roman" w:cs="Times New Roman" w:eastAsia="Times New Roman" w:hint="default"/>
        </w:rPr>
        <w:t>”</w:t>
      </w:r>
      <w:r>
        <w:rPr/>
        <w:t>的策略降低业务风险。</w:t>
      </w:r>
    </w:p>
    <w:p>
      <w:pPr>
        <w:pStyle w:val="Heading5"/>
        <w:spacing w:line="301" w:lineRule="exact"/>
        <w:ind w:right="967"/>
        <w:jc w:val="left"/>
        <w:rPr>
          <w:b w:val="0"/>
          <w:bCs w:val="0"/>
        </w:rPr>
      </w:pPr>
      <w:r>
        <w:rPr>
          <w:rFonts w:ascii="Times New Roman" w:hAnsi="Times New Roman" w:cs="Times New Roman" w:eastAsia="Times New Roman" w:hint="default"/>
        </w:rPr>
        <w:t>6</w:t>
      </w:r>
      <w:r>
        <w:rPr/>
        <w:t>、新业务拓展及技术创新风险</w:t>
      </w:r>
      <w:r>
        <w:rPr>
          <w:b w:val="0"/>
          <w:bCs w:val="0"/>
        </w:rPr>
      </w:r>
    </w:p>
    <w:p>
      <w:pPr>
        <w:pStyle w:val="BodyText"/>
        <w:spacing w:line="314" w:lineRule="auto" w:before="96"/>
        <w:ind w:right="1051" w:firstLine="360"/>
        <w:jc w:val="both"/>
      </w:pPr>
      <w:r>
        <w:rPr/>
        <w:t>公司近年来积极发展新业务，将公司的产品从</w:t>
      </w:r>
      <w:r>
        <w:rPr>
          <w:rFonts w:ascii="Times New Roman" w:hAnsi="Times New Roman" w:cs="Times New Roman" w:eastAsia="Times New Roman" w:hint="default"/>
        </w:rPr>
        <w:t>ETC</w:t>
      </w:r>
      <w:r>
        <w:rPr/>
        <w:t>向智慧公路、</w:t>
      </w:r>
      <w:r>
        <w:rPr>
          <w:rFonts w:ascii="Times New Roman" w:hAnsi="Times New Roman" w:cs="Times New Roman" w:eastAsia="Times New Roman" w:hint="default"/>
        </w:rPr>
        <w:t>V2X</w:t>
      </w:r>
      <w:r>
        <w:rPr/>
        <w:t>、城市智慧停车、城市交通管理等方向延伸，拓宽 </w:t>
      </w:r>
      <w:r>
        <w:rPr>
          <w:spacing w:val="-2"/>
        </w:rPr>
        <w:t>城市交通、车联网的应用场景，但上述新业务领域尚缺乏典型成功案例，市场对新技术新产品的接受程度不高，商业模式尚</w:t>
      </w:r>
      <w:r>
        <w:rPr>
          <w:spacing w:val="-64"/>
        </w:rPr>
        <w:t> </w:t>
      </w:r>
      <w:r>
        <w:rPr>
          <w:spacing w:val="-64"/>
        </w:rPr>
      </w:r>
      <w:r>
        <w:rPr>
          <w:spacing w:val="-2"/>
        </w:rPr>
        <w:t>未成熟，关键应用场景有待挖掘，同时，有些新技术还需经过大规模验证才能最终推向市场，这些问题成为制约上述技术和</w:t>
      </w:r>
      <w:r>
        <w:rPr>
          <w:spacing w:val="-64"/>
        </w:rPr>
        <w:t> </w:t>
      </w:r>
      <w:r>
        <w:rPr>
          <w:spacing w:val="-64"/>
        </w:rPr>
      </w:r>
      <w:r>
        <w:rPr>
          <w:spacing w:val="-2"/>
        </w:rPr>
        <w:t>产品大规模推广应用的重要原因，公司为新的业务发展投入大量资本和人力，如新业务市场拓展进度不如预期或公司的技术</w:t>
      </w:r>
      <w:r>
        <w:rPr>
          <w:spacing w:val="-64"/>
        </w:rPr>
        <w:t> </w:t>
      </w:r>
      <w:r>
        <w:rPr>
          <w:spacing w:val="-64"/>
        </w:rPr>
      </w:r>
      <w:r>
        <w:rPr/>
        <w:t>创新最终未能被市场采纳，新增的技术研发及业务发展投入将对公司业绩造成拖累，公司业绩将可能出现剧烈下滑的风险。</w:t>
      </w:r>
    </w:p>
    <w:p>
      <w:pPr>
        <w:pStyle w:val="BodyText"/>
        <w:spacing w:line="316" w:lineRule="auto" w:before="61"/>
        <w:ind w:right="1130" w:firstLine="360"/>
        <w:jc w:val="both"/>
      </w:pPr>
      <w:r>
        <w:rPr>
          <w:spacing w:val="-2"/>
        </w:rPr>
        <w:t>上述风险是绝大多数新产品和新技术推广都必然面对的，针对上述风险，公司将在新业务拓展及新技术产品开发之前做</w:t>
      </w:r>
      <w:r>
        <w:rPr/>
        <w:t> </w:t>
      </w:r>
      <w:r>
        <w:rPr>
          <w:spacing w:val="-2"/>
        </w:rPr>
        <w:t>好市场调研，把握技术发展趋势和市场需求方向，制定精准的战略规划和市场策略，同时加强产学研用金合作及与行业上下</w:t>
      </w:r>
      <w:r>
        <w:rPr>
          <w:spacing w:val="-63"/>
        </w:rPr>
        <w:t> </w:t>
      </w:r>
      <w:r>
        <w:rPr>
          <w:spacing w:val="-63"/>
        </w:rPr>
      </w:r>
      <w:r>
        <w:rPr/>
        <w:t>游伙伴的合作来分散风险。</w:t>
      </w:r>
    </w:p>
    <w:p>
      <w:pPr>
        <w:spacing w:line="314" w:lineRule="auto" w:before="0"/>
        <w:ind w:left="513" w:right="967"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7</w:t>
      </w:r>
      <w:r>
        <w:rPr>
          <w:rFonts w:ascii="Microsoft JhengHei" w:hAnsi="Microsoft JhengHei" w:cs="Microsoft JhengHei" w:eastAsia="Microsoft JhengHei" w:hint="default"/>
          <w:b/>
          <w:bCs/>
          <w:sz w:val="18"/>
          <w:szCs w:val="18"/>
        </w:rPr>
        <w:t>、应收账款发生坏账的风险</w:t>
      </w:r>
      <w:r>
        <w:rPr>
          <w:rFonts w:ascii="Microsoft JhengHei" w:hAnsi="Microsoft JhengHei" w:cs="Microsoft JhengHei" w:eastAsia="Microsoft JhengHei" w:hint="default"/>
          <w:b/>
          <w:bCs/>
          <w:spacing w:val="-39"/>
          <w:sz w:val="18"/>
          <w:szCs w:val="18"/>
        </w:rPr>
        <w:t> </w:t>
      </w:r>
      <w:r>
        <w:rPr>
          <w:rFonts w:ascii="Microsoft JhengHei" w:hAnsi="Microsoft JhengHei" w:cs="Microsoft JhengHei" w:eastAsia="Microsoft JhengHei" w:hint="default"/>
          <w:b/>
          <w:bCs/>
          <w:spacing w:val="-39"/>
          <w:sz w:val="18"/>
          <w:szCs w:val="18"/>
        </w:rPr>
      </w:r>
      <w:r>
        <w:rPr>
          <w:rFonts w:ascii="宋体" w:hAnsi="宋体" w:cs="宋体" w:eastAsia="宋体" w:hint="default"/>
          <w:spacing w:val="-2"/>
          <w:sz w:val="18"/>
          <w:szCs w:val="18"/>
        </w:rPr>
        <w:t>随着公司业务规模的扩大，公司应收账款的余额相应增长，应收账款管理难度加大。虽然公司的客户主要为交通管理部</w:t>
      </w:r>
    </w:p>
    <w:p>
      <w:pPr>
        <w:pStyle w:val="BodyText"/>
        <w:spacing w:line="316" w:lineRule="auto" w:before="20"/>
        <w:ind w:right="1135"/>
        <w:jc w:val="both"/>
      </w:pPr>
      <w:r>
        <w:rPr>
          <w:spacing w:val="-2"/>
        </w:rPr>
        <w:t>门、高速公路运营公司、系统集成商及银行，信誉良好，但业务合同的执行期及结算周期一般较长，应收账款仍存在回收周</w:t>
      </w:r>
      <w:r>
        <w:rPr>
          <w:spacing w:val="-67"/>
        </w:rPr>
        <w:t> </w:t>
      </w:r>
      <w:r>
        <w:rPr>
          <w:spacing w:val="-67"/>
        </w:rPr>
      </w:r>
      <w:r>
        <w:rPr>
          <w:spacing w:val="-2"/>
        </w:rPr>
        <w:t>期过长，甚至逾期情况，以及存在不能按期收回、甚至发生坏账的风险；公司应收账款较大，将加剧公司运营资金压力，应</w:t>
      </w:r>
      <w:r>
        <w:rPr>
          <w:spacing w:val="-70"/>
        </w:rPr>
        <w:t> </w:t>
      </w:r>
      <w:r>
        <w:rPr>
          <w:spacing w:val="-70"/>
        </w:rPr>
      </w:r>
      <w:r>
        <w:rPr/>
        <w:t>收账款发生损失将对公司的财务状况和经营成果产生不利影响。</w:t>
      </w:r>
    </w:p>
    <w:p>
      <w:pPr>
        <w:pStyle w:val="BodyText"/>
        <w:spacing w:line="316" w:lineRule="auto" w:before="60"/>
        <w:ind w:right="1130" w:firstLine="360"/>
        <w:jc w:val="both"/>
      </w:pPr>
      <w:r>
        <w:rPr>
          <w:spacing w:val="-2"/>
        </w:rPr>
        <w:t>针对上述风险，公司将进一步完善风险控制和制定政策约束，对销售人员进一步强化应收账款的考核指标；专门成立应</w:t>
      </w:r>
      <w:r>
        <w:rPr/>
        <w:t> 收账款催收小组，加强对应收账款的跟踪、催收，降低公司应收账款总额和坏账风险。</w:t>
      </w:r>
    </w:p>
    <w:p>
      <w:pPr>
        <w:spacing w:after="0" w:line="316"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Heading5"/>
        <w:spacing w:line="300" w:lineRule="exact"/>
        <w:ind w:right="967"/>
        <w:jc w:val="left"/>
        <w:rPr>
          <w:b w:val="0"/>
          <w:bCs w:val="0"/>
        </w:rPr>
      </w:pPr>
      <w:r>
        <w:rPr>
          <w:rFonts w:ascii="Times New Roman" w:hAnsi="Times New Roman" w:cs="Times New Roman" w:eastAsia="Times New Roman" w:hint="default"/>
        </w:rPr>
        <w:t>8</w:t>
      </w:r>
      <w:r>
        <w:rPr/>
        <w:t>、营业收入和净利润无法维持</w:t>
      </w:r>
      <w:r>
        <w:rPr>
          <w:rFonts w:ascii="Times New Roman" w:hAnsi="Times New Roman" w:cs="Times New Roman" w:eastAsia="Times New Roman" w:hint="default"/>
        </w:rPr>
        <w:t>2019</w:t>
      </w:r>
      <w:r>
        <w:rPr/>
        <w:t>年超常规增长的风险</w:t>
      </w:r>
      <w:r>
        <w:rPr>
          <w:b w:val="0"/>
          <w:bCs w:val="0"/>
        </w:rPr>
      </w:r>
    </w:p>
    <w:p>
      <w:pPr>
        <w:pStyle w:val="BodyText"/>
        <w:spacing w:line="300" w:lineRule="auto" w:before="96"/>
        <w:ind w:right="1034" w:firstLine="360"/>
        <w:jc w:val="left"/>
      </w:pPr>
      <w:r>
        <w:rPr/>
        <w:t>受</w:t>
      </w:r>
      <w:r>
        <w:rPr>
          <w:rFonts w:ascii="Times New Roman" w:hAnsi="Times New Roman" w:cs="Times New Roman" w:eastAsia="Times New Roman" w:hint="default"/>
        </w:rPr>
        <w:t>2019</w:t>
      </w:r>
      <w:r>
        <w:rPr/>
        <w:t>年国家取消高速公路省界收费站的政策刺激，公司产品销售自</w:t>
      </w:r>
      <w:r>
        <w:rPr>
          <w:rFonts w:ascii="Times New Roman" w:hAnsi="Times New Roman" w:cs="Times New Roman" w:eastAsia="Times New Roman" w:hint="default"/>
        </w:rPr>
        <w:t>2019</w:t>
      </w:r>
      <w:r>
        <w:rPr/>
        <w:t>年第三季度以来呈现快速增长趋势。</w:t>
      </w:r>
      <w:r>
        <w:rPr>
          <w:rFonts w:ascii="Times New Roman" w:hAnsi="Times New Roman" w:cs="Times New Roman" w:eastAsia="Times New Roman" w:hint="default"/>
        </w:rPr>
        <w:t>2019</w:t>
      </w:r>
      <w:r>
        <w:rPr/>
        <w:t>年， </w:t>
      </w:r>
      <w:r>
        <w:rPr>
          <w:spacing w:val="-2"/>
        </w:rPr>
        <w:t>公司的</w:t>
      </w:r>
      <w:r>
        <w:rPr>
          <w:rFonts w:ascii="Times New Roman" w:hAnsi="Times New Roman" w:cs="Times New Roman" w:eastAsia="Times New Roman" w:hint="default"/>
          <w:spacing w:val="-2"/>
        </w:rPr>
        <w:t>OBU</w:t>
      </w:r>
      <w:r>
        <w:rPr>
          <w:spacing w:val="-2"/>
        </w:rPr>
        <w:t>和</w:t>
      </w:r>
      <w:r>
        <w:rPr>
          <w:rFonts w:ascii="Times New Roman" w:hAnsi="Times New Roman" w:cs="Times New Roman" w:eastAsia="Times New Roman" w:hint="default"/>
          <w:spacing w:val="-2"/>
        </w:rPr>
        <w:t>RSU</w:t>
      </w:r>
      <w:r>
        <w:rPr>
          <w:spacing w:val="-2"/>
        </w:rPr>
        <w:t>销售数量激增。</w:t>
      </w:r>
      <w:r>
        <w:rPr>
          <w:rFonts w:ascii="Times New Roman" w:hAnsi="Times New Roman" w:cs="Times New Roman" w:eastAsia="Times New Roman" w:hint="default"/>
          <w:spacing w:val="-2"/>
        </w:rPr>
        <w:t>2019</w:t>
      </w:r>
      <w:r>
        <w:rPr>
          <w:spacing w:val="-2"/>
        </w:rPr>
        <w:t>年公司实现营业收入</w:t>
      </w:r>
      <w:r>
        <w:rPr>
          <w:rFonts w:ascii="Times New Roman" w:hAnsi="Times New Roman" w:cs="Times New Roman" w:eastAsia="Times New Roman" w:hint="default"/>
          <w:spacing w:val="-2"/>
        </w:rPr>
        <w:t>286,015.59</w:t>
      </w:r>
      <w:r>
        <w:rPr>
          <w:spacing w:val="-2"/>
        </w:rPr>
        <w:t>万元，归属于母公司所有者的净利润为</w:t>
      </w:r>
      <w:r>
        <w:rPr>
          <w:rFonts w:ascii="Times New Roman" w:hAnsi="Times New Roman" w:cs="Times New Roman" w:eastAsia="Times New Roman" w:hint="default"/>
          <w:spacing w:val="-2"/>
        </w:rPr>
        <w:t>87,526.49</w:t>
      </w:r>
      <w:r>
        <w:rPr>
          <w:spacing w:val="-2"/>
        </w:rPr>
        <w:t>万元。</w:t>
      </w:r>
      <w:r>
        <w:rPr>
          <w:spacing w:val="-56"/>
        </w:rPr>
        <w:t> </w:t>
      </w:r>
      <w:r>
        <w:rPr>
          <w:spacing w:val="-56"/>
        </w:rPr>
      </w:r>
      <w:r>
        <w:rPr>
          <w:rFonts w:ascii="Times New Roman" w:hAnsi="Times New Roman" w:cs="Times New Roman" w:eastAsia="Times New Roman" w:hint="default"/>
          <w:spacing w:val="-2"/>
        </w:rPr>
        <w:t>2019</w:t>
      </w:r>
      <w:r>
        <w:rPr>
          <w:spacing w:val="-2"/>
        </w:rPr>
        <w:t>年公司的营业收入和净利润的超常规增长并非常态，而是受到政策刺激导致下游市场需求快速增长的结果，公司适时地</w:t>
      </w:r>
      <w:r>
        <w:rPr>
          <w:spacing w:val="-63"/>
        </w:rPr>
        <w:t> </w:t>
      </w:r>
      <w:r>
        <w:rPr>
          <w:spacing w:val="-63"/>
        </w:rPr>
      </w:r>
      <w:r>
        <w:rPr/>
        <w:t>抓住了市场需求快速增长带来的机会。</w:t>
      </w:r>
    </w:p>
    <w:p>
      <w:pPr>
        <w:pStyle w:val="BodyText"/>
        <w:spacing w:line="300" w:lineRule="auto" w:before="70"/>
        <w:ind w:right="967" w:firstLine="360"/>
        <w:jc w:val="left"/>
      </w:pPr>
      <w:r>
        <w:rPr>
          <w:spacing w:val="-2"/>
        </w:rPr>
        <w:t>国家取消高速公路省界收费站工程在</w:t>
      </w:r>
      <w:r>
        <w:rPr>
          <w:rFonts w:ascii="Times New Roman" w:hAnsi="Times New Roman" w:cs="Times New Roman" w:eastAsia="Times New Roman" w:hint="default"/>
          <w:spacing w:val="-2"/>
        </w:rPr>
        <w:t>2019</w:t>
      </w:r>
      <w:r>
        <w:rPr>
          <w:spacing w:val="-2"/>
        </w:rPr>
        <w:t>年底已基本完成，政策因素对该超常规增长的刺激作用将逐步减小并回归为行</w:t>
      </w:r>
      <w:r>
        <w:rPr/>
        <w:t> 业正常的增长状态，公司</w:t>
      </w:r>
      <w:r>
        <w:rPr>
          <w:rFonts w:ascii="Times New Roman" w:hAnsi="Times New Roman" w:cs="Times New Roman" w:eastAsia="Times New Roman" w:hint="default"/>
        </w:rPr>
        <w:t>2020</w:t>
      </w:r>
      <w:r>
        <w:rPr/>
        <w:t>年存在业绩出现不利变化的风险。</w:t>
      </w:r>
    </w:p>
    <w:p>
      <w:pPr>
        <w:pStyle w:val="Heading5"/>
        <w:spacing w:line="310" w:lineRule="exact"/>
        <w:ind w:right="967"/>
        <w:jc w:val="left"/>
        <w:rPr>
          <w:b w:val="0"/>
          <w:bCs w:val="0"/>
        </w:rPr>
      </w:pPr>
      <w:r>
        <w:rPr>
          <w:rFonts w:ascii="Times New Roman" w:hAnsi="Times New Roman" w:cs="Times New Roman" w:eastAsia="Times New Roman" w:hint="default"/>
        </w:rPr>
        <w:t>9</w:t>
      </w:r>
      <w:r>
        <w:rPr/>
        <w:t>、存货规模偏大的风险</w:t>
      </w:r>
      <w:r>
        <w:rPr>
          <w:b w:val="0"/>
          <w:bCs w:val="0"/>
        </w:rPr>
      </w:r>
    </w:p>
    <w:p>
      <w:pPr>
        <w:pStyle w:val="BodyText"/>
        <w:spacing w:line="307" w:lineRule="auto" w:before="96"/>
        <w:ind w:right="1131" w:firstLine="360"/>
        <w:jc w:val="both"/>
      </w:pPr>
      <w:r>
        <w:rPr>
          <w:rFonts w:ascii="Times New Roman" w:hAnsi="Times New Roman" w:cs="Times New Roman" w:eastAsia="Times New Roman" w:hint="default"/>
          <w:spacing w:val="-2"/>
        </w:rPr>
        <w:t>2019</w:t>
      </w:r>
      <w:r>
        <w:rPr>
          <w:spacing w:val="-2"/>
        </w:rPr>
        <w:t>年，公司产销规模超常规增长，为保证给客户的供货及时，通常公司会在存货方面投入较大，导致存货占资产总额</w:t>
      </w:r>
      <w:r>
        <w:rPr/>
        <w:t> 的比重高。报告期内，</w:t>
      </w:r>
      <w:r>
        <w:rPr>
          <w:rFonts w:ascii="Times New Roman" w:hAnsi="Times New Roman" w:cs="Times New Roman" w:eastAsia="Times New Roman" w:hint="default"/>
        </w:rPr>
        <w:t>2019</w:t>
      </w:r>
      <w:r>
        <w:rPr/>
        <w:t>年末，公司存货净额规模为</w:t>
      </w:r>
      <w:r>
        <w:rPr>
          <w:rFonts w:ascii="Times New Roman" w:hAnsi="Times New Roman" w:cs="Times New Roman" w:eastAsia="Times New Roman" w:hint="default"/>
        </w:rPr>
        <w:t>62,303.41</w:t>
      </w:r>
      <w:r>
        <w:rPr/>
        <w:t>万元，占当期期末资产总额比重为</w:t>
      </w:r>
      <w:r>
        <w:rPr>
          <w:rFonts w:ascii="Times New Roman" w:hAnsi="Times New Roman" w:cs="Times New Roman" w:eastAsia="Times New Roman" w:hint="default"/>
        </w:rPr>
        <w:t>15.83%</w:t>
      </w:r>
      <w:r>
        <w:rPr/>
        <w:t>，存货占资产总</w:t>
      </w:r>
      <w:r>
        <w:rPr>
          <w:spacing w:val="-22"/>
        </w:rPr>
        <w:t> </w:t>
      </w:r>
      <w:r>
        <w:rPr>
          <w:spacing w:val="-22"/>
        </w:rPr>
      </w:r>
      <w:r>
        <w:rPr>
          <w:spacing w:val="-2"/>
        </w:rPr>
        <w:t>额的比重处于较高水平，总体绝对规模较大，如果客户需求发生变化、国家标准出现较大修改或出现其他不利因素，导致某</w:t>
      </w:r>
      <w:r>
        <w:rPr>
          <w:spacing w:val="-65"/>
        </w:rPr>
        <w:t> </w:t>
      </w:r>
      <w:r>
        <w:rPr>
          <w:spacing w:val="-65"/>
        </w:rPr>
      </w:r>
      <w:r>
        <w:rPr/>
        <w:t>些产品滞销，引起存货跌价，可能给公司带来重大不利风险。</w:t>
      </w:r>
    </w:p>
    <w:p>
      <w:pPr>
        <w:spacing w:line="240" w:lineRule="auto" w:before="5"/>
        <w:rPr>
          <w:rFonts w:ascii="宋体" w:hAnsi="宋体" w:cs="宋体" w:eastAsia="宋体" w:hint="default"/>
          <w:sz w:val="15"/>
          <w:szCs w:val="15"/>
        </w:rPr>
      </w:pPr>
    </w:p>
    <w:p>
      <w:pPr>
        <w:pStyle w:val="Heading2"/>
        <w:spacing w:line="240" w:lineRule="auto"/>
        <w:ind w:right="967"/>
        <w:jc w:val="left"/>
        <w:rPr>
          <w:b w:val="0"/>
          <w:bCs w:val="0"/>
        </w:rPr>
      </w:pPr>
      <w:r>
        <w:rPr/>
        <w:t>十、接待调研、沟通、采访等活动</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967"/>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2"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详见巨潮资讯网</w:t>
            </w:r>
          </w:p>
          <w:p>
            <w:pPr>
              <w:pStyle w:val="TableParagraph"/>
              <w:spacing w:line="240" w:lineRule="auto" w:before="7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http :/</w:t>
            </w:r>
            <w:hyperlink r:id="rId11">
              <w:r>
                <w:rPr>
                  <w:rFonts w:ascii="Times New Roman" w:hAnsi="Times New Roman" w:cs="Times New Roman" w:eastAsia="Times New Roman" w:hint="default"/>
                  <w:sz w:val="18"/>
                  <w:szCs w:val="18"/>
                </w:rPr>
                <w:t>/www</w:t>
              </w:r>
            </w:hyperlink>
            <w:r>
              <w:rPr>
                <w:rFonts w:ascii="Times New Roman" w:hAnsi="Times New Roman" w:cs="Times New Roman" w:eastAsia="Times New Roman" w:hint="default"/>
                <w:sz w:val="18"/>
                <w:szCs w:val="18"/>
              </w:rPr>
              <w:t>.</w:t>
            </w:r>
            <w:hyperlink r:id="rId11">
              <w:r>
                <w:rPr>
                  <w:rFonts w:ascii="Times New Roman" w:hAnsi="Times New Roman" w:cs="Times New Roman" w:eastAsia="Times New Roman" w:hint="default"/>
                  <w:sz w:val="18"/>
                  <w:szCs w:val="18"/>
                </w:rPr>
                <w:t>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8 </w:t>
            </w:r>
            <w:r>
              <w:rPr>
                <w:rFonts w:ascii="宋体" w:hAnsi="宋体" w:cs="宋体" w:eastAsia="宋体" w:hint="default"/>
                <w:sz w:val="18"/>
                <w:szCs w:val="18"/>
              </w:rPr>
              <w:t>日投资者关系活动记录表</w:t>
            </w:r>
            <w:r>
              <w:rPr>
                <w:rFonts w:ascii="宋体" w:hAnsi="宋体" w:cs="宋体" w:eastAsia="宋体" w:hint="default"/>
                <w:spacing w:val="-45"/>
                <w:sz w:val="18"/>
                <w:szCs w:val="18"/>
              </w:rPr>
              <w:t> </w:t>
            </w:r>
            <w:r>
              <w:rPr>
                <w:rFonts w:ascii="宋体" w:hAnsi="宋体" w:cs="宋体" w:eastAsia="宋体" w:hint="default"/>
                <w:sz w:val="18"/>
                <w:szCs w:val="18"/>
              </w:rPr>
              <w:t>》</w:t>
            </w:r>
          </w:p>
        </w:tc>
      </w:tr>
      <w:tr>
        <w:trPr>
          <w:trHeight w:val="102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详见巨潮资讯网</w:t>
            </w:r>
          </w:p>
          <w:p>
            <w:pPr>
              <w:pStyle w:val="TableParagraph"/>
              <w:spacing w:line="240" w:lineRule="auto" w:before="7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http :/</w:t>
            </w:r>
            <w:hyperlink r:id="rId11">
              <w:r>
                <w:rPr>
                  <w:rFonts w:ascii="Times New Roman" w:hAnsi="Times New Roman" w:cs="Times New Roman" w:eastAsia="Times New Roman" w:hint="default"/>
                  <w:sz w:val="18"/>
                  <w:szCs w:val="18"/>
                </w:rPr>
                <w:t>/www</w:t>
              </w:r>
            </w:hyperlink>
            <w:r>
              <w:rPr>
                <w:rFonts w:ascii="Times New Roman" w:hAnsi="Times New Roman" w:cs="Times New Roman" w:eastAsia="Times New Roman" w:hint="default"/>
                <w:sz w:val="18"/>
                <w:szCs w:val="18"/>
              </w:rPr>
              <w:t>.</w:t>
            </w:r>
            <w:hyperlink r:id="rId11">
              <w:r>
                <w:rPr>
                  <w:rFonts w:ascii="Times New Roman" w:hAnsi="Times New Roman" w:cs="Times New Roman" w:eastAsia="Times New Roman" w:hint="default"/>
                  <w:sz w:val="18"/>
                  <w:szCs w:val="18"/>
                </w:rPr>
                <w:t>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19 </w:t>
            </w:r>
            <w:r>
              <w:rPr>
                <w:rFonts w:ascii="宋体" w:hAnsi="宋体" w:cs="宋体" w:eastAsia="宋体" w:hint="default"/>
                <w:sz w:val="18"/>
                <w:szCs w:val="18"/>
              </w:rPr>
              <w:t>日投资者关系活动记录表</w:t>
            </w:r>
            <w:r>
              <w:rPr>
                <w:rFonts w:ascii="宋体" w:hAnsi="宋体" w:cs="宋体" w:eastAsia="宋体" w:hint="default"/>
                <w:spacing w:val="-44"/>
                <w:sz w:val="18"/>
                <w:szCs w:val="18"/>
              </w:rPr>
              <w:t> </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right="1112"/>
        <w:jc w:val="center"/>
        <w:rPr>
          <w:b w:val="0"/>
          <w:bCs w:val="0"/>
        </w:rPr>
      </w:pPr>
      <w:bookmarkStart w:name="_TOC_250008" w:id="5"/>
      <w:r>
        <w:rPr/>
        <w:t>第五节重要事项</w:t>
      </w:r>
      <w:bookmarkEnd w:id="5"/>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967"/>
        <w:jc w:val="left"/>
        <w:rPr>
          <w:b w:val="0"/>
          <w:bCs w:val="0"/>
        </w:rPr>
      </w:pPr>
      <w:r>
        <w:rPr/>
        <w:t>一、公司普通股利润分配及资本公积金转增股本情况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967"/>
        <w:jc w:val="left"/>
      </w:pPr>
      <w:r>
        <w:rPr/>
        <w:t>报告期内普通股利润分配政策，特别是现金分红政策的制定、执行或调整情况</w:t>
      </w:r>
    </w:p>
    <w:p>
      <w:pPr>
        <w:pStyle w:val="BodyText"/>
        <w:spacing w:line="338" w:lineRule="auto" w:before="117"/>
        <w:ind w:left="513" w:right="967"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为完善和健全公司利润分配决策和监督机制，增加利润分配决策透明度和可操作性，积极回报投资者，引导投资者树立</w:t>
      </w:r>
    </w:p>
    <w:p>
      <w:pPr>
        <w:pStyle w:val="BodyText"/>
        <w:spacing w:line="304" w:lineRule="auto" w:before="2"/>
        <w:ind w:right="1130"/>
        <w:jc w:val="left"/>
      </w:pPr>
      <w:r>
        <w:rPr>
          <w:spacing w:val="-2"/>
        </w:rPr>
        <w:t>长期投资和理性投资理念，根据中国证监会《关于进一步落实上市公司现金分红有关事项的通知》、《上市公司监管指引第</w:t>
      </w:r>
      <w:r>
        <w:rPr>
          <w:spacing w:val="-64"/>
        </w:rPr>
        <w:t> </w:t>
      </w:r>
      <w:r>
        <w:rPr>
          <w:spacing w:val="-64"/>
        </w:rPr>
      </w:r>
      <w:r>
        <w:rPr>
          <w:rFonts w:ascii="Times New Roman" w:hAnsi="Times New Roman" w:cs="Times New Roman" w:eastAsia="Times New Roman" w:hint="default"/>
        </w:rPr>
        <w:t>3</w:t>
      </w:r>
      <w:r>
        <w:rPr/>
        <w:t>号</w:t>
      </w:r>
      <w:r>
        <w:rPr>
          <w:rFonts w:ascii="Times New Roman" w:hAnsi="Times New Roman" w:cs="Times New Roman" w:eastAsia="Times New Roman" w:hint="default"/>
        </w:rPr>
        <w:t>--</w:t>
      </w:r>
      <w:r>
        <w:rPr/>
        <w:t>上市公司现金分红》等文件精神和《公司章程》等相关规定，并综合考虑公司盈利能力、经营发展规划、股东回报、 社会资金成本以及外部融资环境等因素，公司特制定了《深圳市金溢科技股份有限公司首次公开发行人民币普通股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w:t>
      </w:r>
      <w:r>
        <w:rPr/>
        <w:t>并 </w:t>
      </w:r>
      <w:r>
        <w:rPr>
          <w:spacing w:val="-2"/>
        </w:rPr>
        <w:t>上市后三年股东分红回报规划》，对</w:t>
      </w:r>
      <w:r>
        <w:rPr>
          <w:rFonts w:ascii="Times New Roman" w:hAnsi="Times New Roman" w:cs="Times New Roman" w:eastAsia="Times New Roman" w:hint="default"/>
          <w:spacing w:val="-2"/>
        </w:rPr>
        <w:t>2017</w:t>
      </w:r>
      <w:r>
        <w:rPr>
          <w:spacing w:val="-2"/>
        </w:rPr>
        <w:t>年到</w:t>
      </w:r>
      <w:r>
        <w:rPr>
          <w:rFonts w:ascii="Times New Roman" w:hAnsi="Times New Roman" w:cs="Times New Roman" w:eastAsia="Times New Roman" w:hint="default"/>
          <w:spacing w:val="-2"/>
        </w:rPr>
        <w:t>2019</w:t>
      </w:r>
      <w:r>
        <w:rPr>
          <w:spacing w:val="-2"/>
        </w:rPr>
        <w:t>年期间公司的利润分配形式、利润分配周期、利润分配比例和利润分配方</w:t>
      </w:r>
      <w:r>
        <w:rPr>
          <w:spacing w:val="-58"/>
        </w:rPr>
        <w:t> </w:t>
      </w:r>
      <w:r>
        <w:rPr>
          <w:spacing w:val="-58"/>
        </w:rPr>
      </w:r>
      <w:r>
        <w:rPr/>
        <w:t>案提出了明确的要求。该规划已经公司第一届董事会第五次会议和</w:t>
      </w:r>
      <w:r>
        <w:rPr>
          <w:rFonts w:ascii="Times New Roman" w:hAnsi="Times New Roman" w:cs="Times New Roman" w:eastAsia="Times New Roman" w:hint="default"/>
        </w:rPr>
        <w:t>2015</w:t>
      </w:r>
      <w:r>
        <w:rPr/>
        <w:t>年第一次临时股东大会审议通过。详情请见公司于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日在巨潮资讯网（</w:t>
      </w:r>
      <w:r>
        <w:rPr>
          <w:rFonts w:ascii="Times New Roman" w:hAnsi="Times New Roman" w:cs="Times New Roman" w:eastAsia="Times New Roman" w:hint="default"/>
        </w:rPr>
        <w:t>http://www.cninfo.com.cn)</w:t>
      </w:r>
      <w:r>
        <w:rPr/>
        <w:t>上披露的《首次公开发行股票招股说明书》。</w:t>
      </w:r>
    </w:p>
    <w:p>
      <w:pPr>
        <w:pStyle w:val="BodyText"/>
        <w:spacing w:line="300" w:lineRule="auto" w:before="9"/>
        <w:ind w:right="1126"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日，公司召开第二届董事会第二十四次会议暨</w:t>
      </w:r>
      <w:r>
        <w:rPr>
          <w:rFonts w:ascii="Times New Roman" w:hAnsi="Times New Roman" w:cs="Times New Roman" w:eastAsia="Times New Roman" w:hint="default"/>
        </w:rPr>
        <w:t>2018</w:t>
      </w:r>
      <w:r>
        <w:rPr/>
        <w:t>年度会议，审议通过了《</w:t>
      </w:r>
      <w:r>
        <w:rPr>
          <w:rFonts w:ascii="Times New Roman" w:hAnsi="Times New Roman" w:cs="Times New Roman" w:eastAsia="Times New Roman" w:hint="default"/>
        </w:rPr>
        <w:t>2018</w:t>
      </w:r>
      <w:r>
        <w:rPr/>
        <w:t>年度利润分配预案》，以 </w:t>
      </w:r>
      <w:r>
        <w:rPr>
          <w:spacing w:val="-1"/>
        </w:rPr>
        <w:t>公司现有总股本</w:t>
      </w:r>
      <w:r>
        <w:rPr>
          <w:rFonts w:ascii="Times New Roman" w:hAnsi="Times New Roman" w:cs="Times New Roman" w:eastAsia="Times New Roman" w:hint="default"/>
          <w:spacing w:val="-1"/>
        </w:rPr>
        <w:t>117,800,000</w:t>
      </w:r>
      <w:r>
        <w:rPr>
          <w:spacing w:val="-1"/>
        </w:rPr>
        <w:t>股为基数，向全体股东以每</w:t>
      </w:r>
      <w:r>
        <w:rPr>
          <w:rFonts w:ascii="Times New Roman" w:hAnsi="Times New Roman" w:cs="Times New Roman" w:eastAsia="Times New Roman" w:hint="default"/>
          <w:spacing w:val="-1"/>
        </w:rPr>
        <w:t>10</w:t>
      </w:r>
      <w:r>
        <w:rPr>
          <w:spacing w:val="-1"/>
        </w:rPr>
        <w:t>股派发人民币</w:t>
      </w:r>
      <w:r>
        <w:rPr>
          <w:rFonts w:ascii="Times New Roman" w:hAnsi="Times New Roman" w:cs="Times New Roman" w:eastAsia="Times New Roman" w:hint="default"/>
          <w:spacing w:val="-1"/>
        </w:rPr>
        <w:t>0.60</w:t>
      </w:r>
      <w:r>
        <w:rPr>
          <w:spacing w:val="-1"/>
        </w:rPr>
        <w:t>元（含税）的现金红利，合计派发现金红利人民</w:t>
      </w:r>
      <w:r>
        <w:rPr>
          <w:spacing w:val="-72"/>
        </w:rPr>
        <w:t> </w:t>
      </w:r>
      <w:r>
        <w:rPr>
          <w:spacing w:val="-72"/>
        </w:rPr>
      </w:r>
      <w:r>
        <w:rPr/>
        <w:t>币</w:t>
      </w:r>
      <w:r>
        <w:rPr>
          <w:rFonts w:ascii="Times New Roman" w:hAnsi="Times New Roman" w:cs="Times New Roman" w:eastAsia="Times New Roman" w:hint="default"/>
        </w:rPr>
        <w:t>7,068,000.00</w:t>
      </w:r>
      <w:r>
        <w:rPr/>
        <w:t>元，不送红股，不进行资本公积金转增股本，剩余未分配利润</w:t>
      </w:r>
      <w:r>
        <w:rPr>
          <w:rFonts w:ascii="Times New Roman" w:hAnsi="Times New Roman" w:cs="Times New Roman" w:eastAsia="Times New Roman" w:hint="default"/>
        </w:rPr>
        <w:t>239,577,159.19</w:t>
      </w:r>
      <w:r>
        <w:rPr/>
        <w:t>元结转下一年度。</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spacing w:val="-3"/>
        </w:rPr>
        <w:t>日，公司召开</w:t>
      </w:r>
      <w:r>
        <w:rPr>
          <w:rFonts w:ascii="Times New Roman" w:hAnsi="Times New Roman" w:cs="Times New Roman" w:eastAsia="Times New Roman" w:hint="default"/>
          <w:spacing w:val="-3"/>
        </w:rPr>
        <w:t>2018</w:t>
      </w:r>
      <w:r>
        <w:rPr>
          <w:spacing w:val="-3"/>
        </w:rPr>
        <w:t>年度股东大会批准了上述利润分配预案。上述利润分配已于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10</w:t>
      </w:r>
      <w:r>
        <w:rPr>
          <w:spacing w:val="-3"/>
        </w:rPr>
        <w:t>日实施完毕，详情请见公司于</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33"/>
        </w:rPr>
        <w:t> </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w:t>
      </w:r>
      <w:r>
        <w:rPr/>
        <w:t>日发布的《关于</w:t>
      </w:r>
      <w:r>
        <w:rPr>
          <w:rFonts w:ascii="Times New Roman" w:hAnsi="Times New Roman" w:cs="Times New Roman" w:eastAsia="Times New Roman" w:hint="default"/>
        </w:rPr>
        <w:t>2018</w:t>
      </w:r>
      <w:r>
        <w:rPr/>
        <w:t>年年度权益分派实施的公告》（公告编号：</w:t>
      </w:r>
      <w:r>
        <w:rPr>
          <w:rFonts w:ascii="Times New Roman" w:hAnsi="Times New Roman" w:cs="Times New Roman" w:eastAsia="Times New Roman" w:hint="default"/>
        </w:rPr>
        <w:t>2019-045</w:t>
      </w:r>
      <w:r>
        <w:rPr/>
        <w:t>）。</w:t>
      </w:r>
    </w:p>
    <w:p>
      <w:pPr>
        <w:pStyle w:val="BodyText"/>
        <w:spacing w:line="240" w:lineRule="auto" w:before="13"/>
        <w:ind w:left="513" w:right="967"/>
        <w:jc w:val="left"/>
      </w:pPr>
      <w:r>
        <w:rPr/>
        <w:t>报告期内</w:t>
      </w:r>
      <w:r>
        <w:rPr>
          <w:spacing w:val="-89"/>
        </w:rPr>
        <w:t>，</w:t>
      </w:r>
      <w:r>
        <w:rPr/>
        <w:t>公司利润分配政策的制定及执行情况</w:t>
      </w:r>
      <w:r>
        <w:rPr>
          <w:spacing w:val="-89"/>
        </w:rPr>
        <w:t>，</w:t>
      </w:r>
      <w:r>
        <w:rPr/>
        <w:t>符合中国证监</w:t>
      </w:r>
      <w:r>
        <w:rPr>
          <w:spacing w:val="-89"/>
        </w:rPr>
        <w:t>会</w:t>
      </w:r>
      <w:r>
        <w:rPr/>
        <w:t>《关于进一步落实上市公司现金分红有关事项的通知</w:t>
      </w:r>
      <w:r>
        <w:rPr>
          <w:spacing w:val="-89"/>
        </w:rPr>
        <w:t>》</w:t>
      </w:r>
      <w:r>
        <w:rPr/>
        <w:t>、</w:t>
      </w:r>
    </w:p>
    <w:p>
      <w:pPr>
        <w:pStyle w:val="BodyText"/>
        <w:spacing w:line="300" w:lineRule="auto" w:before="77"/>
        <w:ind w:right="1184"/>
        <w:jc w:val="left"/>
      </w:pPr>
      <w:r>
        <w:rPr/>
        <w:t>《上市公司监管指引第</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w:t>
      </w:r>
      <w:r>
        <w:rPr/>
        <w:t>上市公司现金分红》和《公司章程》等相关规定，分红标准和比例明确清晰，相关决策程序和 机制完备，独立董事尽职履责，充分维护了中小股东的合法权益。</w:t>
      </w:r>
    </w:p>
    <w:p>
      <w:pPr>
        <w:spacing w:line="240" w:lineRule="auto" w:before="0"/>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7"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6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7"/>
        <w:ind w:right="967"/>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300" w:lineRule="auto" w:before="101"/>
        <w:ind w:left="513" w:right="1168"/>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年度利润分配预案 以公司现有总股本</w:t>
      </w:r>
      <w:r>
        <w:rPr>
          <w:rFonts w:ascii="Times New Roman" w:hAnsi="Times New Roman" w:cs="Times New Roman" w:eastAsia="Times New Roman" w:hint="default"/>
        </w:rPr>
        <w:t>120,518,161</w:t>
      </w:r>
      <w:r>
        <w:rPr/>
        <w:t>股为基数，向全体股东以每</w:t>
      </w:r>
      <w:r>
        <w:rPr>
          <w:rFonts w:ascii="Times New Roman" w:hAnsi="Times New Roman" w:cs="Times New Roman" w:eastAsia="Times New Roman" w:hint="default"/>
        </w:rPr>
        <w:t>10</w:t>
      </w:r>
      <w:r>
        <w:rPr/>
        <w:t>股派发人民币</w:t>
      </w:r>
      <w:r>
        <w:rPr>
          <w:rFonts w:ascii="Times New Roman" w:hAnsi="Times New Roman" w:cs="Times New Roman" w:eastAsia="Times New Roman" w:hint="default"/>
        </w:rPr>
        <w:t>21.80</w:t>
      </w:r>
      <w:r>
        <w:rPr/>
        <w:t>元（含税）的现金红利，合计派发现金</w:t>
      </w:r>
    </w:p>
    <w:p>
      <w:pPr>
        <w:pStyle w:val="BodyText"/>
        <w:spacing w:line="300" w:lineRule="auto" w:before="13"/>
        <w:ind w:left="513" w:right="967" w:hanging="361"/>
        <w:jc w:val="left"/>
      </w:pPr>
      <w:r>
        <w:rPr>
          <w:spacing w:val="-3"/>
        </w:rPr>
        <w:t>红利</w:t>
      </w:r>
      <w:r>
        <w:rPr>
          <w:rFonts w:ascii="Times New Roman" w:hAnsi="Times New Roman" w:cs="Times New Roman" w:eastAsia="Times New Roman" w:hint="default"/>
          <w:spacing w:val="-3"/>
        </w:rPr>
        <w:t>262,729,590.98</w:t>
      </w:r>
      <w:r>
        <w:rPr>
          <w:spacing w:val="-3"/>
        </w:rPr>
        <w:t>元，不送红股，以资本公积金向全体股东每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5</w:t>
      </w:r>
      <w:r>
        <w:rPr>
          <w:spacing w:val="-3"/>
        </w:rPr>
        <w:t>股。剩余未分配利润</w:t>
      </w:r>
      <w:r>
        <w:rPr>
          <w:rFonts w:ascii="Times New Roman" w:hAnsi="Times New Roman" w:cs="Times New Roman" w:eastAsia="Times New Roman" w:hint="default"/>
          <w:spacing w:val="-3"/>
        </w:rPr>
        <w:t>842,051,665.89</w:t>
      </w:r>
      <w:r>
        <w:rPr>
          <w:spacing w:val="-3"/>
        </w:rPr>
        <w:t>元结转下一年度。</w:t>
      </w:r>
      <w:r>
        <w:rPr>
          <w:spacing w:val="-56"/>
        </w:rPr>
        <w:t> </w:t>
      </w:r>
      <w:r>
        <w:rPr>
          <w:spacing w:val="-56"/>
        </w:rPr>
      </w:r>
      <w:r>
        <w:rPr>
          <w:spacing w:val="-4"/>
        </w:rPr>
        <w:t>若在分配方案实施前公司总股本由于可转债转股、股份回购、股权激励行权、再融资新增股份上市等原因而发生变化的，</w:t>
      </w:r>
    </w:p>
    <w:p>
      <w:pPr>
        <w:pStyle w:val="BodyText"/>
        <w:spacing w:line="240" w:lineRule="auto" w:before="31"/>
        <w:ind w:right="967"/>
        <w:jc w:val="left"/>
      </w:pPr>
      <w:r>
        <w:rPr/>
        <w:t>分配比例将按分派总额不变的原则相应调整。</w:t>
      </w:r>
    </w:p>
    <w:p>
      <w:pPr>
        <w:pStyle w:val="BodyText"/>
        <w:spacing w:line="300" w:lineRule="auto" w:before="76"/>
        <w:ind w:left="513" w:right="967"/>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年度利润分配预案 </w:t>
      </w:r>
      <w:r>
        <w:rPr>
          <w:spacing w:val="-1"/>
        </w:rPr>
        <w:t>以公司现有总股本</w:t>
      </w:r>
      <w:r>
        <w:rPr>
          <w:rFonts w:ascii="Times New Roman" w:hAnsi="Times New Roman" w:cs="Times New Roman" w:eastAsia="Times New Roman" w:hint="default"/>
          <w:spacing w:val="-1"/>
        </w:rPr>
        <w:t>117,800,000</w:t>
      </w:r>
      <w:r>
        <w:rPr>
          <w:spacing w:val="-1"/>
        </w:rPr>
        <w:t>股为基数，向全体股东以每</w:t>
      </w:r>
      <w:r>
        <w:rPr>
          <w:rFonts w:ascii="Times New Roman" w:hAnsi="Times New Roman" w:cs="Times New Roman" w:eastAsia="Times New Roman" w:hint="default"/>
          <w:spacing w:val="-1"/>
        </w:rPr>
        <w:t>10</w:t>
      </w:r>
      <w:r>
        <w:rPr>
          <w:spacing w:val="-1"/>
        </w:rPr>
        <w:t>股派发人民币</w:t>
      </w:r>
      <w:r>
        <w:rPr>
          <w:rFonts w:ascii="Times New Roman" w:hAnsi="Times New Roman" w:cs="Times New Roman" w:eastAsia="Times New Roman" w:hint="default"/>
          <w:spacing w:val="-1"/>
        </w:rPr>
        <w:t>0.60</w:t>
      </w:r>
      <w:r>
        <w:rPr>
          <w:spacing w:val="-1"/>
        </w:rPr>
        <w:t>元（含税）的现金红利，合计派发现金红</w:t>
      </w:r>
    </w:p>
    <w:p>
      <w:pPr>
        <w:pStyle w:val="BodyText"/>
        <w:spacing w:line="240" w:lineRule="auto" w:before="13"/>
        <w:ind w:right="967"/>
        <w:jc w:val="left"/>
      </w:pPr>
      <w:r>
        <w:rPr/>
        <w:t>利</w:t>
      </w:r>
      <w:r>
        <w:rPr>
          <w:rFonts w:ascii="Times New Roman" w:hAnsi="Times New Roman" w:cs="Times New Roman" w:eastAsia="Times New Roman" w:hint="default"/>
        </w:rPr>
        <w:t>7,068,000</w:t>
      </w:r>
      <w:r>
        <w:rPr/>
        <w:t>元，不送红股，不进行资本公积金转增股本。剩余未分配利润</w:t>
      </w:r>
      <w:r>
        <w:rPr>
          <w:rFonts w:ascii="Times New Roman" w:hAnsi="Times New Roman" w:cs="Times New Roman" w:eastAsia="Times New Roman" w:hint="default"/>
        </w:rPr>
        <w:t>239,577,159.19</w:t>
      </w:r>
      <w:r>
        <w:rPr/>
        <w:t>元结转下一年度。</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967" w:firstLine="360"/>
        <w:jc w:val="left"/>
      </w:pPr>
      <w:r>
        <w:rPr>
          <w:spacing w:val="-4"/>
        </w:rPr>
        <w:t>若在分配方案实施前公司总股本由于可转债转股、股份回购、股权激励行权、再融资新增股份上市等原因而发生变化的，</w:t>
      </w:r>
      <w:r>
        <w:rPr/>
        <w:t> 分配比例将按分派总额不变的原则相应调整。</w:t>
      </w:r>
    </w:p>
    <w:p>
      <w:pPr>
        <w:pStyle w:val="BodyText"/>
        <w:spacing w:line="300" w:lineRule="auto" w:before="19"/>
        <w:ind w:left="513" w:right="967"/>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年度利润分配预案 </w:t>
      </w:r>
      <w:r>
        <w:rPr>
          <w:spacing w:val="-1"/>
        </w:rPr>
        <w:t>以公司现有总股本</w:t>
      </w:r>
      <w:r>
        <w:rPr>
          <w:rFonts w:ascii="Times New Roman" w:hAnsi="Times New Roman" w:cs="Times New Roman" w:eastAsia="Times New Roman" w:hint="default"/>
          <w:spacing w:val="-1"/>
        </w:rPr>
        <w:t>117,800,000</w:t>
      </w:r>
      <w:r>
        <w:rPr>
          <w:spacing w:val="-1"/>
        </w:rPr>
        <w:t>股为基数，向全体股东以每</w:t>
      </w:r>
      <w:r>
        <w:rPr>
          <w:rFonts w:ascii="Times New Roman" w:hAnsi="Times New Roman" w:cs="Times New Roman" w:eastAsia="Times New Roman" w:hint="default"/>
          <w:spacing w:val="-1"/>
        </w:rPr>
        <w:t>10</w:t>
      </w:r>
      <w:r>
        <w:rPr>
          <w:spacing w:val="-1"/>
        </w:rPr>
        <w:t>股派发人民币</w:t>
      </w:r>
      <w:r>
        <w:rPr>
          <w:rFonts w:ascii="Times New Roman" w:hAnsi="Times New Roman" w:cs="Times New Roman" w:eastAsia="Times New Roman" w:hint="default"/>
          <w:spacing w:val="-1"/>
        </w:rPr>
        <w:t>3.00</w:t>
      </w:r>
      <w:r>
        <w:rPr>
          <w:spacing w:val="-1"/>
        </w:rPr>
        <w:t>元（含税）的现金红利，合计派发现金红</w:t>
      </w:r>
    </w:p>
    <w:p>
      <w:pPr>
        <w:pStyle w:val="BodyText"/>
        <w:spacing w:line="300" w:lineRule="auto" w:before="13"/>
        <w:ind w:left="513" w:right="967" w:hanging="361"/>
        <w:jc w:val="left"/>
      </w:pPr>
      <w:r>
        <w:rPr/>
        <w:t>利</w:t>
      </w:r>
      <w:r>
        <w:rPr>
          <w:rFonts w:ascii="Times New Roman" w:hAnsi="Times New Roman" w:cs="Times New Roman" w:eastAsia="Times New Roman" w:hint="default"/>
        </w:rPr>
        <w:t>35,340,000.00</w:t>
      </w:r>
      <w:r>
        <w:rPr/>
        <w:t>元，不送红股，不进行资本公积金转增股本。剩余未分配利润</w:t>
      </w:r>
      <w:r>
        <w:rPr>
          <w:rFonts w:ascii="Times New Roman" w:hAnsi="Times New Roman" w:cs="Times New Roman" w:eastAsia="Times New Roman" w:hint="default"/>
        </w:rPr>
        <w:t>228,399,944.51</w:t>
      </w:r>
      <w:r>
        <w:rPr/>
        <w:t>元结转下一年度。 </w:t>
      </w:r>
      <w:r>
        <w:rPr>
          <w:spacing w:val="-4"/>
        </w:rPr>
        <w:t>若在分配方案实施前公司总股本由于可转债转股、股份回购、股权激励行权、再融资新增股份上市等原因而发生变化的，</w:t>
      </w:r>
    </w:p>
    <w:p>
      <w:pPr>
        <w:pStyle w:val="BodyText"/>
        <w:spacing w:line="240" w:lineRule="auto" w:before="31"/>
        <w:ind w:right="967"/>
        <w:jc w:val="left"/>
      </w:pPr>
      <w:r>
        <w:rPr/>
        <w:t>分配比例将按分派总额不变的原则相应调整。</w:t>
      </w:r>
    </w:p>
    <w:p>
      <w:pPr>
        <w:pStyle w:val="BodyText"/>
        <w:spacing w:line="300" w:lineRule="auto" w:before="76"/>
        <w:ind w:left="513" w:right="1168"/>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年半年度利润分配方案 以截至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日的总股本</w:t>
      </w:r>
      <w:r>
        <w:rPr>
          <w:rFonts w:ascii="Times New Roman" w:hAnsi="Times New Roman" w:cs="Times New Roman" w:eastAsia="Times New Roman" w:hint="default"/>
        </w:rPr>
        <w:t>117,800,000</w:t>
      </w:r>
      <w:r>
        <w:rPr/>
        <w:t>股为基数，向全体股东以每</w:t>
      </w:r>
      <w:r>
        <w:rPr>
          <w:rFonts w:ascii="Times New Roman" w:hAnsi="Times New Roman" w:cs="Times New Roman" w:eastAsia="Times New Roman" w:hint="default"/>
        </w:rPr>
        <w:t>10</w:t>
      </w:r>
      <w:r>
        <w:rPr/>
        <w:t>股派发人民币</w:t>
      </w:r>
      <w:r>
        <w:rPr>
          <w:rFonts w:ascii="Times New Roman" w:hAnsi="Times New Roman" w:cs="Times New Roman" w:eastAsia="Times New Roman" w:hint="default"/>
        </w:rPr>
        <w:t>2.00</w:t>
      </w:r>
      <w:r>
        <w:rPr/>
        <w:t>元（含税）的现金红利，合</w:t>
      </w:r>
    </w:p>
    <w:p>
      <w:pPr>
        <w:pStyle w:val="BodyText"/>
        <w:spacing w:line="300" w:lineRule="auto" w:before="13"/>
        <w:ind w:right="967"/>
        <w:jc w:val="left"/>
      </w:pPr>
      <w:r>
        <w:rPr>
          <w:spacing w:val="-2"/>
        </w:rPr>
        <w:t>计派发现金红利人民币</w:t>
      </w:r>
      <w:r>
        <w:rPr>
          <w:rFonts w:ascii="Times New Roman" w:hAnsi="Times New Roman" w:cs="Times New Roman" w:eastAsia="Times New Roman" w:hint="default"/>
          <w:spacing w:val="-2"/>
        </w:rPr>
        <w:t>23,560,000.00</w:t>
      </w:r>
      <w:r>
        <w:rPr>
          <w:spacing w:val="-2"/>
        </w:rPr>
        <w:t>元，不送红股，不进行资本公积金转增股本，剩余未分配利润</w:t>
      </w:r>
      <w:r>
        <w:rPr>
          <w:rFonts w:ascii="Times New Roman" w:hAnsi="Times New Roman" w:cs="Times New Roman" w:eastAsia="Times New Roman" w:hint="default"/>
          <w:spacing w:val="-2"/>
        </w:rPr>
        <w:t>234,689,722.56</w:t>
      </w:r>
      <w:r>
        <w:rPr>
          <w:spacing w:val="-2"/>
        </w:rPr>
        <w:t>元结转下一</w:t>
      </w:r>
      <w:r>
        <w:rPr>
          <w:spacing w:val="-40"/>
        </w:rPr>
        <w:t> </w:t>
      </w:r>
      <w:r>
        <w:rPr>
          <w:spacing w:val="-40"/>
        </w:rPr>
      </w:r>
      <w:r>
        <w:rPr/>
        <w:t>年度。</w:t>
      </w:r>
    </w:p>
    <w:p>
      <w:pPr>
        <w:pStyle w:val="BodyText"/>
        <w:spacing w:line="240" w:lineRule="auto" w:before="73"/>
        <w:ind w:right="967"/>
        <w:jc w:val="left"/>
      </w:pPr>
      <w:r>
        <w:rPr/>
        <w:t>公司近三年（包括本报告期）普通股现金分红情况表</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5"/>
        <w:gridCol w:w="1198"/>
        <w:gridCol w:w="1195"/>
        <w:gridCol w:w="1196"/>
        <w:gridCol w:w="1198"/>
      </w:tblGrid>
      <w:tr>
        <w:trPr>
          <w:trHeight w:val="227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2" w:right="5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2"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2"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12" w:right="140"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2" w:right="53"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40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262,729,590.98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875,264,934.64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30.02%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262,729,590.98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30.02%</w:t>
            </w:r>
          </w:p>
        </w:tc>
      </w:tr>
      <w:tr>
        <w:trPr>
          <w:trHeight w:val="401"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7,068,000.00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21,649,120.59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32.65%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7,068,000.00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32.65%</w:t>
            </w:r>
          </w:p>
        </w:tc>
      </w:tr>
      <w:tr>
        <w:trPr>
          <w:trHeight w:val="40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35,340,000.00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89,417,850.55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39.52%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35,340,000.00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39.52%</w:t>
            </w:r>
          </w:p>
        </w:tc>
      </w:tr>
    </w:tbl>
    <w:p>
      <w:pPr>
        <w:pStyle w:val="BodyText"/>
        <w:spacing w:line="240" w:lineRule="auto" w:before="49"/>
        <w:ind w:right="967"/>
        <w:jc w:val="left"/>
      </w:pPr>
      <w:r>
        <w:rPr/>
        <w:t>公司报告期内盈利且母公司可供普通股股东分配利润为正但未提出普通股现金红利分配预案</w:t>
      </w:r>
    </w:p>
    <w:p>
      <w:pPr>
        <w:pStyle w:val="BodyText"/>
        <w:spacing w:line="240" w:lineRule="auto" w:before="115"/>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967"/>
        <w:jc w:val="left"/>
        <w:rPr>
          <w:b w:val="0"/>
          <w:bCs w:val="0"/>
        </w:rPr>
      </w:pPr>
      <w:r>
        <w:rPr/>
        <w:t>二、本报告期利润分配及资本公积金转增股本情况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94"/>
        <w:gridCol w:w="5775"/>
      </w:tblGrid>
      <w:tr>
        <w:trPr>
          <w:trHeight w:val="401" w:hRule="exact"/>
        </w:trPr>
        <w:tc>
          <w:tcPr>
            <w:tcW w:w="3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w:t>
            </w:r>
          </w:p>
        </w:tc>
      </w:tr>
      <w:tr>
        <w:trPr>
          <w:trHeight w:val="401" w:hRule="exact"/>
        </w:trPr>
        <w:tc>
          <w:tcPr>
            <w:tcW w:w="3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3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120,518,161</w:t>
            </w:r>
          </w:p>
        </w:tc>
      </w:tr>
      <w:tr>
        <w:trPr>
          <w:trHeight w:val="401" w:hRule="exact"/>
        </w:trPr>
        <w:tc>
          <w:tcPr>
            <w:tcW w:w="3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262,729,590.98</w:t>
            </w:r>
          </w:p>
        </w:tc>
      </w:tr>
      <w:tr>
        <w:trPr>
          <w:trHeight w:val="403" w:hRule="exact"/>
        </w:trPr>
        <w:tc>
          <w:tcPr>
            <w:tcW w:w="3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19"/>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262,729,590.98</w:t>
            </w:r>
          </w:p>
        </w:tc>
      </w:tr>
      <w:tr>
        <w:trPr>
          <w:trHeight w:val="403" w:hRule="exact"/>
        </w:trPr>
        <w:tc>
          <w:tcPr>
            <w:tcW w:w="3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1,104,781,256.87</w:t>
            </w:r>
          </w:p>
        </w:tc>
      </w:tr>
      <w:tr>
        <w:trPr>
          <w:trHeight w:val="713" w:hRule="exact"/>
        </w:trPr>
        <w:tc>
          <w:tcPr>
            <w:tcW w:w="3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2"/>
                <w:sz w:val="18"/>
                <w:szCs w:val="18"/>
              </w:rPr>
              <w:t>现金分红总额（含其他方式）占利润分配总额的</w:t>
            </w:r>
            <w:r>
              <w:rPr>
                <w:rFonts w:ascii="宋体" w:hAnsi="宋体" w:cs="宋体" w:eastAsia="宋体" w:hint="default"/>
                <w:sz w:val="18"/>
                <w:szCs w:val="18"/>
              </w:rPr>
              <w:t> 比例</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9571"/>
      </w:tblGrid>
      <w:tr>
        <w:trPr>
          <w:trHeight w:val="401" w:hRule="exact"/>
        </w:trPr>
        <w:tc>
          <w:tcPr>
            <w:tcW w:w="9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9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900" w:hRule="exact"/>
        </w:trPr>
        <w:tc>
          <w:tcPr>
            <w:tcW w:w="9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经天健会计师事务所（特殊普通合伙）审计，母公司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年度共实现净利润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878,752,604.93 </w:t>
            </w:r>
            <w:r>
              <w:rPr>
                <w:rFonts w:ascii="宋体" w:hAnsi="宋体" w:cs="宋体" w:eastAsia="宋体" w:hint="default"/>
                <w:sz w:val="18"/>
                <w:szCs w:val="18"/>
              </w:rPr>
              <w:t>元，加上年初未分配利润</w:t>
            </w:r>
          </w:p>
          <w:p>
            <w:pPr>
              <w:pStyle w:val="TableParagraph"/>
              <w:spacing w:line="240" w:lineRule="auto" w:before="60"/>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246,645,159.19</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元，并扣减</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年内累计现金分红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7,068,000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元，提取法定盈余公积金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13,548,507.25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元后，</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年末母公</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司可供股东分配利润为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1,104,781,256.87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元。根据《公司法》和《公司章程》等相关规定，董事会拟定</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年度利润分配</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预案如下：以公司现有总股本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120,518,161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股为基数，向全体股东以每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21.80 </w:t>
            </w:r>
            <w:r>
              <w:rPr>
                <w:rFonts w:ascii="宋体" w:hAnsi="宋体" w:cs="宋体" w:eastAsia="宋体" w:hint="default"/>
                <w:sz w:val="18"/>
                <w:szCs w:val="18"/>
              </w:rPr>
              <w:t>元（含税）的现金红利，合</w:t>
            </w:r>
          </w:p>
          <w:p>
            <w:pPr>
              <w:pStyle w:val="TableParagraph"/>
              <w:spacing w:line="309" w:lineRule="auto" w:before="63"/>
              <w:ind w:left="24" w:right="18"/>
              <w:jc w:val="both"/>
              <w:rPr>
                <w:rFonts w:ascii="宋体" w:hAnsi="宋体" w:cs="宋体" w:eastAsia="宋体" w:hint="default"/>
                <w:sz w:val="18"/>
                <w:szCs w:val="18"/>
              </w:rPr>
            </w:pPr>
            <w:r>
              <w:rPr>
                <w:rFonts w:ascii="宋体" w:hAnsi="宋体" w:cs="宋体" w:eastAsia="宋体" w:hint="default"/>
                <w:sz w:val="18"/>
                <w:szCs w:val="18"/>
              </w:rPr>
              <w:t>计派发现金红利</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262,729,590.98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元，并以资本公积金向全体股东每</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股转增</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股。剩余未分配利润</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842,051,665.89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元结转 </w:t>
            </w:r>
            <w:r>
              <w:rPr>
                <w:rFonts w:ascii="宋体" w:hAnsi="宋体" w:cs="宋体" w:eastAsia="宋体" w:hint="default"/>
                <w:spacing w:val="-1"/>
                <w:sz w:val="18"/>
                <w:szCs w:val="18"/>
              </w:rPr>
              <w:t>下一年度。若在分配方案实施前公司总股本由于可转债转股、股份回购、股权激励行权、再融资新增股份上市等原因而发</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5"/>
                <w:sz w:val="18"/>
                <w:szCs w:val="18"/>
              </w:rPr>
              <w:t>生变化的，分配比例将按分派总额不变的原则相应调整。该预案已经公司第三届董事会第二次会议审议通过，尚需提交</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pacing w:val="-1"/>
                <w:sz w:val="18"/>
                <w:szCs w:val="18"/>
              </w:rPr>
              <w:t>年度股东大会审议。本次利润分配预案符合《公司章程》及审议程序的规定，充分保护了中小投资者的合法权益，并已经</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公司独立董事发表了同意的独立意见。</w:t>
            </w:r>
          </w:p>
        </w:tc>
      </w:tr>
    </w:tbl>
    <w:p>
      <w:pPr>
        <w:spacing w:after="0" w:line="309" w:lineRule="auto"/>
        <w:jc w:val="both"/>
        <w:rPr>
          <w:rFonts w:ascii="宋体" w:hAnsi="宋体" w:cs="宋体" w:eastAsia="宋体" w:hint="default"/>
          <w:sz w:val="18"/>
          <w:szCs w:val="18"/>
        </w:rPr>
        <w:sectPr>
          <w:pgSz w:w="11910" w:h="16840"/>
          <w:pgMar w:header="745" w:footer="979" w:top="1060" w:bottom="1160" w:left="980" w:right="0"/>
        </w:sectPr>
      </w:pPr>
    </w:p>
    <w:p>
      <w:pPr>
        <w:pStyle w:val="Heading2"/>
        <w:spacing w:line="369" w:lineRule="exact"/>
        <w:ind w:left="140" w:right="0"/>
        <w:jc w:val="left"/>
        <w:rPr>
          <w:b w:val="0"/>
          <w:bCs w:val="0"/>
        </w:rPr>
      </w:pPr>
      <w:r>
        <w:rPr/>
        <w:pict>
          <v:group style="position:absolute;margin-left:70.559998pt;margin-top:2.202064pt;width:700.95pt;height:.1pt;mso-position-horizontal-relative:page;mso-position-vertical-relative:paragraph;z-index:-1532416" coordorigin="1411,44" coordsize="14019,2">
            <v:shape style="position:absolute;left:1411;top:44;width:14019;height:2" coordorigin="1411,44" coordsize="14019,0" path="m1411,44l15430,44e" filled="false" stroked="true" strokeweight=".72pt" strokecolor="#000000">
              <v:path arrowok="t"/>
            </v:shape>
            <w10:wrap type="none"/>
          </v:group>
        </w:pict>
      </w:r>
      <w:r>
        <w:rPr/>
        <w:t>三、承诺事项履行情况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left="140"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1592"/>
        <w:gridCol w:w="1274"/>
        <w:gridCol w:w="1558"/>
        <w:gridCol w:w="4678"/>
        <w:gridCol w:w="1649"/>
        <w:gridCol w:w="1642"/>
        <w:gridCol w:w="1625"/>
      </w:tblGrid>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0"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411"/>
              <w:jc w:val="right"/>
              <w:rPr>
                <w:rFonts w:ascii="宋体" w:hAnsi="宋体" w:cs="宋体" w:eastAsia="宋体" w:hint="default"/>
                <w:sz w:val="18"/>
                <w:szCs w:val="18"/>
              </w:rPr>
            </w:pPr>
            <w:r>
              <w:rPr>
                <w:rFonts w:ascii="宋体" w:hAnsi="宋体" w:cs="宋体" w:eastAsia="宋体" w:hint="default"/>
                <w:sz w:val="18"/>
                <w:szCs w:val="18"/>
              </w:rPr>
              <w:t>承诺类型</w:t>
            </w:r>
          </w:p>
        </w:tc>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5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46"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678"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23" w:right="117"/>
              <w:jc w:val="both"/>
              <w:rPr>
                <w:rFonts w:ascii="宋体" w:hAnsi="宋体" w:cs="宋体" w:eastAsia="宋体" w:hint="default"/>
                <w:sz w:val="18"/>
                <w:szCs w:val="18"/>
              </w:rPr>
            </w:pPr>
            <w:r>
              <w:rPr>
                <w:rFonts w:ascii="宋体" w:hAnsi="宋体" w:cs="宋体" w:eastAsia="宋体" w:hint="default"/>
                <w:sz w:val="18"/>
                <w:szCs w:val="18"/>
              </w:rPr>
              <w:t>收购报告书或权益 变动报告书中所作 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678"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3" w:right="117"/>
              <w:jc w:val="left"/>
              <w:rPr>
                <w:rFonts w:ascii="宋体" w:hAnsi="宋体" w:cs="宋体" w:eastAsia="宋体" w:hint="default"/>
                <w:sz w:val="18"/>
                <w:szCs w:val="18"/>
              </w:rPr>
            </w:pPr>
            <w:r>
              <w:rPr>
                <w:rFonts w:ascii="宋体" w:hAnsi="宋体" w:cs="宋体" w:eastAsia="宋体" w:hint="default"/>
                <w:sz w:val="18"/>
                <w:szCs w:val="18"/>
              </w:rPr>
              <w:t>资产重组时所作承 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678"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r>
      <w:tr>
        <w:trPr>
          <w:trHeight w:val="5396"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117"/>
              <w:jc w:val="left"/>
              <w:rPr>
                <w:rFonts w:ascii="宋体" w:hAnsi="宋体" w:cs="宋体" w:eastAsia="宋体" w:hint="default"/>
                <w:sz w:val="18"/>
                <w:szCs w:val="18"/>
              </w:rPr>
            </w:pPr>
            <w:r>
              <w:rPr>
                <w:rFonts w:ascii="宋体" w:hAnsi="宋体" w:cs="宋体" w:eastAsia="宋体" w:hint="default"/>
                <w:sz w:val="18"/>
                <w:szCs w:val="18"/>
              </w:rPr>
              <w:t>首次公开发行或再 融资时所作承诺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3"/>
              <w:ind w:left="24" w:right="59"/>
              <w:jc w:val="both"/>
              <w:rPr>
                <w:rFonts w:ascii="宋体" w:hAnsi="宋体" w:cs="宋体" w:eastAsia="宋体" w:hint="default"/>
                <w:sz w:val="18"/>
                <w:szCs w:val="18"/>
              </w:rPr>
            </w:pPr>
            <w:r>
              <w:rPr>
                <w:rFonts w:ascii="宋体" w:hAnsi="宋体" w:cs="宋体" w:eastAsia="宋体" w:hint="default"/>
                <w:sz w:val="18"/>
                <w:szCs w:val="18"/>
              </w:rPr>
              <w:t>李朝莉</w:t>
            </w:r>
            <w:r>
              <w:rPr>
                <w:rFonts w:ascii="Times New Roman" w:hAnsi="Times New Roman" w:cs="Times New Roman" w:eastAsia="Times New Roman" w:hint="default"/>
                <w:sz w:val="18"/>
                <w:szCs w:val="18"/>
              </w:rPr>
              <w:t>;</w:t>
            </w:r>
            <w:r>
              <w:rPr>
                <w:rFonts w:ascii="宋体" w:hAnsi="宋体" w:cs="宋体" w:eastAsia="宋体" w:hint="default"/>
                <w:sz w:val="18"/>
                <w:szCs w:val="18"/>
              </w:rPr>
              <w:t>李娜</w:t>
            </w:r>
            <w:r>
              <w:rPr>
                <w:rFonts w:ascii="Times New Roman" w:hAnsi="Times New Roman" w:cs="Times New Roman" w:eastAsia="Times New Roman" w:hint="default"/>
                <w:sz w:val="18"/>
                <w:szCs w:val="18"/>
              </w:rPr>
              <w:t>;</w:t>
            </w:r>
            <w:r>
              <w:rPr>
                <w:rFonts w:ascii="宋体" w:hAnsi="宋体" w:cs="宋体" w:eastAsia="宋体" w:hint="default"/>
                <w:sz w:val="18"/>
                <w:szCs w:val="18"/>
              </w:rPr>
              <w:t>刘 咏平</w:t>
            </w:r>
            <w:r>
              <w:rPr>
                <w:rFonts w:ascii="Times New Roman" w:hAnsi="Times New Roman" w:cs="Times New Roman" w:eastAsia="Times New Roman" w:hint="default"/>
                <w:sz w:val="18"/>
                <w:szCs w:val="18"/>
              </w:rPr>
              <w:t>;</w:t>
            </w:r>
            <w:r>
              <w:rPr>
                <w:rFonts w:ascii="宋体" w:hAnsi="宋体" w:cs="宋体" w:eastAsia="宋体" w:hint="default"/>
                <w:sz w:val="18"/>
                <w:szCs w:val="18"/>
              </w:rPr>
              <w:t>罗瑞发</w:t>
            </w:r>
            <w:r>
              <w:rPr>
                <w:rFonts w:ascii="Times New Roman" w:hAnsi="Times New Roman" w:cs="Times New Roman" w:eastAsia="Times New Roman" w:hint="default"/>
                <w:sz w:val="18"/>
                <w:szCs w:val="18"/>
              </w:rPr>
              <w:t>;</w:t>
            </w:r>
            <w:r>
              <w:rPr>
                <w:rFonts w:ascii="宋体" w:hAnsi="宋体" w:cs="宋体" w:eastAsia="宋体" w:hint="default"/>
                <w:sz w:val="18"/>
                <w:szCs w:val="18"/>
              </w:rPr>
              <w:t>王 明宽</w:t>
            </w:r>
            <w:r>
              <w:rPr>
                <w:rFonts w:ascii="Times New Roman" w:hAnsi="Times New Roman" w:cs="Times New Roman" w:eastAsia="Times New Roman" w:hint="default"/>
                <w:sz w:val="18"/>
                <w:szCs w:val="18"/>
              </w:rPr>
              <w:t>;</w:t>
            </w:r>
            <w:r>
              <w:rPr>
                <w:rFonts w:ascii="宋体" w:hAnsi="宋体" w:cs="宋体" w:eastAsia="宋体" w:hint="default"/>
                <w:sz w:val="18"/>
                <w:szCs w:val="18"/>
              </w:rPr>
              <w:t>杨成</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442"/>
              <w:jc w:val="right"/>
              <w:rPr>
                <w:rFonts w:ascii="宋体" w:hAnsi="宋体" w:cs="宋体" w:eastAsia="宋体" w:hint="default"/>
                <w:sz w:val="18"/>
                <w:szCs w:val="18"/>
              </w:rPr>
            </w:pPr>
            <w:r>
              <w:rPr>
                <w:rFonts w:ascii="宋体" w:hAnsi="宋体" w:cs="宋体" w:eastAsia="宋体" w:hint="default"/>
                <w:sz w:val="18"/>
                <w:szCs w:val="18"/>
              </w:rPr>
              <w:t>股份限售承诺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2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实际控制人罗瑞发、刘咏平、杨成、王明宽、李娜、李朝 </w:t>
            </w:r>
            <w:r>
              <w:rPr>
                <w:rFonts w:ascii="宋体" w:hAnsi="宋体" w:cs="宋体" w:eastAsia="宋体" w:hint="default"/>
                <w:spacing w:val="-3"/>
                <w:sz w:val="18"/>
                <w:szCs w:val="18"/>
              </w:rPr>
              <w:t>莉承诺：自金溢科技首次公开发行股票并在深圳证券交易所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上市之日起三十六个月内，不转让或者委托他人管理本人直</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接或间接持有的金溢科技本次发行前已发行的股份，也不由</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金溢科技回购本人直接或间接持有的金溢科技本次发行前 </w:t>
            </w:r>
            <w:r>
              <w:rPr>
                <w:rFonts w:ascii="宋体" w:hAnsi="宋体" w:cs="宋体" w:eastAsia="宋体" w:hint="default"/>
                <w:spacing w:val="-3"/>
                <w:sz w:val="18"/>
                <w:szCs w:val="18"/>
              </w:rPr>
              <w:t>已发行的股份。若金溢科技上市后六个月内股票连续二十个</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交易日的收盘价均低于发行价，或者上市后六个月期末收盘</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价低于发行价的（自金溢科技股票上市六个月内，公司发生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过除权除息等事项的，则将发行价作除权除息调整后与收盘</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4"/>
                <w:sz w:val="18"/>
                <w:szCs w:val="18"/>
              </w:rPr>
              <w:t>价进行比较），则本人直接或间接持有的金溢科技股票锁定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期限自动延长六个月。在上述持股锁定期（包括延长的锁定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期，下同）届满后，在本人担任金溢科技董事、高级管理人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员期间，每年转让的股份不超过直接或间接持有的公司股份</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总数的百分之二十五；离任后六个月内，不转让本人直接或</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间接持有的公司股份；在申报离任六个月后的十二个月内通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过证券交易所挂牌交易出售公司股份的数量占本人所持公 司股份总数的比例不超过百分之五十。</w:t>
            </w:r>
            <w:r>
              <w:rPr>
                <w:rFonts w:ascii="Times New Roman" w:hAnsi="Times New Roman" w:cs="Times New Roman" w:eastAsia="Times New Roman" w:hint="default"/>
                <w:sz w:val="18"/>
                <w:szCs w:val="18"/>
              </w:rPr>
              <w:t>"</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headerReference w:type="default" r:id="rId15"/>
          <w:footerReference w:type="default" r:id="rId16"/>
          <w:pgSz w:w="16840" w:h="11910" w:orient="landscape"/>
          <w:pgMar w:header="867" w:footer="980" w:top="1060" w:bottom="1240" w:left="1300" w:right="1280"/>
          <w:pgNumType w:start="43"/>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592"/>
        <w:gridCol w:w="1274"/>
        <w:gridCol w:w="1558"/>
        <w:gridCol w:w="4678"/>
        <w:gridCol w:w="1649"/>
        <w:gridCol w:w="1642"/>
        <w:gridCol w:w="1625"/>
      </w:tblGrid>
      <w:tr>
        <w:trPr>
          <w:trHeight w:val="376" w:hRule="exact"/>
        </w:trPr>
        <w:tc>
          <w:tcPr>
            <w:tcW w:w="1592" w:type="dxa"/>
            <w:vMerge w:val="restart"/>
            <w:tcBorders>
              <w:top w:val="single" w:sz="15" w:space="0" w:color="000000"/>
              <w:left w:val="single" w:sz="4" w:space="0" w:color="000000"/>
              <w:right w:val="single" w:sz="4" w:space="0" w:color="000000"/>
            </w:tcBorders>
            <w:shd w:val="clear" w:color="auto" w:fill="D2D2D2"/>
          </w:tcPr>
          <w:p>
            <w:pPr/>
          </w:p>
        </w:tc>
        <w:tc>
          <w:tcPr>
            <w:tcW w:w="1274" w:type="dxa"/>
            <w:tcBorders>
              <w:top w:val="single" w:sz="15" w:space="0" w:color="000000"/>
              <w:left w:val="single" w:sz="4" w:space="0" w:color="000000"/>
              <w:bottom w:val="nil" w:sz="6" w:space="0" w:color="auto"/>
              <w:right w:val="single" w:sz="4" w:space="0" w:color="000000"/>
            </w:tcBorders>
          </w:tcPr>
          <w:p>
            <w:pPr/>
          </w:p>
        </w:tc>
        <w:tc>
          <w:tcPr>
            <w:tcW w:w="1558" w:type="dxa"/>
            <w:tcBorders>
              <w:top w:val="single" w:sz="15" w:space="0" w:color="000000"/>
              <w:left w:val="single" w:sz="4" w:space="0" w:color="000000"/>
              <w:bottom w:val="nil" w:sz="6" w:space="0" w:color="auto"/>
              <w:right w:val="single" w:sz="4" w:space="0" w:color="000000"/>
            </w:tcBorders>
          </w:tcPr>
          <w:p>
            <w:pPr/>
          </w:p>
        </w:tc>
        <w:tc>
          <w:tcPr>
            <w:tcW w:w="4678"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第一大股东敏行电子承诺：自金溢科技首次公开发行股票</w:t>
            </w:r>
          </w:p>
        </w:tc>
        <w:tc>
          <w:tcPr>
            <w:tcW w:w="1649" w:type="dxa"/>
            <w:tcBorders>
              <w:top w:val="single" w:sz="15" w:space="0" w:color="000000"/>
              <w:left w:val="single" w:sz="4" w:space="0" w:color="000000"/>
              <w:bottom w:val="nil" w:sz="6" w:space="0" w:color="auto"/>
              <w:right w:val="single" w:sz="4" w:space="0" w:color="000000"/>
            </w:tcBorders>
          </w:tcPr>
          <w:p>
            <w:pPr/>
          </w:p>
        </w:tc>
        <w:tc>
          <w:tcPr>
            <w:tcW w:w="1642" w:type="dxa"/>
            <w:tcBorders>
              <w:top w:val="single" w:sz="15" w:space="0" w:color="000000"/>
              <w:left w:val="single" w:sz="4" w:space="0" w:color="000000"/>
              <w:bottom w:val="nil" w:sz="6" w:space="0" w:color="auto"/>
              <w:right w:val="single" w:sz="4" w:space="0" w:color="000000"/>
            </w:tcBorders>
          </w:tcPr>
          <w:p>
            <w:pPr/>
          </w:p>
        </w:tc>
        <w:tc>
          <w:tcPr>
            <w:tcW w:w="1625" w:type="dxa"/>
            <w:tcBorders>
              <w:top w:val="single" w:sz="15" w:space="0" w:color="000000"/>
              <w:left w:val="single" w:sz="4" w:space="0" w:color="000000"/>
              <w:bottom w:val="nil" w:sz="6" w:space="0" w:color="auto"/>
              <w:right w:val="single" w:sz="4" w:space="0" w:color="000000"/>
            </w:tcBorders>
          </w:tcPr>
          <w:p>
            <w:pPr/>
          </w:p>
        </w:tc>
      </w:tr>
      <w:tr>
        <w:trPr>
          <w:trHeight w:val="306"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pacing w:val="-3"/>
                <w:sz w:val="18"/>
                <w:szCs w:val="18"/>
              </w:rPr>
              <w:t>并在深圳证券交易所上市之日起三十六个月内，不转让或者</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委托他人管理本公司直接或间接持有的金溢科技本次发行</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前已发行的股份，也不由金溢科技回购本公司直接或间接持</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314" w:lineRule="auto" w:before="13"/>
              <w:ind w:left="24" w:right="158"/>
              <w:jc w:val="left"/>
              <w:rPr>
                <w:rFonts w:ascii="宋体" w:hAnsi="宋体" w:cs="宋体" w:eastAsia="宋体" w:hint="default"/>
                <w:sz w:val="18"/>
                <w:szCs w:val="18"/>
              </w:rPr>
            </w:pPr>
            <w:r>
              <w:rPr>
                <w:rFonts w:ascii="宋体" w:hAnsi="宋体" w:cs="宋体" w:eastAsia="宋体" w:hint="default"/>
                <w:sz w:val="18"/>
                <w:szCs w:val="18"/>
              </w:rPr>
              <w:t>深圳市敏行电 子有限公司</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1"/>
              <w:jc w:val="left"/>
              <w:rPr>
                <w:rFonts w:ascii="宋体" w:hAnsi="宋体" w:cs="宋体" w:eastAsia="宋体" w:hint="default"/>
                <w:sz w:val="18"/>
                <w:szCs w:val="18"/>
              </w:rPr>
            </w:pPr>
            <w:r>
              <w:rPr>
                <w:rFonts w:ascii="宋体" w:hAnsi="宋体" w:cs="宋体" w:eastAsia="宋体" w:hint="default"/>
                <w:spacing w:val="-3"/>
                <w:sz w:val="18"/>
                <w:szCs w:val="18"/>
              </w:rPr>
              <w:t>有的金溢科技本次发行前已发行的股份。若金溢科技上市后</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六个月内股票连续二十个交易日的收盘价均低于发行价，或</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者上市后六个月期末收盘价低于发行价的（自金溢科技股票</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上市六个月内，公司发生过除权除息等事项的，则将发行价</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作除权除息调整后与收盘价进行比较</w:t>
            </w:r>
            <w:r>
              <w:rPr>
                <w:rFonts w:ascii="宋体" w:hAnsi="宋体" w:cs="宋体" w:eastAsia="宋体" w:hint="default"/>
                <w:spacing w:val="-92"/>
                <w:sz w:val="18"/>
                <w:szCs w:val="18"/>
              </w:rPr>
              <w:t>）</w:t>
            </w:r>
            <w:r>
              <w:rPr>
                <w:rFonts w:ascii="宋体" w:hAnsi="宋体" w:cs="宋体" w:eastAsia="宋体" w:hint="default"/>
                <w:sz w:val="18"/>
                <w:szCs w:val="18"/>
              </w:rPr>
              <w:t>，则本公司直接或间</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接持有的金溢科技股票锁定期限自动延长六个月。</w:t>
            </w:r>
            <w:r>
              <w:rPr>
                <w:rFonts w:ascii="Times New Roman" w:hAnsi="Times New Roman" w:cs="Times New Roman" w:eastAsia="Times New Roman" w:hint="default"/>
                <w:sz w:val="18"/>
                <w:szCs w:val="18"/>
              </w:rPr>
              <w:t>"</w:t>
            </w:r>
          </w:p>
        </w:tc>
        <w:tc>
          <w:tcPr>
            <w:tcW w:w="1649"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single" w:sz="4" w:space="0" w:color="000000"/>
            </w:tcBorders>
          </w:tcPr>
          <w:p>
            <w:pPr/>
          </w:p>
        </w:tc>
        <w:tc>
          <w:tcPr>
            <w:tcW w:w="1625"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592"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558" w:type="dxa"/>
            <w:tcBorders>
              <w:top w:val="single" w:sz="4" w:space="0" w:color="000000"/>
              <w:left w:val="single" w:sz="4" w:space="0" w:color="000000"/>
              <w:bottom w:val="nil" w:sz="6" w:space="0" w:color="auto"/>
              <w:right w:val="single" w:sz="4" w:space="0" w:color="000000"/>
            </w:tcBorders>
          </w:tcPr>
          <w:p>
            <w:pPr/>
          </w:p>
        </w:tc>
        <w:tc>
          <w:tcPr>
            <w:tcW w:w="4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自金溢科技首次公开发行股票并在深圳证券交易所上市之</w:t>
            </w:r>
          </w:p>
        </w:tc>
        <w:tc>
          <w:tcPr>
            <w:tcW w:w="1649" w:type="dxa"/>
            <w:tcBorders>
              <w:top w:val="single" w:sz="4" w:space="0" w:color="000000"/>
              <w:left w:val="single" w:sz="4" w:space="0" w:color="000000"/>
              <w:bottom w:val="nil" w:sz="6" w:space="0" w:color="auto"/>
              <w:right w:val="single" w:sz="4" w:space="0" w:color="000000"/>
            </w:tcBorders>
          </w:tcPr>
          <w:p>
            <w:pPr/>
          </w:p>
        </w:tc>
        <w:tc>
          <w:tcPr>
            <w:tcW w:w="1642" w:type="dxa"/>
            <w:tcBorders>
              <w:top w:val="single" w:sz="4" w:space="0" w:color="000000"/>
              <w:left w:val="single" w:sz="4" w:space="0" w:color="000000"/>
              <w:bottom w:val="nil" w:sz="6" w:space="0" w:color="auto"/>
              <w:right w:val="single" w:sz="4" w:space="0" w:color="000000"/>
            </w:tcBorders>
          </w:tcPr>
          <w:p>
            <w:pPr/>
          </w:p>
        </w:tc>
        <w:tc>
          <w:tcPr>
            <w:tcW w:w="1625"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日起三十六个月内，不转让或者委托他人管理本人持有的上</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述金溢科技本次发行前已发行的股份，也不由金溢科技回购</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本人持有的上述金溢科技本次发行前已发行的股份。若金溢</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科技上市后六个月内股票连续二十个交易日的收盘价均低</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于发行价，或者上市后六个月期末收盘价低于发行价的（自</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金溢科技股票上市六个月内，公司发生过除权除息等事项</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的，则将发行价作除权除息调整后与收盘价进行比较</w:t>
            </w:r>
            <w:r>
              <w:rPr>
                <w:rFonts w:ascii="宋体" w:hAnsi="宋体" w:cs="宋体" w:eastAsia="宋体" w:hint="default"/>
                <w:spacing w:val="-92"/>
                <w:sz w:val="18"/>
                <w:szCs w:val="18"/>
              </w:rPr>
              <w:t>）</w:t>
            </w:r>
            <w:r>
              <w:rPr>
                <w:rFonts w:ascii="宋体" w:hAnsi="宋体" w:cs="宋体" w:eastAsia="宋体" w:hint="default"/>
                <w:sz w:val="18"/>
                <w:szCs w:val="18"/>
              </w:rPr>
              <w:t>，则</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王丽娟</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1"/>
              <w:jc w:val="left"/>
              <w:rPr>
                <w:rFonts w:ascii="宋体" w:hAnsi="宋体" w:cs="宋体" w:eastAsia="宋体" w:hint="default"/>
                <w:sz w:val="18"/>
                <w:szCs w:val="18"/>
              </w:rPr>
            </w:pPr>
            <w:r>
              <w:rPr>
                <w:rFonts w:ascii="宋体" w:hAnsi="宋体" w:cs="宋体" w:eastAsia="宋体" w:hint="default"/>
                <w:sz w:val="18"/>
                <w:szCs w:val="18"/>
              </w:rPr>
              <w:t>本人直接或间接持有的金溢科技股票锁定期限自动延长六 </w:t>
            </w:r>
            <w:r>
              <w:rPr>
                <w:rFonts w:ascii="宋体" w:hAnsi="宋体" w:cs="宋体" w:eastAsia="宋体" w:hint="default"/>
                <w:spacing w:val="-3"/>
                <w:sz w:val="18"/>
                <w:szCs w:val="18"/>
              </w:rPr>
              <w:t>个月。在上述持股锁定期（包括延长的锁定期，下同）届满</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后，在罗瑞发担任金溢科技董事、高级管理人员期间，本人</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每年转让的股份不超过本人持有的上述股份总数的百分之</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二十五；在罗瑞发离任后六个月内，不得转让本人持有的上</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述股份；在罗瑞发申报离任六个月后的十二个月内通过证券</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交易所挂牌交易出售公司股份的数量占本人所持公司股份</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总数的比例不超过百分之五十。罗瑞发在任期届满前离职</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的，本人应当在其就任时确定的任期内和任期届满后六个月</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内，继续遵守前述限制性承诺。</w:t>
            </w:r>
            <w:r>
              <w:rPr>
                <w:rFonts w:ascii="Times New Roman" w:hAnsi="Times New Roman" w:cs="Times New Roman" w:eastAsia="Times New Roman" w:hint="default"/>
                <w:sz w:val="18"/>
                <w:szCs w:val="18"/>
              </w:rPr>
              <w:t>"</w:t>
            </w:r>
          </w:p>
        </w:tc>
        <w:tc>
          <w:tcPr>
            <w:tcW w:w="1649"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single" w:sz="4" w:space="0" w:color="000000"/>
            </w:tcBorders>
          </w:tcPr>
          <w:p>
            <w:pPr/>
          </w:p>
        </w:tc>
        <w:tc>
          <w:tcPr>
            <w:tcW w:w="1625"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1592"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郑映虹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通过持有公司股东股权而间接持有公司股份的董事及高级</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r>
        <w:rPr/>
        <w:pict>
          <v:shape style="position:absolute;margin-left:519.767029pt;margin-top:168.87001pt;width:88.15pt;height:306.55pt;mso-position-horizontal-relative:page;mso-position-vertical-relative:page;z-index:-15323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1"/>
                      <w:szCs w:val="21"/>
                    </w:rPr>
                  </w:pPr>
                </w:p>
                <w:p>
                  <w:pPr>
                    <w:pStyle w:val="BodyText"/>
                    <w:spacing w:line="240" w:lineRule="auto"/>
                    <w:ind w:left="0" w:right="0"/>
                    <w:jc w:val="left"/>
                  </w:pPr>
                  <w:r>
                    <w:rPr/>
                    <w:t>，</w:t>
                  </w:r>
                </w:p>
              </w:txbxContent>
            </v:textbox>
            <w10:wrap type="none"/>
          </v:shape>
        </w:pict>
      </w:r>
      <w:r>
        <w:rPr/>
        <w:pict>
          <v:group style="position:absolute;margin-left:525.909973pt;margin-top:168.87001pt;width:82pt;height:306.55pt;mso-position-horizontal-relative:page;mso-position-vertical-relative:page;z-index:-1532368" coordorigin="10518,3377" coordsize="1640,6131">
            <v:group style="position:absolute;left:10518;top:3377;width:1640;height:6131" coordorigin="10518,3377" coordsize="1640,6131">
              <v:shape style="position:absolute;left:10518;top:3377;width:1640;height:6131" coordorigin="10518,3377" coordsize="1640,6131" path="m10518,9508l12158,9508,12158,3377,10518,3377,10518,9508xe" filled="true" fillcolor="#ffffff" stroked="false">
                <v:path arrowok="t"/>
                <v:fill type="solid"/>
              </v:shape>
            </v:group>
            <v:group style="position:absolute;left:10542;top:6246;width:1592;height:395" coordorigin="10542,6246" coordsize="1592,395">
              <v:shape style="position:absolute;left:10542;top:6246;width:1592;height:395" coordorigin="10542,6246" coordsize="1592,395" path="m10542,6640l12134,6640,12134,6246,10542,6246,10542,6640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1592"/>
        <w:gridCol w:w="1274"/>
        <w:gridCol w:w="1558"/>
        <w:gridCol w:w="4678"/>
        <w:gridCol w:w="1649"/>
        <w:gridCol w:w="1642"/>
        <w:gridCol w:w="1625"/>
      </w:tblGrid>
      <w:tr>
        <w:trPr>
          <w:trHeight w:val="337" w:hRule="exact"/>
        </w:trPr>
        <w:tc>
          <w:tcPr>
            <w:tcW w:w="1592" w:type="dxa"/>
            <w:vMerge w:val="restart"/>
            <w:tcBorders>
              <w:top w:val="single" w:sz="15" w:space="0" w:color="000000"/>
              <w:left w:val="single" w:sz="4" w:space="0" w:color="000000"/>
              <w:right w:val="single" w:sz="4" w:space="0" w:color="000000"/>
            </w:tcBorders>
            <w:shd w:val="clear" w:color="auto" w:fill="D2D2D2"/>
          </w:tcPr>
          <w:p>
            <w:pPr/>
          </w:p>
        </w:tc>
        <w:tc>
          <w:tcPr>
            <w:tcW w:w="1274" w:type="dxa"/>
            <w:vMerge w:val="restart"/>
            <w:tcBorders>
              <w:top w:val="single" w:sz="15" w:space="0" w:color="000000"/>
              <w:left w:val="single" w:sz="4" w:space="0" w:color="000000"/>
              <w:right w:val="single" w:sz="4" w:space="0" w:color="000000"/>
            </w:tcBorders>
          </w:tcPr>
          <w:p>
            <w:pPr/>
          </w:p>
        </w:tc>
        <w:tc>
          <w:tcPr>
            <w:tcW w:w="1558" w:type="dxa"/>
            <w:vMerge w:val="restart"/>
            <w:tcBorders>
              <w:top w:val="single" w:sz="15" w:space="0" w:color="000000"/>
              <w:left w:val="single" w:sz="4" w:space="0" w:color="000000"/>
              <w:right w:val="single" w:sz="4" w:space="0" w:color="000000"/>
            </w:tcBorders>
          </w:tcPr>
          <w:p>
            <w:pPr/>
          </w:p>
        </w:tc>
        <w:tc>
          <w:tcPr>
            <w:tcW w:w="4678"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管理人员郑映虹承诺：在本人担任金溢科技董事及</w:t>
            </w:r>
            <w:r>
              <w:rPr>
                <w:rFonts w:ascii="Times New Roman" w:hAnsi="Times New Roman" w:cs="Times New Roman" w:eastAsia="Times New Roman" w:hint="default"/>
                <w:sz w:val="18"/>
                <w:szCs w:val="18"/>
              </w:rPr>
              <w:t>/</w:t>
            </w:r>
            <w:r>
              <w:rPr>
                <w:rFonts w:ascii="宋体" w:hAnsi="宋体" w:cs="宋体" w:eastAsia="宋体" w:hint="default"/>
                <w:sz w:val="18"/>
                <w:szCs w:val="18"/>
              </w:rPr>
              <w:t>或高级</w:t>
            </w:r>
          </w:p>
        </w:tc>
        <w:tc>
          <w:tcPr>
            <w:tcW w:w="1649" w:type="dxa"/>
            <w:vMerge w:val="restart"/>
            <w:tcBorders>
              <w:top w:val="single" w:sz="15" w:space="0" w:color="000000"/>
              <w:left w:val="single" w:sz="4" w:space="0" w:color="000000"/>
              <w:right w:val="single" w:sz="4" w:space="0" w:color="000000"/>
            </w:tcBorders>
          </w:tcPr>
          <w:p>
            <w:pPr/>
          </w:p>
        </w:tc>
        <w:tc>
          <w:tcPr>
            <w:tcW w:w="1642" w:type="dxa"/>
            <w:vMerge w:val="restart"/>
            <w:tcBorders>
              <w:top w:val="single" w:sz="15" w:space="0" w:color="000000"/>
              <w:left w:val="single" w:sz="4" w:space="0" w:color="000000"/>
              <w:right w:val="single" w:sz="4" w:space="0" w:color="000000"/>
            </w:tcBorders>
          </w:tcPr>
          <w:p>
            <w:pPr/>
          </w:p>
        </w:tc>
        <w:tc>
          <w:tcPr>
            <w:tcW w:w="1625" w:type="dxa"/>
            <w:vMerge w:val="restart"/>
            <w:tcBorders>
              <w:top w:val="single" w:sz="15" w:space="0" w:color="000000"/>
              <w:left w:val="single" w:sz="4" w:space="0" w:color="000000"/>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管理人员期间，本人将向公司申报所持有的公司的股份及其</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变动情况，每年转让的股份不超过直接或间接持有的公司股</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份总数的百分之二十五；离任后六个月内，不转让本人直接</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或间接持有的公司股份；在申报离任六个月后的十二个月内</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通过证券交易所挂牌交易出售公司股份的数量占本人所持</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5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公司股份总数的比例不超过百分之五十。</w:t>
            </w:r>
            <w:r>
              <w:rPr>
                <w:rFonts w:ascii="Times New Roman" w:hAnsi="Times New Roman" w:cs="Times New Roman" w:eastAsia="Times New Roman" w:hint="default"/>
                <w:sz w:val="18"/>
                <w:szCs w:val="18"/>
              </w:rPr>
              <w:t>"</w:t>
            </w:r>
          </w:p>
        </w:tc>
        <w:tc>
          <w:tcPr>
            <w:tcW w:w="1649" w:type="dxa"/>
            <w:vMerge/>
            <w:tcBorders>
              <w:left w:val="single" w:sz="4" w:space="0" w:color="000000"/>
              <w:bottom w:val="single" w:sz="4" w:space="0" w:color="000000"/>
              <w:right w:val="single" w:sz="4" w:space="0" w:color="000000"/>
            </w:tcBorders>
          </w:tcPr>
          <w:p>
            <w:pPr/>
          </w:p>
        </w:tc>
        <w:tc>
          <w:tcPr>
            <w:tcW w:w="1642" w:type="dxa"/>
            <w:vMerge/>
            <w:tcBorders>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r>
      <w:tr>
        <w:trPr>
          <w:trHeight w:val="381" w:hRule="exact"/>
        </w:trPr>
        <w:tc>
          <w:tcPr>
            <w:tcW w:w="1592"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558" w:type="dxa"/>
            <w:tcBorders>
              <w:top w:val="single" w:sz="4" w:space="0" w:color="000000"/>
              <w:left w:val="single" w:sz="4" w:space="0" w:color="000000"/>
              <w:bottom w:val="nil" w:sz="6" w:space="0" w:color="auto"/>
              <w:right w:val="single" w:sz="4" w:space="0" w:color="000000"/>
            </w:tcBorders>
          </w:tcPr>
          <w:p>
            <w:pPr/>
          </w:p>
        </w:tc>
        <w:tc>
          <w:tcPr>
            <w:tcW w:w="4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公司股东及高级管理人员蔡福春承诺：</w:t>
            </w:r>
          </w:p>
        </w:tc>
        <w:tc>
          <w:tcPr>
            <w:tcW w:w="1649" w:type="dxa"/>
            <w:tcBorders>
              <w:top w:val="single" w:sz="4" w:space="0" w:color="000000"/>
              <w:left w:val="single" w:sz="4" w:space="0" w:color="000000"/>
              <w:bottom w:val="nil" w:sz="6" w:space="0" w:color="auto"/>
              <w:right w:val="single" w:sz="4" w:space="0" w:color="000000"/>
            </w:tcBorders>
          </w:tcPr>
          <w:p>
            <w:pPr/>
          </w:p>
        </w:tc>
        <w:tc>
          <w:tcPr>
            <w:tcW w:w="1642" w:type="dxa"/>
            <w:tcBorders>
              <w:top w:val="single" w:sz="4" w:space="0" w:color="000000"/>
              <w:left w:val="single" w:sz="4" w:space="0" w:color="000000"/>
              <w:bottom w:val="nil" w:sz="6" w:space="0" w:color="auto"/>
              <w:right w:val="single" w:sz="4" w:space="0" w:color="000000"/>
            </w:tcBorders>
          </w:tcPr>
          <w:p>
            <w:pPr/>
          </w:p>
        </w:tc>
        <w:tc>
          <w:tcPr>
            <w:tcW w:w="1625" w:type="dxa"/>
            <w:tcBorders>
              <w:top w:val="single" w:sz="4" w:space="0" w:color="000000"/>
              <w:left w:val="single" w:sz="4" w:space="0" w:color="000000"/>
              <w:bottom w:val="nil" w:sz="6" w:space="0" w:color="auto"/>
              <w:right w:val="single" w:sz="4" w:space="0" w:color="000000"/>
            </w:tcBorders>
          </w:tcPr>
          <w:p>
            <w:pPr/>
          </w:p>
        </w:tc>
      </w:tr>
      <w:tr>
        <w:trPr>
          <w:trHeight w:val="328"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4" w:right="0"/>
              <w:jc w:val="left"/>
              <w:rPr>
                <w:rFonts w:ascii="宋体" w:hAnsi="宋体" w:cs="宋体" w:eastAsia="宋体" w:hint="default"/>
                <w:sz w:val="18"/>
                <w:szCs w:val="18"/>
              </w:rPr>
            </w:pPr>
            <w:r>
              <w:rPr>
                <w:rFonts w:ascii="宋体" w:hAnsi="宋体" w:cs="宋体" w:eastAsia="宋体" w:hint="default"/>
                <w:sz w:val="18"/>
                <w:szCs w:val="18"/>
              </w:rPr>
              <w:t>自金溢科技首次公开发行股票并在深圳证券交易所上市之</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日起十二个月内，不转让或者委托他人管理本人直接或间接</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持有的金溢科技本次发行前已发行的股份，也不由金溢科技</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回购本人直接或间接持有的金溢科技本次发行前已发行的</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31"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股份。</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31"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若金溢科技上市后六个月内股票连续二十个交易日的收盘</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价均低于发行价，或者上市后六个月期末收盘价低于发行价</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03"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的（自金溢科技股票上市六个月内，公司发生过除权除息等</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2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蔡福春</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pacing w:val="-3"/>
                <w:sz w:val="18"/>
                <w:szCs w:val="18"/>
              </w:rPr>
              <w:t>事项的，则将发行价作除权除息调整后与收盘价进行比较）</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则本人直接或间接持有的金溢科技股票锁定期限自动延长</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六个月。</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pacing w:val="-3"/>
                <w:sz w:val="18"/>
                <w:szCs w:val="18"/>
              </w:rPr>
              <w:t>在上述持股锁定期（包括延长的锁定期，下同）届满后，在</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本人担任金溢科技董事及</w:t>
            </w:r>
            <w:r>
              <w:rPr>
                <w:rFonts w:ascii="Times New Roman" w:hAnsi="Times New Roman" w:cs="Times New Roman" w:eastAsia="Times New Roman" w:hint="default"/>
                <w:sz w:val="18"/>
                <w:szCs w:val="18"/>
              </w:rPr>
              <w:t>/</w:t>
            </w:r>
            <w:r>
              <w:rPr>
                <w:rFonts w:ascii="宋体" w:hAnsi="宋体" w:cs="宋体" w:eastAsia="宋体" w:hint="default"/>
                <w:sz w:val="18"/>
                <w:szCs w:val="18"/>
              </w:rPr>
              <w:t>或高级管理人员期间，每年转让</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的股份不超过直接或间接持有的公司股份总数的百分之二</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十五；离任后六个月内，不转让本人直接或间接持有的公司</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股份；在申报离任六个月后的十二个月内通过证券交易所挂</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牌交易出售公司股份的数量占本人所持公司股份总数的比</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例不超过百分之五十。</w:t>
            </w:r>
            <w:r>
              <w:rPr>
                <w:rFonts w:ascii="Times New Roman" w:hAnsi="Times New Roman" w:cs="Times New Roman" w:eastAsia="Times New Roman" w:hint="default"/>
                <w:sz w:val="18"/>
                <w:szCs w:val="18"/>
              </w:rPr>
              <w:t>"</w:t>
            </w:r>
          </w:p>
        </w:tc>
        <w:tc>
          <w:tcPr>
            <w:tcW w:w="1649"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single" w:sz="4" w:space="0" w:color="000000"/>
            </w:tcBorders>
          </w:tcPr>
          <w:p>
            <w:pPr/>
          </w:p>
        </w:tc>
        <w:tc>
          <w:tcPr>
            <w:tcW w:w="1625" w:type="dxa"/>
            <w:tcBorders>
              <w:top w:val="nil" w:sz="6" w:space="0" w:color="auto"/>
              <w:left w:val="single" w:sz="4" w:space="0" w:color="000000"/>
              <w:bottom w:val="single" w:sz="4" w:space="0" w:color="000000"/>
              <w:right w:val="single" w:sz="4" w:space="0" w:color="000000"/>
            </w:tcBorders>
          </w:tcPr>
          <w:p>
            <w:pPr/>
          </w:p>
        </w:tc>
      </w:tr>
      <w:tr>
        <w:trPr>
          <w:trHeight w:val="1025" w:hRule="exact"/>
        </w:trPr>
        <w:tc>
          <w:tcPr>
            <w:tcW w:w="1592"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刘厚军</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9"/>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公司股东及高级管理人员刘厚军承诺： 自金溢科技首次公开发行股票并在深圳证券交易所上市之 </w:t>
            </w:r>
            <w:r>
              <w:rPr>
                <w:rFonts w:ascii="宋体" w:hAnsi="宋体" w:cs="宋体" w:eastAsia="宋体" w:hint="default"/>
                <w:spacing w:val="-3"/>
                <w:sz w:val="18"/>
                <w:szCs w:val="18"/>
              </w:rPr>
              <w:t>日起十二个月内，不转让或者委托他人管理本人直接或间接</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刘厚军先生于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p>
          <w:p>
            <w:pPr>
              <w:pStyle w:val="TableParagraph"/>
              <w:spacing w:line="300" w:lineRule="auto" w:before="62"/>
              <w:ind w:left="24" w:right="21"/>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日离任公 </w:t>
            </w:r>
            <w:r>
              <w:rPr>
                <w:rFonts w:ascii="宋体" w:hAnsi="宋体" w:cs="宋体" w:eastAsia="宋体" w:hint="default"/>
                <w:spacing w:val="-6"/>
                <w:sz w:val="18"/>
                <w:szCs w:val="18"/>
              </w:rPr>
              <w:t>司财务总监，离任后</w:t>
            </w:r>
          </w:p>
        </w:tc>
      </w:tr>
    </w:tbl>
    <w:p>
      <w:pPr>
        <w:spacing w:after="0" w:line="300" w:lineRule="auto"/>
        <w:jc w:val="left"/>
        <w:rPr>
          <w:rFonts w:ascii="宋体" w:hAnsi="宋体" w:cs="宋体" w:eastAsia="宋体" w:hint="default"/>
          <w:sz w:val="18"/>
          <w:szCs w:val="18"/>
        </w:rPr>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r>
        <w:rPr/>
        <w:pict>
          <v:shape style="position:absolute;margin-left:519.767029pt;margin-top:57.240005pt;width:88.15pt;height:255.65pt;mso-position-horizontal-relative:page;mso-position-vertical-relative:page;z-index:-15323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2"/>
                      <w:szCs w:val="22"/>
                    </w:rPr>
                  </w:pPr>
                </w:p>
                <w:p>
                  <w:pPr>
                    <w:pStyle w:val="BodyText"/>
                    <w:spacing w:line="240" w:lineRule="auto"/>
                    <w:ind w:left="0" w:right="0"/>
                    <w:jc w:val="left"/>
                  </w:pPr>
                  <w:r>
                    <w:rPr/>
                    <w:t>，</w:t>
                  </w:r>
                </w:p>
              </w:txbxContent>
            </v:textbox>
            <w10:wrap type="none"/>
          </v:shape>
        </w:pict>
      </w:r>
      <w:r>
        <w:rPr/>
        <w:pict>
          <v:shape style="position:absolute;margin-left:339.766998pt;margin-top:313.365997pt;width:268.150pt;height:220.4pt;mso-position-horizontal-relative:page;mso-position-vertical-relative:page;z-index:-1532320" type="#_x0000_t202" filled="false" stroked="false">
            <v:textbox inset="0,0,0,0">
              <w:txbxContent>
                <w:p>
                  <w:pPr>
                    <w:pStyle w:val="BodyText"/>
                    <w:spacing w:line="240" w:lineRule="auto" w:before="49"/>
                    <w:ind w:left="0" w:right="0" w:firstLine="3062"/>
                    <w:jc w:val="left"/>
                  </w:pPr>
                  <w:r>
                    <w:rPr/>
                    <w:t>李朝莉、</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6"/>
                      <w:szCs w:val="16"/>
                    </w:rPr>
                  </w:pPr>
                </w:p>
                <w:p>
                  <w:pPr>
                    <w:pStyle w:val="BodyText"/>
                    <w:spacing w:line="636" w:lineRule="auto"/>
                    <w:ind w:left="0" w:right="1580" w:hanging="1"/>
                    <w:jc w:val="left"/>
                  </w:pPr>
                  <w:r>
                    <w:rPr/>
                    <w:t>中国证监会和深圳证券交易所的相关规定执行， 本公司所持股票在锁定期届满后两年内减持的，</w:t>
                  </w:r>
                </w:p>
              </w:txbxContent>
            </v:textbox>
            <w10:wrap type="none"/>
          </v:shape>
        </w:pict>
      </w:r>
      <w:r>
        <w:rPr/>
        <w:pict>
          <v:group style="position:absolute;margin-left:525.909973pt;margin-top:57.240005pt;width:82pt;height:476.5pt;mso-position-horizontal-relative:page;mso-position-vertical-relative:page;z-index:-1532296" coordorigin="10518,1145" coordsize="1640,9530">
            <v:group style="position:absolute;left:10518;top:1145;width:1640;height:5113" coordorigin="10518,1145" coordsize="1640,5113">
              <v:shape style="position:absolute;left:10518;top:1145;width:1640;height:5113" coordorigin="10518,1145" coordsize="1640,5113" path="m10518,6258l12158,6258,12158,1145,10518,1145,10518,6258xe" filled="true" fillcolor="#ffffff" stroked="false">
                <v:path arrowok="t"/>
                <v:fill type="solid"/>
              </v:shape>
            </v:group>
            <v:group style="position:absolute;left:10518;top:6267;width:1640;height:4408" coordorigin="10518,6267" coordsize="1640,4408">
              <v:shape style="position:absolute;left:10518;top:6267;width:1640;height:4408" coordorigin="10518,6267" coordsize="1640,4408" path="m10518,10675l12158,10675,12158,6267,10518,6267,10518,10675xe" filled="true" fillcolor="#ffffff" stroked="false">
                <v:path arrowok="t"/>
                <v:fill type="solid"/>
              </v:shape>
            </v:group>
            <v:group style="position:absolute;left:10542;top:8274;width:1592;height:394" coordorigin="10542,8274" coordsize="1592,394">
              <v:shape style="position:absolute;left:10542;top:8274;width:1592;height:394" coordorigin="10542,8274" coordsize="1592,394" path="m10542,8668l12134,8668,12134,8274,10542,8274,10542,8668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1592"/>
        <w:gridCol w:w="1274"/>
        <w:gridCol w:w="1558"/>
        <w:gridCol w:w="4678"/>
        <w:gridCol w:w="1649"/>
        <w:gridCol w:w="1642"/>
        <w:gridCol w:w="1625"/>
      </w:tblGrid>
      <w:tr>
        <w:trPr>
          <w:trHeight w:val="332" w:hRule="exact"/>
        </w:trPr>
        <w:tc>
          <w:tcPr>
            <w:tcW w:w="1592" w:type="dxa"/>
            <w:vMerge w:val="restart"/>
            <w:tcBorders>
              <w:top w:val="single" w:sz="15" w:space="0" w:color="000000"/>
              <w:left w:val="single" w:sz="4" w:space="0" w:color="000000"/>
              <w:right w:val="single" w:sz="4" w:space="0" w:color="000000"/>
            </w:tcBorders>
            <w:shd w:val="clear" w:color="auto" w:fill="D2D2D2"/>
          </w:tcPr>
          <w:p>
            <w:pPr/>
          </w:p>
        </w:tc>
        <w:tc>
          <w:tcPr>
            <w:tcW w:w="1274" w:type="dxa"/>
            <w:vMerge w:val="restart"/>
            <w:tcBorders>
              <w:top w:val="single" w:sz="15" w:space="0" w:color="000000"/>
              <w:left w:val="single" w:sz="4" w:space="0" w:color="000000"/>
              <w:right w:val="single" w:sz="4" w:space="0" w:color="000000"/>
            </w:tcBorders>
          </w:tcPr>
          <w:p>
            <w:pPr/>
          </w:p>
        </w:tc>
        <w:tc>
          <w:tcPr>
            <w:tcW w:w="1558" w:type="dxa"/>
            <w:vMerge w:val="restart"/>
            <w:tcBorders>
              <w:top w:val="single" w:sz="15" w:space="0" w:color="000000"/>
              <w:left w:val="single" w:sz="4" w:space="0" w:color="000000"/>
              <w:right w:val="single" w:sz="4" w:space="0" w:color="000000"/>
            </w:tcBorders>
          </w:tcPr>
          <w:p>
            <w:pPr/>
          </w:p>
        </w:tc>
        <w:tc>
          <w:tcPr>
            <w:tcW w:w="4678"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持有的金溢科技本次发行前已发行的股份，也不由金溢科技</w:t>
            </w:r>
          </w:p>
        </w:tc>
        <w:tc>
          <w:tcPr>
            <w:tcW w:w="1649" w:type="dxa"/>
            <w:vMerge w:val="restart"/>
            <w:tcBorders>
              <w:top w:val="single" w:sz="15" w:space="0" w:color="000000"/>
              <w:left w:val="single" w:sz="4" w:space="0" w:color="000000"/>
              <w:right w:val="single" w:sz="4" w:space="0" w:color="000000"/>
            </w:tcBorders>
          </w:tcPr>
          <w:p>
            <w:pPr/>
          </w:p>
        </w:tc>
        <w:tc>
          <w:tcPr>
            <w:tcW w:w="1642" w:type="dxa"/>
            <w:vMerge w:val="restart"/>
            <w:tcBorders>
              <w:top w:val="single" w:sz="15" w:space="0" w:color="000000"/>
              <w:left w:val="single" w:sz="4" w:space="0" w:color="000000"/>
              <w:right w:val="single" w:sz="4" w:space="0" w:color="000000"/>
            </w:tcBorders>
          </w:tcPr>
          <w:p>
            <w:pPr/>
          </w:p>
        </w:tc>
        <w:tc>
          <w:tcPr>
            <w:tcW w:w="1625"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不再担任公司任何</w:t>
            </w: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回购本人直接或间接持有的金溢科技本次发行前已发行的</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职务。承诺期限届</w:t>
            </w:r>
          </w:p>
        </w:tc>
      </w:tr>
      <w:tr>
        <w:trPr>
          <w:trHeight w:val="331"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股份。</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满，已履行完毕。</w:t>
            </w:r>
          </w:p>
        </w:tc>
      </w:tr>
      <w:tr>
        <w:trPr>
          <w:trHeight w:val="331"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若金溢科技上市后六个月内股票连续二十个交易日的收盘</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价均低于发行价，或者上市后六个月期末收盘价低于发行价</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的（自金溢科技股票上市六个月内，公司发生过除权除息等</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事项的，则将发行价作除权除息调整后与收盘价进行比较）</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则本人直接或间接持有的金溢科技股票锁定期限自动延长</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33"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六个月。</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pacing w:val="-3"/>
                <w:sz w:val="18"/>
                <w:szCs w:val="18"/>
              </w:rPr>
              <w:t>在上述持股锁定期（包括延长的锁定期，下同）届满后，在</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本人担任金溢科技董事及</w:t>
            </w:r>
            <w:r>
              <w:rPr>
                <w:rFonts w:ascii="Times New Roman" w:hAnsi="Times New Roman" w:cs="Times New Roman" w:eastAsia="Times New Roman" w:hint="default"/>
                <w:sz w:val="18"/>
                <w:szCs w:val="18"/>
              </w:rPr>
              <w:t>/</w:t>
            </w:r>
            <w:r>
              <w:rPr>
                <w:rFonts w:ascii="宋体" w:hAnsi="宋体" w:cs="宋体" w:eastAsia="宋体" w:hint="default"/>
                <w:sz w:val="18"/>
                <w:szCs w:val="18"/>
              </w:rPr>
              <w:t>或高级管理人员期间，每年转让</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的股份不超过直接或间接持有的公司股份总数的百分之二</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十五；离任后六个月内，不转让本人直接或间接持有的公司</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股份；在申报离任六个月后的十二个月内通过证券交易所挂</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牌交易出售公司股份的数量占本人所持公司股份总数的比</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例不超过百分之五十。</w:t>
            </w:r>
            <w:r>
              <w:rPr>
                <w:rFonts w:ascii="Times New Roman" w:hAnsi="Times New Roman" w:cs="Times New Roman" w:eastAsia="Times New Roman" w:hint="default"/>
                <w:sz w:val="18"/>
                <w:szCs w:val="18"/>
              </w:rPr>
              <w:t>"</w:t>
            </w:r>
          </w:p>
        </w:tc>
        <w:tc>
          <w:tcPr>
            <w:tcW w:w="1649" w:type="dxa"/>
            <w:vMerge/>
            <w:tcBorders>
              <w:left w:val="single" w:sz="4" w:space="0" w:color="000000"/>
              <w:bottom w:val="single" w:sz="4" w:space="0" w:color="000000"/>
              <w:right w:val="single" w:sz="4" w:space="0" w:color="000000"/>
            </w:tcBorders>
          </w:tcPr>
          <w:p>
            <w:pPr/>
          </w:p>
        </w:tc>
        <w:tc>
          <w:tcPr>
            <w:tcW w:w="1642" w:type="dxa"/>
            <w:vMerge/>
            <w:tcBorders>
              <w:left w:val="single" w:sz="4" w:space="0" w:color="000000"/>
              <w:bottom w:val="single" w:sz="4" w:space="0" w:color="000000"/>
              <w:right w:val="single" w:sz="4" w:space="0" w:color="000000"/>
            </w:tcBorders>
          </w:tcPr>
          <w:p>
            <w:pPr/>
          </w:p>
        </w:tc>
        <w:tc>
          <w:tcPr>
            <w:tcW w:w="1625"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1592"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558" w:type="dxa"/>
            <w:tcBorders>
              <w:top w:val="single" w:sz="4" w:space="0" w:color="000000"/>
              <w:left w:val="single" w:sz="4" w:space="0" w:color="000000"/>
              <w:bottom w:val="nil" w:sz="6" w:space="0" w:color="auto"/>
              <w:right w:val="single" w:sz="4" w:space="0" w:color="000000"/>
            </w:tcBorders>
          </w:tcPr>
          <w:p>
            <w:pPr/>
          </w:p>
        </w:tc>
        <w:tc>
          <w:tcPr>
            <w:tcW w:w="4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公司实际控制人罗瑞发、王明宽、杨成、刘咏平、</w:t>
            </w:r>
          </w:p>
        </w:tc>
        <w:tc>
          <w:tcPr>
            <w:tcW w:w="1649" w:type="dxa"/>
            <w:tcBorders>
              <w:top w:val="single" w:sz="4" w:space="0" w:color="000000"/>
              <w:left w:val="single" w:sz="4" w:space="0" w:color="000000"/>
              <w:bottom w:val="nil" w:sz="6" w:space="0" w:color="auto"/>
              <w:right w:val="single" w:sz="4" w:space="0" w:color="000000"/>
            </w:tcBorders>
          </w:tcPr>
          <w:p>
            <w:pPr/>
          </w:p>
        </w:tc>
        <w:tc>
          <w:tcPr>
            <w:tcW w:w="1642" w:type="dxa"/>
            <w:tcBorders>
              <w:top w:val="single" w:sz="4" w:space="0" w:color="000000"/>
              <w:left w:val="single" w:sz="4" w:space="0" w:color="000000"/>
              <w:bottom w:val="nil" w:sz="6" w:space="0" w:color="auto"/>
              <w:right w:val="single" w:sz="4" w:space="0" w:color="000000"/>
            </w:tcBorders>
          </w:tcPr>
          <w:p>
            <w:pPr/>
          </w:p>
        </w:tc>
        <w:tc>
          <w:tcPr>
            <w:tcW w:w="1625"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李娜及第一大股东敏行电子承诺：自本人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本公司所持金溢</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科技股票的锁定期届满之日起二十四个月内，每十二个月内</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36"/>
              <w:jc w:val="left"/>
              <w:rPr>
                <w:rFonts w:ascii="宋体" w:hAnsi="宋体" w:cs="宋体" w:eastAsia="宋体" w:hint="default"/>
                <w:sz w:val="18"/>
                <w:szCs w:val="18"/>
              </w:rPr>
            </w:pPr>
            <w:r>
              <w:rPr>
                <w:rFonts w:ascii="宋体" w:hAnsi="宋体" w:cs="宋体" w:eastAsia="宋体" w:hint="default"/>
                <w:sz w:val="18"/>
                <w:szCs w:val="18"/>
              </w:rPr>
              <w:t>转让的金溢科技股份总额不超过上一年度末本人（本公司）</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1873"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304" w:lineRule="auto" w:before="147"/>
              <w:ind w:left="24" w:right="59"/>
              <w:jc w:val="left"/>
              <w:rPr>
                <w:rFonts w:ascii="宋体" w:hAnsi="宋体" w:cs="宋体" w:eastAsia="宋体" w:hint="default"/>
                <w:sz w:val="18"/>
                <w:szCs w:val="18"/>
              </w:rPr>
            </w:pPr>
            <w:r>
              <w:rPr>
                <w:rFonts w:ascii="宋体" w:hAnsi="宋体" w:cs="宋体" w:eastAsia="宋体" w:hint="default"/>
                <w:sz w:val="18"/>
                <w:szCs w:val="18"/>
              </w:rPr>
              <w:t>李朝莉</w:t>
            </w:r>
            <w:r>
              <w:rPr>
                <w:rFonts w:ascii="Times New Roman" w:hAnsi="Times New Roman" w:cs="Times New Roman" w:eastAsia="Times New Roman" w:hint="default"/>
                <w:sz w:val="18"/>
                <w:szCs w:val="18"/>
              </w:rPr>
              <w:t>;</w:t>
            </w:r>
            <w:r>
              <w:rPr>
                <w:rFonts w:ascii="宋体" w:hAnsi="宋体" w:cs="宋体" w:eastAsia="宋体" w:hint="default"/>
                <w:sz w:val="18"/>
                <w:szCs w:val="18"/>
              </w:rPr>
              <w:t>李娜</w:t>
            </w:r>
            <w:r>
              <w:rPr>
                <w:rFonts w:ascii="Times New Roman" w:hAnsi="Times New Roman" w:cs="Times New Roman" w:eastAsia="Times New Roman" w:hint="default"/>
                <w:sz w:val="18"/>
                <w:szCs w:val="18"/>
              </w:rPr>
              <w:t>;</w:t>
            </w:r>
            <w:r>
              <w:rPr>
                <w:rFonts w:ascii="宋体" w:hAnsi="宋体" w:cs="宋体" w:eastAsia="宋体" w:hint="default"/>
                <w:sz w:val="18"/>
                <w:szCs w:val="18"/>
              </w:rPr>
              <w:t>刘 咏平</w:t>
            </w:r>
            <w:r>
              <w:rPr>
                <w:rFonts w:ascii="Times New Roman" w:hAnsi="Times New Roman" w:cs="Times New Roman" w:eastAsia="Times New Roman" w:hint="default"/>
                <w:sz w:val="18"/>
                <w:szCs w:val="18"/>
              </w:rPr>
              <w:t>;</w:t>
            </w:r>
            <w:r>
              <w:rPr>
                <w:rFonts w:ascii="宋体" w:hAnsi="宋体" w:cs="宋体" w:eastAsia="宋体" w:hint="default"/>
                <w:sz w:val="18"/>
                <w:szCs w:val="18"/>
              </w:rPr>
              <w:t>罗瑞发</w:t>
            </w:r>
            <w:r>
              <w:rPr>
                <w:rFonts w:ascii="Times New Roman" w:hAnsi="Times New Roman" w:cs="Times New Roman" w:eastAsia="Times New Roman" w:hint="default"/>
                <w:sz w:val="18"/>
                <w:szCs w:val="18"/>
              </w:rPr>
              <w:t>;</w:t>
            </w:r>
            <w:r>
              <w:rPr>
                <w:rFonts w:ascii="宋体" w:hAnsi="宋体" w:cs="宋体" w:eastAsia="宋体" w:hint="default"/>
                <w:sz w:val="18"/>
                <w:szCs w:val="18"/>
              </w:rPr>
              <w:t>深 圳市敏行电子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王明 宽</w:t>
            </w:r>
            <w:r>
              <w:rPr>
                <w:rFonts w:ascii="Times New Roman" w:hAnsi="Times New Roman" w:cs="Times New Roman" w:eastAsia="Times New Roman" w:hint="default"/>
                <w:sz w:val="18"/>
                <w:szCs w:val="18"/>
              </w:rPr>
              <w:t>;</w:t>
            </w:r>
            <w:r>
              <w:rPr>
                <w:rFonts w:ascii="宋体" w:hAnsi="宋体" w:cs="宋体" w:eastAsia="宋体" w:hint="default"/>
                <w:sz w:val="18"/>
                <w:szCs w:val="18"/>
              </w:rPr>
              <w:t>杨成</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3" w:right="0"/>
              <w:jc w:val="left"/>
              <w:rPr>
                <w:rFonts w:ascii="宋体" w:hAnsi="宋体" w:cs="宋体" w:eastAsia="宋体" w:hint="default"/>
                <w:sz w:val="18"/>
                <w:szCs w:val="18"/>
              </w:rPr>
            </w:pPr>
            <w:r>
              <w:rPr>
                <w:rFonts w:ascii="宋体" w:hAnsi="宋体" w:cs="宋体" w:eastAsia="宋体" w:hint="default"/>
                <w:sz w:val="18"/>
                <w:szCs w:val="18"/>
              </w:rPr>
              <w:t>股份减持承诺</w:t>
            </w: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307" w:lineRule="auto" w:before="10"/>
              <w:ind w:left="24" w:right="21"/>
              <w:jc w:val="left"/>
              <w:rPr>
                <w:rFonts w:ascii="宋体" w:hAnsi="宋体" w:cs="宋体" w:eastAsia="宋体" w:hint="default"/>
                <w:sz w:val="18"/>
                <w:szCs w:val="18"/>
              </w:rPr>
            </w:pPr>
            <w:r>
              <w:rPr>
                <w:rFonts w:ascii="宋体" w:hAnsi="宋体" w:cs="宋体" w:eastAsia="宋体" w:hint="default"/>
                <w:sz w:val="18"/>
                <w:szCs w:val="18"/>
              </w:rPr>
              <w:t>所持金溢科技股份数量的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本公司减持金溢科技 </w:t>
            </w:r>
            <w:r>
              <w:rPr>
                <w:rFonts w:ascii="宋体" w:hAnsi="宋体" w:cs="宋体" w:eastAsia="宋体" w:hint="default"/>
                <w:spacing w:val="-9"/>
                <w:sz w:val="18"/>
                <w:szCs w:val="18"/>
              </w:rPr>
              <w:t>股份时，将依照《中华人民共和国公司法》、《中华人民共和</w:t>
            </w:r>
            <w:r>
              <w:rPr>
                <w:rFonts w:ascii="宋体" w:hAnsi="宋体" w:cs="宋体" w:eastAsia="宋体" w:hint="default"/>
                <w:sz w:val="18"/>
                <w:szCs w:val="18"/>
              </w:rPr>
              <w:t> </w:t>
            </w:r>
            <w:r>
              <w:rPr>
                <w:rFonts w:ascii="宋体" w:hAnsi="宋体" w:cs="宋体" w:eastAsia="宋体" w:hint="default"/>
                <w:spacing w:val="-16"/>
                <w:sz w:val="18"/>
                <w:szCs w:val="18"/>
              </w:rPr>
              <w:t>国证券法》、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如实并及时申报本人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本公司持有的金溢科技股份及其变动 </w:t>
            </w:r>
            <w:r>
              <w:rPr>
                <w:rFonts w:ascii="宋体" w:hAnsi="宋体" w:cs="宋体" w:eastAsia="宋体" w:hint="default"/>
                <w:spacing w:val="-4"/>
                <w:sz w:val="18"/>
                <w:szCs w:val="18"/>
              </w:rPr>
              <w:t>情况。本人</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pacing w:val="-3"/>
                <w:sz w:val="18"/>
                <w:szCs w:val="18"/>
              </w:rPr>
              <w:t>将提前五个交易日向金溢科技提交减持原因、减持数量、未</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来减持计划、减持对金溢科技治理结构及持续经营影响的说</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明，并由金溢科技在减持前三个交易日予以公告。减持将采</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用集中竞价、大宗交易、协议转让等方式，且减持价格不低</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21" w:hRule="exact"/>
        </w:trPr>
        <w:tc>
          <w:tcPr>
            <w:tcW w:w="1592"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于发行价（如自公司首次公开发行股票至上述减持公告之</w:t>
            </w:r>
          </w:p>
        </w:tc>
        <w:tc>
          <w:tcPr>
            <w:tcW w:w="1649"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single" w:sz="4" w:space="0" w:color="000000"/>
            </w:tcBorders>
          </w:tcPr>
          <w:p>
            <w:pPr/>
          </w:p>
        </w:tc>
        <w:tc>
          <w:tcPr>
            <w:tcW w:w="1625"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200" w:left="1300" w:right="1280"/>
        </w:sectPr>
      </w:pPr>
    </w:p>
    <w:p>
      <w:pPr>
        <w:spacing w:line="240" w:lineRule="auto" w:before="2"/>
        <w:rPr>
          <w:rFonts w:ascii="Times New Roman" w:hAnsi="Times New Roman" w:cs="Times New Roman" w:eastAsia="Times New Roman" w:hint="default"/>
          <w:sz w:val="3"/>
          <w:szCs w:val="3"/>
        </w:rPr>
      </w:pPr>
      <w:r>
        <w:rPr/>
        <w:pict>
          <v:shape style="position:absolute;margin-left:519.767029pt;margin-top:57.240005pt;width:88.15pt;height:111.15pt;mso-position-horizontal-relative:page;mso-position-vertical-relative:page;z-index:-1532272" type="#_x0000_t202" filled="false" stroked="false">
            <v:textbox inset="0,0,0,0">
              <w:txbxContent>
                <w:p>
                  <w:pPr>
                    <w:pStyle w:val="BodyText"/>
                    <w:spacing w:line="240" w:lineRule="auto" w:before="8"/>
                    <w:ind w:left="0" w:right="0"/>
                    <w:jc w:val="left"/>
                  </w:pPr>
                  <w:r>
                    <w:rPr/>
                    <w:t>；</w:t>
                  </w:r>
                </w:p>
              </w:txbxContent>
            </v:textbox>
            <w10:wrap type="none"/>
          </v:shape>
        </w:pict>
      </w:r>
      <w:r>
        <w:rPr/>
        <w:pict>
          <v:group style="position:absolute;margin-left:525.909973pt;margin-top:57.240005pt;width:82pt;height:365.35pt;mso-position-horizontal-relative:page;mso-position-vertical-relative:page;z-index:-1532248" coordorigin="10518,1145" coordsize="1640,7307">
            <v:group style="position:absolute;left:10518;top:1145;width:1640;height:2223" coordorigin="10518,1145" coordsize="1640,2223">
              <v:shape style="position:absolute;left:10518;top:1145;width:1640;height:2223" coordorigin="10518,1145" coordsize="1640,2223" path="m10518,3368l12158,3368,12158,1145,10518,1145,10518,3368xe" filled="true" fillcolor="#ffffff" stroked="false">
                <v:path arrowok="t"/>
                <v:fill type="solid"/>
              </v:shape>
            </v:group>
            <v:group style="position:absolute;left:10518;top:3377;width:1640;height:5075" coordorigin="10518,3377" coordsize="1640,5075">
              <v:shape style="position:absolute;left:10518;top:3377;width:1640;height:5075" coordorigin="10518,3377" coordsize="1640,5075" path="m10518,8452l12158,8452,12158,3377,10518,3377,10518,8452xe" filled="true" fillcolor="#ffffff" stroked="false">
                <v:path arrowok="t"/>
                <v:fill type="solid"/>
              </v:shape>
            </v:group>
            <v:group style="position:absolute;left:10542;top:5718;width:1592;height:394" coordorigin="10542,5718" coordsize="1592,394">
              <v:shape style="position:absolute;left:10542;top:5718;width:1592;height:394" coordorigin="10542,5718" coordsize="1592,394" path="m10542,6111l12134,6111,12134,5718,10542,5718,10542,6111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1592"/>
        <w:gridCol w:w="1274"/>
        <w:gridCol w:w="1558"/>
        <w:gridCol w:w="4678"/>
        <w:gridCol w:w="1649"/>
        <w:gridCol w:w="1642"/>
        <w:gridCol w:w="1625"/>
      </w:tblGrid>
      <w:tr>
        <w:trPr>
          <w:trHeight w:val="332" w:hRule="exact"/>
        </w:trPr>
        <w:tc>
          <w:tcPr>
            <w:tcW w:w="1592" w:type="dxa"/>
            <w:vMerge w:val="restart"/>
            <w:tcBorders>
              <w:top w:val="single" w:sz="15" w:space="0" w:color="000000"/>
              <w:left w:val="single" w:sz="4" w:space="0" w:color="000000"/>
              <w:right w:val="single" w:sz="4" w:space="0" w:color="000000"/>
            </w:tcBorders>
            <w:shd w:val="clear" w:color="auto" w:fill="D2D2D2"/>
          </w:tcPr>
          <w:p>
            <w:pPr/>
          </w:p>
        </w:tc>
        <w:tc>
          <w:tcPr>
            <w:tcW w:w="1274" w:type="dxa"/>
            <w:vMerge w:val="restart"/>
            <w:tcBorders>
              <w:top w:val="single" w:sz="15" w:space="0" w:color="000000"/>
              <w:left w:val="single" w:sz="4" w:space="0" w:color="000000"/>
              <w:right w:val="single" w:sz="4" w:space="0" w:color="000000"/>
            </w:tcBorders>
          </w:tcPr>
          <w:p>
            <w:pPr/>
          </w:p>
        </w:tc>
        <w:tc>
          <w:tcPr>
            <w:tcW w:w="1558" w:type="dxa"/>
            <w:vMerge w:val="restart"/>
            <w:tcBorders>
              <w:top w:val="single" w:sz="15" w:space="0" w:color="000000"/>
              <w:left w:val="single" w:sz="4" w:space="0" w:color="000000"/>
              <w:right w:val="single" w:sz="4" w:space="0" w:color="000000"/>
            </w:tcBorders>
          </w:tcPr>
          <w:p>
            <w:pPr/>
          </w:p>
        </w:tc>
        <w:tc>
          <w:tcPr>
            <w:tcW w:w="4678"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日，公司发生过除权除息等事项的，发行价格应相应调整）</w:t>
            </w:r>
          </w:p>
        </w:tc>
        <w:tc>
          <w:tcPr>
            <w:tcW w:w="1649" w:type="dxa"/>
            <w:vMerge w:val="restart"/>
            <w:tcBorders>
              <w:top w:val="single" w:sz="15" w:space="0" w:color="000000"/>
              <w:left w:val="single" w:sz="4" w:space="0" w:color="000000"/>
              <w:right w:val="single" w:sz="4" w:space="0" w:color="000000"/>
            </w:tcBorders>
          </w:tcPr>
          <w:p>
            <w:pPr/>
          </w:p>
        </w:tc>
        <w:tc>
          <w:tcPr>
            <w:tcW w:w="1642" w:type="dxa"/>
            <w:vMerge w:val="restart"/>
            <w:tcBorders>
              <w:top w:val="single" w:sz="15" w:space="0" w:color="000000"/>
              <w:left w:val="single" w:sz="4" w:space="0" w:color="000000"/>
              <w:right w:val="single" w:sz="4" w:space="0" w:color="000000"/>
            </w:tcBorders>
          </w:tcPr>
          <w:p>
            <w:pPr/>
          </w:p>
        </w:tc>
        <w:tc>
          <w:tcPr>
            <w:tcW w:w="1625" w:type="dxa"/>
            <w:vMerge w:val="restart"/>
            <w:tcBorders>
              <w:top w:val="single" w:sz="15" w:space="0" w:color="000000"/>
              <w:left w:val="single" w:sz="4" w:space="0" w:color="000000"/>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如一个月内公开减持股数超过公司股份总数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的，将通过</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交易所大宗交易系统进行转让；若本人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本公司所持股票在</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锁定期届满后两年内减持价格低于发行价的，则减持价格与</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发行价之间的差额由金溢科技在现金分红时从分配当年及</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以后年度本人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本公司应分得的现金分红税前金额中予以先</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53"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行扣除，且扣除的现金分红归金溢科技所有。</w:t>
            </w:r>
            <w:r>
              <w:rPr>
                <w:rFonts w:ascii="Times New Roman" w:hAnsi="Times New Roman" w:cs="Times New Roman" w:eastAsia="Times New Roman" w:hint="default"/>
                <w:sz w:val="18"/>
                <w:szCs w:val="18"/>
              </w:rPr>
              <w:t>"</w:t>
            </w:r>
          </w:p>
        </w:tc>
        <w:tc>
          <w:tcPr>
            <w:tcW w:w="1649" w:type="dxa"/>
            <w:vMerge/>
            <w:tcBorders>
              <w:left w:val="single" w:sz="4" w:space="0" w:color="000000"/>
              <w:bottom w:val="single" w:sz="4" w:space="0" w:color="000000"/>
              <w:right w:val="single" w:sz="4" w:space="0" w:color="000000"/>
            </w:tcBorders>
          </w:tcPr>
          <w:p>
            <w:pPr/>
          </w:p>
        </w:tc>
        <w:tc>
          <w:tcPr>
            <w:tcW w:w="1642" w:type="dxa"/>
            <w:vMerge/>
            <w:tcBorders>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r>
      <w:tr>
        <w:trPr>
          <w:trHeight w:val="361" w:hRule="exact"/>
        </w:trPr>
        <w:tc>
          <w:tcPr>
            <w:tcW w:w="1592"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558" w:type="dxa"/>
            <w:tcBorders>
              <w:top w:val="single" w:sz="4" w:space="0" w:color="000000"/>
              <w:left w:val="single" w:sz="4" w:space="0" w:color="000000"/>
              <w:bottom w:val="nil" w:sz="6" w:space="0" w:color="auto"/>
              <w:right w:val="single" w:sz="4" w:space="0" w:color="000000"/>
            </w:tcBorders>
          </w:tcPr>
          <w:p>
            <w:pPr/>
          </w:p>
        </w:tc>
        <w:tc>
          <w:tcPr>
            <w:tcW w:w="4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公司重要股东至为投资和致璞投资的承诺：自本企业所持</w:t>
            </w:r>
          </w:p>
        </w:tc>
        <w:tc>
          <w:tcPr>
            <w:tcW w:w="1649" w:type="dxa"/>
            <w:tcBorders>
              <w:top w:val="single" w:sz="4" w:space="0" w:color="000000"/>
              <w:left w:val="single" w:sz="4" w:space="0" w:color="000000"/>
              <w:bottom w:val="nil" w:sz="6" w:space="0" w:color="auto"/>
              <w:right w:val="single" w:sz="4" w:space="0" w:color="000000"/>
            </w:tcBorders>
          </w:tcPr>
          <w:p>
            <w:pPr/>
          </w:p>
        </w:tc>
        <w:tc>
          <w:tcPr>
            <w:tcW w:w="1642" w:type="dxa"/>
            <w:tcBorders>
              <w:top w:val="single" w:sz="4" w:space="0" w:color="000000"/>
              <w:left w:val="single" w:sz="4" w:space="0" w:color="000000"/>
              <w:bottom w:val="nil" w:sz="6" w:space="0" w:color="auto"/>
              <w:right w:val="single" w:sz="4" w:space="0" w:color="000000"/>
            </w:tcBorders>
          </w:tcPr>
          <w:p>
            <w:pPr/>
          </w:p>
        </w:tc>
        <w:tc>
          <w:tcPr>
            <w:tcW w:w="1625"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3"/>
                <w:sz w:val="18"/>
                <w:szCs w:val="18"/>
              </w:rPr>
              <w:t>金溢科技股票的锁定期届满之日起二十四个月内，每十二个</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月内转让的金溢科技股份总额不超过上一年度末本企业所</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持金溢科技股份数量的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。本企业减持金溢科技股份时</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将依照《中华人民共和国公司法</w:t>
            </w:r>
            <w:r>
              <w:rPr>
                <w:rFonts w:ascii="宋体" w:hAnsi="宋体" w:cs="宋体" w:eastAsia="宋体" w:hint="default"/>
                <w:spacing w:val="-92"/>
                <w:sz w:val="18"/>
                <w:szCs w:val="18"/>
              </w:rPr>
              <w:t>》、</w:t>
            </w:r>
            <w:r>
              <w:rPr>
                <w:rFonts w:ascii="宋体" w:hAnsi="宋体" w:cs="宋体" w:eastAsia="宋体" w:hint="default"/>
                <w:sz w:val="18"/>
                <w:szCs w:val="18"/>
              </w:rPr>
              <w:t>《中华人民共和国证券</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4" w:lineRule="auto"/>
              <w:ind w:left="24" w:right="19"/>
              <w:jc w:val="left"/>
              <w:rPr>
                <w:rFonts w:ascii="宋体" w:hAnsi="宋体" w:cs="宋体" w:eastAsia="宋体" w:hint="default"/>
                <w:sz w:val="18"/>
                <w:szCs w:val="18"/>
              </w:rPr>
            </w:pPr>
            <w:r>
              <w:rPr>
                <w:rFonts w:ascii="宋体" w:hAnsi="宋体" w:cs="宋体" w:eastAsia="宋体" w:hint="default"/>
                <w:sz w:val="18"/>
                <w:szCs w:val="18"/>
              </w:rPr>
              <w:t>深圳至为投资 企业（有限合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深圳致璞 </w:t>
            </w:r>
            <w:r>
              <w:rPr>
                <w:rFonts w:ascii="宋体" w:hAnsi="宋体" w:cs="宋体" w:eastAsia="宋体" w:hint="default"/>
                <w:spacing w:val="-6"/>
                <w:sz w:val="18"/>
                <w:szCs w:val="18"/>
              </w:rPr>
              <w:t>投资企业（有限</w:t>
            </w:r>
            <w:r>
              <w:rPr>
                <w:rFonts w:ascii="宋体" w:hAnsi="宋体" w:cs="宋体" w:eastAsia="宋体" w:hint="default"/>
                <w:sz w:val="18"/>
                <w:szCs w:val="18"/>
              </w:rPr>
              <w:t> 合伙）</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股份减持承诺</w:t>
            </w: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9"/>
              <w:jc w:val="both"/>
              <w:rPr>
                <w:rFonts w:ascii="宋体" w:hAnsi="宋体" w:cs="宋体" w:eastAsia="宋体" w:hint="default"/>
                <w:sz w:val="18"/>
                <w:szCs w:val="18"/>
              </w:rPr>
            </w:pPr>
            <w:r>
              <w:rPr>
                <w:rFonts w:ascii="宋体" w:hAnsi="宋体" w:cs="宋体" w:eastAsia="宋体" w:hint="default"/>
                <w:spacing w:val="-4"/>
                <w:sz w:val="18"/>
                <w:szCs w:val="18"/>
              </w:rPr>
              <w:t>法》、中国证监会和深圳证券交易所的相关规定执行，如实</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并及时申报本企业持有的金溢科技股份及其变动情况。本企</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业所持股票在锁定期届满后两年内减持的，将提前五个交易</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日向金溢科技提交减持原因、减持数量、未来减持计划、减</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持对金溢科技治理结构及持续经营影响的说明，并由金溢科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技在减持前三个交易日予以公告。减持将采用集中竞价、大</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25"/>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宗交易、协议转让等方式；如一个月内公开减持股数超过公</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司股份总数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的，将通过交易所大宗交易系统进行转让。</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如本企业违反上述持股锁定期承诺或法律强制性规定而减</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持金溢科技股份的，本企业承诺违规减持金溢科技股份所得</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归金溢科技所有。</w:t>
            </w:r>
            <w:r>
              <w:rPr>
                <w:rFonts w:ascii="Times New Roman" w:hAnsi="Times New Roman" w:cs="Times New Roman" w:eastAsia="Times New Roman" w:hint="default"/>
                <w:sz w:val="18"/>
                <w:szCs w:val="18"/>
              </w:rPr>
              <w:t>"</w:t>
            </w:r>
          </w:p>
        </w:tc>
        <w:tc>
          <w:tcPr>
            <w:tcW w:w="1649"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single" w:sz="4" w:space="0" w:color="000000"/>
            </w:tcBorders>
          </w:tcPr>
          <w:p>
            <w:pPr/>
          </w:p>
        </w:tc>
        <w:tc>
          <w:tcPr>
            <w:tcW w:w="1625"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592"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558" w:type="dxa"/>
            <w:tcBorders>
              <w:top w:val="single" w:sz="4" w:space="0" w:color="000000"/>
              <w:left w:val="single" w:sz="4" w:space="0" w:color="000000"/>
              <w:bottom w:val="nil" w:sz="6" w:space="0" w:color="auto"/>
              <w:right w:val="single" w:sz="4" w:space="0" w:color="000000"/>
            </w:tcBorders>
          </w:tcPr>
          <w:p>
            <w:pPr/>
          </w:p>
        </w:tc>
        <w:tc>
          <w:tcPr>
            <w:tcW w:w="4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公司股东及高级管理人员蔡福春和刘厚军承诺：本人减持</w:t>
            </w:r>
          </w:p>
        </w:tc>
        <w:tc>
          <w:tcPr>
            <w:tcW w:w="1649" w:type="dxa"/>
            <w:tcBorders>
              <w:top w:val="single" w:sz="4" w:space="0" w:color="000000"/>
              <w:left w:val="single" w:sz="4" w:space="0" w:color="000000"/>
              <w:bottom w:val="nil" w:sz="6" w:space="0" w:color="auto"/>
              <w:right w:val="single" w:sz="4" w:space="0" w:color="000000"/>
            </w:tcBorders>
          </w:tcPr>
          <w:p>
            <w:pPr/>
          </w:p>
        </w:tc>
        <w:tc>
          <w:tcPr>
            <w:tcW w:w="1642" w:type="dxa"/>
            <w:tcBorders>
              <w:top w:val="single" w:sz="4" w:space="0" w:color="000000"/>
              <w:left w:val="single" w:sz="4" w:space="0" w:color="000000"/>
              <w:bottom w:val="nil" w:sz="6" w:space="0" w:color="auto"/>
              <w:right w:val="single" w:sz="4" w:space="0" w:color="000000"/>
            </w:tcBorders>
          </w:tcPr>
          <w:p>
            <w:pPr/>
          </w:p>
        </w:tc>
        <w:tc>
          <w:tcPr>
            <w:tcW w:w="1625"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金溢科技股份时</w:t>
            </w:r>
            <w:r>
              <w:rPr>
                <w:rFonts w:ascii="宋体" w:hAnsi="宋体" w:cs="宋体" w:eastAsia="宋体" w:hint="default"/>
                <w:spacing w:val="-20"/>
                <w:sz w:val="18"/>
                <w:szCs w:val="18"/>
              </w:rPr>
              <w:t>，</w:t>
            </w:r>
            <w:r>
              <w:rPr>
                <w:rFonts w:ascii="宋体" w:hAnsi="宋体" w:cs="宋体" w:eastAsia="宋体" w:hint="default"/>
                <w:sz w:val="18"/>
                <w:szCs w:val="18"/>
              </w:rPr>
              <w:t>将依</w:t>
            </w:r>
            <w:r>
              <w:rPr>
                <w:rFonts w:ascii="宋体" w:hAnsi="宋体" w:cs="宋体" w:eastAsia="宋体" w:hint="default"/>
                <w:spacing w:val="-20"/>
                <w:sz w:val="18"/>
                <w:szCs w:val="18"/>
              </w:rPr>
              <w:t>照</w:t>
            </w:r>
            <w:r>
              <w:rPr>
                <w:rFonts w:ascii="宋体" w:hAnsi="宋体" w:cs="宋体" w:eastAsia="宋体" w:hint="default"/>
                <w:sz w:val="18"/>
                <w:szCs w:val="18"/>
              </w:rPr>
              <w:t>《中华人民共和国公司法</w:t>
            </w:r>
            <w:r>
              <w:rPr>
                <w:rFonts w:ascii="宋体" w:hAnsi="宋体" w:cs="宋体" w:eastAsia="宋体" w:hint="default"/>
                <w:spacing w:val="-92"/>
                <w:sz w:val="18"/>
                <w:szCs w:val="18"/>
              </w:rPr>
              <w:t>》</w:t>
            </w:r>
            <w:r>
              <w:rPr>
                <w:rFonts w:ascii="宋体" w:hAnsi="宋体" w:cs="宋体" w:eastAsia="宋体" w:hint="default"/>
                <w:spacing w:val="-111"/>
                <w:sz w:val="18"/>
                <w:szCs w:val="18"/>
              </w:rPr>
              <w:t>、</w:t>
            </w:r>
            <w:r>
              <w:rPr>
                <w:rFonts w:ascii="宋体" w:hAnsi="宋体" w:cs="宋体" w:eastAsia="宋体" w:hint="default"/>
                <w:sz w:val="18"/>
                <w:szCs w:val="18"/>
              </w:rPr>
              <w:t>《中华</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蔡福春</w:t>
            </w:r>
            <w:r>
              <w:rPr>
                <w:rFonts w:ascii="Times New Roman" w:hAnsi="Times New Roman" w:cs="Times New Roman" w:eastAsia="Times New Roman" w:hint="default"/>
                <w:sz w:val="18"/>
                <w:szCs w:val="18"/>
              </w:rPr>
              <w:t>;</w:t>
            </w:r>
            <w:r>
              <w:rPr>
                <w:rFonts w:ascii="宋体" w:hAnsi="宋体" w:cs="宋体" w:eastAsia="宋体" w:hint="default"/>
                <w:sz w:val="18"/>
                <w:szCs w:val="18"/>
              </w:rPr>
              <w:t>刘厚军</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股份减持承诺</w:t>
            </w: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1"/>
              <w:jc w:val="both"/>
              <w:rPr>
                <w:rFonts w:ascii="宋体" w:hAnsi="宋体" w:cs="宋体" w:eastAsia="宋体" w:hint="default"/>
                <w:sz w:val="18"/>
                <w:szCs w:val="18"/>
              </w:rPr>
            </w:pPr>
            <w:r>
              <w:rPr>
                <w:rFonts w:ascii="宋体" w:hAnsi="宋体" w:cs="宋体" w:eastAsia="宋体" w:hint="default"/>
                <w:spacing w:val="-4"/>
                <w:sz w:val="18"/>
                <w:szCs w:val="18"/>
              </w:rPr>
              <w:t>人民共和国证券法》、中国证监会和深圳证券交易所的相关</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规定执行，如实并及时申报本人持有的金溢科技股份及其变</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动情况。如本人违反持股锁定期承诺或法律强制性规定而减</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25"/>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持金溢科技股份的，本人承诺违规减持金溢科技股份所得归</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592"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金溢科技所有。本人所持股票在锁定期届满后两年内减持</w:t>
            </w:r>
          </w:p>
        </w:tc>
        <w:tc>
          <w:tcPr>
            <w:tcW w:w="1649"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single" w:sz="4" w:space="0" w:color="000000"/>
            </w:tcBorders>
          </w:tcPr>
          <w:p>
            <w:pPr/>
          </w:p>
        </w:tc>
        <w:tc>
          <w:tcPr>
            <w:tcW w:w="1625"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20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592"/>
        <w:gridCol w:w="1274"/>
        <w:gridCol w:w="1558"/>
        <w:gridCol w:w="4678"/>
        <w:gridCol w:w="1649"/>
        <w:gridCol w:w="1642"/>
        <w:gridCol w:w="1625"/>
      </w:tblGrid>
      <w:tr>
        <w:trPr>
          <w:trHeight w:val="332" w:hRule="exact"/>
        </w:trPr>
        <w:tc>
          <w:tcPr>
            <w:tcW w:w="1592" w:type="dxa"/>
            <w:vMerge w:val="restart"/>
            <w:tcBorders>
              <w:top w:val="single" w:sz="15" w:space="0" w:color="000000"/>
              <w:left w:val="single" w:sz="4" w:space="0" w:color="000000"/>
              <w:right w:val="single" w:sz="4" w:space="0" w:color="000000"/>
            </w:tcBorders>
            <w:shd w:val="clear" w:color="auto" w:fill="D2D2D2"/>
          </w:tcPr>
          <w:p>
            <w:pPr/>
          </w:p>
        </w:tc>
        <w:tc>
          <w:tcPr>
            <w:tcW w:w="1274" w:type="dxa"/>
            <w:vMerge w:val="restart"/>
            <w:tcBorders>
              <w:top w:val="single" w:sz="15" w:space="0" w:color="000000"/>
              <w:left w:val="single" w:sz="4" w:space="0" w:color="000000"/>
              <w:right w:val="single" w:sz="4" w:space="0" w:color="000000"/>
            </w:tcBorders>
          </w:tcPr>
          <w:p>
            <w:pPr/>
          </w:p>
        </w:tc>
        <w:tc>
          <w:tcPr>
            <w:tcW w:w="1558" w:type="dxa"/>
            <w:vMerge w:val="restart"/>
            <w:tcBorders>
              <w:top w:val="single" w:sz="15" w:space="0" w:color="000000"/>
              <w:left w:val="single" w:sz="4" w:space="0" w:color="000000"/>
              <w:right w:val="single" w:sz="4" w:space="0" w:color="000000"/>
            </w:tcBorders>
          </w:tcPr>
          <w:p>
            <w:pPr/>
          </w:p>
        </w:tc>
        <w:tc>
          <w:tcPr>
            <w:tcW w:w="4678"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的，减持价格不低于发行价（如自公司首次公开发行股票至</w:t>
            </w:r>
          </w:p>
        </w:tc>
        <w:tc>
          <w:tcPr>
            <w:tcW w:w="1649" w:type="dxa"/>
            <w:vMerge w:val="restart"/>
            <w:tcBorders>
              <w:top w:val="single" w:sz="15" w:space="0" w:color="000000"/>
              <w:left w:val="single" w:sz="4" w:space="0" w:color="000000"/>
              <w:right w:val="single" w:sz="4" w:space="0" w:color="000000"/>
            </w:tcBorders>
          </w:tcPr>
          <w:p>
            <w:pPr/>
          </w:p>
        </w:tc>
        <w:tc>
          <w:tcPr>
            <w:tcW w:w="1642" w:type="dxa"/>
            <w:vMerge w:val="restart"/>
            <w:tcBorders>
              <w:top w:val="single" w:sz="15" w:space="0" w:color="000000"/>
              <w:left w:val="single" w:sz="4" w:space="0" w:color="000000"/>
              <w:right w:val="single" w:sz="4" w:space="0" w:color="000000"/>
            </w:tcBorders>
          </w:tcPr>
          <w:p>
            <w:pPr/>
          </w:p>
        </w:tc>
        <w:tc>
          <w:tcPr>
            <w:tcW w:w="1625" w:type="dxa"/>
            <w:vMerge w:val="restart"/>
            <w:tcBorders>
              <w:top w:val="single" w:sz="15" w:space="0" w:color="000000"/>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上述减持公告之日，公司发生过除权除息等事项的，发行价</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格应相应调整</w:t>
            </w:r>
            <w:r>
              <w:rPr>
                <w:rFonts w:ascii="宋体" w:hAnsi="宋体" w:cs="宋体" w:eastAsia="宋体" w:hint="default"/>
                <w:spacing w:val="-92"/>
                <w:sz w:val="18"/>
                <w:szCs w:val="18"/>
              </w:rPr>
              <w:t>）</w:t>
            </w:r>
            <w:r>
              <w:rPr>
                <w:rFonts w:ascii="宋体" w:hAnsi="宋体" w:cs="宋体" w:eastAsia="宋体" w:hint="default"/>
                <w:sz w:val="18"/>
                <w:szCs w:val="18"/>
              </w:rPr>
              <w:t>；若本人所持</w:t>
            </w:r>
            <w:r>
              <w:rPr>
                <w:rFonts w:ascii="宋体" w:hAnsi="宋体" w:cs="宋体" w:eastAsia="宋体" w:hint="default"/>
                <w:spacing w:val="2"/>
                <w:sz w:val="18"/>
                <w:szCs w:val="18"/>
              </w:rPr>
              <w:t>股</w:t>
            </w:r>
            <w:r>
              <w:rPr>
                <w:rFonts w:ascii="宋体" w:hAnsi="宋体" w:cs="宋体" w:eastAsia="宋体" w:hint="default"/>
                <w:sz w:val="18"/>
                <w:szCs w:val="18"/>
              </w:rPr>
              <w:t>票在锁定期届满后两年内减</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持价格低于发行价的，则减持价格与发行价之间的差额由金</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溢科技在现金分红时从分配当年及以后年度本人应分得的</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现金分红税前金额中予以先行扣除，且扣除的现金分红归金</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溢科技所有。上述承诺不因本人在金溢科技职务变动或离职</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5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而失效。</w:t>
            </w:r>
            <w:r>
              <w:rPr>
                <w:rFonts w:ascii="Times New Roman" w:hAnsi="Times New Roman" w:cs="Times New Roman" w:eastAsia="Times New Roman" w:hint="default"/>
                <w:sz w:val="18"/>
                <w:szCs w:val="18"/>
              </w:rPr>
              <w:t>"</w:t>
            </w:r>
          </w:p>
        </w:tc>
        <w:tc>
          <w:tcPr>
            <w:tcW w:w="1649" w:type="dxa"/>
            <w:vMerge/>
            <w:tcBorders>
              <w:left w:val="single" w:sz="4" w:space="0" w:color="000000"/>
              <w:bottom w:val="single" w:sz="4" w:space="0" w:color="000000"/>
              <w:right w:val="single" w:sz="4" w:space="0" w:color="000000"/>
            </w:tcBorders>
          </w:tcPr>
          <w:p>
            <w:pPr/>
          </w:p>
        </w:tc>
        <w:tc>
          <w:tcPr>
            <w:tcW w:w="1642" w:type="dxa"/>
            <w:vMerge/>
            <w:tcBorders>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r>
      <w:tr>
        <w:trPr>
          <w:trHeight w:val="361" w:hRule="exact"/>
        </w:trPr>
        <w:tc>
          <w:tcPr>
            <w:tcW w:w="1592"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558" w:type="dxa"/>
            <w:tcBorders>
              <w:top w:val="single" w:sz="4" w:space="0" w:color="000000"/>
              <w:left w:val="single" w:sz="4" w:space="0" w:color="000000"/>
              <w:bottom w:val="nil" w:sz="6" w:space="0" w:color="auto"/>
              <w:right w:val="single" w:sz="4" w:space="0" w:color="000000"/>
            </w:tcBorders>
          </w:tcPr>
          <w:p>
            <w:pPr/>
          </w:p>
        </w:tc>
        <w:tc>
          <w:tcPr>
            <w:tcW w:w="4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自本人所持金溢科技股票的锁定期届满之日起二十四个月</w:t>
            </w:r>
          </w:p>
        </w:tc>
        <w:tc>
          <w:tcPr>
            <w:tcW w:w="1649" w:type="dxa"/>
            <w:tcBorders>
              <w:top w:val="single" w:sz="4" w:space="0" w:color="000000"/>
              <w:left w:val="single" w:sz="4" w:space="0" w:color="000000"/>
              <w:bottom w:val="nil" w:sz="6" w:space="0" w:color="auto"/>
              <w:right w:val="single" w:sz="4" w:space="0" w:color="000000"/>
            </w:tcBorders>
          </w:tcPr>
          <w:p>
            <w:pPr/>
          </w:p>
        </w:tc>
        <w:tc>
          <w:tcPr>
            <w:tcW w:w="1642" w:type="dxa"/>
            <w:tcBorders>
              <w:top w:val="single" w:sz="4" w:space="0" w:color="000000"/>
              <w:left w:val="single" w:sz="4" w:space="0" w:color="000000"/>
              <w:bottom w:val="nil" w:sz="6" w:space="0" w:color="auto"/>
              <w:right w:val="single" w:sz="4" w:space="0" w:color="000000"/>
            </w:tcBorders>
          </w:tcPr>
          <w:p>
            <w:pPr/>
          </w:p>
        </w:tc>
        <w:tc>
          <w:tcPr>
            <w:tcW w:w="1625"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内，每十二月内转让的金溢科技股份总额不超过上一年度末</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本人所持金溢科技股份数量的</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pacing w:val="-2"/>
                <w:sz w:val="18"/>
                <w:szCs w:val="18"/>
              </w:rPr>
              <w:t>%</w:t>
            </w:r>
            <w:r>
              <w:rPr>
                <w:rFonts w:ascii="宋体" w:hAnsi="宋体" w:cs="宋体" w:eastAsia="宋体" w:hint="default"/>
                <w:spacing w:val="-72"/>
                <w:sz w:val="18"/>
                <w:szCs w:val="18"/>
              </w:rPr>
              <w:t>。</w:t>
            </w:r>
            <w:r>
              <w:rPr>
                <w:rFonts w:ascii="宋体" w:hAnsi="宋体" w:cs="宋体" w:eastAsia="宋体" w:hint="default"/>
                <w:sz w:val="18"/>
                <w:szCs w:val="18"/>
              </w:rPr>
              <w:t>本人减持金溢科技股份</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时</w:t>
            </w:r>
            <w:r>
              <w:rPr>
                <w:rFonts w:ascii="宋体" w:hAnsi="宋体" w:cs="宋体" w:eastAsia="宋体" w:hint="default"/>
                <w:spacing w:val="-20"/>
                <w:sz w:val="18"/>
                <w:szCs w:val="18"/>
              </w:rPr>
              <w:t>，</w:t>
            </w:r>
            <w:r>
              <w:rPr>
                <w:rFonts w:ascii="宋体" w:hAnsi="宋体" w:cs="宋体" w:eastAsia="宋体" w:hint="default"/>
                <w:sz w:val="18"/>
                <w:szCs w:val="18"/>
              </w:rPr>
              <w:t>将依</w:t>
            </w:r>
            <w:r>
              <w:rPr>
                <w:rFonts w:ascii="宋体" w:hAnsi="宋体" w:cs="宋体" w:eastAsia="宋体" w:hint="default"/>
                <w:spacing w:val="-20"/>
                <w:sz w:val="18"/>
                <w:szCs w:val="18"/>
              </w:rPr>
              <w:t>照</w:t>
            </w:r>
            <w:r>
              <w:rPr>
                <w:rFonts w:ascii="宋体" w:hAnsi="宋体" w:cs="宋体" w:eastAsia="宋体" w:hint="default"/>
                <w:sz w:val="18"/>
                <w:szCs w:val="18"/>
              </w:rPr>
              <w:t>《中华人民共和国公司法</w:t>
            </w:r>
            <w:r>
              <w:rPr>
                <w:rFonts w:ascii="宋体" w:hAnsi="宋体" w:cs="宋体" w:eastAsia="宋体" w:hint="default"/>
                <w:spacing w:val="-92"/>
                <w:sz w:val="18"/>
                <w:szCs w:val="18"/>
              </w:rPr>
              <w:t>》</w:t>
            </w:r>
            <w:r>
              <w:rPr>
                <w:rFonts w:ascii="宋体" w:hAnsi="宋体" w:cs="宋体" w:eastAsia="宋体" w:hint="default"/>
                <w:spacing w:val="-111"/>
                <w:sz w:val="18"/>
                <w:szCs w:val="18"/>
              </w:rPr>
              <w:t>、</w:t>
            </w:r>
            <w:r>
              <w:rPr>
                <w:rFonts w:ascii="宋体" w:hAnsi="宋体" w:cs="宋体" w:eastAsia="宋体" w:hint="default"/>
                <w:sz w:val="18"/>
                <w:szCs w:val="18"/>
              </w:rPr>
              <w:t>《中华人民共和国证</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券法</w:t>
            </w:r>
            <w:r>
              <w:rPr>
                <w:rFonts w:ascii="宋体" w:hAnsi="宋体" w:cs="宋体" w:eastAsia="宋体" w:hint="default"/>
                <w:spacing w:val="-92"/>
                <w:sz w:val="18"/>
                <w:szCs w:val="18"/>
              </w:rPr>
              <w:t>》</w:t>
            </w:r>
            <w:r>
              <w:rPr>
                <w:rFonts w:ascii="宋体" w:hAnsi="宋体" w:cs="宋体" w:eastAsia="宋体" w:hint="default"/>
                <w:sz w:val="18"/>
                <w:szCs w:val="18"/>
              </w:rPr>
              <w:t>、中国证监会和深圳证</w:t>
            </w:r>
            <w:r>
              <w:rPr>
                <w:rFonts w:ascii="宋体" w:hAnsi="宋体" w:cs="宋体" w:eastAsia="宋体" w:hint="default"/>
                <w:spacing w:val="2"/>
                <w:sz w:val="18"/>
                <w:szCs w:val="18"/>
              </w:rPr>
              <w:t>券</w:t>
            </w:r>
            <w:r>
              <w:rPr>
                <w:rFonts w:ascii="宋体" w:hAnsi="宋体" w:cs="宋体" w:eastAsia="宋体" w:hint="default"/>
                <w:sz w:val="18"/>
                <w:szCs w:val="18"/>
              </w:rPr>
              <w:t>交易所的相关规定执行，如</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实并及时申报本人持有的金溢科技股份及其变动情况。本人</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所持股票在锁定期届满后两年内减持的，将提前五个交易日</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向金溢科技提交减持原因、减持数量、未来减持计划、减持</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对金溢科技治理结构及持续经营影响的说明，并由金溢科技</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在减持前三个交易日予以公告。减持将采用集中竞价、大宗</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634"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王丽娟</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股份减持承诺</w:t>
            </w: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4" w:right="21"/>
              <w:jc w:val="left"/>
              <w:rPr>
                <w:rFonts w:ascii="宋体" w:hAnsi="宋体" w:cs="宋体" w:eastAsia="宋体" w:hint="default"/>
                <w:sz w:val="18"/>
                <w:szCs w:val="18"/>
              </w:rPr>
            </w:pPr>
            <w:r>
              <w:rPr>
                <w:rFonts w:ascii="宋体" w:hAnsi="宋体" w:cs="宋体" w:eastAsia="宋体" w:hint="default"/>
                <w:spacing w:val="-3"/>
                <w:sz w:val="18"/>
                <w:szCs w:val="18"/>
              </w:rPr>
              <w:t>交易、协议转让等方式，且减持价格不低于发行价（如自公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司首次公开发行股票至上述减持公告之日，公司发生过除权</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除息等事项的，发行价格应相应调整</w:t>
            </w:r>
            <w:r>
              <w:rPr>
                <w:rFonts w:ascii="宋体" w:hAnsi="宋体" w:cs="宋体" w:eastAsia="宋体" w:hint="default"/>
                <w:spacing w:val="-92"/>
                <w:sz w:val="18"/>
                <w:szCs w:val="18"/>
              </w:rPr>
              <w:t>）</w:t>
            </w:r>
            <w:r>
              <w:rPr>
                <w:rFonts w:ascii="宋体" w:hAnsi="宋体" w:cs="宋体" w:eastAsia="宋体" w:hint="default"/>
                <w:sz w:val="18"/>
                <w:szCs w:val="18"/>
              </w:rPr>
              <w:t>；如一个月内公开减</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持股数超过公司股份总数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的，将通过交易所大宗交易系</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统进行转让；若本人所持股票在锁定期届满后两年内减持价</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格低于发行价的，则减持价格与发行价之间的差额由金溢科</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技在现金分红时从分配当年及以后年度本人应分得的现金</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分红税前金额中予以先行扣除，且扣除的现金分红归金溢科</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tabs>
                <w:tab w:pos="1084" w:val="left" w:leader="none"/>
              </w:tabs>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技所有。</w:t>
              <w:tab/>
            </w:r>
            <w:r>
              <w:rPr>
                <w:rFonts w:ascii="宋体" w:hAnsi="宋体" w:cs="宋体" w:eastAsia="宋体" w:hint="default"/>
                <w:spacing w:val="-2"/>
                <w:sz w:val="18"/>
                <w:szCs w:val="18"/>
              </w:rPr>
              <w:t>如公司因首次公开发行股票、发行新股、构成</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借壳上市的重大资产重组的申请或者相关披露文件存在虚</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假记载、误导性陈述或者重大遗漏被证监会立案稽查的，本</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592"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人将暂停转让拥有权益的公司股份。</w:t>
            </w:r>
            <w:r>
              <w:rPr>
                <w:rFonts w:ascii="宋体" w:hAnsi="宋体" w:cs="宋体" w:eastAsia="宋体" w:hint="default"/>
                <w:spacing w:val="32"/>
                <w:sz w:val="18"/>
                <w:szCs w:val="18"/>
              </w:rPr>
              <w:t> </w:t>
            </w:r>
            <w:r>
              <w:rPr>
                <w:rFonts w:ascii="宋体" w:hAnsi="宋体" w:cs="宋体" w:eastAsia="宋体" w:hint="default"/>
                <w:sz w:val="18"/>
                <w:szCs w:val="18"/>
              </w:rPr>
              <w:t>若本人将持有的公司</w:t>
            </w:r>
          </w:p>
        </w:tc>
        <w:tc>
          <w:tcPr>
            <w:tcW w:w="1649"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single" w:sz="4" w:space="0" w:color="000000"/>
            </w:tcBorders>
          </w:tcPr>
          <w:p>
            <w:pPr/>
          </w:p>
        </w:tc>
        <w:tc>
          <w:tcPr>
            <w:tcW w:w="1625"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r>
        <w:rPr/>
        <w:pict>
          <v:shape style="position:absolute;margin-left:519.910034pt;margin-top:376.276001pt;width:88pt;height:158.1pt;mso-position-horizontal-relative:page;mso-position-vertical-relative:page;z-index:-15322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60"/>
                    <w:ind w:left="0" w:right="0"/>
                    <w:jc w:val="left"/>
                  </w:pPr>
                  <w:r>
                    <w:rPr/>
                    <w:t>，</w:t>
                  </w:r>
                </w:p>
              </w:txbxContent>
            </v:textbox>
            <w10:wrap type="none"/>
          </v:shape>
        </w:pict>
      </w:r>
      <w:r>
        <w:rPr/>
        <w:pict>
          <v:group style="position:absolute;margin-left:525.909973pt;margin-top:376.276001pt;width:82pt;height:158.1pt;mso-position-horizontal-relative:page;mso-position-vertical-relative:page;z-index:-1532176" coordorigin="10518,7526" coordsize="1640,3162">
            <v:group style="position:absolute;left:10518;top:7526;width:1640;height:3162" coordorigin="10518,7526" coordsize="1640,3162">
              <v:shape style="position:absolute;left:10518;top:7526;width:1640;height:3162" coordorigin="10518,7526" coordsize="1640,3162" path="m10518,10687l12158,10687,12158,7526,10518,7526,10518,10687xe" filled="true" fillcolor="#ffffff" stroked="false">
                <v:path arrowok="t"/>
                <v:fill type="solid"/>
              </v:shape>
            </v:group>
            <v:group style="position:absolute;left:10542;top:8911;width:1592;height:392" coordorigin="10542,8911" coordsize="1592,392">
              <v:shape style="position:absolute;left:10542;top:8911;width:1592;height:392" coordorigin="10542,8911" coordsize="1592,392" path="m10542,9302l12134,9302,12134,8911,10542,8911,10542,9302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1592"/>
        <w:gridCol w:w="1274"/>
        <w:gridCol w:w="1558"/>
        <w:gridCol w:w="4678"/>
        <w:gridCol w:w="1649"/>
        <w:gridCol w:w="1642"/>
        <w:gridCol w:w="1625"/>
      </w:tblGrid>
      <w:tr>
        <w:trPr>
          <w:trHeight w:val="332" w:hRule="exact"/>
        </w:trPr>
        <w:tc>
          <w:tcPr>
            <w:tcW w:w="1592" w:type="dxa"/>
            <w:vMerge w:val="restart"/>
            <w:tcBorders>
              <w:top w:val="single" w:sz="15" w:space="0" w:color="000000"/>
              <w:left w:val="single" w:sz="4" w:space="0" w:color="000000"/>
              <w:right w:val="single" w:sz="4" w:space="0" w:color="000000"/>
            </w:tcBorders>
            <w:shd w:val="clear" w:color="auto" w:fill="D2D2D2"/>
          </w:tcPr>
          <w:p>
            <w:pPr/>
          </w:p>
        </w:tc>
        <w:tc>
          <w:tcPr>
            <w:tcW w:w="1274" w:type="dxa"/>
            <w:vMerge w:val="restart"/>
            <w:tcBorders>
              <w:top w:val="single" w:sz="15" w:space="0" w:color="000000"/>
              <w:left w:val="single" w:sz="4" w:space="0" w:color="000000"/>
              <w:right w:val="single" w:sz="4" w:space="0" w:color="000000"/>
            </w:tcBorders>
          </w:tcPr>
          <w:p>
            <w:pPr/>
          </w:p>
        </w:tc>
        <w:tc>
          <w:tcPr>
            <w:tcW w:w="1558" w:type="dxa"/>
            <w:vMerge w:val="restart"/>
            <w:tcBorders>
              <w:top w:val="single" w:sz="15" w:space="0" w:color="000000"/>
              <w:left w:val="single" w:sz="4" w:space="0" w:color="000000"/>
              <w:right w:val="single" w:sz="4" w:space="0" w:color="000000"/>
            </w:tcBorders>
          </w:tcPr>
          <w:p>
            <w:pPr/>
          </w:p>
        </w:tc>
        <w:tc>
          <w:tcPr>
            <w:tcW w:w="4678"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股票在买入后六个月内卖出，或者在卖出后六个月内又买入</w:t>
            </w:r>
          </w:p>
        </w:tc>
        <w:tc>
          <w:tcPr>
            <w:tcW w:w="1649" w:type="dxa"/>
            <w:vMerge w:val="restart"/>
            <w:tcBorders>
              <w:top w:val="single" w:sz="15" w:space="0" w:color="000000"/>
              <w:left w:val="single" w:sz="4" w:space="0" w:color="000000"/>
              <w:right w:val="single" w:sz="4" w:space="0" w:color="000000"/>
            </w:tcBorders>
          </w:tcPr>
          <w:p>
            <w:pPr>
              <w:pStyle w:val="TableParagraph"/>
              <w:spacing w:line="3783"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5"/>
                <w:sz w:val="20"/>
                <w:szCs w:val="20"/>
              </w:rPr>
              <w:pict>
                <v:group style="width:82pt;height:189.2pt;mso-position-horizontal-relative:char;mso-position-vertical-relative:line" coordorigin="0,0" coordsize="1640,3784">
                  <v:group style="position:absolute;left:0;top:0;width:1640;height:3784" coordorigin="0,0" coordsize="1640,3784">
                    <v:shape style="position:absolute;left:0;top:0;width:1640;height:3784" coordorigin="0,0" coordsize="1640,3784" path="m0,3783l1640,3783,1640,0,0,0,0,3783xe" filled="true" fillcolor="#ffffff" stroked="false">
                      <v:path arrowok="t"/>
                      <v:fill type="solid"/>
                    </v:shape>
                  </v:group>
                </v:group>
              </w:pict>
            </w:r>
            <w:r>
              <w:rPr>
                <w:rFonts w:ascii="Times New Roman" w:hAnsi="Times New Roman" w:cs="Times New Roman" w:eastAsia="Times New Roman" w:hint="default"/>
                <w:position w:val="-75"/>
                <w:sz w:val="20"/>
                <w:szCs w:val="20"/>
              </w:rPr>
            </w:r>
          </w:p>
        </w:tc>
        <w:tc>
          <w:tcPr>
            <w:tcW w:w="1642" w:type="dxa"/>
            <w:vMerge w:val="restart"/>
            <w:tcBorders>
              <w:top w:val="single" w:sz="15" w:space="0" w:color="000000"/>
              <w:left w:val="single" w:sz="4" w:space="0" w:color="000000"/>
              <w:right w:val="single" w:sz="4" w:space="0" w:color="000000"/>
            </w:tcBorders>
          </w:tcPr>
          <w:p>
            <w:pPr/>
          </w:p>
        </w:tc>
        <w:tc>
          <w:tcPr>
            <w:tcW w:w="1625" w:type="dxa"/>
            <w:vMerge w:val="restart"/>
            <w:tcBorders>
              <w:top w:val="single" w:sz="15" w:space="0" w:color="000000"/>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的，由此所得收益归公司所有，公司董事会有权收回本人所</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得收益，并及时披露相关情况。在下列期间内本人不得买卖</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本公司股票：</w:t>
            </w: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上市公司定期报告公告前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日内；</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市公司业绩预告、业绩快报公告前</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日内；</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三</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自可能对本</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公司股票交易价格产生重大影响的重大事项发生之日或在</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决策过程中</w:t>
            </w:r>
            <w:r>
              <w:rPr>
                <w:rFonts w:ascii="Times New Roman" w:hAnsi="Times New Roman" w:cs="Times New Roman" w:eastAsia="Times New Roman" w:hint="default"/>
                <w:sz w:val="18"/>
                <w:szCs w:val="18"/>
              </w:rPr>
              <w:t>,</w:t>
            </w:r>
            <w:r>
              <w:rPr>
                <w:rFonts w:ascii="宋体" w:hAnsi="宋体" w:cs="宋体" w:eastAsia="宋体" w:hint="default"/>
                <w:sz w:val="18"/>
                <w:szCs w:val="18"/>
              </w:rPr>
              <w:t>至依法披露后</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个交易日内；</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四</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证券交易所规</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36"/>
              <w:jc w:val="left"/>
              <w:rPr>
                <w:rFonts w:ascii="宋体" w:hAnsi="宋体" w:cs="宋体" w:eastAsia="宋体" w:hint="default"/>
                <w:sz w:val="18"/>
                <w:szCs w:val="18"/>
              </w:rPr>
            </w:pPr>
            <w:r>
              <w:rPr>
                <w:rFonts w:ascii="宋体" w:hAnsi="宋体" w:cs="宋体" w:eastAsia="宋体" w:hint="default"/>
                <w:sz w:val="18"/>
                <w:szCs w:val="18"/>
              </w:rPr>
              <w:t>定的其他期间。本人所持上述股份在锁定期届满后减持的，</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还需比照罗瑞发的身份按深圳证券交易所</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发布的《上市公司股东及董事、监事、高级管理人员减持股</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份实施细则》的相关规定执行。若该实施细则为相关规定所</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5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替代，则按所替代的规定执行。</w:t>
            </w:r>
            <w:r>
              <w:rPr>
                <w:rFonts w:ascii="Times New Roman" w:hAnsi="Times New Roman" w:cs="Times New Roman" w:eastAsia="Times New Roman" w:hint="default"/>
                <w:sz w:val="18"/>
                <w:szCs w:val="18"/>
              </w:rPr>
              <w:t>"</w:t>
            </w:r>
          </w:p>
        </w:tc>
        <w:tc>
          <w:tcPr>
            <w:tcW w:w="1649" w:type="dxa"/>
            <w:vMerge/>
            <w:tcBorders>
              <w:left w:val="single" w:sz="4" w:space="0" w:color="000000"/>
              <w:bottom w:val="single" w:sz="4" w:space="0" w:color="000000"/>
              <w:right w:val="single" w:sz="4" w:space="0" w:color="000000"/>
            </w:tcBorders>
          </w:tcPr>
          <w:p>
            <w:pPr/>
          </w:p>
        </w:tc>
        <w:tc>
          <w:tcPr>
            <w:tcW w:w="1642" w:type="dxa"/>
            <w:vMerge/>
            <w:tcBorders>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r>
      <w:tr>
        <w:trPr>
          <w:trHeight w:val="355" w:hRule="exact"/>
        </w:trPr>
        <w:tc>
          <w:tcPr>
            <w:tcW w:w="1592"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558" w:type="dxa"/>
            <w:tcBorders>
              <w:top w:val="single" w:sz="4" w:space="0" w:color="000000"/>
              <w:left w:val="single" w:sz="4" w:space="0" w:color="000000"/>
              <w:bottom w:val="nil" w:sz="6" w:space="0" w:color="auto"/>
              <w:right w:val="single" w:sz="4" w:space="0" w:color="000000"/>
            </w:tcBorders>
          </w:tcPr>
          <w:p>
            <w:pPr/>
          </w:p>
        </w:tc>
        <w:tc>
          <w:tcPr>
            <w:tcW w:w="4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公司股东及监事甘云龙、钟勇，公司其他股东李兴锐、黄伟</w:t>
            </w:r>
          </w:p>
        </w:tc>
        <w:tc>
          <w:tcPr>
            <w:tcW w:w="1649" w:type="dxa"/>
            <w:tcBorders>
              <w:top w:val="single" w:sz="4" w:space="0" w:color="000000"/>
              <w:left w:val="single" w:sz="4" w:space="0" w:color="000000"/>
              <w:bottom w:val="nil" w:sz="6" w:space="0" w:color="auto"/>
              <w:right w:val="single" w:sz="4" w:space="0" w:color="000000"/>
            </w:tcBorders>
          </w:tcPr>
          <w:p>
            <w:pPr/>
          </w:p>
        </w:tc>
        <w:tc>
          <w:tcPr>
            <w:tcW w:w="1642" w:type="dxa"/>
            <w:tcBorders>
              <w:top w:val="single" w:sz="4" w:space="0" w:color="000000"/>
              <w:left w:val="single" w:sz="4" w:space="0" w:color="000000"/>
              <w:bottom w:val="nil" w:sz="6" w:space="0" w:color="auto"/>
              <w:right w:val="single" w:sz="4" w:space="0" w:color="000000"/>
            </w:tcBorders>
          </w:tcPr>
          <w:p>
            <w:pPr/>
          </w:p>
        </w:tc>
        <w:tc>
          <w:tcPr>
            <w:tcW w:w="162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斌、王政、杨秋英、朱和安和通过持有公司股东股权而间接</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甘云龙</w:t>
            </w:r>
            <w:r>
              <w:rPr>
                <w:rFonts w:ascii="Times New Roman" w:hAnsi="Times New Roman" w:cs="Times New Roman" w:eastAsia="Times New Roman" w:hint="default"/>
                <w:sz w:val="18"/>
                <w:szCs w:val="18"/>
              </w:rPr>
              <w:t>;</w:t>
            </w:r>
            <w:r>
              <w:rPr>
                <w:rFonts w:ascii="宋体" w:hAnsi="宋体" w:cs="宋体" w:eastAsia="宋体" w:hint="default"/>
                <w:sz w:val="18"/>
                <w:szCs w:val="18"/>
              </w:rPr>
              <w:t>黄伟斌</w:t>
            </w:r>
            <w:r>
              <w:rPr>
                <w:rFonts w:ascii="Times New Roman" w:hAnsi="Times New Roman" w:cs="Times New Roman" w:eastAsia="Times New Roman" w:hint="default"/>
                <w:sz w:val="18"/>
                <w:szCs w:val="18"/>
              </w:rPr>
              <w:t>;</w:t>
            </w: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持有公司股份的董事及高级管理人员郑映虹承诺：自锁定期</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4" w:right="59"/>
              <w:jc w:val="left"/>
              <w:rPr>
                <w:rFonts w:ascii="宋体" w:hAnsi="宋体" w:cs="宋体" w:eastAsia="宋体" w:hint="default"/>
                <w:sz w:val="18"/>
                <w:szCs w:val="18"/>
              </w:rPr>
            </w:pPr>
            <w:r>
              <w:rPr>
                <w:rFonts w:ascii="宋体" w:hAnsi="宋体" w:cs="宋体" w:eastAsia="宋体" w:hint="default"/>
                <w:sz w:val="18"/>
                <w:szCs w:val="18"/>
              </w:rPr>
              <w:t>李兴锐</w:t>
            </w:r>
            <w:r>
              <w:rPr>
                <w:rFonts w:ascii="Times New Roman" w:hAnsi="Times New Roman" w:cs="Times New Roman" w:eastAsia="Times New Roman" w:hint="default"/>
                <w:sz w:val="18"/>
                <w:szCs w:val="18"/>
              </w:rPr>
              <w:t>;</w:t>
            </w:r>
            <w:r>
              <w:rPr>
                <w:rFonts w:ascii="宋体" w:hAnsi="宋体" w:cs="宋体" w:eastAsia="宋体" w:hint="default"/>
                <w:sz w:val="18"/>
                <w:szCs w:val="18"/>
              </w:rPr>
              <w:t>王政</w:t>
            </w:r>
            <w:r>
              <w:rPr>
                <w:rFonts w:ascii="Times New Roman" w:hAnsi="Times New Roman" w:cs="Times New Roman" w:eastAsia="Times New Roman" w:hint="default"/>
                <w:sz w:val="18"/>
                <w:szCs w:val="18"/>
              </w:rPr>
              <w:t>;</w:t>
            </w:r>
            <w:r>
              <w:rPr>
                <w:rFonts w:ascii="宋体" w:hAnsi="宋体" w:cs="宋体" w:eastAsia="宋体" w:hint="default"/>
                <w:sz w:val="18"/>
                <w:szCs w:val="18"/>
              </w:rPr>
              <w:t>杨 秋英</w:t>
            </w:r>
            <w:r>
              <w:rPr>
                <w:rFonts w:ascii="Times New Roman" w:hAnsi="Times New Roman" w:cs="Times New Roman" w:eastAsia="Times New Roman" w:hint="default"/>
                <w:sz w:val="18"/>
                <w:szCs w:val="18"/>
              </w:rPr>
              <w:t>;</w:t>
            </w:r>
            <w:r>
              <w:rPr>
                <w:rFonts w:ascii="宋体" w:hAnsi="宋体" w:cs="宋体" w:eastAsia="宋体" w:hint="default"/>
                <w:sz w:val="18"/>
                <w:szCs w:val="18"/>
              </w:rPr>
              <w:t>郑映虹</w:t>
            </w:r>
            <w:r>
              <w:rPr>
                <w:rFonts w:ascii="Times New Roman" w:hAnsi="Times New Roman" w:cs="Times New Roman" w:eastAsia="Times New Roman" w:hint="default"/>
                <w:sz w:val="18"/>
                <w:szCs w:val="18"/>
              </w:rPr>
              <w:t>;</w:t>
            </w:r>
            <w:r>
              <w:rPr>
                <w:rFonts w:ascii="宋体" w:hAnsi="宋体" w:cs="宋体" w:eastAsia="宋体" w:hint="default"/>
                <w:sz w:val="18"/>
                <w:szCs w:val="18"/>
              </w:rPr>
              <w:t>钟</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319" w:lineRule="auto" w:before="5"/>
              <w:ind w:left="24" w:right="20"/>
              <w:jc w:val="left"/>
              <w:rPr>
                <w:rFonts w:ascii="宋体" w:hAnsi="宋体" w:cs="宋体" w:eastAsia="宋体" w:hint="default"/>
                <w:sz w:val="18"/>
                <w:szCs w:val="18"/>
              </w:rPr>
            </w:pPr>
            <w:r>
              <w:rPr>
                <w:rFonts w:ascii="宋体" w:hAnsi="宋体" w:cs="宋体" w:eastAsia="宋体" w:hint="default"/>
                <w:spacing w:val="-3"/>
                <w:sz w:val="18"/>
                <w:szCs w:val="18"/>
              </w:rPr>
              <w:t>届满之日起，本人减持金溢科技股票时，将依照《中华人民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1"/>
                <w:sz w:val="18"/>
                <w:szCs w:val="18"/>
              </w:rPr>
              <w:t>共和国公司法》、《中华人民共和国证券法》、中国证监会和</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勇</w:t>
            </w:r>
            <w:r>
              <w:rPr>
                <w:rFonts w:ascii="Times New Roman" w:hAnsi="Times New Roman" w:cs="Times New Roman" w:eastAsia="Times New Roman" w:hint="default"/>
                <w:sz w:val="18"/>
                <w:szCs w:val="18"/>
              </w:rPr>
              <w:t>;</w:t>
            </w:r>
            <w:r>
              <w:rPr>
                <w:rFonts w:ascii="宋体" w:hAnsi="宋体" w:cs="宋体" w:eastAsia="宋体" w:hint="default"/>
                <w:sz w:val="18"/>
                <w:szCs w:val="18"/>
              </w:rPr>
              <w:t>朱和安</w:t>
            </w: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证券交易所的相关规定执行。如本人违反持股锁定期承诺或</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法律强制性规定而减持金溢科技股份的，本人承诺违规减持</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股份所得归金溢科技所有。</w:t>
            </w:r>
          </w:p>
        </w:tc>
        <w:tc>
          <w:tcPr>
            <w:tcW w:w="1649"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single" w:sz="4" w:space="0" w:color="000000"/>
            </w:tcBorders>
          </w:tcPr>
          <w:p>
            <w:pPr/>
          </w:p>
        </w:tc>
        <w:tc>
          <w:tcPr>
            <w:tcW w:w="1625" w:type="dxa"/>
            <w:tcBorders>
              <w:top w:val="nil" w:sz="6" w:space="0" w:color="auto"/>
              <w:left w:val="single" w:sz="4" w:space="0" w:color="000000"/>
              <w:bottom w:val="single" w:sz="4" w:space="0" w:color="000000"/>
              <w:right w:val="single" w:sz="4" w:space="0" w:color="000000"/>
            </w:tcBorders>
          </w:tcPr>
          <w:p>
            <w:pPr/>
          </w:p>
        </w:tc>
      </w:tr>
      <w:tr>
        <w:trPr>
          <w:trHeight w:val="1047" w:hRule="exact"/>
        </w:trPr>
        <w:tc>
          <w:tcPr>
            <w:tcW w:w="1592"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558" w:type="dxa"/>
            <w:tcBorders>
              <w:top w:val="single" w:sz="4" w:space="0" w:color="000000"/>
              <w:left w:val="single" w:sz="4" w:space="0" w:color="000000"/>
              <w:bottom w:val="nil" w:sz="6" w:space="0" w:color="auto"/>
              <w:right w:val="single" w:sz="4" w:space="0" w:color="000000"/>
            </w:tcBorders>
          </w:tcPr>
          <w:p>
            <w:pPr/>
          </w:p>
        </w:tc>
        <w:tc>
          <w:tcPr>
            <w:tcW w:w="4678" w:type="dxa"/>
            <w:tcBorders>
              <w:top w:val="single" w:sz="4" w:space="0" w:color="000000"/>
              <w:left w:val="single" w:sz="4" w:space="0" w:color="000000"/>
              <w:bottom w:val="nil" w:sz="6" w:space="0" w:color="auto"/>
              <w:right w:val="single" w:sz="4" w:space="0" w:color="000000"/>
            </w:tcBorders>
          </w:tcPr>
          <w:p>
            <w:pPr>
              <w:pStyle w:val="TableParagraph"/>
              <w:spacing w:line="309" w:lineRule="auto" w:before="49"/>
              <w:ind w:left="24" w:right="19"/>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公司上市后三年的具体股东回报规划如下：</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、公司将采取</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现金、或者股票、或者现金与股票相结合、或者法律法规允</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许的其他方式分配利润。在符合现金分红的条件下，公司应</w:t>
            </w:r>
          </w:p>
        </w:tc>
        <w:tc>
          <w:tcPr>
            <w:tcW w:w="1649" w:type="dxa"/>
            <w:tcBorders>
              <w:top w:val="single" w:sz="4" w:space="0" w:color="000000"/>
              <w:left w:val="single" w:sz="4" w:space="0" w:color="000000"/>
              <w:bottom w:val="nil" w:sz="6" w:space="0" w:color="auto"/>
              <w:right w:val="single" w:sz="4" w:space="0" w:color="000000"/>
            </w:tcBorders>
          </w:tcPr>
          <w:p>
            <w:pPr/>
          </w:p>
        </w:tc>
        <w:tc>
          <w:tcPr>
            <w:tcW w:w="1642" w:type="dxa"/>
            <w:tcBorders>
              <w:top w:val="single" w:sz="4" w:space="0" w:color="000000"/>
              <w:left w:val="single" w:sz="4" w:space="0" w:color="000000"/>
              <w:bottom w:val="nil" w:sz="6" w:space="0" w:color="auto"/>
              <w:right w:val="single" w:sz="4" w:space="0" w:color="000000"/>
            </w:tcBorders>
          </w:tcPr>
          <w:p>
            <w:pPr/>
          </w:p>
        </w:tc>
        <w:tc>
          <w:tcPr>
            <w:tcW w:w="16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07" w:lineRule="auto"/>
              <w:ind w:left="24" w:right="19"/>
              <w:jc w:val="both"/>
              <w:rPr>
                <w:rFonts w:ascii="宋体" w:hAnsi="宋体" w:cs="宋体" w:eastAsia="宋体" w:hint="default"/>
                <w:sz w:val="18"/>
                <w:szCs w:val="18"/>
              </w:rPr>
            </w:pPr>
            <w:r>
              <w:rPr>
                <w:rFonts w:ascii="宋体" w:hAnsi="宋体" w:cs="宋体" w:eastAsia="宋体" w:hint="default"/>
                <w:spacing w:val="-6"/>
                <w:sz w:val="18"/>
                <w:szCs w:val="18"/>
              </w:rPr>
              <w:t>承诺期限已届满。公</w:t>
            </w:r>
            <w:r>
              <w:rPr>
                <w:rFonts w:ascii="宋体" w:hAnsi="宋体" w:cs="宋体" w:eastAsia="宋体" w:hint="default"/>
                <w:sz w:val="18"/>
                <w:szCs w:val="18"/>
              </w:rPr>
              <w:t> 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日召开第三届董事</w:t>
            </w:r>
          </w:p>
        </w:tc>
      </w:tr>
      <w:tr>
        <w:trPr>
          <w:trHeight w:val="93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316" w:lineRule="auto" w:before="80"/>
              <w:ind w:left="24" w:right="158"/>
              <w:jc w:val="left"/>
              <w:rPr>
                <w:rFonts w:ascii="宋体" w:hAnsi="宋体" w:cs="宋体" w:eastAsia="宋体" w:hint="default"/>
                <w:sz w:val="18"/>
                <w:szCs w:val="18"/>
              </w:rPr>
            </w:pPr>
            <w:r>
              <w:rPr>
                <w:rFonts w:ascii="宋体" w:hAnsi="宋体" w:cs="宋体" w:eastAsia="宋体" w:hint="default"/>
                <w:sz w:val="18"/>
                <w:szCs w:val="18"/>
              </w:rPr>
              <w:t>深圳市金溢科 技股份有限公</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当优先采取现金分红的方式进行利润分配。公司原则上每年</w:t>
            </w:r>
          </w:p>
          <w:p>
            <w:pPr>
              <w:pStyle w:val="TableParagraph"/>
              <w:spacing w:line="316" w:lineRule="auto" w:before="77"/>
              <w:ind w:left="24" w:right="21"/>
              <w:jc w:val="left"/>
              <w:rPr>
                <w:rFonts w:ascii="宋体" w:hAnsi="宋体" w:cs="宋体" w:eastAsia="宋体" w:hint="default"/>
                <w:sz w:val="18"/>
                <w:szCs w:val="18"/>
              </w:rPr>
            </w:pPr>
            <w:r>
              <w:rPr>
                <w:rFonts w:ascii="宋体" w:hAnsi="宋体" w:cs="宋体" w:eastAsia="宋体" w:hint="default"/>
                <w:spacing w:val="-3"/>
                <w:sz w:val="18"/>
                <w:szCs w:val="18"/>
              </w:rPr>
              <w:t>度进行一次利润分配；公司董事会还可以根据公司盈利及资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金状况提议公司进行中期分红。</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、在同时满足以下条件时</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97" w:lineRule="auto"/>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w:t>
            </w: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309" w:lineRule="auto" w:before="77"/>
              <w:ind w:left="24" w:right="22"/>
              <w:jc w:val="left"/>
              <w:rPr>
                <w:rFonts w:ascii="宋体" w:hAnsi="宋体" w:cs="宋体" w:eastAsia="宋体" w:hint="default"/>
                <w:sz w:val="18"/>
                <w:szCs w:val="18"/>
              </w:rPr>
            </w:pPr>
            <w:r>
              <w:rPr>
                <w:rFonts w:ascii="宋体" w:hAnsi="宋体" w:cs="宋体" w:eastAsia="宋体" w:hint="default"/>
                <w:spacing w:val="-6"/>
                <w:sz w:val="18"/>
                <w:szCs w:val="18"/>
              </w:rPr>
              <w:t>会第二次会议，审议</w:t>
            </w:r>
            <w:r>
              <w:rPr>
                <w:rFonts w:ascii="宋体" w:hAnsi="宋体" w:cs="宋体" w:eastAsia="宋体" w:hint="default"/>
                <w:sz w:val="18"/>
                <w:szCs w:val="18"/>
              </w:rPr>
              <w:t> 通过了《</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w:t>
            </w:r>
            <w:r>
              <w:rPr>
                <w:rFonts w:ascii="宋体" w:hAnsi="宋体" w:cs="宋体" w:eastAsia="宋体" w:hint="default"/>
                <w:spacing w:val="-11"/>
                <w:sz w:val="18"/>
                <w:szCs w:val="18"/>
              </w:rPr>
              <w:t>利润分配预案》，尚</w:t>
            </w:r>
          </w:p>
        </w:tc>
      </w:tr>
      <w:tr>
        <w:trPr>
          <w:trHeight w:val="624"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公司可实施现金分红：①公司该年度实现的可分配利润（即</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公司弥补亏损、提取公积金后所余的税后利润）为正值；②</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300" w:lineRule="auto" w:before="77"/>
              <w:ind w:left="24" w:right="55"/>
              <w:jc w:val="left"/>
              <w:rPr>
                <w:rFonts w:ascii="宋体" w:hAnsi="宋体" w:cs="宋体" w:eastAsia="宋体" w:hint="default"/>
                <w:sz w:val="18"/>
                <w:szCs w:val="18"/>
              </w:rPr>
            </w:pPr>
            <w:r>
              <w:rPr>
                <w:rFonts w:ascii="宋体" w:hAnsi="宋体" w:cs="宋体" w:eastAsia="宋体" w:hint="default"/>
                <w:sz w:val="18"/>
                <w:szCs w:val="18"/>
              </w:rPr>
              <w:t>需提交公司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度股东大会审议批</w:t>
            </w: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4" w:right="0"/>
              <w:jc w:val="left"/>
              <w:rPr>
                <w:rFonts w:ascii="宋体" w:hAnsi="宋体" w:cs="宋体" w:eastAsia="宋体" w:hint="default"/>
                <w:sz w:val="18"/>
                <w:szCs w:val="18"/>
              </w:rPr>
            </w:pPr>
            <w:r>
              <w:rPr>
                <w:rFonts w:ascii="宋体" w:hAnsi="宋体" w:cs="宋体" w:eastAsia="宋体" w:hint="default"/>
                <w:sz w:val="18"/>
                <w:szCs w:val="18"/>
              </w:rPr>
              <w:t>审计机构对公司该年度财务报告出具标准无保留意见的审</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准。</w:t>
            </w:r>
          </w:p>
        </w:tc>
      </w:tr>
      <w:tr>
        <w:trPr>
          <w:trHeight w:val="252" w:hRule="exact"/>
        </w:trPr>
        <w:tc>
          <w:tcPr>
            <w:tcW w:w="1592"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192" w:lineRule="exact"/>
              <w:ind w:left="24" w:right="0"/>
              <w:jc w:val="left"/>
              <w:rPr>
                <w:rFonts w:ascii="宋体" w:hAnsi="宋体" w:cs="宋体" w:eastAsia="宋体" w:hint="default"/>
                <w:sz w:val="18"/>
                <w:szCs w:val="18"/>
              </w:rPr>
            </w:pPr>
            <w:r>
              <w:rPr>
                <w:rFonts w:ascii="宋体" w:hAnsi="宋体" w:cs="宋体" w:eastAsia="宋体" w:hint="default"/>
                <w:sz w:val="18"/>
                <w:szCs w:val="18"/>
              </w:rPr>
              <w:t>计报告；</w:t>
            </w:r>
            <w:r>
              <w:rPr>
                <w:rFonts w:ascii="Times New Roman" w:hAnsi="Times New Roman" w:cs="Times New Roman" w:eastAsia="Times New Roman" w:hint="default"/>
                <w:sz w:val="18"/>
                <w:szCs w:val="18"/>
              </w:rPr>
              <w:t>3</w:t>
            </w:r>
            <w:r>
              <w:rPr>
                <w:rFonts w:ascii="宋体" w:hAnsi="宋体" w:cs="宋体" w:eastAsia="宋体" w:hint="default"/>
                <w:sz w:val="18"/>
                <w:szCs w:val="18"/>
              </w:rPr>
              <w:t>、公司每年以现金方式分配的利润应不低于当年</w:t>
            </w:r>
          </w:p>
        </w:tc>
        <w:tc>
          <w:tcPr>
            <w:tcW w:w="1649"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single" w:sz="4" w:space="0" w:color="000000"/>
            </w:tcBorders>
          </w:tcPr>
          <w:p>
            <w:pPr/>
          </w:p>
        </w:tc>
        <w:tc>
          <w:tcPr>
            <w:tcW w:w="1625"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200" w:left="1300" w:right="1280"/>
        </w:sectPr>
      </w:pPr>
    </w:p>
    <w:p>
      <w:pPr>
        <w:spacing w:line="240" w:lineRule="auto" w:before="2"/>
        <w:rPr>
          <w:rFonts w:ascii="Times New Roman" w:hAnsi="Times New Roman" w:cs="Times New Roman" w:eastAsia="Times New Roman" w:hint="default"/>
          <w:sz w:val="3"/>
          <w:szCs w:val="3"/>
        </w:rPr>
      </w:pPr>
      <w:r>
        <w:rPr/>
        <w:pict>
          <v:shape style="position:absolute;margin-left:519.909973pt;margin-top:137.660004pt;width:88pt;height:269.350pt;mso-position-horizontal-relative:page;mso-position-vertical-relative:page;z-index:-15321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4"/>
                      <w:szCs w:val="14"/>
                    </w:rPr>
                  </w:pPr>
                </w:p>
                <w:p>
                  <w:pPr>
                    <w:pStyle w:val="BodyText"/>
                    <w:spacing w:line="240" w:lineRule="auto"/>
                    <w:ind w:left="0" w:right="0"/>
                    <w:jc w:val="left"/>
                  </w:pPr>
                  <w:r>
                    <w:rPr/>
                    <w:t>、</w:t>
                  </w:r>
                </w:p>
              </w:txbxContent>
            </v:textbox>
            <w10:wrap type="none"/>
          </v:shape>
        </w:pict>
      </w:r>
      <w:r>
        <w:rPr/>
        <w:pict>
          <v:group style="position:absolute;margin-left:525.909973pt;margin-top:57.236008pt;width:82pt;height:349.8pt;mso-position-horizontal-relative:page;mso-position-vertical-relative:page;z-index:-1532128" coordorigin="10518,1145" coordsize="1640,6996">
            <v:group style="position:absolute;left:10518;top:1145;width:1640;height:1599" coordorigin="10518,1145" coordsize="1640,1599">
              <v:shape style="position:absolute;left:10518;top:1145;width:1640;height:1599" coordorigin="10518,1145" coordsize="1640,1599" path="m10518,2744l12158,2744,12158,1145,10518,1145,10518,2744xe" filled="true" fillcolor="#ffffff" stroked="false">
                <v:path arrowok="t"/>
                <v:fill type="solid"/>
              </v:shape>
            </v:group>
            <v:group style="position:absolute;left:10518;top:2753;width:1640;height:5387" coordorigin="10518,2753" coordsize="1640,5387">
              <v:shape style="position:absolute;left:10518;top:2753;width:1640;height:5387" coordorigin="10518,2753" coordsize="1640,5387" path="m10518,8140l12158,8140,12158,2753,10518,2753,10518,8140xe" filled="true" fillcolor="#ffffff" stroked="false">
                <v:path arrowok="t"/>
                <v:fill type="solid"/>
              </v:shape>
            </v:group>
            <v:group style="position:absolute;left:10542;top:5250;width:1592;height:394" coordorigin="10542,5250" coordsize="1592,394">
              <v:shape style="position:absolute;left:10542;top:5250;width:1592;height:394" coordorigin="10542,5250" coordsize="1592,394" path="m10542,5643l12134,5643,12134,5250,10542,5250,10542,5643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1592"/>
        <w:gridCol w:w="1274"/>
        <w:gridCol w:w="1558"/>
        <w:gridCol w:w="4678"/>
        <w:gridCol w:w="1649"/>
        <w:gridCol w:w="1642"/>
        <w:gridCol w:w="1625"/>
      </w:tblGrid>
      <w:tr>
        <w:trPr>
          <w:trHeight w:val="337" w:hRule="exact"/>
        </w:trPr>
        <w:tc>
          <w:tcPr>
            <w:tcW w:w="1592" w:type="dxa"/>
            <w:vMerge w:val="restart"/>
            <w:tcBorders>
              <w:top w:val="single" w:sz="15" w:space="0" w:color="000000"/>
              <w:left w:val="single" w:sz="4" w:space="0" w:color="000000"/>
              <w:right w:val="single" w:sz="4" w:space="0" w:color="000000"/>
            </w:tcBorders>
            <w:shd w:val="clear" w:color="auto" w:fill="D2D2D2"/>
          </w:tcPr>
          <w:p>
            <w:pPr/>
          </w:p>
        </w:tc>
        <w:tc>
          <w:tcPr>
            <w:tcW w:w="1274" w:type="dxa"/>
            <w:vMerge w:val="restart"/>
            <w:tcBorders>
              <w:top w:val="single" w:sz="15" w:space="0" w:color="000000"/>
              <w:left w:val="single" w:sz="4" w:space="0" w:color="000000"/>
              <w:right w:val="single" w:sz="4" w:space="0" w:color="000000"/>
            </w:tcBorders>
          </w:tcPr>
          <w:p>
            <w:pPr/>
          </w:p>
        </w:tc>
        <w:tc>
          <w:tcPr>
            <w:tcW w:w="1558" w:type="dxa"/>
            <w:vMerge w:val="restart"/>
            <w:tcBorders>
              <w:top w:val="single" w:sz="15" w:space="0" w:color="000000"/>
              <w:left w:val="single" w:sz="4" w:space="0" w:color="000000"/>
              <w:right w:val="single" w:sz="4" w:space="0" w:color="000000"/>
            </w:tcBorders>
          </w:tcPr>
          <w:p>
            <w:pPr/>
          </w:p>
        </w:tc>
        <w:tc>
          <w:tcPr>
            <w:tcW w:w="4678"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实现的可分配利润的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宋体" w:hAnsi="宋体" w:cs="宋体" w:eastAsia="宋体" w:hint="default"/>
                <w:spacing w:val="-64"/>
                <w:sz w:val="18"/>
                <w:szCs w:val="18"/>
              </w:rPr>
              <w:t> </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、公司业绩增长快速、经营情</w:t>
            </w:r>
          </w:p>
        </w:tc>
        <w:tc>
          <w:tcPr>
            <w:tcW w:w="1649" w:type="dxa"/>
            <w:vMerge w:val="restart"/>
            <w:tcBorders>
              <w:top w:val="single" w:sz="15" w:space="0" w:color="000000"/>
              <w:left w:val="single" w:sz="4" w:space="0" w:color="000000"/>
              <w:right w:val="single" w:sz="4" w:space="0" w:color="000000"/>
            </w:tcBorders>
          </w:tcPr>
          <w:p>
            <w:pPr/>
          </w:p>
        </w:tc>
        <w:tc>
          <w:tcPr>
            <w:tcW w:w="1642" w:type="dxa"/>
            <w:vMerge w:val="restart"/>
            <w:tcBorders>
              <w:top w:val="single" w:sz="15" w:space="0" w:color="000000"/>
              <w:left w:val="single" w:sz="4" w:space="0" w:color="000000"/>
              <w:right w:val="single" w:sz="4" w:space="0" w:color="000000"/>
            </w:tcBorders>
          </w:tcPr>
          <w:p>
            <w:pPr/>
          </w:p>
        </w:tc>
        <w:tc>
          <w:tcPr>
            <w:tcW w:w="1625" w:type="dxa"/>
            <w:vMerge w:val="restart"/>
            <w:tcBorders>
              <w:top w:val="single" w:sz="15" w:space="0" w:color="000000"/>
              <w:left w:val="single" w:sz="4" w:space="0" w:color="000000"/>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36"/>
              <w:jc w:val="left"/>
              <w:rPr>
                <w:rFonts w:ascii="宋体" w:hAnsi="宋体" w:cs="宋体" w:eastAsia="宋体" w:hint="default"/>
                <w:sz w:val="18"/>
                <w:szCs w:val="18"/>
              </w:rPr>
            </w:pPr>
            <w:r>
              <w:rPr>
                <w:rFonts w:ascii="宋体" w:hAnsi="宋体" w:cs="宋体" w:eastAsia="宋体" w:hint="default"/>
                <w:sz w:val="18"/>
                <w:szCs w:val="18"/>
              </w:rPr>
              <w:t>况良好且董事会认为公司股票价格与公司股本规模不匹配、</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发放股票股利有利于公司全体股东整体利益时，可以在满足</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现金分红的条件下，由公司董事会综合考虑公司成长性、每</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5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股净资产的摊薄等因素提出并实施股票股利分配方案。</w:t>
            </w:r>
            <w:r>
              <w:rPr>
                <w:rFonts w:ascii="Times New Roman" w:hAnsi="Times New Roman" w:cs="Times New Roman" w:eastAsia="Times New Roman" w:hint="default"/>
                <w:sz w:val="18"/>
                <w:szCs w:val="18"/>
              </w:rPr>
              <w:t>"</w:t>
            </w:r>
          </w:p>
        </w:tc>
        <w:tc>
          <w:tcPr>
            <w:tcW w:w="1649" w:type="dxa"/>
            <w:vMerge/>
            <w:tcBorders>
              <w:left w:val="single" w:sz="4" w:space="0" w:color="000000"/>
              <w:bottom w:val="single" w:sz="4" w:space="0" w:color="000000"/>
              <w:right w:val="single" w:sz="4" w:space="0" w:color="000000"/>
            </w:tcBorders>
          </w:tcPr>
          <w:p>
            <w:pPr/>
          </w:p>
        </w:tc>
        <w:tc>
          <w:tcPr>
            <w:tcW w:w="1642" w:type="dxa"/>
            <w:vMerge/>
            <w:tcBorders>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r>
      <w:tr>
        <w:trPr>
          <w:trHeight w:val="360" w:hRule="exact"/>
        </w:trPr>
        <w:tc>
          <w:tcPr>
            <w:tcW w:w="1592"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558" w:type="dxa"/>
            <w:tcBorders>
              <w:top w:val="single" w:sz="4" w:space="0" w:color="000000"/>
              <w:left w:val="single" w:sz="4" w:space="0" w:color="000000"/>
              <w:bottom w:val="nil" w:sz="6" w:space="0" w:color="auto"/>
              <w:right w:val="single" w:sz="4" w:space="0" w:color="000000"/>
            </w:tcBorders>
          </w:tcPr>
          <w:p>
            <w:pPr/>
          </w:p>
        </w:tc>
        <w:tc>
          <w:tcPr>
            <w:tcW w:w="4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实际控制人关于避免同业竞争的承诺：</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、本人除直接或间</w:t>
            </w:r>
          </w:p>
        </w:tc>
        <w:tc>
          <w:tcPr>
            <w:tcW w:w="1649" w:type="dxa"/>
            <w:tcBorders>
              <w:top w:val="single" w:sz="4" w:space="0" w:color="000000"/>
              <w:left w:val="single" w:sz="4" w:space="0" w:color="000000"/>
              <w:bottom w:val="nil" w:sz="6" w:space="0" w:color="auto"/>
              <w:right w:val="single" w:sz="4" w:space="0" w:color="000000"/>
            </w:tcBorders>
          </w:tcPr>
          <w:p>
            <w:pPr/>
          </w:p>
        </w:tc>
        <w:tc>
          <w:tcPr>
            <w:tcW w:w="1642" w:type="dxa"/>
            <w:tcBorders>
              <w:top w:val="single" w:sz="4" w:space="0" w:color="000000"/>
              <w:left w:val="single" w:sz="4" w:space="0" w:color="000000"/>
              <w:bottom w:val="nil" w:sz="6" w:space="0" w:color="auto"/>
              <w:right w:val="single" w:sz="4" w:space="0" w:color="000000"/>
            </w:tcBorders>
          </w:tcPr>
          <w:p>
            <w:pPr/>
          </w:p>
        </w:tc>
        <w:tc>
          <w:tcPr>
            <w:tcW w:w="1625"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接持有金溢科技股权外，未直接或间接经营任何与金溢科技</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经营的业务构成竞争或可能构成竞争的业务，也未参与投资</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任何与金溢科技生产的产品或经营的业务构成竞争或可能</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构成竞争的其他企业；</w:t>
            </w:r>
            <w:r>
              <w:rPr>
                <w:rFonts w:ascii="Times New Roman" w:hAnsi="Times New Roman" w:cs="Times New Roman" w:eastAsia="Times New Roman" w:hint="default"/>
                <w:sz w:val="18"/>
                <w:szCs w:val="18"/>
              </w:rPr>
              <w:t>2</w:t>
            </w:r>
            <w:r>
              <w:rPr>
                <w:rFonts w:ascii="宋体" w:hAnsi="宋体" w:cs="宋体" w:eastAsia="宋体" w:hint="default"/>
                <w:sz w:val="18"/>
                <w:szCs w:val="18"/>
              </w:rPr>
              <w:t>、在本人与金溢科技存在关联关系</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期间，本人不直接或间接经营任何与金溢科技经营的业务构</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成竞争或可能构成竞争的业务，也不参与投资任何与金溢科</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李朝莉</w:t>
            </w:r>
            <w:r>
              <w:rPr>
                <w:rFonts w:ascii="Times New Roman" w:hAnsi="Times New Roman" w:cs="Times New Roman" w:eastAsia="Times New Roman" w:hint="default"/>
                <w:sz w:val="18"/>
                <w:szCs w:val="18"/>
              </w:rPr>
              <w:t>;</w:t>
            </w:r>
            <w:r>
              <w:rPr>
                <w:rFonts w:ascii="宋体" w:hAnsi="宋体" w:cs="宋体" w:eastAsia="宋体" w:hint="default"/>
                <w:sz w:val="18"/>
                <w:szCs w:val="18"/>
              </w:rPr>
              <w:t>李娜</w:t>
            </w:r>
            <w:r>
              <w:rPr>
                <w:rFonts w:ascii="Times New Roman" w:hAnsi="Times New Roman" w:cs="Times New Roman" w:eastAsia="Times New Roman" w:hint="default"/>
                <w:sz w:val="18"/>
                <w:szCs w:val="18"/>
              </w:rPr>
              <w:t>;</w:t>
            </w:r>
            <w:r>
              <w:rPr>
                <w:rFonts w:ascii="宋体" w:hAnsi="宋体" w:cs="宋体" w:eastAsia="宋体" w:hint="default"/>
                <w:sz w:val="18"/>
                <w:szCs w:val="18"/>
              </w:rPr>
              <w:t>刘</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关于同业竞争、关</w:t>
            </w: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技的产品或经营的业务构成竞争或可能构成竞争的其他企</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咏平</w:t>
            </w:r>
            <w:r>
              <w:rPr>
                <w:rFonts w:ascii="Times New Roman" w:hAnsi="Times New Roman" w:cs="Times New Roman" w:eastAsia="Times New Roman" w:hint="default"/>
                <w:sz w:val="18"/>
                <w:szCs w:val="18"/>
              </w:rPr>
              <w:t>;</w:t>
            </w:r>
            <w:r>
              <w:rPr>
                <w:rFonts w:ascii="宋体" w:hAnsi="宋体" w:cs="宋体" w:eastAsia="宋体" w:hint="default"/>
                <w:sz w:val="18"/>
                <w:szCs w:val="18"/>
              </w:rPr>
              <w:t>罗瑞发</w:t>
            </w:r>
            <w:r>
              <w:rPr>
                <w:rFonts w:ascii="Times New Roman" w:hAnsi="Times New Roman" w:cs="Times New Roman" w:eastAsia="Times New Roman" w:hint="default"/>
                <w:sz w:val="18"/>
                <w:szCs w:val="18"/>
              </w:rPr>
              <w:t>;</w:t>
            </w:r>
            <w:r>
              <w:rPr>
                <w:rFonts w:ascii="宋体" w:hAnsi="宋体" w:cs="宋体" w:eastAsia="宋体" w:hint="default"/>
                <w:sz w:val="18"/>
                <w:szCs w:val="18"/>
              </w:rPr>
              <w:t>王</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联交易、资金占用</w:t>
            </w: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业；</w:t>
            </w:r>
            <w:r>
              <w:rPr>
                <w:rFonts w:ascii="Times New Roman" w:hAnsi="Times New Roman" w:cs="Times New Roman" w:eastAsia="Times New Roman" w:hint="default"/>
                <w:sz w:val="18"/>
                <w:szCs w:val="18"/>
              </w:rPr>
              <w:t>3</w:t>
            </w:r>
            <w:r>
              <w:rPr>
                <w:rFonts w:ascii="宋体" w:hAnsi="宋体" w:cs="宋体" w:eastAsia="宋体" w:hint="default"/>
                <w:sz w:val="18"/>
                <w:szCs w:val="18"/>
              </w:rPr>
              <w:t>、如本人或本人控制的其他企业获得的商业机会与金</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明宽</w:t>
            </w:r>
            <w:r>
              <w:rPr>
                <w:rFonts w:ascii="Times New Roman" w:hAnsi="Times New Roman" w:cs="Times New Roman" w:eastAsia="Times New Roman" w:hint="default"/>
                <w:sz w:val="18"/>
                <w:szCs w:val="18"/>
              </w:rPr>
              <w:t>;</w:t>
            </w:r>
            <w:r>
              <w:rPr>
                <w:rFonts w:ascii="宋体" w:hAnsi="宋体" w:cs="宋体" w:eastAsia="宋体" w:hint="default"/>
                <w:sz w:val="18"/>
                <w:szCs w:val="18"/>
              </w:rPr>
              <w:t>杨成</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方面的承诺</w:t>
            </w: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溢科技生产的产品或经营的业务构成同业竞争或可能构成</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同业竞争的，本人将立即通知金溢科技，将该商业机会给与</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金溢科技，以确保金溢科技及其全体股东利益不受损害；</w:t>
            </w:r>
            <w:r>
              <w:rPr>
                <w:rFonts w:ascii="Times New Roman" w:hAnsi="Times New Roman" w:cs="Times New Roman" w:eastAsia="Times New Roman" w:hint="default"/>
                <w:spacing w:val="-3"/>
                <w:sz w:val="18"/>
                <w:szCs w:val="18"/>
              </w:rPr>
              <w:t>4</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本人保证，将不利用金溢科技实际控制人的身份对金溢科技</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的正常经营活动进行不正当的干预；</w:t>
            </w:r>
            <w:r>
              <w:rPr>
                <w:rFonts w:ascii="Times New Roman" w:hAnsi="Times New Roman" w:cs="Times New Roman" w:eastAsia="Times New Roman" w:hint="default"/>
                <w:sz w:val="18"/>
                <w:szCs w:val="18"/>
              </w:rPr>
              <w:t>5</w:t>
            </w:r>
            <w:r>
              <w:rPr>
                <w:rFonts w:ascii="宋体" w:hAnsi="宋体" w:cs="宋体" w:eastAsia="宋体" w:hint="default"/>
                <w:sz w:val="18"/>
                <w:szCs w:val="18"/>
              </w:rPr>
              <w:t>、如因本人未履行上</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述承诺，因而取得的相关收益将全部归金溢科技；如因本人</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未履行上述承诺而给金溢科技及其他股东造成损失的，将给</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予金溢科技及其他股东全部赔偿。</w:t>
            </w:r>
            <w:r>
              <w:rPr>
                <w:rFonts w:ascii="Times New Roman" w:hAnsi="Times New Roman" w:cs="Times New Roman" w:eastAsia="Times New Roman" w:hint="default"/>
                <w:sz w:val="18"/>
                <w:szCs w:val="18"/>
              </w:rPr>
              <w:t>"</w:t>
            </w:r>
          </w:p>
        </w:tc>
        <w:tc>
          <w:tcPr>
            <w:tcW w:w="1649"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single" w:sz="4" w:space="0" w:color="000000"/>
            </w:tcBorders>
          </w:tcPr>
          <w:p>
            <w:pPr/>
          </w:p>
        </w:tc>
        <w:tc>
          <w:tcPr>
            <w:tcW w:w="1625"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592"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558" w:type="dxa"/>
            <w:tcBorders>
              <w:top w:val="single" w:sz="4" w:space="0" w:color="000000"/>
              <w:left w:val="single" w:sz="4" w:space="0" w:color="000000"/>
              <w:bottom w:val="nil" w:sz="6" w:space="0" w:color="auto"/>
              <w:right w:val="single" w:sz="4" w:space="0" w:color="000000"/>
            </w:tcBorders>
          </w:tcPr>
          <w:p>
            <w:pPr/>
          </w:p>
        </w:tc>
        <w:tc>
          <w:tcPr>
            <w:tcW w:w="4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第一大股东关于避免同业竞争的承诺：</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、本公司除直接或</w:t>
            </w:r>
          </w:p>
        </w:tc>
        <w:tc>
          <w:tcPr>
            <w:tcW w:w="1649" w:type="dxa"/>
            <w:tcBorders>
              <w:top w:val="single" w:sz="4" w:space="0" w:color="000000"/>
              <w:left w:val="single" w:sz="4" w:space="0" w:color="000000"/>
              <w:bottom w:val="nil" w:sz="6" w:space="0" w:color="auto"/>
              <w:right w:val="single" w:sz="4" w:space="0" w:color="000000"/>
            </w:tcBorders>
          </w:tcPr>
          <w:p>
            <w:pPr/>
          </w:p>
        </w:tc>
        <w:tc>
          <w:tcPr>
            <w:tcW w:w="1642" w:type="dxa"/>
            <w:tcBorders>
              <w:top w:val="single" w:sz="4" w:space="0" w:color="000000"/>
              <w:left w:val="single" w:sz="4" w:space="0" w:color="000000"/>
              <w:bottom w:val="nil" w:sz="6" w:space="0" w:color="auto"/>
              <w:right w:val="single" w:sz="4" w:space="0" w:color="000000"/>
            </w:tcBorders>
          </w:tcPr>
          <w:p>
            <w:pPr/>
          </w:p>
        </w:tc>
        <w:tc>
          <w:tcPr>
            <w:tcW w:w="1625"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间接持有金溢科技股权外，未直接或间接经营任何与金溢科</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1003"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14" w:lineRule="auto"/>
              <w:ind w:left="24" w:right="158"/>
              <w:jc w:val="left"/>
              <w:rPr>
                <w:rFonts w:ascii="宋体" w:hAnsi="宋体" w:cs="宋体" w:eastAsia="宋体" w:hint="default"/>
                <w:sz w:val="18"/>
                <w:szCs w:val="18"/>
              </w:rPr>
            </w:pPr>
            <w:r>
              <w:rPr>
                <w:rFonts w:ascii="宋体" w:hAnsi="宋体" w:cs="宋体" w:eastAsia="宋体" w:hint="default"/>
                <w:sz w:val="18"/>
                <w:szCs w:val="18"/>
              </w:rPr>
              <w:t>深圳市敏行电 子有限公司</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314" w:lineRule="auto" w:before="147"/>
              <w:ind w:left="23" w:right="82"/>
              <w:jc w:val="left"/>
              <w:rPr>
                <w:rFonts w:ascii="宋体" w:hAnsi="宋体" w:cs="宋体" w:eastAsia="宋体" w:hint="default"/>
                <w:sz w:val="18"/>
                <w:szCs w:val="18"/>
              </w:rPr>
            </w:pPr>
            <w:r>
              <w:rPr>
                <w:rFonts w:ascii="宋体" w:hAnsi="宋体" w:cs="宋体" w:eastAsia="宋体" w:hint="default"/>
                <w:sz w:val="18"/>
                <w:szCs w:val="18"/>
              </w:rPr>
              <w:t>关于同业竞争、关 联交易、资金占用</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方面的承诺</w:t>
            </w: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1"/>
              <w:jc w:val="left"/>
              <w:rPr>
                <w:rFonts w:ascii="宋体" w:hAnsi="宋体" w:cs="宋体" w:eastAsia="宋体" w:hint="default"/>
                <w:sz w:val="18"/>
                <w:szCs w:val="18"/>
              </w:rPr>
            </w:pPr>
            <w:r>
              <w:rPr>
                <w:rFonts w:ascii="宋体" w:hAnsi="宋体" w:cs="宋体" w:eastAsia="宋体" w:hint="default"/>
                <w:spacing w:val="-3"/>
                <w:sz w:val="18"/>
                <w:szCs w:val="18"/>
              </w:rPr>
              <w:t>技经营的业务构成竞争或可能构成竞争的业务，也未参与投</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资任何与金溢科技生产的产品或经营的业务构成竞争或可 能构成竞争的其他企业；</w:t>
            </w:r>
            <w:r>
              <w:rPr>
                <w:rFonts w:ascii="Times New Roman" w:hAnsi="Times New Roman" w:cs="Times New Roman" w:eastAsia="Times New Roman" w:hint="default"/>
                <w:sz w:val="18"/>
                <w:szCs w:val="18"/>
              </w:rPr>
              <w:t>2</w:t>
            </w:r>
            <w:r>
              <w:rPr>
                <w:rFonts w:ascii="宋体" w:hAnsi="宋体" w:cs="宋体" w:eastAsia="宋体" w:hint="default"/>
                <w:sz w:val="18"/>
                <w:szCs w:val="18"/>
              </w:rPr>
              <w:t>、在本公司与金溢科技存在关联</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245"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关系期间，本公司不直接或间接经营任何与金溢科技经营的</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业务构成竞争或可能构成竞争的业务，也不参与投资任何与</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592"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金溢科技的产品或经营的业务构成竞争或可能构成竞争的</w:t>
            </w:r>
          </w:p>
        </w:tc>
        <w:tc>
          <w:tcPr>
            <w:tcW w:w="1649"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single" w:sz="4" w:space="0" w:color="000000"/>
            </w:tcBorders>
          </w:tcPr>
          <w:p>
            <w:pPr/>
          </w:p>
        </w:tc>
        <w:tc>
          <w:tcPr>
            <w:tcW w:w="1625"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20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592"/>
        <w:gridCol w:w="1274"/>
        <w:gridCol w:w="1558"/>
        <w:gridCol w:w="4678"/>
        <w:gridCol w:w="1649"/>
        <w:gridCol w:w="1642"/>
        <w:gridCol w:w="1625"/>
      </w:tblGrid>
      <w:tr>
        <w:trPr>
          <w:trHeight w:val="337" w:hRule="exact"/>
        </w:trPr>
        <w:tc>
          <w:tcPr>
            <w:tcW w:w="1592" w:type="dxa"/>
            <w:vMerge w:val="restart"/>
            <w:tcBorders>
              <w:top w:val="single" w:sz="15" w:space="0" w:color="000000"/>
              <w:left w:val="single" w:sz="4" w:space="0" w:color="000000"/>
              <w:right w:val="single" w:sz="4" w:space="0" w:color="000000"/>
            </w:tcBorders>
            <w:shd w:val="clear" w:color="auto" w:fill="D2D2D2"/>
          </w:tcPr>
          <w:p>
            <w:pPr/>
          </w:p>
        </w:tc>
        <w:tc>
          <w:tcPr>
            <w:tcW w:w="1274" w:type="dxa"/>
            <w:vMerge w:val="restart"/>
            <w:tcBorders>
              <w:top w:val="single" w:sz="15" w:space="0" w:color="000000"/>
              <w:left w:val="single" w:sz="4" w:space="0" w:color="000000"/>
              <w:right w:val="single" w:sz="4" w:space="0" w:color="000000"/>
            </w:tcBorders>
          </w:tcPr>
          <w:p>
            <w:pPr/>
          </w:p>
        </w:tc>
        <w:tc>
          <w:tcPr>
            <w:tcW w:w="1558" w:type="dxa"/>
            <w:vMerge w:val="restart"/>
            <w:tcBorders>
              <w:top w:val="single" w:sz="15" w:space="0" w:color="000000"/>
              <w:left w:val="single" w:sz="4" w:space="0" w:color="000000"/>
              <w:right w:val="single" w:sz="4" w:space="0" w:color="000000"/>
            </w:tcBorders>
          </w:tcPr>
          <w:p>
            <w:pPr/>
          </w:p>
        </w:tc>
        <w:tc>
          <w:tcPr>
            <w:tcW w:w="4678"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其他企业；</w:t>
            </w:r>
            <w:r>
              <w:rPr>
                <w:rFonts w:ascii="Times New Roman" w:hAnsi="Times New Roman" w:cs="Times New Roman" w:eastAsia="Times New Roman" w:hint="default"/>
                <w:sz w:val="18"/>
                <w:szCs w:val="18"/>
              </w:rPr>
              <w:t>3</w:t>
            </w:r>
            <w:r>
              <w:rPr>
                <w:rFonts w:ascii="宋体" w:hAnsi="宋体" w:cs="宋体" w:eastAsia="宋体" w:hint="default"/>
                <w:sz w:val="18"/>
                <w:szCs w:val="18"/>
              </w:rPr>
              <w:t>、如本公司或本公司控制的其他企业获得的商</w:t>
            </w:r>
          </w:p>
        </w:tc>
        <w:tc>
          <w:tcPr>
            <w:tcW w:w="1649" w:type="dxa"/>
            <w:vMerge w:val="restart"/>
            <w:tcBorders>
              <w:top w:val="single" w:sz="15" w:space="0" w:color="000000"/>
              <w:left w:val="single" w:sz="4" w:space="0" w:color="000000"/>
              <w:right w:val="single" w:sz="4" w:space="0" w:color="000000"/>
            </w:tcBorders>
          </w:tcPr>
          <w:p>
            <w:pPr/>
          </w:p>
        </w:tc>
        <w:tc>
          <w:tcPr>
            <w:tcW w:w="1642" w:type="dxa"/>
            <w:vMerge w:val="restart"/>
            <w:tcBorders>
              <w:top w:val="single" w:sz="15" w:space="0" w:color="000000"/>
              <w:left w:val="single" w:sz="4" w:space="0" w:color="000000"/>
              <w:right w:val="single" w:sz="4" w:space="0" w:color="000000"/>
            </w:tcBorders>
          </w:tcPr>
          <w:p>
            <w:pPr/>
          </w:p>
        </w:tc>
        <w:tc>
          <w:tcPr>
            <w:tcW w:w="1625" w:type="dxa"/>
            <w:vMerge w:val="restart"/>
            <w:tcBorders>
              <w:top w:val="single" w:sz="15" w:space="0" w:color="000000"/>
              <w:left w:val="single" w:sz="4" w:space="0" w:color="000000"/>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业机会与金溢科技生产的产品或经营的业务构成同业竞争</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或可能构成同业竞争的，本公司将立刻通知金溢科技，将该</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商业机会给与金溢科技，以确保金溢科技及其全体股东利益</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不受损害；</w:t>
            </w:r>
            <w:r>
              <w:rPr>
                <w:rFonts w:ascii="Times New Roman" w:hAnsi="Times New Roman" w:cs="Times New Roman" w:eastAsia="Times New Roman" w:hint="default"/>
                <w:sz w:val="18"/>
                <w:szCs w:val="18"/>
              </w:rPr>
              <w:t>4</w:t>
            </w:r>
            <w:r>
              <w:rPr>
                <w:rFonts w:ascii="宋体" w:hAnsi="宋体" w:cs="宋体" w:eastAsia="宋体" w:hint="default"/>
                <w:sz w:val="18"/>
                <w:szCs w:val="18"/>
              </w:rPr>
              <w:t>、本公司保证，将不利用金溢科技第一大股东</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的身份对金溢科技的正常经营活动进行不正当的干预；</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如因本公司未履行上述承诺，因而取得的相关收益将全部归</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金溢科技；如因本公司未履行上述承诺而给金溢科技及其他</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58" w:hRule="exact"/>
        </w:trPr>
        <w:tc>
          <w:tcPr>
            <w:tcW w:w="1592"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股东造成损失的，将给予金溢科技及其他股东全部赔偿。</w:t>
            </w:r>
            <w:r>
              <w:rPr>
                <w:rFonts w:ascii="Times New Roman" w:hAnsi="Times New Roman" w:cs="Times New Roman" w:eastAsia="Times New Roman" w:hint="default"/>
                <w:sz w:val="18"/>
                <w:szCs w:val="18"/>
              </w:rPr>
              <w:t>"</w:t>
            </w:r>
          </w:p>
        </w:tc>
        <w:tc>
          <w:tcPr>
            <w:tcW w:w="1649" w:type="dxa"/>
            <w:vMerge/>
            <w:tcBorders>
              <w:left w:val="single" w:sz="4" w:space="0" w:color="000000"/>
              <w:bottom w:val="single" w:sz="4" w:space="0" w:color="000000"/>
              <w:right w:val="single" w:sz="4" w:space="0" w:color="000000"/>
            </w:tcBorders>
          </w:tcPr>
          <w:p>
            <w:pPr/>
          </w:p>
        </w:tc>
        <w:tc>
          <w:tcPr>
            <w:tcW w:w="1642" w:type="dxa"/>
            <w:vMerge/>
            <w:tcBorders>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00" w:right="1280"/>
        </w:sectPr>
      </w:pPr>
    </w:p>
    <w:p>
      <w:pPr>
        <w:spacing w:line="240" w:lineRule="auto" w:before="4"/>
        <w:rPr>
          <w:rFonts w:ascii="Times New Roman" w:hAnsi="Times New Roman" w:cs="Times New Roman" w:eastAsia="Times New Roman" w:hint="default"/>
          <w:sz w:val="2"/>
          <w:szCs w:val="2"/>
        </w:rPr>
      </w:pPr>
      <w:r>
        <w:rPr/>
        <w:pict>
          <v:group style="position:absolute;margin-left:525.909973pt;margin-top:57.236008pt;width:82pt;height:477.7pt;mso-position-horizontal-relative:page;mso-position-vertical-relative:page;z-index:-1532104" coordorigin="10518,1145" coordsize="1640,9554">
            <v:group style="position:absolute;left:10518;top:1145;width:1640;height:9554" coordorigin="10518,1145" coordsize="1640,9554">
              <v:shape style="position:absolute;left:10518;top:1145;width:1640;height:9554" coordorigin="10518,1145" coordsize="1640,9554" path="m10518,10699l12158,10699,12158,1145,10518,1145,10518,10699xe" filled="true" fillcolor="#ffffff" stroked="false">
                <v:path arrowok="t"/>
                <v:fill type="solid"/>
              </v:shape>
            </v:group>
            <v:group style="position:absolute;left:10542;top:5725;width:1592;height:394" coordorigin="10542,5725" coordsize="1592,394">
              <v:shape style="position:absolute;left:10542;top:5725;width:1592;height:394" coordorigin="10542,5725" coordsize="1592,394" path="m10542,6119l12134,6119,12134,5725,10542,5725,10542,6119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1592"/>
        <w:gridCol w:w="1274"/>
        <w:gridCol w:w="1558"/>
        <w:gridCol w:w="4678"/>
        <w:gridCol w:w="1649"/>
        <w:gridCol w:w="1642"/>
        <w:gridCol w:w="1625"/>
      </w:tblGrid>
      <w:tr>
        <w:trPr>
          <w:trHeight w:val="453" w:hRule="exact"/>
        </w:trPr>
        <w:tc>
          <w:tcPr>
            <w:tcW w:w="1592" w:type="dxa"/>
            <w:vMerge w:val="restart"/>
            <w:tcBorders>
              <w:top w:val="single" w:sz="15" w:space="0" w:color="000000"/>
              <w:left w:val="single" w:sz="4" w:space="0" w:color="000000"/>
              <w:right w:val="single" w:sz="4" w:space="0" w:color="000000"/>
            </w:tcBorders>
            <w:shd w:val="clear" w:color="auto" w:fill="D2D2D2"/>
          </w:tcPr>
          <w:p>
            <w:pPr/>
          </w:p>
        </w:tc>
        <w:tc>
          <w:tcPr>
            <w:tcW w:w="1274" w:type="dxa"/>
            <w:tcBorders>
              <w:top w:val="single" w:sz="15" w:space="0" w:color="000000"/>
              <w:left w:val="single" w:sz="4" w:space="0" w:color="000000"/>
              <w:bottom w:val="nil" w:sz="6" w:space="0" w:color="auto"/>
              <w:right w:val="single" w:sz="4" w:space="0" w:color="000000"/>
            </w:tcBorders>
          </w:tcPr>
          <w:p>
            <w:pPr/>
          </w:p>
        </w:tc>
        <w:tc>
          <w:tcPr>
            <w:tcW w:w="1558" w:type="dxa"/>
            <w:tcBorders>
              <w:top w:val="single" w:sz="15" w:space="0" w:color="000000"/>
              <w:left w:val="single" w:sz="4" w:space="0" w:color="000000"/>
              <w:bottom w:val="nil" w:sz="6" w:space="0" w:color="auto"/>
              <w:right w:val="single" w:sz="4" w:space="0" w:color="000000"/>
            </w:tcBorders>
          </w:tcPr>
          <w:p>
            <w:pPr/>
          </w:p>
        </w:tc>
        <w:tc>
          <w:tcPr>
            <w:tcW w:w="4678"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3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作为深圳市金溢科技股份有限公司（以下简称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p>
        </w:tc>
        <w:tc>
          <w:tcPr>
            <w:tcW w:w="1649" w:type="dxa"/>
            <w:tcBorders>
              <w:top w:val="single" w:sz="15" w:space="0" w:color="000000"/>
              <w:left w:val="single" w:sz="4" w:space="0" w:color="000000"/>
              <w:bottom w:val="nil" w:sz="6" w:space="0" w:color="auto"/>
              <w:right w:val="single" w:sz="4" w:space="0" w:color="000000"/>
            </w:tcBorders>
          </w:tcPr>
          <w:p>
            <w:pPr/>
          </w:p>
        </w:tc>
        <w:tc>
          <w:tcPr>
            <w:tcW w:w="1642" w:type="dxa"/>
            <w:tcBorders>
              <w:top w:val="single" w:sz="15" w:space="0" w:color="000000"/>
              <w:left w:val="single" w:sz="4" w:space="0" w:color="000000"/>
              <w:bottom w:val="nil" w:sz="6" w:space="0" w:color="auto"/>
              <w:right w:val="single" w:sz="4" w:space="0" w:color="000000"/>
            </w:tcBorders>
          </w:tcPr>
          <w:p>
            <w:pPr/>
          </w:p>
        </w:tc>
        <w:tc>
          <w:tcPr>
            <w:tcW w:w="1625" w:type="dxa"/>
            <w:tcBorders>
              <w:top w:val="single" w:sz="15" w:space="0" w:color="000000"/>
              <w:left w:val="single" w:sz="4" w:space="0" w:color="000000"/>
              <w:bottom w:val="nil" w:sz="6" w:space="0" w:color="auto"/>
              <w:right w:val="single" w:sz="4" w:space="0" w:color="000000"/>
            </w:tcBorders>
          </w:tcPr>
          <w:p>
            <w:pPr/>
          </w:p>
        </w:tc>
      </w:tr>
      <w:tr>
        <w:trPr>
          <w:trHeight w:val="306"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4" w:right="-36"/>
              <w:jc w:val="left"/>
              <w:rPr>
                <w:rFonts w:ascii="宋体" w:hAnsi="宋体" w:cs="宋体" w:eastAsia="宋体" w:hint="default"/>
                <w:sz w:val="18"/>
                <w:szCs w:val="18"/>
              </w:rPr>
            </w:pPr>
            <w:r>
              <w:rPr>
                <w:rFonts w:ascii="宋体" w:hAnsi="宋体" w:cs="宋体" w:eastAsia="宋体" w:hint="default"/>
                <w:sz w:val="18"/>
                <w:szCs w:val="18"/>
              </w:rPr>
              <w:t>股东，现就避免同业竞争事项向公司作出如下确认和承诺：</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截至本承诺函出具之日，承诺人目前不存在以任何方式直</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pacing w:val="-3"/>
                <w:sz w:val="18"/>
                <w:szCs w:val="18"/>
              </w:rPr>
              <w:t>接或间接经营与公司相同或相近似的业务的情况，与公司不</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存在同业竞争。</w:t>
            </w:r>
            <w:r>
              <w:rPr>
                <w:rFonts w:ascii="Times New Roman" w:hAnsi="Times New Roman" w:cs="Times New Roman" w:eastAsia="Times New Roman" w:hint="default"/>
                <w:sz w:val="18"/>
                <w:szCs w:val="18"/>
              </w:rPr>
              <w:t>2.</w:t>
            </w:r>
            <w:r>
              <w:rPr>
                <w:rFonts w:ascii="宋体" w:hAnsi="宋体" w:cs="宋体" w:eastAsia="宋体" w:hint="default"/>
                <w:sz w:val="18"/>
                <w:szCs w:val="18"/>
              </w:rPr>
              <w:t>承诺人承诺将不会在中国境内或境外以任</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pacing w:val="-3"/>
                <w:sz w:val="18"/>
                <w:szCs w:val="18"/>
              </w:rPr>
              <w:t>何方式（包括但不限于单独经营、通过合资经营或拥有另一</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公司或企业的股权及其它权益）直接或间接从事或参与任何</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pacing w:val="-3"/>
                <w:sz w:val="18"/>
                <w:szCs w:val="18"/>
              </w:rPr>
              <w:t>与公司构成竞争的任何业务或活动，不以任何方式从事或参</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pacing w:val="-3"/>
                <w:sz w:val="18"/>
                <w:szCs w:val="18"/>
              </w:rPr>
              <w:t>与生产任何与公司产品相同、相似或可能取代公司产品的业</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务活动。</w:t>
            </w:r>
            <w:r>
              <w:rPr>
                <w:rFonts w:ascii="Times New Roman" w:hAnsi="Times New Roman" w:cs="Times New Roman" w:eastAsia="Times New Roman" w:hint="default"/>
                <w:sz w:val="18"/>
                <w:szCs w:val="18"/>
              </w:rPr>
              <w:t>3.</w:t>
            </w:r>
            <w:r>
              <w:rPr>
                <w:rFonts w:ascii="宋体" w:hAnsi="宋体" w:cs="宋体" w:eastAsia="宋体" w:hint="default"/>
                <w:sz w:val="18"/>
                <w:szCs w:val="18"/>
              </w:rPr>
              <w:t>承诺人承诺不利用对公司的了解及获取的信息从</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pacing w:val="-3"/>
                <w:sz w:val="18"/>
                <w:szCs w:val="18"/>
              </w:rPr>
              <w:t>事、直接或间接参与任何与公司相竞争的活动，并承诺不直</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接或间接进行或参与任何损害或可能损害公司利益的其他</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pacing w:val="-3"/>
                <w:sz w:val="18"/>
                <w:szCs w:val="18"/>
              </w:rPr>
              <w:t>竞争行为。该等竞争包括但不限于：直接或间接从公司招聘</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王丽娟</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23" w:right="82"/>
              <w:jc w:val="both"/>
              <w:rPr>
                <w:rFonts w:ascii="宋体" w:hAnsi="宋体" w:cs="宋体" w:eastAsia="宋体" w:hint="default"/>
                <w:sz w:val="18"/>
                <w:szCs w:val="18"/>
              </w:rPr>
            </w:pPr>
            <w:r>
              <w:rPr>
                <w:rFonts w:ascii="宋体" w:hAnsi="宋体" w:cs="宋体" w:eastAsia="宋体" w:hint="default"/>
                <w:sz w:val="18"/>
                <w:szCs w:val="18"/>
              </w:rPr>
              <w:t>关于同业竞争、关 联交易、资金占用 方面的承诺</w:t>
            </w: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312" w:lineRule="auto" w:before="20"/>
              <w:ind w:left="24" w:right="19"/>
              <w:jc w:val="both"/>
              <w:rPr>
                <w:rFonts w:ascii="宋体" w:hAnsi="宋体" w:cs="宋体" w:eastAsia="宋体" w:hint="default"/>
                <w:sz w:val="18"/>
                <w:szCs w:val="18"/>
              </w:rPr>
            </w:pPr>
            <w:r>
              <w:rPr>
                <w:rFonts w:ascii="宋体" w:hAnsi="宋体" w:cs="宋体" w:eastAsia="宋体" w:hint="default"/>
                <w:spacing w:val="-3"/>
                <w:sz w:val="18"/>
                <w:szCs w:val="18"/>
              </w:rPr>
              <w:t>专业技术人员、销售人员、高级管理人员；不正当地利用公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司的无形资产；在广告、宣传上贬损公司的产品形象与企业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形象等。</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如从任何第三方获得的商业机会与公司经营的业</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务有竞争或可能竞争，则承诺人承诺将立即通知公司，并将</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该等商业机会让予公司。</w:t>
            </w:r>
            <w:r>
              <w:rPr>
                <w:rFonts w:ascii="Times New Roman" w:hAnsi="Times New Roman" w:cs="Times New Roman" w:eastAsia="Times New Roman" w:hint="default"/>
                <w:sz w:val="18"/>
                <w:szCs w:val="18"/>
              </w:rPr>
              <w:t>5.</w:t>
            </w:r>
            <w:r>
              <w:rPr>
                <w:rFonts w:ascii="宋体" w:hAnsi="宋体" w:cs="宋体" w:eastAsia="宋体" w:hint="default"/>
                <w:sz w:val="18"/>
                <w:szCs w:val="18"/>
              </w:rPr>
              <w:t>在任职期间，承诺人承诺承诺人</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及直系亲属不直接或间接从事或发展或投资与公司经营范</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36"/>
              <w:jc w:val="left"/>
              <w:rPr>
                <w:rFonts w:ascii="宋体" w:hAnsi="宋体" w:cs="宋体" w:eastAsia="宋体" w:hint="default"/>
                <w:sz w:val="18"/>
                <w:szCs w:val="18"/>
              </w:rPr>
            </w:pPr>
            <w:r>
              <w:rPr>
                <w:rFonts w:ascii="宋体" w:hAnsi="宋体" w:cs="宋体" w:eastAsia="宋体" w:hint="default"/>
                <w:sz w:val="18"/>
                <w:szCs w:val="18"/>
              </w:rPr>
              <w:t>围相同或类似的业务或项目，亦不会代表任何第三方成立、</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pacing w:val="-3"/>
                <w:sz w:val="18"/>
                <w:szCs w:val="18"/>
              </w:rPr>
              <w:t>发展、参与、协助任何法人或其他经济组织与公司进行直接</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或间接的竞争，或以其他形式从事损害公司利益的活动。</w:t>
            </w:r>
            <w:r>
              <w:rPr>
                <w:rFonts w:ascii="Times New Roman" w:hAnsi="Times New Roman" w:cs="Times New Roman" w:eastAsia="Times New Roman" w:hint="default"/>
                <w:sz w:val="18"/>
                <w:szCs w:val="18"/>
              </w:rPr>
              <w:t>6.</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如果公司在其现有业务的基础上进一步拓展其经营业务范</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pacing w:val="-3"/>
                <w:sz w:val="18"/>
                <w:szCs w:val="18"/>
              </w:rPr>
              <w:t>围，而承诺人届时控制的其他企业对此已经进行生产、经营</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pacing w:val="-3"/>
                <w:sz w:val="18"/>
                <w:szCs w:val="18"/>
              </w:rPr>
              <w:t>的，承诺人届时控制的其他企业应将相关业务出售，公司对</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相关业务在同等商业条件下有优先收购权。</w:t>
            </w:r>
            <w:r>
              <w:rPr>
                <w:rFonts w:ascii="Times New Roman" w:hAnsi="Times New Roman" w:cs="Times New Roman" w:eastAsia="Times New Roman" w:hint="default"/>
                <w:sz w:val="18"/>
                <w:szCs w:val="18"/>
              </w:rPr>
              <w:t>7.</w:t>
            </w:r>
            <w:r>
              <w:rPr>
                <w:rFonts w:ascii="宋体" w:hAnsi="宋体" w:cs="宋体" w:eastAsia="宋体" w:hint="default"/>
                <w:sz w:val="18"/>
                <w:szCs w:val="18"/>
              </w:rPr>
              <w:t>对于公司在其</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pacing w:val="-3"/>
                <w:sz w:val="18"/>
                <w:szCs w:val="18"/>
              </w:rPr>
              <w:t>现有业务范围的基础上进一步拓展其经营业务范围，而承诺</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pacing w:val="-3"/>
                <w:sz w:val="18"/>
                <w:szCs w:val="18"/>
              </w:rPr>
              <w:t>人届时控制的其他企业尚未对此进行生产、经营的，承诺人</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届时控制的其他企业将不从事与公司该等新业务相同或相</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96" w:hRule="exact"/>
        </w:trPr>
        <w:tc>
          <w:tcPr>
            <w:tcW w:w="1592"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似的业务和活动。</w:t>
            </w:r>
            <w:r>
              <w:rPr>
                <w:rFonts w:ascii="Times New Roman" w:hAnsi="Times New Roman" w:cs="Times New Roman" w:eastAsia="Times New Roman" w:hint="default"/>
                <w:sz w:val="18"/>
                <w:szCs w:val="18"/>
              </w:rPr>
              <w:t>8.</w:t>
            </w:r>
            <w:r>
              <w:rPr>
                <w:rFonts w:ascii="宋体" w:hAnsi="宋体" w:cs="宋体" w:eastAsia="宋体" w:hint="default"/>
                <w:sz w:val="18"/>
                <w:szCs w:val="18"/>
              </w:rPr>
              <w:t>如出现因违反上述承诺与保证而导致公</w:t>
            </w:r>
          </w:p>
        </w:tc>
        <w:tc>
          <w:tcPr>
            <w:tcW w:w="1649"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single" w:sz="4" w:space="0" w:color="000000"/>
            </w:tcBorders>
          </w:tcPr>
          <w:p>
            <w:pPr/>
          </w:p>
        </w:tc>
        <w:tc>
          <w:tcPr>
            <w:tcW w:w="1625"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200" w:left="1300" w:right="1280"/>
        </w:sectPr>
      </w:pPr>
    </w:p>
    <w:p>
      <w:pPr>
        <w:spacing w:line="240" w:lineRule="auto" w:before="4"/>
        <w:rPr>
          <w:rFonts w:ascii="Times New Roman" w:hAnsi="Times New Roman" w:cs="Times New Roman" w:eastAsia="Times New Roman"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592"/>
        <w:gridCol w:w="1274"/>
        <w:gridCol w:w="1558"/>
        <w:gridCol w:w="4678"/>
        <w:gridCol w:w="1649"/>
        <w:gridCol w:w="1642"/>
        <w:gridCol w:w="1625"/>
      </w:tblGrid>
      <w:tr>
        <w:trPr>
          <w:trHeight w:val="332" w:hRule="exact"/>
        </w:trPr>
        <w:tc>
          <w:tcPr>
            <w:tcW w:w="1592" w:type="dxa"/>
            <w:vMerge w:val="restart"/>
            <w:tcBorders>
              <w:top w:val="single" w:sz="15" w:space="0" w:color="000000"/>
              <w:left w:val="single" w:sz="4" w:space="0" w:color="000000"/>
              <w:right w:val="single" w:sz="4" w:space="0" w:color="000000"/>
            </w:tcBorders>
            <w:shd w:val="clear" w:color="auto" w:fill="D2D2D2"/>
          </w:tcPr>
          <w:p>
            <w:pPr/>
          </w:p>
        </w:tc>
        <w:tc>
          <w:tcPr>
            <w:tcW w:w="1274" w:type="dxa"/>
            <w:vMerge w:val="restart"/>
            <w:tcBorders>
              <w:top w:val="single" w:sz="15" w:space="0" w:color="000000"/>
              <w:left w:val="single" w:sz="4" w:space="0" w:color="000000"/>
              <w:right w:val="single" w:sz="4" w:space="0" w:color="000000"/>
            </w:tcBorders>
          </w:tcPr>
          <w:p>
            <w:pPr/>
          </w:p>
        </w:tc>
        <w:tc>
          <w:tcPr>
            <w:tcW w:w="1558" w:type="dxa"/>
            <w:vMerge w:val="restart"/>
            <w:tcBorders>
              <w:top w:val="single" w:sz="15" w:space="0" w:color="000000"/>
              <w:left w:val="single" w:sz="4" w:space="0" w:color="000000"/>
              <w:right w:val="single" w:sz="4" w:space="0" w:color="000000"/>
            </w:tcBorders>
          </w:tcPr>
          <w:p>
            <w:pPr/>
          </w:p>
        </w:tc>
        <w:tc>
          <w:tcPr>
            <w:tcW w:w="4678"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pacing w:val="-3"/>
                <w:sz w:val="18"/>
                <w:szCs w:val="18"/>
              </w:rPr>
              <w:t>司或其股东的权益受到损害的情况，承诺人承诺将依法承担</w:t>
            </w:r>
          </w:p>
        </w:tc>
        <w:tc>
          <w:tcPr>
            <w:tcW w:w="1649" w:type="dxa"/>
            <w:vMerge w:val="restart"/>
            <w:tcBorders>
              <w:top w:val="single" w:sz="15" w:space="0" w:color="000000"/>
              <w:left w:val="single" w:sz="4" w:space="0" w:color="000000"/>
              <w:right w:val="single" w:sz="4" w:space="0" w:color="000000"/>
            </w:tcBorders>
          </w:tcPr>
          <w:p>
            <w:pPr/>
          </w:p>
        </w:tc>
        <w:tc>
          <w:tcPr>
            <w:tcW w:w="1642" w:type="dxa"/>
            <w:vMerge w:val="restart"/>
            <w:tcBorders>
              <w:top w:val="single" w:sz="15" w:space="0" w:color="000000"/>
              <w:left w:val="single" w:sz="4" w:space="0" w:color="000000"/>
              <w:right w:val="single" w:sz="4" w:space="0" w:color="000000"/>
            </w:tcBorders>
          </w:tcPr>
          <w:p>
            <w:pPr/>
          </w:p>
        </w:tc>
        <w:tc>
          <w:tcPr>
            <w:tcW w:w="1625" w:type="dxa"/>
            <w:vMerge w:val="restart"/>
            <w:tcBorders>
              <w:top w:val="single" w:sz="15" w:space="0" w:color="000000"/>
              <w:left w:val="single" w:sz="4" w:space="0" w:color="000000"/>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相应的赔偿责任。</w:t>
            </w:r>
            <w:r>
              <w:rPr>
                <w:rFonts w:ascii="Times New Roman" w:hAnsi="Times New Roman" w:cs="Times New Roman" w:eastAsia="Times New Roman" w:hint="default"/>
                <w:sz w:val="18"/>
                <w:szCs w:val="18"/>
              </w:rPr>
              <w:t>9.</w:t>
            </w:r>
            <w:r>
              <w:rPr>
                <w:rFonts w:ascii="宋体" w:hAnsi="宋体" w:cs="宋体" w:eastAsia="宋体" w:hint="default"/>
                <w:sz w:val="18"/>
                <w:szCs w:val="18"/>
              </w:rPr>
              <w:t>本承诺书自承诺人签字之日即行生效并</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pacing w:val="-3"/>
                <w:sz w:val="18"/>
                <w:szCs w:val="18"/>
              </w:rPr>
              <w:t>不可撤销，并在承诺人继续为公司的股东期间或任职期间持</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续有效。</w:t>
            </w:r>
            <w:r>
              <w:rPr>
                <w:rFonts w:ascii="Times New Roman" w:hAnsi="Times New Roman" w:cs="Times New Roman" w:eastAsia="Times New Roman" w:hint="default"/>
                <w:sz w:val="18"/>
                <w:szCs w:val="18"/>
              </w:rPr>
              <w:t>10.</w:t>
            </w:r>
            <w:r>
              <w:rPr>
                <w:rFonts w:ascii="宋体" w:hAnsi="宋体" w:cs="宋体" w:eastAsia="宋体" w:hint="default"/>
                <w:sz w:val="18"/>
                <w:szCs w:val="18"/>
              </w:rPr>
              <w:t>如承诺人违反上述承诺，承诺人将在公司股东</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大会及中国证监会指定报刊上公开说明未履行上述承诺的</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pacing w:val="-3"/>
                <w:sz w:val="18"/>
                <w:szCs w:val="18"/>
              </w:rPr>
              <w:t>原因并向公司股东和社会公众投资者道歉，并以违反上述承</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诺发生之日起当年度或以后年度公司利润分配方案中承诺</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pacing w:val="-3"/>
                <w:sz w:val="18"/>
                <w:szCs w:val="18"/>
              </w:rPr>
              <w:t>人享有的现金分红作为履约担保，同时在履行承诺前，承诺</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7064" w:hRule="exact"/>
        </w:trPr>
        <w:tc>
          <w:tcPr>
            <w:tcW w:w="1592"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人持有的公司股份将不得转让。</w:t>
            </w:r>
            <w:r>
              <w:rPr>
                <w:rFonts w:ascii="Times New Roman" w:hAnsi="Times New Roman" w:cs="Times New Roman" w:eastAsia="Times New Roman" w:hint="default"/>
                <w:sz w:val="18"/>
                <w:szCs w:val="18"/>
              </w:rPr>
              <w:t>"</w:t>
            </w:r>
          </w:p>
        </w:tc>
        <w:tc>
          <w:tcPr>
            <w:tcW w:w="1649" w:type="dxa"/>
            <w:vMerge/>
            <w:tcBorders>
              <w:left w:val="single" w:sz="4" w:space="0" w:color="000000"/>
              <w:bottom w:val="single" w:sz="4" w:space="0" w:color="000000"/>
              <w:right w:val="single" w:sz="4" w:space="0" w:color="000000"/>
            </w:tcBorders>
          </w:tcPr>
          <w:p>
            <w:pPr/>
          </w:p>
        </w:tc>
        <w:tc>
          <w:tcPr>
            <w:tcW w:w="1642" w:type="dxa"/>
            <w:vMerge/>
            <w:tcBorders>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200" w:left="1300" w:right="1280"/>
        </w:sectPr>
      </w:pPr>
    </w:p>
    <w:p>
      <w:pPr>
        <w:spacing w:line="240" w:lineRule="auto" w:before="2"/>
        <w:rPr>
          <w:rFonts w:ascii="Times New Roman" w:hAnsi="Times New Roman" w:cs="Times New Roman" w:eastAsia="Times New Roman" w:hint="default"/>
          <w:sz w:val="3"/>
          <w:szCs w:val="3"/>
        </w:rPr>
      </w:pPr>
      <w:r>
        <w:rPr/>
        <w:pict>
          <v:shape style="position:absolute;margin-left:519.767029pt;margin-top:57.240005pt;width:88.15pt;height:362.85pt;mso-position-horizontal-relative:page;mso-position-vertical-relative:page;z-index:-15320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5"/>
                      <w:szCs w:val="15"/>
                    </w:rPr>
                  </w:pPr>
                </w:p>
                <w:p>
                  <w:pPr>
                    <w:pStyle w:val="BodyText"/>
                    <w:spacing w:line="240" w:lineRule="auto"/>
                    <w:ind w:left="0" w:right="0"/>
                    <w:jc w:val="left"/>
                  </w:pPr>
                  <w:r>
                    <w:rPr/>
                    <w:t>、</w:t>
                  </w:r>
                </w:p>
              </w:txbxContent>
            </v:textbox>
            <w10:wrap type="none"/>
          </v:shape>
        </w:pict>
      </w:r>
      <w:r>
        <w:rPr/>
        <w:pict>
          <v:group style="position:absolute;margin-left:525.909973pt;margin-top:57.240005pt;width:82pt;height:362.85pt;mso-position-horizontal-relative:page;mso-position-vertical-relative:page;z-index:-1532056" coordorigin="10518,1145" coordsize="1640,7257">
            <v:group style="position:absolute;left:10518;top:1145;width:1640;height:7257" coordorigin="10518,1145" coordsize="1640,7257">
              <v:shape style="position:absolute;left:10518;top:1145;width:1640;height:7257" coordorigin="10518,1145" coordsize="1640,7257" path="m10518,8401l12158,8401,12158,1145,10518,1145,10518,8401xe" filled="true" fillcolor="#ffffff" stroked="false">
                <v:path arrowok="t"/>
                <v:fill type="solid"/>
              </v:shape>
            </v:group>
            <v:group style="position:absolute;left:10542;top:4578;width:1592;height:392" coordorigin="10542,4578" coordsize="1592,392">
              <v:shape style="position:absolute;left:10542;top:4578;width:1592;height:392" coordorigin="10542,4578" coordsize="1592,392" path="m10542,4969l12134,4969,12134,4578,10542,4578,10542,4969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1592"/>
        <w:gridCol w:w="1274"/>
        <w:gridCol w:w="1558"/>
        <w:gridCol w:w="4678"/>
        <w:gridCol w:w="1649"/>
        <w:gridCol w:w="1642"/>
        <w:gridCol w:w="1625"/>
      </w:tblGrid>
      <w:tr>
        <w:trPr>
          <w:trHeight w:val="376" w:hRule="exact"/>
        </w:trPr>
        <w:tc>
          <w:tcPr>
            <w:tcW w:w="1592" w:type="dxa"/>
            <w:vMerge w:val="restart"/>
            <w:tcBorders>
              <w:top w:val="single" w:sz="15" w:space="0" w:color="000000"/>
              <w:left w:val="single" w:sz="4" w:space="0" w:color="000000"/>
              <w:right w:val="single" w:sz="4" w:space="0" w:color="000000"/>
            </w:tcBorders>
            <w:shd w:val="clear" w:color="auto" w:fill="D2D2D2"/>
          </w:tcPr>
          <w:p>
            <w:pPr/>
          </w:p>
        </w:tc>
        <w:tc>
          <w:tcPr>
            <w:tcW w:w="1274" w:type="dxa"/>
            <w:tcBorders>
              <w:top w:val="single" w:sz="15" w:space="0" w:color="000000"/>
              <w:left w:val="single" w:sz="4" w:space="0" w:color="000000"/>
              <w:bottom w:val="nil" w:sz="6" w:space="0" w:color="auto"/>
              <w:right w:val="single" w:sz="4" w:space="0" w:color="000000"/>
            </w:tcBorders>
          </w:tcPr>
          <w:p>
            <w:pPr/>
          </w:p>
        </w:tc>
        <w:tc>
          <w:tcPr>
            <w:tcW w:w="1558" w:type="dxa"/>
            <w:tcBorders>
              <w:top w:val="single" w:sz="15" w:space="0" w:color="000000"/>
              <w:left w:val="single" w:sz="4" w:space="0" w:color="000000"/>
              <w:bottom w:val="nil" w:sz="6" w:space="0" w:color="auto"/>
              <w:right w:val="single" w:sz="4" w:space="0" w:color="000000"/>
            </w:tcBorders>
          </w:tcPr>
          <w:p>
            <w:pPr/>
          </w:p>
        </w:tc>
        <w:tc>
          <w:tcPr>
            <w:tcW w:w="4678"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实际控制人关于规范和减少关联交易的确认与承诺：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、承</w:t>
            </w:r>
            <w:r>
              <w:rPr>
                <w:rFonts w:ascii="宋体" w:hAnsi="宋体" w:cs="宋体" w:eastAsia="宋体" w:hint="default"/>
                <w:sz w:val="18"/>
                <w:szCs w:val="18"/>
              </w:rPr>
            </w:r>
          </w:p>
        </w:tc>
        <w:tc>
          <w:tcPr>
            <w:tcW w:w="1649" w:type="dxa"/>
            <w:tcBorders>
              <w:top w:val="single" w:sz="15" w:space="0" w:color="000000"/>
              <w:left w:val="single" w:sz="4" w:space="0" w:color="000000"/>
              <w:bottom w:val="nil" w:sz="6" w:space="0" w:color="auto"/>
              <w:right w:val="single" w:sz="4" w:space="0" w:color="000000"/>
            </w:tcBorders>
          </w:tcPr>
          <w:p>
            <w:pPr/>
          </w:p>
        </w:tc>
        <w:tc>
          <w:tcPr>
            <w:tcW w:w="1642" w:type="dxa"/>
            <w:tcBorders>
              <w:top w:val="single" w:sz="15" w:space="0" w:color="000000"/>
              <w:left w:val="single" w:sz="4" w:space="0" w:color="000000"/>
              <w:bottom w:val="nil" w:sz="6" w:space="0" w:color="auto"/>
              <w:right w:val="single" w:sz="4" w:space="0" w:color="000000"/>
            </w:tcBorders>
          </w:tcPr>
          <w:p>
            <w:pPr/>
          </w:p>
        </w:tc>
        <w:tc>
          <w:tcPr>
            <w:tcW w:w="1625" w:type="dxa"/>
            <w:tcBorders>
              <w:top w:val="single" w:sz="15" w:space="0" w:color="000000"/>
              <w:left w:val="single" w:sz="4" w:space="0" w:color="000000"/>
              <w:bottom w:val="nil" w:sz="6" w:space="0" w:color="auto"/>
              <w:right w:val="single" w:sz="4" w:space="0" w:color="000000"/>
            </w:tcBorders>
          </w:tcPr>
          <w:p>
            <w:pPr/>
          </w:p>
        </w:tc>
      </w:tr>
      <w:tr>
        <w:trPr>
          <w:trHeight w:val="306"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pacing w:val="-3"/>
                <w:sz w:val="18"/>
                <w:szCs w:val="18"/>
              </w:rPr>
              <w:t>诺人将严格遵守相关法律法规及内部规章制度，不以任何方</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式占用或使用公司的资产和资源，不以任何方式从事损害或</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可能损害公司及其他股东利益的行为。如出现违反上述承诺</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与保证，而导致公司或其股东的权益受到损害，将依法承担</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相应的赔偿责任。</w:t>
            </w:r>
            <w:r>
              <w:rPr>
                <w:rFonts w:ascii="Times New Roman" w:hAnsi="Times New Roman" w:cs="Times New Roman" w:eastAsia="Times New Roman" w:hint="default"/>
                <w:sz w:val="18"/>
                <w:szCs w:val="18"/>
              </w:rPr>
              <w:t>2</w:t>
            </w:r>
            <w:r>
              <w:rPr>
                <w:rFonts w:ascii="宋体" w:hAnsi="宋体" w:cs="宋体" w:eastAsia="宋体" w:hint="default"/>
                <w:sz w:val="18"/>
                <w:szCs w:val="18"/>
              </w:rPr>
              <w:t>、在作为公司股东期间，承诺人及承诺</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人控制的其他下属企业或公司将尽量避免与公司发生关联</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交易；如与公司发生不可避免的关联交易，承诺人及承诺人</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控制的其他下属企业或公司将严格按照《公司法</w:t>
            </w:r>
            <w:r>
              <w:rPr>
                <w:rFonts w:ascii="宋体" w:hAnsi="宋体" w:cs="宋体" w:eastAsia="宋体" w:hint="default"/>
                <w:spacing w:val="-92"/>
                <w:sz w:val="18"/>
                <w:szCs w:val="18"/>
              </w:rPr>
              <w:t>》、</w:t>
            </w:r>
            <w:r>
              <w:rPr>
                <w:rFonts w:ascii="宋体" w:hAnsi="宋体" w:cs="宋体" w:eastAsia="宋体" w:hint="default"/>
                <w:sz w:val="18"/>
                <w:szCs w:val="18"/>
              </w:rPr>
              <w:t>《证券</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法</w:t>
            </w:r>
            <w:r>
              <w:rPr>
                <w:rFonts w:ascii="宋体" w:hAnsi="宋体" w:cs="宋体" w:eastAsia="宋体" w:hint="default"/>
                <w:spacing w:val="-92"/>
                <w:sz w:val="18"/>
                <w:szCs w:val="18"/>
              </w:rPr>
              <w:t>》</w:t>
            </w:r>
            <w:r>
              <w:rPr>
                <w:rFonts w:ascii="宋体" w:hAnsi="宋体" w:cs="宋体" w:eastAsia="宋体" w:hint="default"/>
                <w:spacing w:val="-106"/>
                <w:sz w:val="18"/>
                <w:szCs w:val="18"/>
              </w:rPr>
              <w:t>、</w:t>
            </w:r>
            <w:r>
              <w:rPr>
                <w:rFonts w:ascii="宋体" w:hAnsi="宋体" w:cs="宋体" w:eastAsia="宋体" w:hint="default"/>
                <w:sz w:val="18"/>
                <w:szCs w:val="18"/>
              </w:rPr>
              <w:t>《公司章程</w:t>
            </w:r>
            <w:r>
              <w:rPr>
                <w:rFonts w:ascii="宋体" w:hAnsi="宋体" w:cs="宋体" w:eastAsia="宋体" w:hint="default"/>
                <w:spacing w:val="-15"/>
                <w:sz w:val="18"/>
                <w:szCs w:val="18"/>
              </w:rPr>
              <w:t>》和</w:t>
            </w:r>
            <w:r>
              <w:rPr>
                <w:rFonts w:ascii="宋体" w:hAnsi="宋体" w:cs="宋体" w:eastAsia="宋体" w:hint="default"/>
                <w:sz w:val="18"/>
                <w:szCs w:val="18"/>
              </w:rPr>
              <w:t>《关联</w:t>
            </w:r>
            <w:r>
              <w:rPr>
                <w:rFonts w:ascii="宋体" w:hAnsi="宋体" w:cs="宋体" w:eastAsia="宋体" w:hint="default"/>
                <w:spacing w:val="2"/>
                <w:sz w:val="18"/>
                <w:szCs w:val="18"/>
              </w:rPr>
              <w:t>交</w:t>
            </w:r>
            <w:r>
              <w:rPr>
                <w:rFonts w:ascii="宋体" w:hAnsi="宋体" w:cs="宋体" w:eastAsia="宋体" w:hint="default"/>
                <w:sz w:val="18"/>
                <w:szCs w:val="18"/>
              </w:rPr>
              <w:t>易决策制度</w:t>
            </w:r>
            <w:r>
              <w:rPr>
                <w:rFonts w:ascii="宋体" w:hAnsi="宋体" w:cs="宋体" w:eastAsia="宋体" w:hint="default"/>
                <w:spacing w:val="-15"/>
                <w:sz w:val="18"/>
                <w:szCs w:val="18"/>
              </w:rPr>
              <w:t>》</w:t>
            </w:r>
            <w:r>
              <w:rPr>
                <w:rFonts w:ascii="宋体" w:hAnsi="宋体" w:cs="宋体" w:eastAsia="宋体" w:hint="default"/>
                <w:sz w:val="18"/>
                <w:szCs w:val="18"/>
              </w:rPr>
              <w:t>的规定规范关联</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李朝莉</w:t>
            </w:r>
            <w:r>
              <w:rPr>
                <w:rFonts w:ascii="Times New Roman" w:hAnsi="Times New Roman" w:cs="Times New Roman" w:eastAsia="Times New Roman" w:hint="default"/>
                <w:sz w:val="18"/>
                <w:szCs w:val="18"/>
              </w:rPr>
              <w:t>;</w:t>
            </w:r>
            <w:r>
              <w:rPr>
                <w:rFonts w:ascii="宋体" w:hAnsi="宋体" w:cs="宋体" w:eastAsia="宋体" w:hint="default"/>
                <w:sz w:val="18"/>
                <w:szCs w:val="18"/>
              </w:rPr>
              <w:t>李娜</w:t>
            </w:r>
            <w:r>
              <w:rPr>
                <w:rFonts w:ascii="Times New Roman" w:hAnsi="Times New Roman" w:cs="Times New Roman" w:eastAsia="Times New Roman" w:hint="default"/>
                <w:sz w:val="18"/>
                <w:szCs w:val="18"/>
              </w:rPr>
              <w:t>;</w:t>
            </w:r>
            <w:r>
              <w:rPr>
                <w:rFonts w:ascii="宋体" w:hAnsi="宋体" w:cs="宋体" w:eastAsia="宋体" w:hint="default"/>
                <w:sz w:val="18"/>
                <w:szCs w:val="18"/>
              </w:rPr>
              <w:t>刘</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关于同业竞争、关</w:t>
            </w: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交易行为，并按有关规定履行信息披露义务和办理有关报批</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咏平</w:t>
            </w:r>
            <w:r>
              <w:rPr>
                <w:rFonts w:ascii="Times New Roman" w:hAnsi="Times New Roman" w:cs="Times New Roman" w:eastAsia="Times New Roman" w:hint="default"/>
                <w:sz w:val="18"/>
                <w:szCs w:val="18"/>
              </w:rPr>
              <w:t>;</w:t>
            </w:r>
            <w:r>
              <w:rPr>
                <w:rFonts w:ascii="宋体" w:hAnsi="宋体" w:cs="宋体" w:eastAsia="宋体" w:hint="default"/>
                <w:sz w:val="18"/>
                <w:szCs w:val="18"/>
              </w:rPr>
              <w:t>罗瑞发</w:t>
            </w:r>
            <w:r>
              <w:rPr>
                <w:rFonts w:ascii="Times New Roman" w:hAnsi="Times New Roman" w:cs="Times New Roman" w:eastAsia="Times New Roman" w:hint="default"/>
                <w:sz w:val="18"/>
                <w:szCs w:val="18"/>
              </w:rPr>
              <w:t>;</w:t>
            </w:r>
            <w:r>
              <w:rPr>
                <w:rFonts w:ascii="宋体" w:hAnsi="宋体" w:cs="宋体" w:eastAsia="宋体" w:hint="default"/>
                <w:sz w:val="18"/>
                <w:szCs w:val="18"/>
              </w:rPr>
              <w:t>王</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联交易、资金占用</w:t>
            </w: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36"/>
              <w:jc w:val="left"/>
              <w:rPr>
                <w:rFonts w:ascii="宋体" w:hAnsi="宋体" w:cs="宋体" w:eastAsia="宋体" w:hint="default"/>
                <w:sz w:val="18"/>
                <w:szCs w:val="18"/>
              </w:rPr>
            </w:pPr>
            <w:r>
              <w:rPr>
                <w:rFonts w:ascii="宋体" w:hAnsi="宋体" w:cs="宋体" w:eastAsia="宋体" w:hint="default"/>
                <w:sz w:val="18"/>
                <w:szCs w:val="18"/>
              </w:rPr>
              <w:t>程序，保证不通过关联交易损害公司及其股东的合法权益。</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1"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明宽</w:t>
            </w:r>
            <w:r>
              <w:rPr>
                <w:rFonts w:ascii="Times New Roman" w:hAnsi="Times New Roman" w:cs="Times New Roman" w:eastAsia="Times New Roman" w:hint="default"/>
                <w:sz w:val="18"/>
                <w:szCs w:val="18"/>
              </w:rPr>
              <w:t>;</w:t>
            </w:r>
            <w:r>
              <w:rPr>
                <w:rFonts w:ascii="宋体" w:hAnsi="宋体" w:cs="宋体" w:eastAsia="宋体" w:hint="default"/>
                <w:sz w:val="18"/>
                <w:szCs w:val="18"/>
              </w:rPr>
              <w:t>杨成</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方面的承诺</w:t>
            </w: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、在公司任职期间和离任后十二个月内，承诺人及承诺人</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控制的其他下属企业或公司将尽量避免与公司发生关联交</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易，如与公司发生不可避免的关联交易，承诺人及承诺人控</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制的其他下属企业或公司将严格按</w:t>
            </w:r>
            <w:r>
              <w:rPr>
                <w:rFonts w:ascii="宋体" w:hAnsi="宋体" w:cs="宋体" w:eastAsia="宋体" w:hint="default"/>
                <w:spacing w:val="-29"/>
                <w:sz w:val="18"/>
                <w:szCs w:val="18"/>
              </w:rPr>
              <w:t>照</w:t>
            </w:r>
            <w:r>
              <w:rPr>
                <w:rFonts w:ascii="宋体" w:hAnsi="宋体" w:cs="宋体" w:eastAsia="宋体" w:hint="default"/>
                <w:sz w:val="18"/>
                <w:szCs w:val="18"/>
              </w:rPr>
              <w:t>《公司法</w:t>
            </w:r>
            <w:r>
              <w:rPr>
                <w:rFonts w:ascii="宋体" w:hAnsi="宋体" w:cs="宋体" w:eastAsia="宋体" w:hint="default"/>
                <w:spacing w:val="-92"/>
                <w:sz w:val="18"/>
                <w:szCs w:val="18"/>
              </w:rPr>
              <w:t>》</w:t>
            </w:r>
            <w:r>
              <w:rPr>
                <w:rFonts w:ascii="宋体" w:hAnsi="宋体" w:cs="宋体" w:eastAsia="宋体" w:hint="default"/>
                <w:spacing w:val="-121"/>
                <w:sz w:val="18"/>
                <w:szCs w:val="18"/>
              </w:rPr>
              <w:t>、</w:t>
            </w:r>
            <w:r>
              <w:rPr>
                <w:rFonts w:ascii="宋体" w:hAnsi="宋体" w:cs="宋体" w:eastAsia="宋体" w:hint="default"/>
                <w:sz w:val="18"/>
                <w:szCs w:val="18"/>
              </w:rPr>
              <w:t>《证券法》</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《公司章程》和《关联交易决策制度》的规定规范关联交易</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行为。如承诺人违反上述承诺，承诺人将在公司股东大会及</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中国证监会指定报刊上公开说明未履行上述承诺的原因并</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向公司股东和社会公众投资者道歉，并以违反上述承诺发生</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之日起当年度或以后年度公司利润分配方案中承诺人享有</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的现金分红作为履约担保，同时在履行承诺前，承诺人持有</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的公司股份将不得转让。</w:t>
            </w:r>
            <w:r>
              <w:rPr>
                <w:rFonts w:ascii="Times New Roman" w:hAnsi="Times New Roman" w:cs="Times New Roman" w:eastAsia="Times New Roman" w:hint="default"/>
                <w:sz w:val="18"/>
                <w:szCs w:val="18"/>
              </w:rPr>
              <w:t>"</w:t>
            </w:r>
          </w:p>
        </w:tc>
        <w:tc>
          <w:tcPr>
            <w:tcW w:w="1649"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single" w:sz="4" w:space="0" w:color="000000"/>
            </w:tcBorders>
          </w:tcPr>
          <w:p>
            <w:pPr/>
          </w:p>
        </w:tc>
        <w:tc>
          <w:tcPr>
            <w:tcW w:w="1625"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592"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558" w:type="dxa"/>
            <w:tcBorders>
              <w:top w:val="single" w:sz="4" w:space="0" w:color="000000"/>
              <w:left w:val="single" w:sz="4" w:space="0" w:color="000000"/>
              <w:bottom w:val="nil" w:sz="6" w:space="0" w:color="auto"/>
              <w:right w:val="single" w:sz="4" w:space="0" w:color="000000"/>
            </w:tcBorders>
          </w:tcPr>
          <w:p>
            <w:pPr/>
          </w:p>
        </w:tc>
        <w:tc>
          <w:tcPr>
            <w:tcW w:w="4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第一大股东关于规范和减少关联交易的确认与承诺：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承</w:t>
            </w:r>
          </w:p>
        </w:tc>
        <w:tc>
          <w:tcPr>
            <w:tcW w:w="1649" w:type="dxa"/>
            <w:tcBorders>
              <w:top w:val="single" w:sz="4" w:space="0" w:color="000000"/>
              <w:left w:val="single" w:sz="4" w:space="0" w:color="000000"/>
              <w:bottom w:val="nil" w:sz="6" w:space="0" w:color="auto"/>
              <w:right w:val="single" w:sz="4" w:space="0" w:color="000000"/>
            </w:tcBorders>
          </w:tcPr>
          <w:p>
            <w:pPr/>
          </w:p>
        </w:tc>
        <w:tc>
          <w:tcPr>
            <w:tcW w:w="1642" w:type="dxa"/>
            <w:tcBorders>
              <w:top w:val="single" w:sz="4" w:space="0" w:color="000000"/>
              <w:left w:val="single" w:sz="4" w:space="0" w:color="000000"/>
              <w:bottom w:val="nil" w:sz="6" w:space="0" w:color="auto"/>
              <w:right w:val="single" w:sz="4" w:space="0" w:color="000000"/>
            </w:tcBorders>
          </w:tcPr>
          <w:p>
            <w:pPr/>
          </w:p>
        </w:tc>
        <w:tc>
          <w:tcPr>
            <w:tcW w:w="1625" w:type="dxa"/>
            <w:tcBorders>
              <w:top w:val="single" w:sz="4" w:space="0" w:color="000000"/>
              <w:left w:val="single" w:sz="4" w:space="0" w:color="000000"/>
              <w:bottom w:val="nil" w:sz="6" w:space="0" w:color="auto"/>
              <w:right w:val="single" w:sz="4" w:space="0" w:color="000000"/>
            </w:tcBorders>
          </w:tcPr>
          <w:p>
            <w:pPr/>
          </w:p>
        </w:tc>
      </w:tr>
      <w:tr>
        <w:trPr>
          <w:trHeight w:val="298"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3"/>
                <w:sz w:val="18"/>
                <w:szCs w:val="18"/>
              </w:rPr>
              <w:t>诺人将严格遵守相关法律法规及内部规章制度，不以任何方</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946"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314" w:lineRule="auto" w:before="157"/>
              <w:ind w:left="24" w:right="158"/>
              <w:jc w:val="left"/>
              <w:rPr>
                <w:rFonts w:ascii="宋体" w:hAnsi="宋体" w:cs="宋体" w:eastAsia="宋体" w:hint="default"/>
                <w:sz w:val="18"/>
                <w:szCs w:val="18"/>
              </w:rPr>
            </w:pPr>
            <w:r>
              <w:rPr>
                <w:rFonts w:ascii="宋体" w:hAnsi="宋体" w:cs="宋体" w:eastAsia="宋体" w:hint="default"/>
                <w:sz w:val="18"/>
                <w:szCs w:val="18"/>
              </w:rPr>
              <w:t>深圳市敏行电 子有限公司</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3" w:right="83"/>
              <w:jc w:val="both"/>
              <w:rPr>
                <w:rFonts w:ascii="宋体" w:hAnsi="宋体" w:cs="宋体" w:eastAsia="宋体" w:hint="default"/>
                <w:sz w:val="18"/>
                <w:szCs w:val="18"/>
              </w:rPr>
            </w:pPr>
            <w:r>
              <w:rPr>
                <w:rFonts w:ascii="宋体" w:hAnsi="宋体" w:cs="宋体" w:eastAsia="宋体" w:hint="default"/>
                <w:sz w:val="18"/>
                <w:szCs w:val="18"/>
              </w:rPr>
              <w:t>关于同业竞争、关 联交易、资金占用 方面的承诺</w:t>
            </w: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4" w:right="21"/>
              <w:jc w:val="both"/>
              <w:rPr>
                <w:rFonts w:ascii="宋体" w:hAnsi="宋体" w:cs="宋体" w:eastAsia="宋体" w:hint="default"/>
                <w:sz w:val="18"/>
                <w:szCs w:val="18"/>
              </w:rPr>
            </w:pPr>
            <w:r>
              <w:rPr>
                <w:rFonts w:ascii="宋体" w:hAnsi="宋体" w:cs="宋体" w:eastAsia="宋体" w:hint="default"/>
                <w:spacing w:val="-3"/>
                <w:sz w:val="18"/>
                <w:szCs w:val="18"/>
              </w:rPr>
              <w:t>式占用或使用公司的资产和资源，不以任何方式从事损害或</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可能损害公司及其他股东利益的行为。如出现违反上述承诺</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与保证，而导致公司或其股东的权益受到损害，将依法承担</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相应的赔偿责任。</w:t>
            </w:r>
            <w:r>
              <w:rPr>
                <w:rFonts w:ascii="Times New Roman" w:hAnsi="Times New Roman" w:cs="Times New Roman" w:eastAsia="Times New Roman" w:hint="default"/>
                <w:sz w:val="18"/>
                <w:szCs w:val="18"/>
              </w:rPr>
              <w:t>2</w:t>
            </w:r>
            <w:r>
              <w:rPr>
                <w:rFonts w:ascii="宋体" w:hAnsi="宋体" w:cs="宋体" w:eastAsia="宋体" w:hint="default"/>
                <w:sz w:val="18"/>
                <w:szCs w:val="18"/>
              </w:rPr>
              <w:t>、在作为公司股东期间，承诺人及承诺</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592"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人控制的其他下属企业或公司将尽量避免与公司发生关联</w:t>
            </w:r>
          </w:p>
        </w:tc>
        <w:tc>
          <w:tcPr>
            <w:tcW w:w="1649"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single" w:sz="4" w:space="0" w:color="000000"/>
            </w:tcBorders>
          </w:tcPr>
          <w:p>
            <w:pPr/>
          </w:p>
        </w:tc>
        <w:tc>
          <w:tcPr>
            <w:tcW w:w="1625"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260" w:left="1300" w:right="1280"/>
        </w:sectPr>
      </w:pPr>
    </w:p>
    <w:p>
      <w:pPr>
        <w:spacing w:line="240" w:lineRule="auto" w:before="2"/>
        <w:rPr>
          <w:rFonts w:ascii="Times New Roman" w:hAnsi="Times New Roman" w:cs="Times New Roman" w:eastAsia="Times New Roman" w:hint="default"/>
          <w:sz w:val="3"/>
          <w:szCs w:val="3"/>
        </w:rPr>
      </w:pPr>
      <w:r>
        <w:rPr/>
        <w:pict>
          <v:shape style="position:absolute;margin-left:411.77301pt;margin-top:231.286011pt;width:196.15pt;height:298.5pt;mso-position-horizontal-relative:page;mso-position-vertical-relative:page;z-index:-15320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2"/>
                      <w:szCs w:val="22"/>
                    </w:rPr>
                  </w:pPr>
                </w:p>
                <w:p>
                  <w:pPr>
                    <w:pStyle w:val="BodyText"/>
                    <w:spacing w:line="240" w:lineRule="auto"/>
                    <w:ind w:left="0" w:right="0"/>
                    <w:jc w:val="left"/>
                  </w:pPr>
                  <w:r>
                    <w:rPr/>
                    <w:t>关法律法规及内部规章制度，</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7"/>
                      <w:szCs w:val="17"/>
                    </w:rPr>
                  </w:pPr>
                </w:p>
                <w:p>
                  <w:pPr>
                    <w:pStyle w:val="BodyText"/>
                    <w:spacing w:line="240" w:lineRule="auto"/>
                    <w:ind w:left="577" w:right="0"/>
                    <w:jc w:val="center"/>
                  </w:pPr>
                  <w:r>
                    <w:rPr/>
                    <w:t>、</w:t>
                  </w:r>
                </w:p>
              </w:txbxContent>
            </v:textbox>
            <w10:wrap type="none"/>
          </v:shape>
        </w:pict>
      </w:r>
      <w:r>
        <w:rPr/>
        <w:pict>
          <v:group style="position:absolute;margin-left:525.909973pt;margin-top:57.240005pt;width:82pt;height:472.55pt;mso-position-horizontal-relative:page;mso-position-vertical-relative:page;z-index:-1532008" coordorigin="10518,1145" coordsize="1640,9451">
            <v:group style="position:absolute;left:10518;top:1145;width:1640;height:3472" coordorigin="10518,1145" coordsize="1640,3472">
              <v:shape style="position:absolute;left:10518;top:1145;width:1640;height:3472" coordorigin="10518,1145" coordsize="1640,3472" path="m10518,4616l12158,4616,12158,1145,10518,1145,10518,4616xe" filled="true" fillcolor="#ffffff" stroked="false">
                <v:path arrowok="t"/>
                <v:fill type="solid"/>
              </v:shape>
            </v:group>
            <v:group style="position:absolute;left:10518;top:4626;width:1640;height:5970" coordorigin="10518,4626" coordsize="1640,5970">
              <v:shape style="position:absolute;left:10518;top:4626;width:1640;height:5970" coordorigin="10518,4626" coordsize="1640,5970" path="m10518,10596l12158,10596,12158,4626,10518,4626,10518,10596xe" filled="true" fillcolor="#ffffff" stroked="false">
                <v:path arrowok="t"/>
                <v:fill type="solid"/>
              </v:shape>
            </v:group>
            <v:group style="position:absolute;left:10542;top:7415;width:1592;height:392" coordorigin="10542,7415" coordsize="1592,392">
              <v:shape style="position:absolute;left:10542;top:7415;width:1592;height:392" coordorigin="10542,7415" coordsize="1592,392" path="m10542,7806l12134,7806,12134,7415,10542,7415,10542,7806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1592"/>
        <w:gridCol w:w="1274"/>
        <w:gridCol w:w="1558"/>
        <w:gridCol w:w="4678"/>
        <w:gridCol w:w="1649"/>
        <w:gridCol w:w="1642"/>
        <w:gridCol w:w="1625"/>
      </w:tblGrid>
      <w:tr>
        <w:trPr>
          <w:trHeight w:val="332" w:hRule="exact"/>
        </w:trPr>
        <w:tc>
          <w:tcPr>
            <w:tcW w:w="1592" w:type="dxa"/>
            <w:vMerge w:val="restart"/>
            <w:tcBorders>
              <w:top w:val="single" w:sz="15" w:space="0" w:color="000000"/>
              <w:left w:val="single" w:sz="4" w:space="0" w:color="000000"/>
              <w:right w:val="single" w:sz="4" w:space="0" w:color="000000"/>
            </w:tcBorders>
            <w:shd w:val="clear" w:color="auto" w:fill="D2D2D2"/>
          </w:tcPr>
          <w:p>
            <w:pPr/>
          </w:p>
        </w:tc>
        <w:tc>
          <w:tcPr>
            <w:tcW w:w="1274" w:type="dxa"/>
            <w:vMerge w:val="restart"/>
            <w:tcBorders>
              <w:top w:val="single" w:sz="15" w:space="0" w:color="000000"/>
              <w:left w:val="single" w:sz="4" w:space="0" w:color="000000"/>
              <w:right w:val="single" w:sz="4" w:space="0" w:color="000000"/>
            </w:tcBorders>
          </w:tcPr>
          <w:p>
            <w:pPr/>
          </w:p>
        </w:tc>
        <w:tc>
          <w:tcPr>
            <w:tcW w:w="1558" w:type="dxa"/>
            <w:vMerge w:val="restart"/>
            <w:tcBorders>
              <w:top w:val="single" w:sz="15" w:space="0" w:color="000000"/>
              <w:left w:val="single" w:sz="4" w:space="0" w:color="000000"/>
              <w:right w:val="single" w:sz="4" w:space="0" w:color="000000"/>
            </w:tcBorders>
          </w:tcPr>
          <w:p>
            <w:pPr/>
          </w:p>
        </w:tc>
        <w:tc>
          <w:tcPr>
            <w:tcW w:w="4678"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交易；如与公司发生不可避免的关联交易，承诺人及承诺人</w:t>
            </w:r>
          </w:p>
        </w:tc>
        <w:tc>
          <w:tcPr>
            <w:tcW w:w="1649" w:type="dxa"/>
            <w:vMerge w:val="restart"/>
            <w:tcBorders>
              <w:top w:val="single" w:sz="15" w:space="0" w:color="000000"/>
              <w:left w:val="single" w:sz="4" w:space="0" w:color="000000"/>
              <w:right w:val="single" w:sz="4" w:space="0" w:color="000000"/>
            </w:tcBorders>
          </w:tcPr>
          <w:p>
            <w:pPr/>
          </w:p>
        </w:tc>
        <w:tc>
          <w:tcPr>
            <w:tcW w:w="1642" w:type="dxa"/>
            <w:vMerge w:val="restart"/>
            <w:tcBorders>
              <w:top w:val="single" w:sz="15" w:space="0" w:color="000000"/>
              <w:left w:val="single" w:sz="4" w:space="0" w:color="000000"/>
              <w:right w:val="single" w:sz="4" w:space="0" w:color="000000"/>
            </w:tcBorders>
          </w:tcPr>
          <w:p>
            <w:pPr/>
          </w:p>
        </w:tc>
        <w:tc>
          <w:tcPr>
            <w:tcW w:w="1625" w:type="dxa"/>
            <w:vMerge w:val="restart"/>
            <w:tcBorders>
              <w:top w:val="single" w:sz="15" w:space="0" w:color="000000"/>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控制的其他下属企业或公司将严格按照《公司法</w:t>
            </w:r>
            <w:r>
              <w:rPr>
                <w:rFonts w:ascii="宋体" w:hAnsi="宋体" w:cs="宋体" w:eastAsia="宋体" w:hint="default"/>
                <w:spacing w:val="-92"/>
                <w:sz w:val="18"/>
                <w:szCs w:val="18"/>
              </w:rPr>
              <w:t>》、</w:t>
            </w:r>
            <w:r>
              <w:rPr>
                <w:rFonts w:ascii="宋体" w:hAnsi="宋体" w:cs="宋体" w:eastAsia="宋体" w:hint="default"/>
                <w:sz w:val="18"/>
                <w:szCs w:val="18"/>
              </w:rPr>
              <w:t>《证券</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法</w:t>
            </w:r>
            <w:r>
              <w:rPr>
                <w:rFonts w:ascii="宋体" w:hAnsi="宋体" w:cs="宋体" w:eastAsia="宋体" w:hint="default"/>
                <w:spacing w:val="-92"/>
                <w:sz w:val="18"/>
                <w:szCs w:val="18"/>
              </w:rPr>
              <w:t>》</w:t>
            </w:r>
            <w:r>
              <w:rPr>
                <w:rFonts w:ascii="宋体" w:hAnsi="宋体" w:cs="宋体" w:eastAsia="宋体" w:hint="default"/>
                <w:spacing w:val="-106"/>
                <w:sz w:val="18"/>
                <w:szCs w:val="18"/>
              </w:rPr>
              <w:t>、</w:t>
            </w:r>
            <w:r>
              <w:rPr>
                <w:rFonts w:ascii="宋体" w:hAnsi="宋体" w:cs="宋体" w:eastAsia="宋体" w:hint="default"/>
                <w:sz w:val="18"/>
                <w:szCs w:val="18"/>
              </w:rPr>
              <w:t>《公司章程</w:t>
            </w:r>
            <w:r>
              <w:rPr>
                <w:rFonts w:ascii="宋体" w:hAnsi="宋体" w:cs="宋体" w:eastAsia="宋体" w:hint="default"/>
                <w:spacing w:val="-15"/>
                <w:sz w:val="18"/>
                <w:szCs w:val="18"/>
              </w:rPr>
              <w:t>》和</w:t>
            </w:r>
            <w:r>
              <w:rPr>
                <w:rFonts w:ascii="宋体" w:hAnsi="宋体" w:cs="宋体" w:eastAsia="宋体" w:hint="default"/>
                <w:sz w:val="18"/>
                <w:szCs w:val="18"/>
              </w:rPr>
              <w:t>《关联</w:t>
            </w:r>
            <w:r>
              <w:rPr>
                <w:rFonts w:ascii="宋体" w:hAnsi="宋体" w:cs="宋体" w:eastAsia="宋体" w:hint="default"/>
                <w:spacing w:val="2"/>
                <w:sz w:val="18"/>
                <w:szCs w:val="18"/>
              </w:rPr>
              <w:t>交</w:t>
            </w:r>
            <w:r>
              <w:rPr>
                <w:rFonts w:ascii="宋体" w:hAnsi="宋体" w:cs="宋体" w:eastAsia="宋体" w:hint="default"/>
                <w:sz w:val="18"/>
                <w:szCs w:val="18"/>
              </w:rPr>
              <w:t>易决策制度</w:t>
            </w:r>
            <w:r>
              <w:rPr>
                <w:rFonts w:ascii="宋体" w:hAnsi="宋体" w:cs="宋体" w:eastAsia="宋体" w:hint="default"/>
                <w:spacing w:val="-15"/>
                <w:sz w:val="18"/>
                <w:szCs w:val="18"/>
              </w:rPr>
              <w:t>》</w:t>
            </w:r>
            <w:r>
              <w:rPr>
                <w:rFonts w:ascii="宋体" w:hAnsi="宋体" w:cs="宋体" w:eastAsia="宋体" w:hint="default"/>
                <w:sz w:val="18"/>
                <w:szCs w:val="18"/>
              </w:rPr>
              <w:t>的规定规范关联</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交易行为，并按有关规定履行信息披露义务和办理有关报批</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36"/>
              <w:jc w:val="left"/>
              <w:rPr>
                <w:rFonts w:ascii="宋体" w:hAnsi="宋体" w:cs="宋体" w:eastAsia="宋体" w:hint="default"/>
                <w:sz w:val="18"/>
                <w:szCs w:val="18"/>
              </w:rPr>
            </w:pPr>
            <w:r>
              <w:rPr>
                <w:rFonts w:ascii="宋体" w:hAnsi="宋体" w:cs="宋体" w:eastAsia="宋体" w:hint="default"/>
                <w:sz w:val="18"/>
                <w:szCs w:val="18"/>
              </w:rPr>
              <w:t>程序，保证不通过关联交易损害公司及其股东的合法权益。</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如承诺人违反上述承诺，承诺人将在公司股东大会及中国证</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监会指定报刊上公开说明未履行上述承诺的原因并向公司</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股东和社会公众投资者道歉，并以违反上述承诺发生之日起</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当年度或以后年度公司利润分配方案中承诺人享有的现金</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分红作为履约担保，同时在履行承诺前，承诺人持有的公司</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5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股份将不得转让。</w:t>
            </w:r>
            <w:r>
              <w:rPr>
                <w:rFonts w:ascii="Times New Roman" w:hAnsi="Times New Roman" w:cs="Times New Roman" w:eastAsia="Times New Roman" w:hint="default"/>
                <w:sz w:val="18"/>
                <w:szCs w:val="18"/>
              </w:rPr>
              <w:t>"</w:t>
            </w:r>
          </w:p>
        </w:tc>
        <w:tc>
          <w:tcPr>
            <w:tcW w:w="1649" w:type="dxa"/>
            <w:vMerge/>
            <w:tcBorders>
              <w:left w:val="single" w:sz="4" w:space="0" w:color="000000"/>
              <w:bottom w:val="single" w:sz="4" w:space="0" w:color="000000"/>
              <w:right w:val="single" w:sz="4" w:space="0" w:color="000000"/>
            </w:tcBorders>
          </w:tcPr>
          <w:p>
            <w:pPr/>
          </w:p>
        </w:tc>
        <w:tc>
          <w:tcPr>
            <w:tcW w:w="1642" w:type="dxa"/>
            <w:vMerge/>
            <w:tcBorders>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r>
      <w:tr>
        <w:trPr>
          <w:trHeight w:val="360" w:hRule="exact"/>
        </w:trPr>
        <w:tc>
          <w:tcPr>
            <w:tcW w:w="1592"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558" w:type="dxa"/>
            <w:tcBorders>
              <w:top w:val="single" w:sz="4" w:space="0" w:color="000000"/>
              <w:left w:val="single" w:sz="4" w:space="0" w:color="000000"/>
              <w:bottom w:val="nil" w:sz="6" w:space="0" w:color="auto"/>
              <w:right w:val="single" w:sz="4" w:space="0" w:color="000000"/>
            </w:tcBorders>
          </w:tcPr>
          <w:p>
            <w:pPr/>
          </w:p>
        </w:tc>
        <w:tc>
          <w:tcPr>
            <w:tcW w:w="4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作为深圳市金溢科技股份有限公司（以下简称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p>
        </w:tc>
        <w:tc>
          <w:tcPr>
            <w:tcW w:w="1649" w:type="dxa"/>
            <w:tcBorders>
              <w:top w:val="single" w:sz="4" w:space="0" w:color="000000"/>
              <w:left w:val="single" w:sz="4" w:space="0" w:color="000000"/>
              <w:bottom w:val="nil" w:sz="6" w:space="0" w:color="auto"/>
              <w:right w:val="single" w:sz="4" w:space="0" w:color="000000"/>
            </w:tcBorders>
          </w:tcPr>
          <w:p>
            <w:pPr/>
          </w:p>
        </w:tc>
        <w:tc>
          <w:tcPr>
            <w:tcW w:w="1642" w:type="dxa"/>
            <w:tcBorders>
              <w:top w:val="single" w:sz="4" w:space="0" w:color="000000"/>
              <w:left w:val="single" w:sz="4" w:space="0" w:color="000000"/>
              <w:bottom w:val="nil" w:sz="6" w:space="0" w:color="auto"/>
              <w:right w:val="single" w:sz="4" w:space="0" w:color="000000"/>
            </w:tcBorders>
          </w:tcPr>
          <w:p>
            <w:pPr/>
          </w:p>
        </w:tc>
        <w:tc>
          <w:tcPr>
            <w:tcW w:w="1625"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股东，现就规范和减少关联交易事项向公司作出如下确认与</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承诺：</w:t>
            </w:r>
            <w:r>
              <w:rPr>
                <w:rFonts w:ascii="Times New Roman" w:hAnsi="Times New Roman" w:cs="Times New Roman" w:eastAsia="Times New Roman" w:hint="default"/>
                <w:spacing w:val="-3"/>
                <w:sz w:val="18"/>
                <w:szCs w:val="18"/>
              </w:rPr>
              <w:t>1. </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承诺人将严格遵守相</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不以任何方式占用或使用公司的资产和资源，不以任何方式</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从事损害或可能损害公司及其他股东利益的行为。如出现违</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36"/>
              <w:jc w:val="left"/>
              <w:rPr>
                <w:rFonts w:ascii="宋体" w:hAnsi="宋体" w:cs="宋体" w:eastAsia="宋体" w:hint="default"/>
                <w:sz w:val="18"/>
                <w:szCs w:val="18"/>
              </w:rPr>
            </w:pPr>
            <w:r>
              <w:rPr>
                <w:rFonts w:ascii="宋体" w:hAnsi="宋体" w:cs="宋体" w:eastAsia="宋体" w:hint="default"/>
                <w:sz w:val="18"/>
                <w:szCs w:val="18"/>
              </w:rPr>
              <w:t>反上述承诺与保证，而导致公司或其股东的权益受到损害，</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将依法承担相应的赔偿责任。</w:t>
            </w: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在作为公司股东期间，承</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29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诺人及承诺人控制的其他下属企业或公司将尽量避免与公</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关于同业竞争、关</w:t>
            </w: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pacing w:val="-3"/>
                <w:sz w:val="18"/>
                <w:szCs w:val="18"/>
              </w:rPr>
              <w:t>司发生关联交易；如与公司发生不可避免的关联交易，承诺</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王丽娟</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联交易、资金占用</w:t>
            </w: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人及承诺人控制的其他下属企业或公司将严格按照《公司</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2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方面的承诺</w:t>
            </w: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法</w:t>
            </w:r>
            <w:r>
              <w:rPr>
                <w:rFonts w:ascii="宋体" w:hAnsi="宋体" w:cs="宋体" w:eastAsia="宋体" w:hint="default"/>
                <w:spacing w:val="-92"/>
                <w:sz w:val="18"/>
                <w:szCs w:val="18"/>
              </w:rPr>
              <w:t>》</w:t>
            </w:r>
            <w:r>
              <w:rPr>
                <w:rFonts w:ascii="宋体" w:hAnsi="宋体" w:cs="宋体" w:eastAsia="宋体" w:hint="default"/>
                <w:spacing w:val="-104"/>
                <w:sz w:val="18"/>
                <w:szCs w:val="18"/>
              </w:rPr>
              <w:t>、</w:t>
            </w:r>
            <w:r>
              <w:rPr>
                <w:rFonts w:ascii="宋体" w:hAnsi="宋体" w:cs="宋体" w:eastAsia="宋体" w:hint="default"/>
                <w:sz w:val="18"/>
                <w:szCs w:val="18"/>
              </w:rPr>
              <w:t>《证券</w:t>
            </w:r>
            <w:r>
              <w:rPr>
                <w:rFonts w:ascii="宋体" w:hAnsi="宋体" w:cs="宋体" w:eastAsia="宋体" w:hint="default"/>
                <w:spacing w:val="2"/>
                <w:sz w:val="18"/>
                <w:szCs w:val="18"/>
              </w:rPr>
              <w:t>法</w:t>
            </w:r>
            <w:r>
              <w:rPr>
                <w:rFonts w:ascii="宋体" w:hAnsi="宋体" w:cs="宋体" w:eastAsia="宋体" w:hint="default"/>
                <w:spacing w:val="-92"/>
                <w:sz w:val="18"/>
                <w:szCs w:val="18"/>
              </w:rPr>
              <w:t>》</w:t>
            </w:r>
            <w:r>
              <w:rPr>
                <w:rFonts w:ascii="宋体" w:hAnsi="宋体" w:cs="宋体" w:eastAsia="宋体" w:hint="default"/>
                <w:spacing w:val="-104"/>
                <w:sz w:val="18"/>
                <w:szCs w:val="18"/>
              </w:rPr>
              <w:t>、</w:t>
            </w:r>
            <w:r>
              <w:rPr>
                <w:rFonts w:ascii="宋体" w:hAnsi="宋体" w:cs="宋体" w:eastAsia="宋体" w:hint="default"/>
                <w:sz w:val="18"/>
                <w:szCs w:val="18"/>
              </w:rPr>
              <w:t>《公司章</w:t>
            </w:r>
            <w:r>
              <w:rPr>
                <w:rFonts w:ascii="宋体" w:hAnsi="宋体" w:cs="宋体" w:eastAsia="宋体" w:hint="default"/>
                <w:spacing w:val="2"/>
                <w:sz w:val="18"/>
                <w:szCs w:val="18"/>
              </w:rPr>
              <w:t>程</w:t>
            </w:r>
            <w:r>
              <w:rPr>
                <w:rFonts w:ascii="宋体" w:hAnsi="宋体" w:cs="宋体" w:eastAsia="宋体" w:hint="default"/>
                <w:spacing w:val="-10"/>
                <w:sz w:val="18"/>
                <w:szCs w:val="18"/>
              </w:rPr>
              <w:t>》</w:t>
            </w:r>
            <w:r>
              <w:rPr>
                <w:rFonts w:ascii="宋体" w:hAnsi="宋体" w:cs="宋体" w:eastAsia="宋体" w:hint="default"/>
                <w:spacing w:val="-13"/>
                <w:sz w:val="18"/>
                <w:szCs w:val="18"/>
              </w:rPr>
              <w:t>和</w:t>
            </w:r>
            <w:r>
              <w:rPr>
                <w:rFonts w:ascii="宋体" w:hAnsi="宋体" w:cs="宋体" w:eastAsia="宋体" w:hint="default"/>
                <w:sz w:val="18"/>
                <w:szCs w:val="18"/>
              </w:rPr>
              <w:t>《关联交易决策制度</w:t>
            </w:r>
            <w:r>
              <w:rPr>
                <w:rFonts w:ascii="宋体" w:hAnsi="宋体" w:cs="宋体" w:eastAsia="宋体" w:hint="default"/>
                <w:spacing w:val="-13"/>
                <w:sz w:val="18"/>
                <w:szCs w:val="18"/>
              </w:rPr>
              <w:t>》</w:t>
            </w:r>
            <w:r>
              <w:rPr>
                <w:rFonts w:ascii="宋体" w:hAnsi="宋体" w:cs="宋体" w:eastAsia="宋体" w:hint="default"/>
                <w:sz w:val="18"/>
                <w:szCs w:val="18"/>
              </w:rPr>
              <w:t>的规</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定规范关联交易行为，并按有关规定履行信息披露义务和办</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理有关报批程序，保证不通过关联交易损害公司及其股东的</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合法权益。</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在公司任职期间和离任后十二个月内，承诺</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人及承诺人控制的其他下属企业或公司将尽量避免与公司</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发生关联交易，如与公司发生不可避免的关联交易，承诺人</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及承诺人控制的其他下属企业或公司将严格按照《公司法》</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《证券法</w:t>
            </w:r>
            <w:r>
              <w:rPr>
                <w:rFonts w:ascii="宋体" w:hAnsi="宋体" w:cs="宋体" w:eastAsia="宋体" w:hint="default"/>
                <w:spacing w:val="-92"/>
                <w:sz w:val="18"/>
                <w:szCs w:val="18"/>
              </w:rPr>
              <w:t>》</w:t>
            </w:r>
            <w:r>
              <w:rPr>
                <w:rFonts w:ascii="宋体" w:hAnsi="宋体" w:cs="宋体" w:eastAsia="宋体" w:hint="default"/>
                <w:spacing w:val="-106"/>
                <w:sz w:val="18"/>
                <w:szCs w:val="18"/>
              </w:rPr>
              <w:t>、</w:t>
            </w:r>
            <w:r>
              <w:rPr>
                <w:rFonts w:ascii="宋体" w:hAnsi="宋体" w:cs="宋体" w:eastAsia="宋体" w:hint="default"/>
                <w:sz w:val="18"/>
                <w:szCs w:val="18"/>
              </w:rPr>
              <w:t>《公司章程</w:t>
            </w:r>
            <w:r>
              <w:rPr>
                <w:rFonts w:ascii="宋体" w:hAnsi="宋体" w:cs="宋体" w:eastAsia="宋体" w:hint="default"/>
                <w:spacing w:val="-15"/>
                <w:sz w:val="18"/>
                <w:szCs w:val="18"/>
              </w:rPr>
              <w:t>》和</w:t>
            </w:r>
            <w:r>
              <w:rPr>
                <w:rFonts w:ascii="宋体" w:hAnsi="宋体" w:cs="宋体" w:eastAsia="宋体" w:hint="default"/>
                <w:spacing w:val="2"/>
                <w:sz w:val="18"/>
                <w:szCs w:val="18"/>
              </w:rPr>
              <w:t>《</w:t>
            </w:r>
            <w:r>
              <w:rPr>
                <w:rFonts w:ascii="宋体" w:hAnsi="宋体" w:cs="宋体" w:eastAsia="宋体" w:hint="default"/>
                <w:sz w:val="18"/>
                <w:szCs w:val="18"/>
              </w:rPr>
              <w:t>关联交易决策制度</w:t>
            </w:r>
            <w:r>
              <w:rPr>
                <w:rFonts w:ascii="宋体" w:hAnsi="宋体" w:cs="宋体" w:eastAsia="宋体" w:hint="default"/>
                <w:spacing w:val="-15"/>
                <w:sz w:val="18"/>
                <w:szCs w:val="18"/>
              </w:rPr>
              <w:t>》</w:t>
            </w:r>
            <w:r>
              <w:rPr>
                <w:rFonts w:ascii="宋体" w:hAnsi="宋体" w:cs="宋体" w:eastAsia="宋体" w:hint="default"/>
                <w:sz w:val="18"/>
                <w:szCs w:val="18"/>
              </w:rPr>
              <w:t>的规定规</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592"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范关联交易行为。如承诺人违反上述承诺，承诺人将在公司</w:t>
            </w:r>
          </w:p>
        </w:tc>
        <w:tc>
          <w:tcPr>
            <w:tcW w:w="1649"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single" w:sz="4" w:space="0" w:color="000000"/>
            </w:tcBorders>
          </w:tcPr>
          <w:p>
            <w:pPr/>
          </w:p>
        </w:tc>
        <w:tc>
          <w:tcPr>
            <w:tcW w:w="1625"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r>
        <w:rPr/>
        <w:pict>
          <v:group style="position:absolute;margin-left:525.909973pt;margin-top:57.236008pt;width:82pt;height:472.55pt;mso-position-horizontal-relative:page;mso-position-vertical-relative:page;z-index:-1531984" coordorigin="10518,1145" coordsize="1640,9451">
            <v:group style="position:absolute;left:10518;top:1145;width:1640;height:1599" coordorigin="10518,1145" coordsize="1640,1599">
              <v:shape style="position:absolute;left:10518;top:1145;width:1640;height:1599" coordorigin="10518,1145" coordsize="1640,1599" path="m10518,2744l12158,2744,12158,1145,10518,1145,10518,2744xe" filled="true" fillcolor="#ffffff" stroked="false">
                <v:path arrowok="t"/>
                <v:fill type="solid"/>
              </v:shape>
            </v:group>
            <v:group style="position:absolute;left:10518;top:2753;width:1640;height:7843" coordorigin="10518,2753" coordsize="1640,7843">
              <v:shape style="position:absolute;left:10518;top:2753;width:1640;height:7843" coordorigin="10518,2753" coordsize="1640,7843" path="m10518,10596l12158,10596,12158,2753,10518,2753,10518,10596xe" filled="true" fillcolor="#ffffff" stroked="false">
                <v:path arrowok="t"/>
                <v:fill type="solid"/>
              </v:shape>
            </v:group>
            <v:group style="position:absolute;left:10542;top:6479;width:1592;height:392" coordorigin="10542,6479" coordsize="1592,392">
              <v:shape style="position:absolute;left:10542;top:6479;width:1592;height:392" coordorigin="10542,6479" coordsize="1592,392" path="m10542,6870l12134,6870,12134,6479,10542,6479,10542,6870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1592"/>
        <w:gridCol w:w="1274"/>
        <w:gridCol w:w="1558"/>
        <w:gridCol w:w="4678"/>
        <w:gridCol w:w="1649"/>
        <w:gridCol w:w="1642"/>
        <w:gridCol w:w="1625"/>
      </w:tblGrid>
      <w:tr>
        <w:trPr>
          <w:trHeight w:val="332" w:hRule="exact"/>
        </w:trPr>
        <w:tc>
          <w:tcPr>
            <w:tcW w:w="1592" w:type="dxa"/>
            <w:vMerge w:val="restart"/>
            <w:tcBorders>
              <w:top w:val="single" w:sz="15" w:space="0" w:color="000000"/>
              <w:left w:val="single" w:sz="4" w:space="0" w:color="000000"/>
              <w:right w:val="single" w:sz="4" w:space="0" w:color="000000"/>
            </w:tcBorders>
            <w:shd w:val="clear" w:color="auto" w:fill="D2D2D2"/>
          </w:tcPr>
          <w:p>
            <w:pPr/>
          </w:p>
        </w:tc>
        <w:tc>
          <w:tcPr>
            <w:tcW w:w="1274" w:type="dxa"/>
            <w:vMerge w:val="restart"/>
            <w:tcBorders>
              <w:top w:val="single" w:sz="15" w:space="0" w:color="000000"/>
              <w:left w:val="single" w:sz="4" w:space="0" w:color="000000"/>
              <w:right w:val="single" w:sz="4" w:space="0" w:color="000000"/>
            </w:tcBorders>
          </w:tcPr>
          <w:p>
            <w:pPr/>
          </w:p>
        </w:tc>
        <w:tc>
          <w:tcPr>
            <w:tcW w:w="1558" w:type="dxa"/>
            <w:vMerge w:val="restart"/>
            <w:tcBorders>
              <w:top w:val="single" w:sz="15" w:space="0" w:color="000000"/>
              <w:left w:val="single" w:sz="4" w:space="0" w:color="000000"/>
              <w:right w:val="single" w:sz="4" w:space="0" w:color="000000"/>
            </w:tcBorders>
          </w:tcPr>
          <w:p>
            <w:pPr/>
          </w:p>
        </w:tc>
        <w:tc>
          <w:tcPr>
            <w:tcW w:w="4678"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股东大会及中国证监会指定报刊上公开说明未履行上述承</w:t>
            </w:r>
          </w:p>
        </w:tc>
        <w:tc>
          <w:tcPr>
            <w:tcW w:w="1649" w:type="dxa"/>
            <w:vMerge w:val="restart"/>
            <w:tcBorders>
              <w:top w:val="single" w:sz="15" w:space="0" w:color="000000"/>
              <w:left w:val="single" w:sz="4" w:space="0" w:color="000000"/>
              <w:right w:val="single" w:sz="4" w:space="0" w:color="000000"/>
            </w:tcBorders>
          </w:tcPr>
          <w:p>
            <w:pPr/>
          </w:p>
        </w:tc>
        <w:tc>
          <w:tcPr>
            <w:tcW w:w="1642" w:type="dxa"/>
            <w:vMerge w:val="restart"/>
            <w:tcBorders>
              <w:top w:val="single" w:sz="15" w:space="0" w:color="000000"/>
              <w:left w:val="single" w:sz="4" w:space="0" w:color="000000"/>
              <w:right w:val="single" w:sz="4" w:space="0" w:color="000000"/>
            </w:tcBorders>
          </w:tcPr>
          <w:p>
            <w:pPr/>
          </w:p>
        </w:tc>
        <w:tc>
          <w:tcPr>
            <w:tcW w:w="1625" w:type="dxa"/>
            <w:vMerge w:val="restart"/>
            <w:tcBorders>
              <w:top w:val="single" w:sz="15" w:space="0" w:color="000000"/>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诺的原因并向公司股东和社会公众投资者道歉，并以违反上</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述承诺发生之日起当年度或以后年度公司利润分配方案中</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36"/>
              <w:jc w:val="left"/>
              <w:rPr>
                <w:rFonts w:ascii="宋体" w:hAnsi="宋体" w:cs="宋体" w:eastAsia="宋体" w:hint="default"/>
                <w:sz w:val="18"/>
                <w:szCs w:val="18"/>
              </w:rPr>
            </w:pPr>
            <w:r>
              <w:rPr>
                <w:rFonts w:ascii="宋体" w:hAnsi="宋体" w:cs="宋体" w:eastAsia="宋体" w:hint="default"/>
                <w:sz w:val="18"/>
                <w:szCs w:val="18"/>
              </w:rPr>
              <w:t>承诺人享有的现金分红作为履约担保，同时在履行承诺前，</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5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承诺人持有的公司股份将不得转让。</w:t>
            </w:r>
            <w:r>
              <w:rPr>
                <w:rFonts w:ascii="Times New Roman" w:hAnsi="Times New Roman" w:cs="Times New Roman" w:eastAsia="Times New Roman" w:hint="default"/>
                <w:sz w:val="18"/>
                <w:szCs w:val="18"/>
              </w:rPr>
              <w:t>"</w:t>
            </w:r>
          </w:p>
        </w:tc>
        <w:tc>
          <w:tcPr>
            <w:tcW w:w="1649" w:type="dxa"/>
            <w:vMerge/>
            <w:tcBorders>
              <w:left w:val="single" w:sz="4" w:space="0" w:color="000000"/>
              <w:bottom w:val="single" w:sz="4" w:space="0" w:color="000000"/>
              <w:right w:val="single" w:sz="4" w:space="0" w:color="000000"/>
            </w:tcBorders>
          </w:tcPr>
          <w:p>
            <w:pPr/>
          </w:p>
        </w:tc>
        <w:tc>
          <w:tcPr>
            <w:tcW w:w="1642" w:type="dxa"/>
            <w:vMerge/>
            <w:tcBorders>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r>
      <w:tr>
        <w:trPr>
          <w:trHeight w:val="360" w:hRule="exact"/>
        </w:trPr>
        <w:tc>
          <w:tcPr>
            <w:tcW w:w="1592"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558" w:type="dxa"/>
            <w:tcBorders>
              <w:top w:val="single" w:sz="4" w:space="0" w:color="000000"/>
              <w:left w:val="single" w:sz="4" w:space="0" w:color="000000"/>
              <w:bottom w:val="nil" w:sz="6" w:space="0" w:color="auto"/>
              <w:right w:val="single" w:sz="4" w:space="0" w:color="000000"/>
            </w:tcBorders>
          </w:tcPr>
          <w:p>
            <w:pPr/>
          </w:p>
        </w:tc>
        <w:tc>
          <w:tcPr>
            <w:tcW w:w="4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一、在稳定股价预案的预警条件满足时，即自公司股票正</w:t>
            </w:r>
          </w:p>
        </w:tc>
        <w:tc>
          <w:tcPr>
            <w:tcW w:w="1649" w:type="dxa"/>
            <w:tcBorders>
              <w:top w:val="single" w:sz="4" w:space="0" w:color="000000"/>
              <w:left w:val="single" w:sz="4" w:space="0" w:color="000000"/>
              <w:bottom w:val="nil" w:sz="6" w:space="0" w:color="auto"/>
              <w:right w:val="single" w:sz="4" w:space="0" w:color="000000"/>
            </w:tcBorders>
          </w:tcPr>
          <w:p>
            <w:pPr/>
          </w:p>
        </w:tc>
        <w:tc>
          <w:tcPr>
            <w:tcW w:w="1642" w:type="dxa"/>
            <w:tcBorders>
              <w:top w:val="single" w:sz="4" w:space="0" w:color="000000"/>
              <w:left w:val="single" w:sz="4" w:space="0" w:color="000000"/>
              <w:bottom w:val="nil" w:sz="6" w:space="0" w:color="auto"/>
              <w:right w:val="single" w:sz="4" w:space="0" w:color="000000"/>
            </w:tcBorders>
          </w:tcPr>
          <w:p>
            <w:pPr/>
          </w:p>
        </w:tc>
        <w:tc>
          <w:tcPr>
            <w:tcW w:w="1625"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式挂牌上市之日起三年内，当公司股票连续五个交易日的收</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36"/>
              <w:jc w:val="left"/>
              <w:rPr>
                <w:rFonts w:ascii="宋体" w:hAnsi="宋体" w:cs="宋体" w:eastAsia="宋体" w:hint="default"/>
                <w:sz w:val="18"/>
                <w:szCs w:val="18"/>
              </w:rPr>
            </w:pPr>
            <w:r>
              <w:rPr>
                <w:rFonts w:ascii="宋体" w:hAnsi="宋体" w:cs="宋体" w:eastAsia="宋体" w:hint="default"/>
                <w:sz w:val="18"/>
                <w:szCs w:val="18"/>
              </w:rPr>
              <w:t>盘价（如果因派发现金红利、送股、转增股本、增发新股、</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配股等原因进行除权、除息的，须按照深圳证券交易所的有</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关规定作相应调整，下同）均低于公司上一个会计年度末经</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审计的每股净资产（每股净资产</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合并财务报表中的归属于</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母公司普通股股东权益合计数</w:t>
            </w:r>
            <w:r>
              <w:rPr>
                <w:rFonts w:ascii="Times New Roman" w:hAnsi="Times New Roman" w:cs="Times New Roman" w:eastAsia="Times New Roman" w:hint="default"/>
                <w:sz w:val="18"/>
                <w:szCs w:val="18"/>
              </w:rPr>
              <w:t>÷</w:t>
            </w:r>
            <w:r>
              <w:rPr>
                <w:rFonts w:ascii="宋体" w:hAnsi="宋体" w:cs="宋体" w:eastAsia="宋体" w:hint="default"/>
                <w:sz w:val="18"/>
                <w:szCs w:val="18"/>
              </w:rPr>
              <w:t>年末公司股份总数，下同）</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w:t>
            </w:r>
            <w:r>
              <w:rPr>
                <w:rFonts w:ascii="宋体" w:hAnsi="宋体" w:cs="宋体" w:eastAsia="宋体" w:hint="default"/>
                <w:sz w:val="18"/>
                <w:szCs w:val="18"/>
              </w:rPr>
              <w:t>时，公司将在十个工作日内召开业绩说明会或投资</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者见面会，与投资者就公司经营状况、财务指标、发展战略</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进行深入沟通。二、在稳定股价预案的启动条件满足时，即</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03"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自公司股票正式挂牌上市之日起三年内，当某一年度首次出</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946"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4" w:right="158"/>
              <w:jc w:val="both"/>
              <w:rPr>
                <w:rFonts w:ascii="宋体" w:hAnsi="宋体" w:cs="宋体" w:eastAsia="宋体" w:hint="default"/>
                <w:sz w:val="18"/>
                <w:szCs w:val="18"/>
              </w:rPr>
            </w:pPr>
            <w:r>
              <w:rPr>
                <w:rFonts w:ascii="宋体" w:hAnsi="宋体" w:cs="宋体" w:eastAsia="宋体" w:hint="default"/>
                <w:sz w:val="18"/>
                <w:szCs w:val="18"/>
              </w:rPr>
              <w:t>深圳市金溢科 技股份有限公 司</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稳定股价承诺</w:t>
            </w: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4" w:right="19"/>
              <w:jc w:val="left"/>
              <w:rPr>
                <w:rFonts w:ascii="宋体" w:hAnsi="宋体" w:cs="宋体" w:eastAsia="宋体" w:hint="default"/>
                <w:sz w:val="18"/>
                <w:szCs w:val="18"/>
              </w:rPr>
            </w:pPr>
            <w:r>
              <w:rPr>
                <w:rFonts w:ascii="宋体" w:hAnsi="宋体" w:cs="宋体" w:eastAsia="宋体" w:hint="default"/>
                <w:sz w:val="18"/>
                <w:szCs w:val="18"/>
              </w:rPr>
              <w:t>现公司股票连续二十个交易日的收盘价均低于公司上一个 </w:t>
            </w:r>
            <w:r>
              <w:rPr>
                <w:rFonts w:ascii="宋体" w:hAnsi="宋体" w:cs="宋体" w:eastAsia="宋体" w:hint="default"/>
                <w:spacing w:val="-3"/>
                <w:sz w:val="18"/>
                <w:szCs w:val="18"/>
              </w:rPr>
              <w:t>会计年度末经审计的每股净资产的情形时，本公司将自稳定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股价方案公告之日起三个月内，通过二级市场以集中竞价交</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易方式、要约方式或证券监督管理部门认可的其他方式回购</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公司股份以稳定股价，具体措施如下</w:t>
            </w:r>
            <w:r>
              <w:rPr>
                <w:rFonts w:ascii="宋体" w:hAnsi="宋体" w:cs="宋体" w:eastAsia="宋体" w:hint="default"/>
                <w:spacing w:val="-92"/>
                <w:sz w:val="18"/>
                <w:szCs w:val="18"/>
              </w:rPr>
              <w:t>：</w:t>
            </w:r>
            <w:r>
              <w:rPr>
                <w:rFonts w:ascii="宋体" w:hAnsi="宋体" w:cs="宋体" w:eastAsia="宋体" w:hint="default"/>
                <w:sz w:val="18"/>
                <w:szCs w:val="18"/>
              </w:rPr>
              <w:t>（一）公司为稳定股</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价之目的回购股份，应符合《上市公司回购社会公众股份管</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理办法（试行</w:t>
            </w:r>
            <w:r>
              <w:rPr>
                <w:rFonts w:ascii="宋体" w:hAnsi="宋体" w:cs="宋体" w:eastAsia="宋体" w:hint="default"/>
                <w:spacing w:val="-92"/>
                <w:sz w:val="18"/>
                <w:szCs w:val="18"/>
              </w:rPr>
              <w:t>）</w:t>
            </w:r>
            <w:r>
              <w:rPr>
                <w:rFonts w:ascii="宋体" w:hAnsi="宋体" w:cs="宋体" w:eastAsia="宋体" w:hint="default"/>
                <w:sz w:val="18"/>
                <w:szCs w:val="18"/>
              </w:rPr>
              <w:t>》及《关于上</w:t>
            </w:r>
            <w:r>
              <w:rPr>
                <w:rFonts w:ascii="宋体" w:hAnsi="宋体" w:cs="宋体" w:eastAsia="宋体" w:hint="default"/>
                <w:spacing w:val="2"/>
                <w:sz w:val="18"/>
                <w:szCs w:val="18"/>
              </w:rPr>
              <w:t>市</w:t>
            </w:r>
            <w:r>
              <w:rPr>
                <w:rFonts w:ascii="宋体" w:hAnsi="宋体" w:cs="宋体" w:eastAsia="宋体" w:hint="default"/>
                <w:sz w:val="18"/>
                <w:szCs w:val="18"/>
              </w:rPr>
              <w:t>公司以集中竞价交易方式回</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购股份的补充规定》等相关法律、法规的规定</w:t>
            </w:r>
            <w:r>
              <w:rPr>
                <w:rFonts w:ascii="宋体" w:hAnsi="宋体" w:cs="宋体" w:eastAsia="宋体" w:hint="default"/>
                <w:spacing w:val="-92"/>
                <w:sz w:val="18"/>
                <w:szCs w:val="18"/>
              </w:rPr>
              <w:t>。</w:t>
            </w:r>
            <w:r>
              <w:rPr>
                <w:rFonts w:ascii="宋体" w:hAnsi="宋体" w:cs="宋体" w:eastAsia="宋体" w:hint="default"/>
                <w:sz w:val="18"/>
                <w:szCs w:val="18"/>
              </w:rPr>
              <w:t>（二）公司</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董事会应于稳定股价启动条件触发十个交易日内制定股份</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回购方案，并及时履行相关内部决策程序。该股份回购计划</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还须经出席会议的股东所持表决权的三分之二以上通过。</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（三）在股东大会审议通过股份回购方案后，公司应依法通</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知债权人，向证券监督管理部门、证券交易所等主管部门报</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592"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送相关材料，办理审批或备案手续。在完成必需的审批、备</w:t>
            </w:r>
          </w:p>
        </w:tc>
        <w:tc>
          <w:tcPr>
            <w:tcW w:w="1649"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single" w:sz="4" w:space="0" w:color="000000"/>
            </w:tcBorders>
          </w:tcPr>
          <w:p>
            <w:pPr/>
          </w:p>
        </w:tc>
        <w:tc>
          <w:tcPr>
            <w:tcW w:w="1625"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r>
        <w:rPr/>
        <w:pict>
          <v:shape style="position:absolute;margin-left:384.776001pt;margin-top:57.240005pt;width:223.15pt;height:314pt;mso-position-horizontal-relative:page;mso-position-vertical-relative:page;z-index:-1531936" type="#_x0000_t202" filled="false" stroked="false">
            <v:textbox inset="0,0,0,0">
              <w:txbxContent>
                <w:p>
                  <w:pPr>
                    <w:pStyle w:val="BodyText"/>
                    <w:spacing w:line="240" w:lineRule="auto" w:before="8"/>
                    <w:ind w:left="0" w:right="0"/>
                    <w:jc w:val="left"/>
                  </w:pPr>
                  <w:r>
                    <w:rPr/>
                    <w:t>公司方可实施相应的股份回购方案。</w:t>
                  </w:r>
                </w:p>
              </w:txbxContent>
            </v:textbox>
            <w10:wrap type="none"/>
          </v:shape>
        </w:pict>
      </w:r>
    </w:p>
    <w:tbl>
      <w:tblPr>
        <w:tblW w:w="0" w:type="auto"/>
        <w:jc w:val="left"/>
        <w:tblInd w:w="106" w:type="dxa"/>
        <w:tblLayout w:type="fixed"/>
        <w:tblCellMar>
          <w:top w:w="0" w:type="dxa"/>
          <w:left w:w="0" w:type="dxa"/>
          <w:bottom w:w="0" w:type="dxa"/>
          <w:right w:w="0" w:type="dxa"/>
        </w:tblCellMar>
        <w:tblLook w:val="01E0"/>
      </w:tblPr>
      <w:tblGrid>
        <w:gridCol w:w="1592"/>
        <w:gridCol w:w="1274"/>
        <w:gridCol w:w="1558"/>
        <w:gridCol w:w="4678"/>
        <w:gridCol w:w="1649"/>
        <w:gridCol w:w="1642"/>
        <w:gridCol w:w="1625"/>
      </w:tblGrid>
      <w:tr>
        <w:trPr>
          <w:trHeight w:val="332" w:hRule="exact"/>
        </w:trPr>
        <w:tc>
          <w:tcPr>
            <w:tcW w:w="1592" w:type="dxa"/>
            <w:vMerge w:val="restart"/>
            <w:tcBorders>
              <w:top w:val="single" w:sz="15" w:space="0" w:color="000000"/>
              <w:left w:val="single" w:sz="4" w:space="0" w:color="000000"/>
              <w:right w:val="single" w:sz="4" w:space="0" w:color="000000"/>
            </w:tcBorders>
            <w:shd w:val="clear" w:color="auto" w:fill="D2D2D2"/>
          </w:tcPr>
          <w:p>
            <w:pPr/>
          </w:p>
        </w:tc>
        <w:tc>
          <w:tcPr>
            <w:tcW w:w="1274" w:type="dxa"/>
            <w:vMerge w:val="restart"/>
            <w:tcBorders>
              <w:top w:val="single" w:sz="15" w:space="0" w:color="000000"/>
              <w:left w:val="single" w:sz="4" w:space="0" w:color="000000"/>
              <w:right w:val="single" w:sz="4" w:space="0" w:color="000000"/>
            </w:tcBorders>
          </w:tcPr>
          <w:p>
            <w:pPr/>
          </w:p>
        </w:tc>
        <w:tc>
          <w:tcPr>
            <w:tcW w:w="1558" w:type="dxa"/>
            <w:vMerge w:val="restart"/>
            <w:tcBorders>
              <w:top w:val="single" w:sz="15" w:space="0" w:color="000000"/>
              <w:left w:val="single" w:sz="4" w:space="0" w:color="000000"/>
              <w:right w:val="single" w:sz="4" w:space="0" w:color="000000"/>
            </w:tcBorders>
          </w:tcPr>
          <w:p>
            <w:pPr/>
          </w:p>
        </w:tc>
        <w:tc>
          <w:tcPr>
            <w:tcW w:w="4678"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75"/>
                <w:sz w:val="18"/>
                <w:szCs w:val="18"/>
              </w:rPr>
              <w:t>、</w:t>
            </w:r>
            <w:r>
              <w:rPr>
                <w:rFonts w:ascii="宋体" w:hAnsi="宋体" w:cs="宋体" w:eastAsia="宋体" w:hint="default"/>
                <w:sz w:val="18"/>
                <w:szCs w:val="18"/>
              </w:rPr>
              <w:t>信息披露等程序后，</w:t>
            </w:r>
          </w:p>
        </w:tc>
        <w:tc>
          <w:tcPr>
            <w:tcW w:w="1649" w:type="dxa"/>
            <w:vMerge w:val="restart"/>
            <w:tcBorders>
              <w:top w:val="single" w:sz="15" w:space="0" w:color="000000"/>
              <w:left w:val="single" w:sz="4" w:space="0" w:color="000000"/>
              <w:right w:val="single" w:sz="4" w:space="0" w:color="000000"/>
            </w:tcBorders>
          </w:tcPr>
          <w:p>
            <w:pPr>
              <w:pStyle w:val="TableParagraph"/>
              <w:spacing w:line="627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5"/>
                <w:sz w:val="20"/>
                <w:szCs w:val="20"/>
              </w:rPr>
              <w:pict>
                <v:group style="width:82pt;height:314pt;mso-position-horizontal-relative:char;mso-position-vertical-relative:line" coordorigin="0,0" coordsize="1640,6280">
                  <v:group style="position:absolute;left:0;top:0;width:1640;height:6280" coordorigin="0,0" coordsize="1640,6280">
                    <v:shape style="position:absolute;left:0;top:0;width:1640;height:6280" coordorigin="0,0" coordsize="1640,6280" path="m0,6280l1640,6280,1640,0,0,0,0,6280xe" filled="true" fillcolor="#ffffff" stroked="false">
                      <v:path arrowok="t"/>
                      <v:fill type="solid"/>
                    </v:shape>
                  </v:group>
                </v:group>
              </w:pict>
            </w:r>
            <w:r>
              <w:rPr>
                <w:rFonts w:ascii="Times New Roman" w:hAnsi="Times New Roman" w:cs="Times New Roman" w:eastAsia="Times New Roman" w:hint="default"/>
                <w:position w:val="-125"/>
                <w:sz w:val="20"/>
                <w:szCs w:val="20"/>
              </w:rPr>
            </w:r>
          </w:p>
        </w:tc>
        <w:tc>
          <w:tcPr>
            <w:tcW w:w="1642" w:type="dxa"/>
            <w:vMerge w:val="restart"/>
            <w:tcBorders>
              <w:top w:val="single" w:sz="15" w:space="0" w:color="000000"/>
              <w:left w:val="single" w:sz="4" w:space="0" w:color="000000"/>
              <w:right w:val="single" w:sz="4" w:space="0" w:color="000000"/>
            </w:tcBorders>
          </w:tcPr>
          <w:p>
            <w:pPr/>
          </w:p>
        </w:tc>
        <w:tc>
          <w:tcPr>
            <w:tcW w:w="1625" w:type="dxa"/>
            <w:vMerge w:val="restart"/>
            <w:tcBorders>
              <w:top w:val="single" w:sz="15" w:space="0" w:color="000000"/>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（四）公司为稳定股价之目的进行股份回购的，除应符合相</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关法律法规之要求之外，还应符合下列各项：</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公司用于</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回购股份的资金总额累计不超过公司首次公开发行人民币</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股）所募集资金的总额；</w:t>
            </w:r>
            <w:r>
              <w:rPr>
                <w:rFonts w:ascii="Times New Roman" w:hAnsi="Times New Roman" w:cs="Times New Roman" w:eastAsia="Times New Roman" w:hint="default"/>
                <w:sz w:val="18"/>
                <w:szCs w:val="18"/>
              </w:rPr>
              <w:t>2.  </w:t>
            </w:r>
            <w:r>
              <w:rPr>
                <w:rFonts w:ascii="宋体" w:hAnsi="宋体" w:cs="宋体" w:eastAsia="宋体" w:hint="default"/>
                <w:sz w:val="18"/>
                <w:szCs w:val="18"/>
              </w:rPr>
              <w:t>公司单次回购方案</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的回购股份数额不超过总股本的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，回购股份总额不超过</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总股本的</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w:t>
            </w:r>
            <w:r>
              <w:rPr>
                <w:rFonts w:ascii="宋体" w:hAnsi="宋体" w:cs="宋体" w:eastAsia="宋体" w:hint="default"/>
                <w:spacing w:val="-116"/>
                <w:sz w:val="18"/>
                <w:szCs w:val="18"/>
              </w:rPr>
              <w:t>。</w:t>
            </w:r>
            <w:r>
              <w:rPr>
                <w:rFonts w:ascii="宋体" w:hAnsi="宋体" w:cs="宋体" w:eastAsia="宋体" w:hint="default"/>
                <w:sz w:val="18"/>
                <w:szCs w:val="18"/>
              </w:rPr>
              <w:t>（五</w:t>
            </w:r>
            <w:r>
              <w:rPr>
                <w:rFonts w:ascii="宋体" w:hAnsi="宋体" w:cs="宋体" w:eastAsia="宋体" w:hint="default"/>
                <w:spacing w:val="-24"/>
                <w:sz w:val="18"/>
                <w:szCs w:val="18"/>
              </w:rPr>
              <w:t>）</w:t>
            </w:r>
            <w:r>
              <w:rPr>
                <w:rFonts w:ascii="宋体" w:hAnsi="宋体" w:cs="宋体" w:eastAsia="宋体" w:hint="default"/>
                <w:sz w:val="18"/>
                <w:szCs w:val="18"/>
              </w:rPr>
              <w:t>公司董事会公告回购股份预案后</w:t>
            </w:r>
            <w:r>
              <w:rPr>
                <w:rFonts w:ascii="宋体" w:hAnsi="宋体" w:cs="宋体" w:eastAsia="宋体" w:hint="default"/>
                <w:spacing w:val="-24"/>
                <w:sz w:val="18"/>
                <w:szCs w:val="18"/>
              </w:rPr>
              <w:t>，</w:t>
            </w:r>
            <w:r>
              <w:rPr>
                <w:rFonts w:ascii="宋体" w:hAnsi="宋体" w:cs="宋体" w:eastAsia="宋体" w:hint="default"/>
                <w:sz w:val="18"/>
                <w:szCs w:val="18"/>
              </w:rPr>
              <w:t>公司</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股票若连续【五】个交易日收盘价均超过每股净资产时，公</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司董事会可以做出决议终止回购股份事宜。三、在稳定股价</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预案的停止条件满足时，即上述稳定股价措施尚未正式实施</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前或实施期间内，如公司股票连续五个交易日收盘价均高于</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每股净资产，或继续回购公司股份将导致公司股权分布不符</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合上市条件的，公司将停止实施稳定股价措施。四、在稳定</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股价启动条件触发时，如本公司未采取上述稳定股价的具体</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措施，本公司将在股东大会及中国证监会指定报刊上公开说</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明未采取上述稳定股价措施的具体原因并向公司股东和社</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会公众投资者致歉。五、本公司在未来聘任新的董事</w:t>
            </w:r>
            <w:r>
              <w:rPr>
                <w:rFonts w:ascii="Times New Roman" w:hAnsi="Times New Roman" w:cs="Times New Roman" w:eastAsia="Times New Roman" w:hint="default"/>
                <w:sz w:val="18"/>
                <w:szCs w:val="18"/>
              </w:rPr>
              <w:t>(</w:t>
            </w:r>
            <w:r>
              <w:rPr>
                <w:rFonts w:ascii="宋体" w:hAnsi="宋体" w:cs="宋体" w:eastAsia="宋体" w:hint="default"/>
                <w:sz w:val="18"/>
                <w:szCs w:val="18"/>
              </w:rPr>
              <w:t>独立</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董事除外</w:t>
            </w:r>
            <w:r>
              <w:rPr>
                <w:rFonts w:ascii="Times New Roman" w:hAnsi="Times New Roman" w:cs="Times New Roman" w:eastAsia="Times New Roman" w:hint="default"/>
                <w:sz w:val="18"/>
                <w:szCs w:val="18"/>
              </w:rPr>
              <w:t>)</w:t>
            </w:r>
            <w:r>
              <w:rPr>
                <w:rFonts w:ascii="宋体" w:hAnsi="宋体" w:cs="宋体" w:eastAsia="宋体" w:hint="default"/>
                <w:sz w:val="18"/>
                <w:szCs w:val="18"/>
              </w:rPr>
              <w:t>、高级管理人员前，将要求其签署承诺书，保证</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其履行公司首次公开发行上市时董事、高级管理人员已做出</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5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的相应承诺。</w:t>
            </w:r>
            <w:r>
              <w:rPr>
                <w:rFonts w:ascii="Times New Roman" w:hAnsi="Times New Roman" w:cs="Times New Roman" w:eastAsia="Times New Roman" w:hint="default"/>
                <w:sz w:val="18"/>
                <w:szCs w:val="18"/>
              </w:rPr>
              <w:t>"</w:t>
            </w:r>
          </w:p>
        </w:tc>
        <w:tc>
          <w:tcPr>
            <w:tcW w:w="1649" w:type="dxa"/>
            <w:vMerge/>
            <w:tcBorders>
              <w:left w:val="single" w:sz="4" w:space="0" w:color="000000"/>
              <w:bottom w:val="single" w:sz="4" w:space="0" w:color="000000"/>
              <w:right w:val="single" w:sz="4" w:space="0" w:color="000000"/>
            </w:tcBorders>
          </w:tcPr>
          <w:p>
            <w:pPr/>
          </w:p>
        </w:tc>
        <w:tc>
          <w:tcPr>
            <w:tcW w:w="1642" w:type="dxa"/>
            <w:vMerge/>
            <w:tcBorders>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r>
      <w:tr>
        <w:trPr>
          <w:trHeight w:val="360" w:hRule="exact"/>
        </w:trPr>
        <w:tc>
          <w:tcPr>
            <w:tcW w:w="1592"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558" w:type="dxa"/>
            <w:tcBorders>
              <w:top w:val="single" w:sz="4" w:space="0" w:color="000000"/>
              <w:left w:val="single" w:sz="4" w:space="0" w:color="000000"/>
              <w:bottom w:val="nil" w:sz="6" w:space="0" w:color="auto"/>
              <w:right w:val="single" w:sz="4" w:space="0" w:color="000000"/>
            </w:tcBorders>
          </w:tcPr>
          <w:p>
            <w:pPr/>
          </w:p>
        </w:tc>
        <w:tc>
          <w:tcPr>
            <w:tcW w:w="4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第一大股东、实际控制人关于稳定股价的承诺：一、本公</w:t>
            </w:r>
          </w:p>
        </w:tc>
        <w:tc>
          <w:tcPr>
            <w:tcW w:w="1649" w:type="dxa"/>
            <w:tcBorders>
              <w:top w:val="single" w:sz="4" w:space="0" w:color="000000"/>
              <w:left w:val="single" w:sz="4" w:space="0" w:color="000000"/>
              <w:bottom w:val="nil" w:sz="6" w:space="0" w:color="auto"/>
              <w:right w:val="single" w:sz="4" w:space="0" w:color="000000"/>
            </w:tcBorders>
          </w:tcPr>
          <w:p>
            <w:pPr/>
          </w:p>
        </w:tc>
        <w:tc>
          <w:tcPr>
            <w:tcW w:w="1642" w:type="dxa"/>
            <w:tcBorders>
              <w:top w:val="single" w:sz="4" w:space="0" w:color="000000"/>
              <w:left w:val="single" w:sz="4" w:space="0" w:color="000000"/>
              <w:bottom w:val="nil" w:sz="6" w:space="0" w:color="auto"/>
              <w:right w:val="single" w:sz="4" w:space="0" w:color="000000"/>
            </w:tcBorders>
          </w:tcPr>
          <w:p>
            <w:pPr/>
          </w:p>
        </w:tc>
        <w:tc>
          <w:tcPr>
            <w:tcW w:w="162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本人同意公司制定的关于首次公开发行人民币普通股（</w:t>
            </w:r>
            <w:r>
              <w:rPr>
                <w:rFonts w:ascii="Times New Roman" w:hAnsi="Times New Roman" w:cs="Times New Roman" w:eastAsia="Times New Roman" w:hint="default"/>
                <w:spacing w:val="-3"/>
                <w:sz w:val="18"/>
                <w:szCs w:val="18"/>
              </w:rPr>
              <w:t>A</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1868"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304" w:lineRule="auto" w:before="142"/>
              <w:ind w:left="24" w:right="59"/>
              <w:jc w:val="left"/>
              <w:rPr>
                <w:rFonts w:ascii="宋体" w:hAnsi="宋体" w:cs="宋体" w:eastAsia="宋体" w:hint="default"/>
                <w:sz w:val="18"/>
                <w:szCs w:val="18"/>
              </w:rPr>
            </w:pPr>
            <w:r>
              <w:rPr>
                <w:rFonts w:ascii="宋体" w:hAnsi="宋体" w:cs="宋体" w:eastAsia="宋体" w:hint="default"/>
                <w:sz w:val="18"/>
                <w:szCs w:val="18"/>
              </w:rPr>
              <w:t>李朝莉</w:t>
            </w:r>
            <w:r>
              <w:rPr>
                <w:rFonts w:ascii="Times New Roman" w:hAnsi="Times New Roman" w:cs="Times New Roman" w:eastAsia="Times New Roman" w:hint="default"/>
                <w:sz w:val="18"/>
                <w:szCs w:val="18"/>
              </w:rPr>
              <w:t>;</w:t>
            </w:r>
            <w:r>
              <w:rPr>
                <w:rFonts w:ascii="宋体" w:hAnsi="宋体" w:cs="宋体" w:eastAsia="宋体" w:hint="default"/>
                <w:sz w:val="18"/>
                <w:szCs w:val="18"/>
              </w:rPr>
              <w:t>李娜</w:t>
            </w:r>
            <w:r>
              <w:rPr>
                <w:rFonts w:ascii="Times New Roman" w:hAnsi="Times New Roman" w:cs="Times New Roman" w:eastAsia="Times New Roman" w:hint="default"/>
                <w:sz w:val="18"/>
                <w:szCs w:val="18"/>
              </w:rPr>
              <w:t>;</w:t>
            </w:r>
            <w:r>
              <w:rPr>
                <w:rFonts w:ascii="宋体" w:hAnsi="宋体" w:cs="宋体" w:eastAsia="宋体" w:hint="default"/>
                <w:sz w:val="18"/>
                <w:szCs w:val="18"/>
              </w:rPr>
              <w:t>刘 咏平</w:t>
            </w:r>
            <w:r>
              <w:rPr>
                <w:rFonts w:ascii="Times New Roman" w:hAnsi="Times New Roman" w:cs="Times New Roman" w:eastAsia="Times New Roman" w:hint="default"/>
                <w:sz w:val="18"/>
                <w:szCs w:val="18"/>
              </w:rPr>
              <w:t>;</w:t>
            </w:r>
            <w:r>
              <w:rPr>
                <w:rFonts w:ascii="宋体" w:hAnsi="宋体" w:cs="宋体" w:eastAsia="宋体" w:hint="default"/>
                <w:sz w:val="18"/>
                <w:szCs w:val="18"/>
              </w:rPr>
              <w:t>罗瑞发</w:t>
            </w:r>
            <w:r>
              <w:rPr>
                <w:rFonts w:ascii="Times New Roman" w:hAnsi="Times New Roman" w:cs="Times New Roman" w:eastAsia="Times New Roman" w:hint="default"/>
                <w:sz w:val="18"/>
                <w:szCs w:val="18"/>
              </w:rPr>
              <w:t>;</w:t>
            </w:r>
            <w:r>
              <w:rPr>
                <w:rFonts w:ascii="宋体" w:hAnsi="宋体" w:cs="宋体" w:eastAsia="宋体" w:hint="default"/>
                <w:sz w:val="18"/>
                <w:szCs w:val="18"/>
              </w:rPr>
              <w:t>深 圳市敏行电子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王明 宽</w:t>
            </w:r>
            <w:r>
              <w:rPr>
                <w:rFonts w:ascii="Times New Roman" w:hAnsi="Times New Roman" w:cs="Times New Roman" w:eastAsia="Times New Roman" w:hint="default"/>
                <w:sz w:val="18"/>
                <w:szCs w:val="18"/>
              </w:rPr>
              <w:t>;</w:t>
            </w:r>
            <w:r>
              <w:rPr>
                <w:rFonts w:ascii="宋体" w:hAnsi="宋体" w:cs="宋体" w:eastAsia="宋体" w:hint="default"/>
                <w:sz w:val="18"/>
                <w:szCs w:val="18"/>
              </w:rPr>
              <w:t>杨成</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稳定股价承诺</w:t>
            </w: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319" w:lineRule="auto" w:before="5"/>
              <w:ind w:left="24" w:right="21"/>
              <w:jc w:val="both"/>
              <w:rPr>
                <w:rFonts w:ascii="宋体" w:hAnsi="宋体" w:cs="宋体" w:eastAsia="宋体" w:hint="default"/>
                <w:sz w:val="18"/>
                <w:szCs w:val="18"/>
              </w:rPr>
            </w:pPr>
            <w:r>
              <w:rPr>
                <w:rFonts w:ascii="宋体" w:hAnsi="宋体" w:cs="宋体" w:eastAsia="宋体" w:hint="default"/>
                <w:spacing w:val="-3"/>
                <w:sz w:val="18"/>
                <w:szCs w:val="18"/>
              </w:rPr>
              <w:t>股）并上市后三年内稳定股价的预案，并承诺于公司为稳定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股价启动股份回购的董事会及股东大会投赞成票；二、在稳</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定股价预案的启动条件满足时，即自公司股票正式挂牌上市</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之日起三年内，当某一年度首次出现公司股票连续二十个交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易日的收盘价（如果因派发现金红利、送股、转增股本、增</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发新股、配股等原因进行除权、除息的，须按照深圳证券交</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易所的有关规定作相应调整，下同）低于公司上一个会计年</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592"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度末经审计的每股净资产（每股净资产</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合并财务报表中的</w:t>
            </w:r>
          </w:p>
        </w:tc>
        <w:tc>
          <w:tcPr>
            <w:tcW w:w="1649"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single" w:sz="4" w:space="0" w:color="000000"/>
            </w:tcBorders>
          </w:tcPr>
          <w:p>
            <w:pPr/>
          </w:p>
        </w:tc>
        <w:tc>
          <w:tcPr>
            <w:tcW w:w="1625"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r>
        <w:rPr/>
        <w:pict>
          <v:shape style="position:absolute;margin-left:384.776001pt;margin-top:57.236008pt;width:223.15pt;height:454.45pt;mso-position-horizontal-relative:page;mso-position-vertical-relative:page;z-index:-15318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45"/>
                    <w:ind w:left="0" w:right="0"/>
                    <w:jc w:val="left"/>
                  </w:pPr>
                  <w:r>
                    <w:rPr/>
                    <w:t>在启动股价稳定措施的条件满足时，</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6"/>
                      <w:szCs w:val="16"/>
                    </w:rPr>
                  </w:pPr>
                </w:p>
                <w:p>
                  <w:pPr>
                    <w:pStyle w:val="BodyText"/>
                    <w:spacing w:line="240" w:lineRule="auto"/>
                    <w:ind w:left="757" w:right="0"/>
                    <w:jc w:val="center"/>
                  </w:pPr>
                  <w:r>
                    <w:rPr/>
                    <w:t>（二）</w:t>
                  </w:r>
                </w:p>
              </w:txbxContent>
            </v:textbox>
            <w10:wrap type="none"/>
          </v:shape>
        </w:pict>
      </w:r>
    </w:p>
    <w:tbl>
      <w:tblPr>
        <w:tblW w:w="0" w:type="auto"/>
        <w:jc w:val="left"/>
        <w:tblInd w:w="106" w:type="dxa"/>
        <w:tblLayout w:type="fixed"/>
        <w:tblCellMar>
          <w:top w:w="0" w:type="dxa"/>
          <w:left w:w="0" w:type="dxa"/>
          <w:bottom w:w="0" w:type="dxa"/>
          <w:right w:w="0" w:type="dxa"/>
        </w:tblCellMar>
        <w:tblLook w:val="01E0"/>
      </w:tblPr>
      <w:tblGrid>
        <w:gridCol w:w="1592"/>
        <w:gridCol w:w="1274"/>
        <w:gridCol w:w="1558"/>
        <w:gridCol w:w="4678"/>
        <w:gridCol w:w="1649"/>
        <w:gridCol w:w="1642"/>
        <w:gridCol w:w="1625"/>
      </w:tblGrid>
      <w:tr>
        <w:trPr>
          <w:trHeight w:val="337" w:hRule="exact"/>
        </w:trPr>
        <w:tc>
          <w:tcPr>
            <w:tcW w:w="1592" w:type="dxa"/>
            <w:vMerge w:val="restart"/>
            <w:tcBorders>
              <w:top w:val="single" w:sz="15" w:space="0" w:color="000000"/>
              <w:left w:val="single" w:sz="4" w:space="0" w:color="000000"/>
              <w:right w:val="single" w:sz="4" w:space="0" w:color="000000"/>
            </w:tcBorders>
            <w:shd w:val="clear" w:color="auto" w:fill="D2D2D2"/>
          </w:tcPr>
          <w:p>
            <w:pPr/>
          </w:p>
        </w:tc>
        <w:tc>
          <w:tcPr>
            <w:tcW w:w="1274" w:type="dxa"/>
            <w:vMerge w:val="restart"/>
            <w:tcBorders>
              <w:top w:val="single" w:sz="15" w:space="0" w:color="000000"/>
              <w:left w:val="single" w:sz="4" w:space="0" w:color="000000"/>
              <w:right w:val="single" w:sz="4" w:space="0" w:color="000000"/>
            </w:tcBorders>
          </w:tcPr>
          <w:p>
            <w:pPr/>
          </w:p>
        </w:tc>
        <w:tc>
          <w:tcPr>
            <w:tcW w:w="1558" w:type="dxa"/>
            <w:vMerge w:val="restart"/>
            <w:tcBorders>
              <w:top w:val="single" w:sz="15" w:space="0" w:color="000000"/>
              <w:left w:val="single" w:sz="4" w:space="0" w:color="000000"/>
              <w:right w:val="single" w:sz="4" w:space="0" w:color="000000"/>
            </w:tcBorders>
          </w:tcPr>
          <w:p>
            <w:pPr/>
          </w:p>
        </w:tc>
        <w:tc>
          <w:tcPr>
            <w:tcW w:w="4678"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归属于母公司普通股股东权益合计数</w:t>
            </w:r>
            <w:r>
              <w:rPr>
                <w:rFonts w:ascii="Times New Roman" w:hAnsi="Times New Roman" w:cs="Times New Roman" w:eastAsia="Times New Roman" w:hint="default"/>
                <w:sz w:val="18"/>
                <w:szCs w:val="18"/>
              </w:rPr>
              <w:t>÷</w:t>
            </w:r>
            <w:r>
              <w:rPr>
                <w:rFonts w:ascii="宋体" w:hAnsi="宋体" w:cs="宋体" w:eastAsia="宋体" w:hint="default"/>
                <w:sz w:val="18"/>
                <w:szCs w:val="18"/>
              </w:rPr>
              <w:t>年末公司股份总数，</w:t>
            </w:r>
          </w:p>
        </w:tc>
        <w:tc>
          <w:tcPr>
            <w:tcW w:w="1649" w:type="dxa"/>
            <w:vMerge w:val="restart"/>
            <w:tcBorders>
              <w:top w:val="single" w:sz="15" w:space="0" w:color="000000"/>
              <w:left w:val="single" w:sz="4" w:space="0" w:color="000000"/>
              <w:right w:val="single" w:sz="4" w:space="0" w:color="000000"/>
            </w:tcBorders>
          </w:tcPr>
          <w:p>
            <w:pPr>
              <w:pStyle w:val="TableParagraph"/>
              <w:spacing w:line="908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1"/>
                <w:sz w:val="20"/>
                <w:szCs w:val="20"/>
              </w:rPr>
              <w:pict>
                <v:group style="width:82pt;height:454.45pt;mso-position-horizontal-relative:char;mso-position-vertical-relative:line" coordorigin="0,0" coordsize="1640,9089">
                  <v:group style="position:absolute;left:0;top:0;width:1640;height:9089" coordorigin="0,0" coordsize="1640,9089">
                    <v:shape style="position:absolute;left:0;top:0;width:1640;height:9089" coordorigin="0,0" coordsize="1640,9089" path="m0,9088l1640,9088,1640,0,0,0,0,9088xe" filled="true" fillcolor="#ffffff" stroked="false">
                      <v:path arrowok="t"/>
                      <v:fill type="solid"/>
                    </v:shape>
                  </v:group>
                </v:group>
              </w:pict>
            </w:r>
            <w:r>
              <w:rPr>
                <w:rFonts w:ascii="Times New Roman" w:hAnsi="Times New Roman" w:cs="Times New Roman" w:eastAsia="Times New Roman" w:hint="default"/>
                <w:position w:val="-181"/>
                <w:sz w:val="20"/>
                <w:szCs w:val="20"/>
              </w:rPr>
            </w:r>
          </w:p>
        </w:tc>
        <w:tc>
          <w:tcPr>
            <w:tcW w:w="1642" w:type="dxa"/>
            <w:vMerge w:val="restart"/>
            <w:tcBorders>
              <w:top w:val="single" w:sz="15" w:space="0" w:color="000000"/>
              <w:left w:val="single" w:sz="4" w:space="0" w:color="000000"/>
              <w:right w:val="single" w:sz="4" w:space="0" w:color="000000"/>
            </w:tcBorders>
          </w:tcPr>
          <w:p>
            <w:pPr/>
          </w:p>
        </w:tc>
        <w:tc>
          <w:tcPr>
            <w:tcW w:w="1625" w:type="dxa"/>
            <w:vMerge w:val="restart"/>
            <w:tcBorders>
              <w:top w:val="single" w:sz="15" w:space="0" w:color="000000"/>
              <w:left w:val="single" w:sz="4" w:space="0" w:color="000000"/>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下同）的情形时，若公司无法实施回购股票，或公司回购股</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票议案未获得董事会或股东大会审议通过，或公司回购股票</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方案实施后再次触发稳定股价预案的启动条件，本公司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人将在符合《上市公司收购管理办法》等法律法规的条件和</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要求的前提下，通过交易所集中竞价交易方式，采取以下稳</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定股价的措施</w:t>
            </w:r>
            <w:r>
              <w:rPr>
                <w:rFonts w:ascii="宋体" w:hAnsi="宋体" w:cs="宋体" w:eastAsia="宋体" w:hint="default"/>
                <w:spacing w:val="-101"/>
                <w:sz w:val="18"/>
                <w:szCs w:val="18"/>
              </w:rPr>
              <w:t>：</w:t>
            </w:r>
            <w:r>
              <w:rPr>
                <w:rFonts w:ascii="宋体" w:hAnsi="宋体" w:cs="宋体" w:eastAsia="宋体" w:hint="default"/>
                <w:sz w:val="18"/>
                <w:szCs w:val="18"/>
              </w:rPr>
              <w:t>（一</w:t>
            </w:r>
            <w:r>
              <w:rPr>
                <w:rFonts w:ascii="宋体" w:hAnsi="宋体" w:cs="宋体" w:eastAsia="宋体" w:hint="default"/>
                <w:spacing w:val="-10"/>
                <w:sz w:val="18"/>
                <w:szCs w:val="18"/>
              </w:rPr>
              <w:t>）</w:t>
            </w:r>
            <w:r>
              <w:rPr>
                <w:rFonts w:ascii="宋体" w:hAnsi="宋体" w:cs="宋体" w:eastAsia="宋体" w:hint="default"/>
                <w:sz w:val="18"/>
                <w:szCs w:val="18"/>
              </w:rPr>
              <w:t>本公</w:t>
            </w:r>
            <w:r>
              <w:rPr>
                <w:rFonts w:ascii="宋体" w:hAnsi="宋体" w:cs="宋体" w:eastAsia="宋体" w:hint="default"/>
                <w:spacing w:val="-1"/>
                <w:sz w:val="18"/>
                <w:szCs w:val="18"/>
              </w:rPr>
              <w:t>司</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本人在稳定股价启动条件触发</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十个交易日内，将本公司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本人拟增持股票的具体计划（内</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3"/>
                <w:sz w:val="18"/>
                <w:szCs w:val="18"/>
              </w:rPr>
              <w:t>容包括但不限于增持股数区间、计划的增持价格上限、完成</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时效等）以书面方式通知公司，并由公司在增持开始前三个</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交易日内予以公告。本公司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本人将自股价稳定方案公告之</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日起三个月内以自有资金在二级市场增持公司股份，其中设</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定的计划增持价格不高于公司上一个会计年度末经审计的</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每股净资产的</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1"/>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（二）本公司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本人为稳定股价之目的</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进行股票增持的，除应符合相关法律法规之要求外，还应符</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合下列各项：本公司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本人单次增持方案的增持股份数额不</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超过公司总股本的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，增持股份总额不超过公司总股本的</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。三、在稳定股价预案的停止条件满足时，即上述稳定</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股价措施尚未正式实施前或实施期间内，如公司股票连续五</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个交易日收盘价均高于每股净资产，或继续回购公司股份将</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导致公司股权分布不符合上市条件的，本公司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本人将停止</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实施稳定股价措施</w:t>
            </w:r>
            <w:r>
              <w:rPr>
                <w:rFonts w:ascii="宋体" w:hAnsi="宋体" w:cs="宋体" w:eastAsia="宋体" w:hint="default"/>
                <w:spacing w:val="-75"/>
                <w:sz w:val="18"/>
                <w:szCs w:val="18"/>
              </w:rPr>
              <w:t>。</w:t>
            </w:r>
            <w:r>
              <w:rPr>
                <w:rFonts w:ascii="宋体" w:hAnsi="宋体" w:cs="宋体" w:eastAsia="宋体" w:hint="default"/>
                <w:sz w:val="18"/>
                <w:szCs w:val="18"/>
              </w:rPr>
              <w:t>四、</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如本公司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本人未采取上述稳定股价的具体措施，本公司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人承诺接受以下约束措施</w:t>
            </w:r>
            <w:r>
              <w:rPr>
                <w:rFonts w:ascii="宋体" w:hAnsi="宋体" w:cs="宋体" w:eastAsia="宋体" w:hint="default"/>
                <w:spacing w:val="-101"/>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一</w:t>
            </w:r>
            <w:r>
              <w:rPr>
                <w:rFonts w:ascii="宋体" w:hAnsi="宋体" w:cs="宋体" w:eastAsia="宋体" w:hint="default"/>
                <w:spacing w:val="-10"/>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本人在公司股东大</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会及中国证监会指定报刊上公开说明未采取上述稳定股价</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措施的具体原因并向公司股东和社会公众投资者道歉。</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在前述事项发生之日起十个交易日内，公司可停止发放本公</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本人的现金分红，且本公司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本人持有的公司股份不得转</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53"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让，直至本公司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本人采取上述稳定股价措施并实施完毕。</w:t>
            </w:r>
            <w:r>
              <w:rPr>
                <w:rFonts w:ascii="Times New Roman" w:hAnsi="Times New Roman" w:cs="Times New Roman" w:eastAsia="Times New Roman" w:hint="default"/>
                <w:sz w:val="18"/>
                <w:szCs w:val="18"/>
              </w:rPr>
              <w:t>"</w:t>
            </w:r>
          </w:p>
        </w:tc>
        <w:tc>
          <w:tcPr>
            <w:tcW w:w="1649" w:type="dxa"/>
            <w:vMerge/>
            <w:tcBorders>
              <w:left w:val="single" w:sz="4" w:space="0" w:color="000000"/>
              <w:bottom w:val="single" w:sz="4" w:space="0" w:color="000000"/>
              <w:right w:val="single" w:sz="4" w:space="0" w:color="000000"/>
            </w:tcBorders>
          </w:tcPr>
          <w:p>
            <w:pPr/>
          </w:p>
        </w:tc>
        <w:tc>
          <w:tcPr>
            <w:tcW w:w="1642" w:type="dxa"/>
            <w:vMerge/>
            <w:tcBorders>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r>
      <w:tr>
        <w:trPr>
          <w:trHeight w:val="403" w:hRule="exact"/>
        </w:trPr>
        <w:tc>
          <w:tcPr>
            <w:tcW w:w="1592"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王丽娟</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稳定股价承诺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作为深圳市金溢科技股份有限公司（以下简称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2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592"/>
        <w:gridCol w:w="1274"/>
        <w:gridCol w:w="1558"/>
        <w:gridCol w:w="4678"/>
        <w:gridCol w:w="1649"/>
        <w:gridCol w:w="1642"/>
        <w:gridCol w:w="1625"/>
      </w:tblGrid>
      <w:tr>
        <w:trPr>
          <w:trHeight w:val="337" w:hRule="exact"/>
        </w:trPr>
        <w:tc>
          <w:tcPr>
            <w:tcW w:w="1592" w:type="dxa"/>
            <w:vMerge w:val="restart"/>
            <w:tcBorders>
              <w:top w:val="single" w:sz="15" w:space="0" w:color="000000"/>
              <w:left w:val="single" w:sz="4" w:space="0" w:color="000000"/>
              <w:right w:val="single" w:sz="4" w:space="0" w:color="000000"/>
            </w:tcBorders>
            <w:shd w:val="clear" w:color="auto" w:fill="D2D2D2"/>
          </w:tcPr>
          <w:p>
            <w:pPr/>
          </w:p>
        </w:tc>
        <w:tc>
          <w:tcPr>
            <w:tcW w:w="1274" w:type="dxa"/>
            <w:vMerge w:val="restart"/>
            <w:tcBorders>
              <w:top w:val="single" w:sz="15" w:space="0" w:color="000000"/>
              <w:left w:val="single" w:sz="4" w:space="0" w:color="000000"/>
              <w:right w:val="single" w:sz="4" w:space="0" w:color="000000"/>
            </w:tcBorders>
          </w:tcPr>
          <w:p>
            <w:pPr/>
          </w:p>
        </w:tc>
        <w:tc>
          <w:tcPr>
            <w:tcW w:w="1558" w:type="dxa"/>
            <w:vMerge w:val="restart"/>
            <w:tcBorders>
              <w:top w:val="single" w:sz="15" w:space="0" w:color="000000"/>
              <w:left w:val="single" w:sz="4" w:space="0" w:color="000000"/>
              <w:right w:val="single" w:sz="4" w:space="0" w:color="000000"/>
            </w:tcBorders>
          </w:tcPr>
          <w:p>
            <w:pPr/>
          </w:p>
        </w:tc>
        <w:tc>
          <w:tcPr>
            <w:tcW w:w="4678"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股东，根据中国证监会《关于进一步推进新股发行体制改革</w:t>
            </w:r>
          </w:p>
        </w:tc>
        <w:tc>
          <w:tcPr>
            <w:tcW w:w="1649" w:type="dxa"/>
            <w:vMerge w:val="restart"/>
            <w:tcBorders>
              <w:top w:val="single" w:sz="15" w:space="0" w:color="000000"/>
              <w:left w:val="single" w:sz="4" w:space="0" w:color="000000"/>
              <w:right w:val="single" w:sz="4" w:space="0" w:color="000000"/>
            </w:tcBorders>
          </w:tcPr>
          <w:p>
            <w:pPr/>
          </w:p>
        </w:tc>
        <w:tc>
          <w:tcPr>
            <w:tcW w:w="1642"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625" w:type="dxa"/>
            <w:vMerge w:val="restart"/>
            <w:tcBorders>
              <w:top w:val="single" w:sz="15" w:space="0" w:color="000000"/>
              <w:left w:val="single" w:sz="4" w:space="0" w:color="000000"/>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的意见》的相关规定，本人郑重承诺如下：一、本人同意公</w:t>
            </w:r>
          </w:p>
        </w:tc>
        <w:tc>
          <w:tcPr>
            <w:tcW w:w="1649" w:type="dxa"/>
            <w:vMerge/>
            <w:tcBorders>
              <w:left w:val="single" w:sz="4" w:space="0" w:color="000000"/>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vMerge/>
            <w:tcBorders>
              <w:left w:val="single" w:sz="4" w:space="0" w:color="000000"/>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司制定的关于首次公开发行人民币普通股（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7"/>
                <w:sz w:val="18"/>
                <w:szCs w:val="18"/>
              </w:rPr>
              <w:t> </w:t>
            </w:r>
            <w:r>
              <w:rPr>
                <w:rFonts w:ascii="宋体" w:hAnsi="宋体" w:cs="宋体" w:eastAsia="宋体" w:hint="default"/>
                <w:spacing w:val="-5"/>
                <w:sz w:val="18"/>
                <w:szCs w:val="18"/>
              </w:rPr>
              <w:t>股）并上市后</w:t>
            </w:r>
          </w:p>
        </w:tc>
        <w:tc>
          <w:tcPr>
            <w:tcW w:w="1649" w:type="dxa"/>
            <w:vMerge/>
            <w:tcBorders>
              <w:left w:val="single" w:sz="4" w:space="0" w:color="000000"/>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vMerge/>
            <w:tcBorders>
              <w:left w:val="single" w:sz="4" w:space="0" w:color="000000"/>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三年内稳定股价的预案，并承诺于公司为稳定股价启动股份</w:t>
            </w:r>
          </w:p>
        </w:tc>
        <w:tc>
          <w:tcPr>
            <w:tcW w:w="1649" w:type="dxa"/>
            <w:vMerge/>
            <w:tcBorders>
              <w:left w:val="single" w:sz="4" w:space="0" w:color="000000"/>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回购的股东大会投赞成票；二、在稳定股价预案的启动条件</w:t>
            </w:r>
          </w:p>
        </w:tc>
        <w:tc>
          <w:tcPr>
            <w:tcW w:w="1649" w:type="dxa"/>
            <w:vMerge/>
            <w:tcBorders>
              <w:left w:val="single" w:sz="4" w:space="0" w:color="000000"/>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满足时，即自公司股票正式挂牌上市之日起三年内，当某一</w:t>
            </w:r>
          </w:p>
        </w:tc>
        <w:tc>
          <w:tcPr>
            <w:tcW w:w="1649" w:type="dxa"/>
            <w:vMerge/>
            <w:tcBorders>
              <w:left w:val="single" w:sz="4" w:space="0" w:color="000000"/>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年度首次出现公司股票连续二十个交易日的收盘价（如果因</w:t>
            </w:r>
          </w:p>
        </w:tc>
        <w:tc>
          <w:tcPr>
            <w:tcW w:w="1649" w:type="dxa"/>
            <w:vMerge/>
            <w:tcBorders>
              <w:left w:val="single" w:sz="4" w:space="0" w:color="000000"/>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派发现金红利、送股、转增股本、增发新股、配股等原因进</w:t>
            </w:r>
          </w:p>
        </w:tc>
        <w:tc>
          <w:tcPr>
            <w:tcW w:w="1649" w:type="dxa"/>
            <w:vMerge/>
            <w:tcBorders>
              <w:left w:val="single" w:sz="4" w:space="0" w:color="000000"/>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行除权、除息的，须按照深圳证券交易所的有关规定作相应</w:t>
            </w:r>
          </w:p>
        </w:tc>
        <w:tc>
          <w:tcPr>
            <w:tcW w:w="1649" w:type="dxa"/>
            <w:vMerge/>
            <w:tcBorders>
              <w:left w:val="single" w:sz="4" w:space="0" w:color="000000"/>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调整，下同）低于公司上一个会计年度末经审计的每股净资</w:t>
            </w:r>
          </w:p>
        </w:tc>
        <w:tc>
          <w:tcPr>
            <w:tcW w:w="1649" w:type="dxa"/>
            <w:vMerge/>
            <w:tcBorders>
              <w:left w:val="single" w:sz="4" w:space="0" w:color="000000"/>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vMerge/>
            <w:tcBorders>
              <w:left w:val="single" w:sz="4" w:space="0" w:color="000000"/>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产（每股净资产</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合并财务报表中的归属于母公司普通股股</w:t>
            </w:r>
          </w:p>
        </w:tc>
        <w:tc>
          <w:tcPr>
            <w:tcW w:w="1649" w:type="dxa"/>
            <w:vMerge/>
            <w:tcBorders>
              <w:left w:val="single" w:sz="4" w:space="0" w:color="000000"/>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东权益合计数</w:t>
            </w:r>
            <w:r>
              <w:rPr>
                <w:rFonts w:ascii="Times New Roman" w:hAnsi="Times New Roman" w:cs="Times New Roman" w:eastAsia="Times New Roman" w:hint="default"/>
                <w:sz w:val="18"/>
                <w:szCs w:val="18"/>
              </w:rPr>
              <w:t>÷</w:t>
            </w:r>
            <w:r>
              <w:rPr>
                <w:rFonts w:ascii="宋体" w:hAnsi="宋体" w:cs="宋体" w:eastAsia="宋体" w:hint="default"/>
                <w:sz w:val="18"/>
                <w:szCs w:val="18"/>
              </w:rPr>
              <w:t>年末公司股份总数，下同）的情形时，若公</w:t>
            </w:r>
          </w:p>
        </w:tc>
        <w:tc>
          <w:tcPr>
            <w:tcW w:w="1649" w:type="dxa"/>
            <w:vMerge/>
            <w:tcBorders>
              <w:left w:val="single" w:sz="4" w:space="0" w:color="000000"/>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vMerge/>
            <w:tcBorders>
              <w:left w:val="single" w:sz="4" w:space="0" w:color="000000"/>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司无法实施回购股票，或公司回购股票议案未获得董事会或</w:t>
            </w:r>
          </w:p>
        </w:tc>
        <w:tc>
          <w:tcPr>
            <w:tcW w:w="1649" w:type="dxa"/>
            <w:vMerge/>
            <w:tcBorders>
              <w:left w:val="single" w:sz="4" w:space="0" w:color="000000"/>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股东大会审议通过，或公司回购股票方案实施后再次触发稳</w:t>
            </w:r>
          </w:p>
        </w:tc>
        <w:tc>
          <w:tcPr>
            <w:tcW w:w="1649" w:type="dxa"/>
            <w:vMerge/>
            <w:tcBorders>
              <w:left w:val="single" w:sz="4" w:space="0" w:color="000000"/>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定股价预案的启动条件，本人将在符合《上市公司收购管理</w:t>
            </w:r>
          </w:p>
        </w:tc>
        <w:tc>
          <w:tcPr>
            <w:tcW w:w="1649" w:type="dxa"/>
            <w:vMerge/>
            <w:tcBorders>
              <w:left w:val="single" w:sz="4" w:space="0" w:color="000000"/>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办法》等法律法规的条件和要求的前提下，通过交易所集中</w:t>
            </w:r>
          </w:p>
        </w:tc>
        <w:tc>
          <w:tcPr>
            <w:tcW w:w="1649" w:type="dxa"/>
            <w:vMerge/>
            <w:tcBorders>
              <w:left w:val="single" w:sz="4" w:space="0" w:color="000000"/>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竞价交易方式，采取以下稳定股价的措施</w:t>
            </w:r>
            <w:r>
              <w:rPr>
                <w:rFonts w:ascii="宋体" w:hAnsi="宋体" w:cs="宋体" w:eastAsia="宋体" w:hint="default"/>
                <w:spacing w:val="-92"/>
                <w:sz w:val="18"/>
                <w:szCs w:val="18"/>
              </w:rPr>
              <w:t>：</w:t>
            </w:r>
            <w:r>
              <w:rPr>
                <w:rFonts w:ascii="宋体" w:hAnsi="宋体" w:cs="宋体" w:eastAsia="宋体" w:hint="default"/>
                <w:sz w:val="18"/>
                <w:szCs w:val="18"/>
              </w:rPr>
              <w:t>（一）本人在稳</w:t>
            </w:r>
          </w:p>
        </w:tc>
        <w:tc>
          <w:tcPr>
            <w:tcW w:w="1649" w:type="dxa"/>
            <w:vMerge/>
            <w:tcBorders>
              <w:left w:val="single" w:sz="4" w:space="0" w:color="000000"/>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定股价启动条件触发十个交易日内，将本人拟增持股票的具</w:t>
            </w:r>
          </w:p>
        </w:tc>
        <w:tc>
          <w:tcPr>
            <w:tcW w:w="1649" w:type="dxa"/>
            <w:vMerge/>
            <w:tcBorders>
              <w:left w:val="single" w:sz="4" w:space="0" w:color="000000"/>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体计划（内容包括但不限于增持股数区间、计划的增持价格</w:t>
            </w:r>
          </w:p>
        </w:tc>
        <w:tc>
          <w:tcPr>
            <w:tcW w:w="1649" w:type="dxa"/>
            <w:vMerge/>
            <w:tcBorders>
              <w:left w:val="single" w:sz="4" w:space="0" w:color="000000"/>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上限、完成时效等）以书面方式通知公司，并由公司在增持</w:t>
            </w:r>
          </w:p>
        </w:tc>
        <w:tc>
          <w:tcPr>
            <w:tcW w:w="1649" w:type="dxa"/>
            <w:vMerge/>
            <w:tcBorders>
              <w:left w:val="single" w:sz="4" w:space="0" w:color="000000"/>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开始前三个交易日内予以公告。本人将自股价稳定方案公告</w:t>
            </w:r>
          </w:p>
        </w:tc>
        <w:tc>
          <w:tcPr>
            <w:tcW w:w="1649" w:type="dxa"/>
            <w:vMerge/>
            <w:tcBorders>
              <w:left w:val="single" w:sz="4" w:space="0" w:color="000000"/>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之日起三个月内以自有资金在二级市场增持公司股份，其中</w:t>
            </w:r>
          </w:p>
        </w:tc>
        <w:tc>
          <w:tcPr>
            <w:tcW w:w="1649" w:type="dxa"/>
            <w:vMerge/>
            <w:tcBorders>
              <w:left w:val="single" w:sz="4" w:space="0" w:color="000000"/>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设定的计划增持价格不高于公司上一个会计年度末经审计</w:t>
            </w:r>
          </w:p>
        </w:tc>
        <w:tc>
          <w:tcPr>
            <w:tcW w:w="1649" w:type="dxa"/>
            <w:vMerge/>
            <w:tcBorders>
              <w:left w:val="single" w:sz="4" w:space="0" w:color="000000"/>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vMerge/>
            <w:tcBorders>
              <w:left w:val="single" w:sz="4" w:space="0" w:color="000000"/>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的每股净资产的</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1"/>
                <w:sz w:val="18"/>
                <w:szCs w:val="18"/>
              </w:rPr>
              <w:t>%</w:t>
            </w:r>
            <w:r>
              <w:rPr>
                <w:rFonts w:ascii="宋体" w:hAnsi="宋体" w:cs="宋体" w:eastAsia="宋体" w:hint="default"/>
                <w:spacing w:val="-125"/>
                <w:sz w:val="18"/>
                <w:szCs w:val="18"/>
              </w:rPr>
              <w:t>。</w:t>
            </w:r>
            <w:r>
              <w:rPr>
                <w:rFonts w:ascii="宋体" w:hAnsi="宋体" w:cs="宋体" w:eastAsia="宋体" w:hint="default"/>
                <w:sz w:val="18"/>
                <w:szCs w:val="18"/>
              </w:rPr>
              <w:t>（二</w:t>
            </w:r>
            <w:r>
              <w:rPr>
                <w:rFonts w:ascii="宋体" w:hAnsi="宋体" w:cs="宋体" w:eastAsia="宋体" w:hint="default"/>
                <w:spacing w:val="-34"/>
                <w:sz w:val="18"/>
                <w:szCs w:val="18"/>
              </w:rPr>
              <w:t>）</w:t>
            </w:r>
            <w:r>
              <w:rPr>
                <w:rFonts w:ascii="宋体" w:hAnsi="宋体" w:cs="宋体" w:eastAsia="宋体" w:hint="default"/>
                <w:sz w:val="18"/>
                <w:szCs w:val="18"/>
              </w:rPr>
              <w:t>本人为稳定股价之目的进行股</w:t>
            </w:r>
          </w:p>
        </w:tc>
        <w:tc>
          <w:tcPr>
            <w:tcW w:w="1649" w:type="dxa"/>
            <w:vMerge/>
            <w:tcBorders>
              <w:left w:val="single" w:sz="4" w:space="0" w:color="000000"/>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vMerge/>
            <w:tcBorders>
              <w:left w:val="single" w:sz="4" w:space="0" w:color="000000"/>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票增持的，除应符合相关法律法规之要求外，还应符合下列</w:t>
            </w:r>
          </w:p>
        </w:tc>
        <w:tc>
          <w:tcPr>
            <w:tcW w:w="1649" w:type="dxa"/>
            <w:vMerge/>
            <w:tcBorders>
              <w:left w:val="single" w:sz="4" w:space="0" w:color="000000"/>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各项：本人单次增持方案的增持股份数额不超过公司总股本</w:t>
            </w:r>
          </w:p>
        </w:tc>
        <w:tc>
          <w:tcPr>
            <w:tcW w:w="1649" w:type="dxa"/>
            <w:vMerge/>
            <w:tcBorders>
              <w:left w:val="single" w:sz="4" w:space="0" w:color="000000"/>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vMerge/>
            <w:tcBorders>
              <w:left w:val="single" w:sz="4" w:space="0" w:color="000000"/>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，增持股份总额不超过公司总股本的</w:t>
            </w:r>
            <w:r>
              <w:rPr>
                <w:rFonts w:ascii="宋体" w:hAnsi="宋体" w:cs="宋体" w:eastAsia="宋体" w:hint="default"/>
                <w:spacing w:val="-57"/>
                <w:sz w:val="18"/>
                <w:szCs w:val="18"/>
              </w:rPr>
              <w:t> </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。三、在稳定</w:t>
            </w:r>
          </w:p>
        </w:tc>
        <w:tc>
          <w:tcPr>
            <w:tcW w:w="1649" w:type="dxa"/>
            <w:vMerge/>
            <w:tcBorders>
              <w:left w:val="single" w:sz="4" w:space="0" w:color="000000"/>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vMerge/>
            <w:tcBorders>
              <w:left w:val="single" w:sz="4" w:space="0" w:color="000000"/>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股价预案的停止条件满足时，即上述稳定股价措施尚未正式</w:t>
            </w:r>
          </w:p>
        </w:tc>
        <w:tc>
          <w:tcPr>
            <w:tcW w:w="1649" w:type="dxa"/>
            <w:vMerge/>
            <w:tcBorders>
              <w:left w:val="single" w:sz="4" w:space="0" w:color="000000"/>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实施前或实施期间内，如公司股票连续五个交易日收盘价均</w:t>
            </w:r>
          </w:p>
        </w:tc>
        <w:tc>
          <w:tcPr>
            <w:tcW w:w="1649" w:type="dxa"/>
            <w:vMerge/>
            <w:tcBorders>
              <w:left w:val="single" w:sz="4" w:space="0" w:color="000000"/>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vMerge/>
            <w:tcBorders>
              <w:left w:val="single" w:sz="4" w:space="0" w:color="000000"/>
              <w:right w:val="single" w:sz="4" w:space="0" w:color="000000"/>
            </w:tcBorders>
          </w:tcPr>
          <w:p>
            <w:pPr/>
          </w:p>
        </w:tc>
      </w:tr>
      <w:tr>
        <w:trPr>
          <w:trHeight w:val="319" w:hRule="exact"/>
        </w:trPr>
        <w:tc>
          <w:tcPr>
            <w:tcW w:w="1592"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高于每股净资产，或继续回购公司股份将导致公司股权分布</w:t>
            </w:r>
          </w:p>
        </w:tc>
        <w:tc>
          <w:tcPr>
            <w:tcW w:w="1649" w:type="dxa"/>
            <w:vMerge/>
            <w:tcBorders>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r>
        <w:rPr/>
        <w:pict>
          <v:group style="position:absolute;margin-left:525.909973pt;margin-top:184.466003pt;width:82pt;height:345.35pt;mso-position-horizontal-relative:page;mso-position-vertical-relative:page;z-index:-1531864" coordorigin="10518,3689" coordsize="1640,6907">
            <v:group style="position:absolute;left:10518;top:3689;width:1640;height:6907" coordorigin="10518,3689" coordsize="1640,6907">
              <v:shape style="position:absolute;left:10518;top:3689;width:1640;height:6907" coordorigin="10518,3689" coordsize="1640,6907" path="m10518,10596l12158,10596,12158,3689,10518,3689,10518,10596xe" filled="true" fillcolor="#ffffff" stroked="false">
                <v:path arrowok="t"/>
                <v:fill type="solid"/>
              </v:shape>
            </v:group>
            <v:group style="position:absolute;left:10542;top:6947;width:1592;height:392" coordorigin="10542,6947" coordsize="1592,392">
              <v:shape style="position:absolute;left:10542;top:6947;width:1592;height:392" coordorigin="10542,6947" coordsize="1592,392" path="m10542,7338l12134,7338,12134,6947,10542,6947,10542,7338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1592"/>
        <w:gridCol w:w="1274"/>
        <w:gridCol w:w="1558"/>
        <w:gridCol w:w="4678"/>
        <w:gridCol w:w="1649"/>
        <w:gridCol w:w="1642"/>
        <w:gridCol w:w="1625"/>
      </w:tblGrid>
      <w:tr>
        <w:trPr>
          <w:trHeight w:val="332" w:hRule="exact"/>
        </w:trPr>
        <w:tc>
          <w:tcPr>
            <w:tcW w:w="1592" w:type="dxa"/>
            <w:vMerge w:val="restart"/>
            <w:tcBorders>
              <w:top w:val="single" w:sz="15" w:space="0" w:color="000000"/>
              <w:left w:val="single" w:sz="4" w:space="0" w:color="000000"/>
              <w:right w:val="single" w:sz="4" w:space="0" w:color="000000"/>
            </w:tcBorders>
            <w:shd w:val="clear" w:color="auto" w:fill="D2D2D2"/>
          </w:tcPr>
          <w:p>
            <w:pPr/>
          </w:p>
        </w:tc>
        <w:tc>
          <w:tcPr>
            <w:tcW w:w="1274" w:type="dxa"/>
            <w:vMerge w:val="restart"/>
            <w:tcBorders>
              <w:top w:val="single" w:sz="15" w:space="0" w:color="000000"/>
              <w:left w:val="single" w:sz="4" w:space="0" w:color="000000"/>
              <w:right w:val="single" w:sz="4" w:space="0" w:color="000000"/>
            </w:tcBorders>
          </w:tcPr>
          <w:p>
            <w:pPr/>
          </w:p>
        </w:tc>
        <w:tc>
          <w:tcPr>
            <w:tcW w:w="1558" w:type="dxa"/>
            <w:vMerge w:val="restart"/>
            <w:tcBorders>
              <w:top w:val="single" w:sz="15" w:space="0" w:color="000000"/>
              <w:left w:val="single" w:sz="4" w:space="0" w:color="000000"/>
              <w:right w:val="single" w:sz="4" w:space="0" w:color="000000"/>
            </w:tcBorders>
          </w:tcPr>
          <w:p>
            <w:pPr/>
          </w:p>
        </w:tc>
        <w:tc>
          <w:tcPr>
            <w:tcW w:w="4678"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不符合上市条件的，本人将停止实施稳定股价措施。四、在</w:t>
            </w:r>
          </w:p>
        </w:tc>
        <w:tc>
          <w:tcPr>
            <w:tcW w:w="1649" w:type="dxa"/>
            <w:vMerge w:val="restart"/>
            <w:tcBorders>
              <w:top w:val="single" w:sz="15" w:space="0" w:color="000000"/>
              <w:left w:val="single" w:sz="4" w:space="0" w:color="000000"/>
              <w:right w:val="single" w:sz="4" w:space="0" w:color="000000"/>
            </w:tcBorders>
          </w:tcPr>
          <w:p>
            <w:pPr/>
          </w:p>
        </w:tc>
        <w:tc>
          <w:tcPr>
            <w:tcW w:w="1642" w:type="dxa"/>
            <w:vMerge w:val="restart"/>
            <w:tcBorders>
              <w:top w:val="single" w:sz="15" w:space="0" w:color="000000"/>
              <w:left w:val="single" w:sz="4" w:space="0" w:color="000000"/>
              <w:right w:val="single" w:sz="4" w:space="0" w:color="000000"/>
            </w:tcBorders>
          </w:tcPr>
          <w:p>
            <w:pPr/>
          </w:p>
        </w:tc>
        <w:tc>
          <w:tcPr>
            <w:tcW w:w="1625" w:type="dxa"/>
            <w:vMerge w:val="restart"/>
            <w:tcBorders>
              <w:top w:val="single" w:sz="15" w:space="0" w:color="000000"/>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启动股价稳定措施的条件满足时，如本人未采取上述稳定股</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价的具体措施，本人承诺接受以下约束措施</w:t>
            </w:r>
            <w:r>
              <w:rPr>
                <w:rFonts w:ascii="宋体" w:hAnsi="宋体" w:cs="宋体" w:eastAsia="宋体" w:hint="default"/>
                <w:spacing w:val="-92"/>
                <w:sz w:val="18"/>
                <w:szCs w:val="18"/>
              </w:rPr>
              <w:t>：</w:t>
            </w:r>
            <w:r>
              <w:rPr>
                <w:rFonts w:ascii="宋体" w:hAnsi="宋体" w:cs="宋体" w:eastAsia="宋体" w:hint="default"/>
                <w:sz w:val="18"/>
                <w:szCs w:val="18"/>
              </w:rPr>
              <w:t>（一）本人在</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公司股东大会及中国证监会指定报刊上公开说明未采取上</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述稳定股价措施的具体原因并向公司股东和社会公众投资</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者道歉</w:t>
            </w:r>
            <w:r>
              <w:rPr>
                <w:rFonts w:ascii="宋体" w:hAnsi="宋体" w:cs="宋体" w:eastAsia="宋体" w:hint="default"/>
                <w:spacing w:val="-92"/>
                <w:sz w:val="18"/>
                <w:szCs w:val="18"/>
              </w:rPr>
              <w:t>。</w:t>
            </w:r>
            <w:r>
              <w:rPr>
                <w:rFonts w:ascii="宋体" w:hAnsi="宋体" w:cs="宋体" w:eastAsia="宋体" w:hint="default"/>
                <w:sz w:val="18"/>
                <w:szCs w:val="18"/>
              </w:rPr>
              <w:t>（二）在前述事项发</w:t>
            </w:r>
            <w:r>
              <w:rPr>
                <w:rFonts w:ascii="宋体" w:hAnsi="宋体" w:cs="宋体" w:eastAsia="宋体" w:hint="default"/>
                <w:spacing w:val="2"/>
                <w:sz w:val="18"/>
                <w:szCs w:val="18"/>
              </w:rPr>
              <w:t>生</w:t>
            </w:r>
            <w:r>
              <w:rPr>
                <w:rFonts w:ascii="宋体" w:hAnsi="宋体" w:cs="宋体" w:eastAsia="宋体" w:hint="default"/>
                <w:sz w:val="18"/>
                <w:szCs w:val="18"/>
              </w:rPr>
              <w:t>之日起十个交易日内，公司</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可停止发放本人的现金分红，且本人持有的公司股份不得转</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5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让，直至本人采取上述稳定股价措施并实施完毕。</w:t>
            </w:r>
            <w:r>
              <w:rPr>
                <w:rFonts w:ascii="Times New Roman" w:hAnsi="Times New Roman" w:cs="Times New Roman" w:eastAsia="Times New Roman" w:hint="default"/>
                <w:sz w:val="18"/>
                <w:szCs w:val="18"/>
              </w:rPr>
              <w:t>"</w:t>
            </w:r>
          </w:p>
        </w:tc>
        <w:tc>
          <w:tcPr>
            <w:tcW w:w="1649" w:type="dxa"/>
            <w:vMerge/>
            <w:tcBorders>
              <w:left w:val="single" w:sz="4" w:space="0" w:color="000000"/>
              <w:bottom w:val="single" w:sz="4" w:space="0" w:color="000000"/>
              <w:right w:val="single" w:sz="4" w:space="0" w:color="000000"/>
            </w:tcBorders>
          </w:tcPr>
          <w:p>
            <w:pPr/>
          </w:p>
        </w:tc>
        <w:tc>
          <w:tcPr>
            <w:tcW w:w="1642" w:type="dxa"/>
            <w:vMerge/>
            <w:tcBorders>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r>
      <w:tr>
        <w:trPr>
          <w:trHeight w:val="361" w:hRule="exact"/>
        </w:trPr>
        <w:tc>
          <w:tcPr>
            <w:tcW w:w="1592"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558" w:type="dxa"/>
            <w:tcBorders>
              <w:top w:val="single" w:sz="4" w:space="0" w:color="000000"/>
              <w:left w:val="single" w:sz="4" w:space="0" w:color="000000"/>
              <w:bottom w:val="nil" w:sz="6" w:space="0" w:color="auto"/>
              <w:right w:val="single" w:sz="4" w:space="0" w:color="000000"/>
            </w:tcBorders>
          </w:tcPr>
          <w:p>
            <w:pPr/>
          </w:p>
        </w:tc>
        <w:tc>
          <w:tcPr>
            <w:tcW w:w="4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非独立董事、高级管理人员关于稳定股价的承诺：一、本</w:t>
            </w:r>
          </w:p>
        </w:tc>
        <w:tc>
          <w:tcPr>
            <w:tcW w:w="1649" w:type="dxa"/>
            <w:tcBorders>
              <w:top w:val="single" w:sz="4" w:space="0" w:color="000000"/>
              <w:left w:val="single" w:sz="4" w:space="0" w:color="000000"/>
              <w:bottom w:val="nil" w:sz="6" w:space="0" w:color="auto"/>
              <w:right w:val="single" w:sz="4" w:space="0" w:color="000000"/>
            </w:tcBorders>
          </w:tcPr>
          <w:p>
            <w:pPr/>
          </w:p>
        </w:tc>
        <w:tc>
          <w:tcPr>
            <w:tcW w:w="1642" w:type="dxa"/>
            <w:tcBorders>
              <w:top w:val="single" w:sz="4" w:space="0" w:color="000000"/>
              <w:left w:val="single" w:sz="4" w:space="0" w:color="000000"/>
              <w:bottom w:val="nil" w:sz="6" w:space="0" w:color="auto"/>
              <w:right w:val="single" w:sz="4" w:space="0" w:color="000000"/>
            </w:tcBorders>
          </w:tcPr>
          <w:p>
            <w:pPr/>
          </w:p>
        </w:tc>
        <w:tc>
          <w:tcPr>
            <w:tcW w:w="162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29"/>
              <w:jc w:val="left"/>
              <w:rPr>
                <w:rFonts w:ascii="宋体" w:hAnsi="宋体" w:cs="宋体" w:eastAsia="宋体" w:hint="default"/>
                <w:sz w:val="18"/>
                <w:szCs w:val="18"/>
              </w:rPr>
            </w:pPr>
            <w:r>
              <w:rPr>
                <w:rFonts w:ascii="宋体" w:hAnsi="宋体" w:cs="宋体" w:eastAsia="宋体" w:hint="default"/>
                <w:sz w:val="18"/>
                <w:szCs w:val="18"/>
              </w:rPr>
              <w:t>人同意公司制定的关于首次公开发行人民币普通股（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并上市后三年内稳定股价的预案，并承诺于公司为稳定股价</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启动股份回购的董事会上投赞成票。二、在稳定股价预案的</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启动条件满足时，即自公司股票正式挂牌上市之日起三年</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内，当某一年度首次出现公司股票连续二十个交易日的收盘</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价（如果因派发现金红利、送股、转增股本、增发新股、配</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股等原因进行除权、除息的，须按照深圳证券交易所的有关</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03"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规定作相应调整，下同）低于公司上一个会计年度末经审计</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蔡福春</w:t>
            </w:r>
            <w:r>
              <w:rPr>
                <w:rFonts w:ascii="Times New Roman" w:hAnsi="Times New Roman" w:cs="Times New Roman" w:eastAsia="Times New Roman" w:hint="default"/>
                <w:sz w:val="18"/>
                <w:szCs w:val="18"/>
              </w:rPr>
              <w:t>;</w:t>
            </w:r>
            <w:r>
              <w:rPr>
                <w:rFonts w:ascii="宋体" w:hAnsi="宋体" w:cs="宋体" w:eastAsia="宋体" w:hint="default"/>
                <w:sz w:val="18"/>
                <w:szCs w:val="18"/>
              </w:rPr>
              <w:t>李朝莉</w:t>
            </w:r>
            <w:r>
              <w:rPr>
                <w:rFonts w:ascii="Times New Roman" w:hAnsi="Times New Roman" w:cs="Times New Roman" w:eastAsia="Times New Roman" w:hint="default"/>
                <w:sz w:val="18"/>
                <w:szCs w:val="18"/>
              </w:rPr>
              <w:t>;</w:t>
            </w: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的每股净资产（每股净资产</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合并财务报表中的归属于母公</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619"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300" w:lineRule="auto"/>
              <w:ind w:left="24" w:right="58"/>
              <w:jc w:val="left"/>
              <w:rPr>
                <w:rFonts w:ascii="Times New Roman" w:hAnsi="Times New Roman" w:cs="Times New Roman" w:eastAsia="Times New Roman" w:hint="default"/>
                <w:sz w:val="18"/>
                <w:szCs w:val="18"/>
              </w:rPr>
            </w:pPr>
            <w:r>
              <w:rPr>
                <w:rFonts w:ascii="宋体" w:hAnsi="宋体" w:cs="宋体" w:eastAsia="宋体" w:hint="default"/>
                <w:sz w:val="18"/>
                <w:szCs w:val="18"/>
              </w:rPr>
              <w:t>刘厚军</w:t>
            </w:r>
            <w:r>
              <w:rPr>
                <w:rFonts w:ascii="Times New Roman" w:hAnsi="Times New Roman" w:cs="Times New Roman" w:eastAsia="Times New Roman" w:hint="default"/>
                <w:sz w:val="18"/>
                <w:szCs w:val="18"/>
              </w:rPr>
              <w:t>;</w:t>
            </w:r>
            <w:r>
              <w:rPr>
                <w:rFonts w:ascii="宋体" w:hAnsi="宋体" w:cs="宋体" w:eastAsia="宋体" w:hint="default"/>
                <w:sz w:val="18"/>
                <w:szCs w:val="18"/>
              </w:rPr>
              <w:t>刘咏平</w:t>
            </w:r>
            <w:r>
              <w:rPr>
                <w:rFonts w:ascii="Times New Roman" w:hAnsi="Times New Roman" w:cs="Times New Roman" w:eastAsia="Times New Roman" w:hint="default"/>
                <w:sz w:val="18"/>
                <w:szCs w:val="18"/>
              </w:rPr>
              <w:t>; </w:t>
            </w:r>
            <w:r>
              <w:rPr>
                <w:rFonts w:ascii="宋体" w:hAnsi="宋体" w:cs="宋体" w:eastAsia="宋体" w:hint="default"/>
                <w:sz w:val="18"/>
                <w:szCs w:val="18"/>
              </w:rPr>
              <w:t>罗瑞发</w:t>
            </w:r>
            <w:r>
              <w:rPr>
                <w:rFonts w:ascii="Times New Roman" w:hAnsi="Times New Roman" w:cs="Times New Roman" w:eastAsia="Times New Roman" w:hint="default"/>
                <w:sz w:val="18"/>
                <w:szCs w:val="18"/>
              </w:rPr>
              <w:t>;</w:t>
            </w:r>
            <w:r>
              <w:rPr>
                <w:rFonts w:ascii="宋体" w:hAnsi="宋体" w:cs="宋体" w:eastAsia="宋体" w:hint="default"/>
                <w:sz w:val="18"/>
                <w:szCs w:val="18"/>
              </w:rPr>
              <w:t>王明宽</w:t>
            </w:r>
            <w:r>
              <w:rPr>
                <w:rFonts w:ascii="Times New Roman" w:hAnsi="Times New Roman" w:cs="Times New Roman" w:eastAsia="Times New Roman" w:hint="default"/>
                <w:sz w:val="18"/>
                <w:szCs w:val="18"/>
              </w:rPr>
              <w:t>;</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稳定股价承诺</w:t>
            </w: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300" w:lineRule="auto" w:before="15"/>
              <w:ind w:left="24" w:right="21"/>
              <w:jc w:val="left"/>
              <w:rPr>
                <w:rFonts w:ascii="宋体" w:hAnsi="宋体" w:cs="宋体" w:eastAsia="宋体" w:hint="default"/>
                <w:sz w:val="18"/>
                <w:szCs w:val="18"/>
              </w:rPr>
            </w:pPr>
            <w:r>
              <w:rPr>
                <w:rFonts w:ascii="宋体" w:hAnsi="宋体" w:cs="宋体" w:eastAsia="宋体" w:hint="default"/>
                <w:sz w:val="18"/>
                <w:szCs w:val="18"/>
              </w:rPr>
              <w:t>司普通股股东权益合计数</w:t>
            </w:r>
            <w:r>
              <w:rPr>
                <w:rFonts w:ascii="Times New Roman" w:hAnsi="Times New Roman" w:cs="Times New Roman" w:eastAsia="Times New Roman" w:hint="default"/>
                <w:sz w:val="18"/>
                <w:szCs w:val="18"/>
              </w:rPr>
              <w:t>÷</w:t>
            </w:r>
            <w:r>
              <w:rPr>
                <w:rFonts w:ascii="宋体" w:hAnsi="宋体" w:cs="宋体" w:eastAsia="宋体" w:hint="default"/>
                <w:sz w:val="18"/>
                <w:szCs w:val="18"/>
              </w:rPr>
              <w:t>年末公司股份总数，下同）的情 </w:t>
            </w:r>
            <w:r>
              <w:rPr>
                <w:rFonts w:ascii="宋体" w:hAnsi="宋体" w:cs="宋体" w:eastAsia="宋体" w:hint="default"/>
                <w:spacing w:val="-3"/>
                <w:sz w:val="18"/>
                <w:szCs w:val="18"/>
              </w:rPr>
              <w:t>形时，若公司无法实施回购股票，或公司回购股票议案未获</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2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杨成</w:t>
            </w:r>
            <w:r>
              <w:rPr>
                <w:rFonts w:ascii="Times New Roman" w:hAnsi="Times New Roman" w:cs="Times New Roman" w:eastAsia="Times New Roman" w:hint="default"/>
                <w:sz w:val="18"/>
                <w:szCs w:val="18"/>
              </w:rPr>
              <w:t>;</w:t>
            </w:r>
            <w:r>
              <w:rPr>
                <w:rFonts w:ascii="宋体" w:hAnsi="宋体" w:cs="宋体" w:eastAsia="宋体" w:hint="default"/>
                <w:sz w:val="18"/>
                <w:szCs w:val="18"/>
              </w:rPr>
              <w:t>郑映虹</w:t>
            </w: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pacing w:val="-3"/>
                <w:sz w:val="18"/>
                <w:szCs w:val="18"/>
              </w:rPr>
              <w:t>得董事会或股东大会审议通过，或公司回购股票方案实施后</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再次触发稳定股价预案的启动条件，且公司第一大股东、实</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际控制人未及时提出或实施增持公司股票方案，或公司第一</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大股东、实际控制人增持公司股票方案实施后再次触发稳定</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股价预案的启动条件，本人将在符合《上市公司收购管理办</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法》及《上市公司董事、监事和高级管理人员所持本公司股</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36"/>
              <w:jc w:val="left"/>
              <w:rPr>
                <w:rFonts w:ascii="宋体" w:hAnsi="宋体" w:cs="宋体" w:eastAsia="宋体" w:hint="default"/>
                <w:sz w:val="18"/>
                <w:szCs w:val="18"/>
              </w:rPr>
            </w:pPr>
            <w:r>
              <w:rPr>
                <w:rFonts w:ascii="宋体" w:hAnsi="宋体" w:cs="宋体" w:eastAsia="宋体" w:hint="default"/>
                <w:sz w:val="18"/>
                <w:szCs w:val="18"/>
              </w:rPr>
              <w:t>份及其变动管理规则》等法律法规的条件和要求的前提下，</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36"/>
              <w:jc w:val="left"/>
              <w:rPr>
                <w:rFonts w:ascii="宋体" w:hAnsi="宋体" w:cs="宋体" w:eastAsia="宋体" w:hint="default"/>
                <w:sz w:val="18"/>
                <w:szCs w:val="18"/>
              </w:rPr>
            </w:pPr>
            <w:r>
              <w:rPr>
                <w:rFonts w:ascii="宋体" w:hAnsi="宋体" w:cs="宋体" w:eastAsia="宋体" w:hint="default"/>
                <w:sz w:val="18"/>
                <w:szCs w:val="18"/>
              </w:rPr>
              <w:t>通过交易所集中竞价交易方式，采取以下稳定股价的措施：</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（一）本人在稳定股价启动条件触发十个交易日内，将本人</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592"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36"/>
              <w:jc w:val="left"/>
              <w:rPr>
                <w:rFonts w:ascii="宋体" w:hAnsi="宋体" w:cs="宋体" w:eastAsia="宋体" w:hint="default"/>
                <w:sz w:val="18"/>
                <w:szCs w:val="18"/>
              </w:rPr>
            </w:pPr>
            <w:r>
              <w:rPr>
                <w:rFonts w:ascii="宋体" w:hAnsi="宋体" w:cs="宋体" w:eastAsia="宋体" w:hint="default"/>
                <w:sz w:val="18"/>
                <w:szCs w:val="18"/>
              </w:rPr>
              <w:t>拟增持股票的具体计划（内容包括但不限于增持股数区间、</w:t>
            </w:r>
          </w:p>
        </w:tc>
        <w:tc>
          <w:tcPr>
            <w:tcW w:w="1649"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single" w:sz="4" w:space="0" w:color="000000"/>
            </w:tcBorders>
          </w:tcPr>
          <w:p>
            <w:pPr/>
          </w:p>
        </w:tc>
        <w:tc>
          <w:tcPr>
            <w:tcW w:w="1625"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592"/>
        <w:gridCol w:w="1274"/>
        <w:gridCol w:w="1558"/>
        <w:gridCol w:w="4678"/>
        <w:gridCol w:w="1649"/>
        <w:gridCol w:w="1642"/>
        <w:gridCol w:w="1625"/>
      </w:tblGrid>
      <w:tr>
        <w:trPr>
          <w:trHeight w:val="332" w:hRule="exact"/>
        </w:trPr>
        <w:tc>
          <w:tcPr>
            <w:tcW w:w="1592" w:type="dxa"/>
            <w:vMerge w:val="restart"/>
            <w:tcBorders>
              <w:top w:val="single" w:sz="15" w:space="0" w:color="000000"/>
              <w:left w:val="single" w:sz="4" w:space="0" w:color="000000"/>
              <w:right w:val="single" w:sz="4" w:space="0" w:color="000000"/>
            </w:tcBorders>
            <w:shd w:val="clear" w:color="auto" w:fill="D2D2D2"/>
          </w:tcPr>
          <w:p>
            <w:pPr/>
          </w:p>
        </w:tc>
        <w:tc>
          <w:tcPr>
            <w:tcW w:w="1274" w:type="dxa"/>
            <w:vMerge w:val="restart"/>
            <w:tcBorders>
              <w:top w:val="single" w:sz="15" w:space="0" w:color="000000"/>
              <w:left w:val="single" w:sz="4" w:space="0" w:color="000000"/>
              <w:right w:val="single" w:sz="4" w:space="0" w:color="000000"/>
            </w:tcBorders>
          </w:tcPr>
          <w:p>
            <w:pPr/>
          </w:p>
        </w:tc>
        <w:tc>
          <w:tcPr>
            <w:tcW w:w="1558" w:type="dxa"/>
            <w:vMerge w:val="restart"/>
            <w:tcBorders>
              <w:top w:val="single" w:sz="15" w:space="0" w:color="000000"/>
              <w:left w:val="single" w:sz="4" w:space="0" w:color="000000"/>
              <w:right w:val="single" w:sz="4" w:space="0" w:color="000000"/>
            </w:tcBorders>
          </w:tcPr>
          <w:p>
            <w:pPr/>
          </w:p>
        </w:tc>
        <w:tc>
          <w:tcPr>
            <w:tcW w:w="4678"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4" w:right="-36"/>
              <w:jc w:val="left"/>
              <w:rPr>
                <w:rFonts w:ascii="宋体" w:hAnsi="宋体" w:cs="宋体" w:eastAsia="宋体" w:hint="default"/>
                <w:sz w:val="18"/>
                <w:szCs w:val="18"/>
              </w:rPr>
            </w:pPr>
            <w:r>
              <w:rPr>
                <w:rFonts w:ascii="宋体" w:hAnsi="宋体" w:cs="宋体" w:eastAsia="宋体" w:hint="default"/>
                <w:sz w:val="18"/>
                <w:szCs w:val="18"/>
              </w:rPr>
              <w:t>计划的增持价格上限、完成时效等）以书面方式通知公司，</w:t>
            </w:r>
          </w:p>
        </w:tc>
        <w:tc>
          <w:tcPr>
            <w:tcW w:w="1649" w:type="dxa"/>
            <w:vMerge w:val="restart"/>
            <w:tcBorders>
              <w:top w:val="single" w:sz="15" w:space="0" w:color="000000"/>
              <w:left w:val="single" w:sz="4" w:space="0" w:color="000000"/>
              <w:right w:val="single" w:sz="4" w:space="0" w:color="000000"/>
            </w:tcBorders>
          </w:tcPr>
          <w:p>
            <w:pPr>
              <w:pStyle w:val="TableParagraph"/>
              <w:spacing w:line="627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5"/>
                <w:sz w:val="20"/>
                <w:szCs w:val="20"/>
              </w:rPr>
              <w:pict>
                <v:group style="width:82pt;height:314pt;mso-position-horizontal-relative:char;mso-position-vertical-relative:line" coordorigin="0,0" coordsize="1640,6280">
                  <v:group style="position:absolute;left:0;top:0;width:1640;height:6280" coordorigin="0,0" coordsize="1640,6280">
                    <v:shape style="position:absolute;left:0;top:0;width:1640;height:6280" coordorigin="0,0" coordsize="1640,6280" path="m0,6280l1640,6280,1640,0,0,0,0,6280xe" filled="true" fillcolor="#ffffff" stroked="false">
                      <v:path arrowok="t"/>
                      <v:fill type="solid"/>
                    </v:shape>
                  </v:group>
                </v:group>
              </w:pict>
            </w:r>
            <w:r>
              <w:rPr>
                <w:rFonts w:ascii="Times New Roman" w:hAnsi="Times New Roman" w:cs="Times New Roman" w:eastAsia="Times New Roman" w:hint="default"/>
                <w:position w:val="-125"/>
                <w:sz w:val="20"/>
                <w:szCs w:val="20"/>
              </w:rPr>
            </w:r>
          </w:p>
        </w:tc>
        <w:tc>
          <w:tcPr>
            <w:tcW w:w="1642" w:type="dxa"/>
            <w:vMerge w:val="restart"/>
            <w:tcBorders>
              <w:top w:val="single" w:sz="15" w:space="0" w:color="000000"/>
              <w:left w:val="single" w:sz="4" w:space="0" w:color="000000"/>
              <w:right w:val="single" w:sz="4" w:space="0" w:color="000000"/>
            </w:tcBorders>
          </w:tcPr>
          <w:p>
            <w:pPr/>
          </w:p>
        </w:tc>
        <w:tc>
          <w:tcPr>
            <w:tcW w:w="1625" w:type="dxa"/>
            <w:vMerge w:val="restart"/>
            <w:tcBorders>
              <w:top w:val="single" w:sz="15" w:space="0" w:color="000000"/>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并由公司在增持开始前三个交易日内予以公告。本人将自股</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价稳定方案公告之日起三个月内以自有资金在二级市场增</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持公司股份，其中设定的计划增持价格不高于公司上一个会</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计年度末经审计的每股净资产的</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宋体" w:hAnsi="宋体" w:cs="宋体" w:eastAsia="宋体" w:hint="default"/>
                <w:spacing w:val="-125"/>
                <w:sz w:val="18"/>
                <w:szCs w:val="18"/>
              </w:rPr>
              <w:t>。</w:t>
            </w:r>
            <w:r>
              <w:rPr>
                <w:rFonts w:ascii="宋体" w:hAnsi="宋体" w:cs="宋体" w:eastAsia="宋体" w:hint="default"/>
                <w:sz w:val="18"/>
                <w:szCs w:val="18"/>
              </w:rPr>
              <w:t>（二</w:t>
            </w:r>
            <w:r>
              <w:rPr>
                <w:rFonts w:ascii="宋体" w:hAnsi="宋体" w:cs="宋体" w:eastAsia="宋体" w:hint="default"/>
                <w:spacing w:val="-34"/>
                <w:sz w:val="18"/>
                <w:szCs w:val="18"/>
              </w:rPr>
              <w:t>）</w:t>
            </w:r>
            <w:r>
              <w:rPr>
                <w:rFonts w:ascii="宋体" w:hAnsi="宋体" w:cs="宋体" w:eastAsia="宋体" w:hint="default"/>
                <w:sz w:val="18"/>
                <w:szCs w:val="18"/>
              </w:rPr>
              <w:t>本人单次用于</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增持公司股票的资金不少于本人最近一个会计年度自公司</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5"/>
                <w:sz w:val="18"/>
                <w:szCs w:val="18"/>
              </w:rPr>
              <w:t>领取的薪酬（税后）的</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，用于增持公司股票的资金总额</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不超过本人最近一个会计年度从公司领取的薪酬</w:t>
            </w:r>
            <w:r>
              <w:rPr>
                <w:rFonts w:ascii="Times New Roman" w:hAnsi="Times New Roman" w:cs="Times New Roman" w:eastAsia="Times New Roman" w:hint="default"/>
                <w:sz w:val="18"/>
                <w:szCs w:val="18"/>
              </w:rPr>
              <w:t>(</w:t>
            </w:r>
            <w:r>
              <w:rPr>
                <w:rFonts w:ascii="宋体" w:hAnsi="宋体" w:cs="宋体" w:eastAsia="宋体" w:hint="default"/>
                <w:sz w:val="18"/>
                <w:szCs w:val="18"/>
              </w:rPr>
              <w:t>税后</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。三、在稳定股价预案的停止条件满足时，即上述稳</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定股价措施尚未正式实施前或实施期间内，如公司股票连续</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五个交易日收盘价均高于每股净资产，或继续回购公司股份</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将导致公司股权分布不符合上市条件的，本人将停止实施稳</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定股价措施。四、在启动股价稳定措施的条件满足时，如本</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人未采取上述稳定股价的具体措施，本人承诺接受以下约束</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措施</w:t>
            </w:r>
            <w:r>
              <w:rPr>
                <w:rFonts w:ascii="宋体" w:hAnsi="宋体" w:cs="宋体" w:eastAsia="宋体" w:hint="default"/>
                <w:spacing w:val="-92"/>
                <w:sz w:val="18"/>
                <w:szCs w:val="18"/>
              </w:rPr>
              <w:t>：</w:t>
            </w:r>
            <w:r>
              <w:rPr>
                <w:rFonts w:ascii="宋体" w:hAnsi="宋体" w:cs="宋体" w:eastAsia="宋体" w:hint="default"/>
                <w:sz w:val="18"/>
                <w:szCs w:val="18"/>
              </w:rPr>
              <w:t>（一）在公司股东大会</w:t>
            </w:r>
            <w:r>
              <w:rPr>
                <w:rFonts w:ascii="宋体" w:hAnsi="宋体" w:cs="宋体" w:eastAsia="宋体" w:hint="default"/>
                <w:spacing w:val="2"/>
                <w:sz w:val="18"/>
                <w:szCs w:val="18"/>
              </w:rPr>
              <w:t>及</w:t>
            </w:r>
            <w:r>
              <w:rPr>
                <w:rFonts w:ascii="宋体" w:hAnsi="宋体" w:cs="宋体" w:eastAsia="宋体" w:hint="default"/>
                <w:sz w:val="18"/>
                <w:szCs w:val="18"/>
              </w:rPr>
              <w:t>中国证监会指定报刊上公开</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说明未采取上述稳定股价措施的具体原因并向公司股东和</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社会公众投资者道歉</w:t>
            </w:r>
            <w:r>
              <w:rPr>
                <w:rFonts w:ascii="宋体" w:hAnsi="宋体" w:cs="宋体" w:eastAsia="宋体" w:hint="default"/>
                <w:spacing w:val="-92"/>
                <w:sz w:val="18"/>
                <w:szCs w:val="18"/>
              </w:rPr>
              <w:t>。</w:t>
            </w:r>
            <w:r>
              <w:rPr>
                <w:rFonts w:ascii="宋体" w:hAnsi="宋体" w:cs="宋体" w:eastAsia="宋体" w:hint="default"/>
                <w:sz w:val="18"/>
                <w:szCs w:val="18"/>
              </w:rPr>
              <w:t>（二）</w:t>
            </w:r>
            <w:r>
              <w:rPr>
                <w:rFonts w:ascii="宋体" w:hAnsi="宋体" w:cs="宋体" w:eastAsia="宋体" w:hint="default"/>
                <w:spacing w:val="2"/>
                <w:sz w:val="18"/>
                <w:szCs w:val="18"/>
              </w:rPr>
              <w:t>在</w:t>
            </w:r>
            <w:r>
              <w:rPr>
                <w:rFonts w:ascii="宋体" w:hAnsi="宋体" w:cs="宋体" w:eastAsia="宋体" w:hint="default"/>
                <w:sz w:val="18"/>
                <w:szCs w:val="18"/>
              </w:rPr>
              <w:t>前述事项发生之日起十个交</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易日内，公司可逐月扣减本人薪酬的</w:t>
            </w:r>
            <w:r>
              <w:rPr>
                <w:rFonts w:ascii="宋体" w:hAnsi="宋体" w:cs="宋体" w:eastAsia="宋体" w:hint="default"/>
                <w:spacing w:val="-24"/>
                <w:sz w:val="18"/>
                <w:szCs w:val="18"/>
              </w:rPr>
              <w:t> </w:t>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，同时本人持有的</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公司股份不得转让，直至本人采取上述稳定股价措施并实施</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5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完毕。</w:t>
            </w:r>
            <w:r>
              <w:rPr>
                <w:rFonts w:ascii="Times New Roman" w:hAnsi="Times New Roman" w:cs="Times New Roman" w:eastAsia="Times New Roman" w:hint="default"/>
                <w:sz w:val="18"/>
                <w:szCs w:val="18"/>
              </w:rPr>
              <w:t>"</w:t>
            </w:r>
          </w:p>
        </w:tc>
        <w:tc>
          <w:tcPr>
            <w:tcW w:w="1649" w:type="dxa"/>
            <w:vMerge/>
            <w:tcBorders>
              <w:left w:val="single" w:sz="4" w:space="0" w:color="000000"/>
              <w:bottom w:val="single" w:sz="4" w:space="0" w:color="000000"/>
              <w:right w:val="single" w:sz="4" w:space="0" w:color="000000"/>
            </w:tcBorders>
          </w:tcPr>
          <w:p>
            <w:pPr/>
          </w:p>
        </w:tc>
        <w:tc>
          <w:tcPr>
            <w:tcW w:w="1642" w:type="dxa"/>
            <w:vMerge/>
            <w:tcBorders>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r>
      <w:tr>
        <w:trPr>
          <w:trHeight w:val="355" w:hRule="exact"/>
        </w:trPr>
        <w:tc>
          <w:tcPr>
            <w:tcW w:w="1592"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558" w:type="dxa"/>
            <w:tcBorders>
              <w:top w:val="single" w:sz="4" w:space="0" w:color="000000"/>
              <w:left w:val="single" w:sz="4" w:space="0" w:color="000000"/>
              <w:bottom w:val="nil" w:sz="6" w:space="0" w:color="auto"/>
              <w:right w:val="single" w:sz="4" w:space="0" w:color="000000"/>
            </w:tcBorders>
          </w:tcPr>
          <w:p>
            <w:pPr/>
          </w:p>
        </w:tc>
        <w:tc>
          <w:tcPr>
            <w:tcW w:w="4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公司关于信息披露责任的承诺：本公司承诺本次发行上市的</w:t>
            </w:r>
          </w:p>
        </w:tc>
        <w:tc>
          <w:tcPr>
            <w:tcW w:w="1649" w:type="dxa"/>
            <w:tcBorders>
              <w:top w:val="single" w:sz="4" w:space="0" w:color="000000"/>
              <w:left w:val="single" w:sz="4" w:space="0" w:color="000000"/>
              <w:bottom w:val="nil" w:sz="6" w:space="0" w:color="auto"/>
              <w:right w:val="single" w:sz="4" w:space="0" w:color="000000"/>
            </w:tcBorders>
          </w:tcPr>
          <w:p>
            <w:pPr/>
          </w:p>
        </w:tc>
        <w:tc>
          <w:tcPr>
            <w:tcW w:w="1642" w:type="dxa"/>
            <w:tcBorders>
              <w:top w:val="single" w:sz="4" w:space="0" w:color="000000"/>
              <w:left w:val="single" w:sz="4" w:space="0" w:color="000000"/>
              <w:bottom w:val="nil" w:sz="6" w:space="0" w:color="auto"/>
              <w:right w:val="single" w:sz="4" w:space="0" w:color="000000"/>
            </w:tcBorders>
          </w:tcPr>
          <w:p>
            <w:pPr/>
          </w:p>
        </w:tc>
        <w:tc>
          <w:tcPr>
            <w:tcW w:w="162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《招股说明书》及其摘要不存在虚假记载、误导性陈述或重</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大遗漏，并对其真实性、准确性和完整性承担个别和连带的</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1249"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4" w:right="158"/>
              <w:jc w:val="both"/>
              <w:rPr>
                <w:rFonts w:ascii="宋体" w:hAnsi="宋体" w:cs="宋体" w:eastAsia="宋体" w:hint="default"/>
                <w:sz w:val="18"/>
                <w:szCs w:val="18"/>
              </w:rPr>
            </w:pPr>
            <w:r>
              <w:rPr>
                <w:rFonts w:ascii="宋体" w:hAnsi="宋体" w:cs="宋体" w:eastAsia="宋体" w:hint="default"/>
                <w:sz w:val="18"/>
                <w:szCs w:val="18"/>
              </w:rPr>
              <w:t>深圳市金溢科 技股份有限公 司</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4" w:right="21"/>
              <w:jc w:val="both"/>
              <w:rPr>
                <w:rFonts w:ascii="宋体" w:hAnsi="宋体" w:cs="宋体" w:eastAsia="宋体" w:hint="default"/>
                <w:sz w:val="18"/>
                <w:szCs w:val="18"/>
              </w:rPr>
            </w:pPr>
            <w:r>
              <w:rPr>
                <w:rFonts w:ascii="宋体" w:hAnsi="宋体" w:cs="宋体" w:eastAsia="宋体" w:hint="default"/>
                <w:spacing w:val="-3"/>
                <w:sz w:val="18"/>
                <w:szCs w:val="18"/>
              </w:rPr>
              <w:t>法律责任。若在投资者缴纳股票申购款后且本公司股票尚未</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上市交易前，因本次发行上市的《招股说明书》及其摘要有</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虚假记载、误导性陈述或者重大遗漏，对判断本公司是否符</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合法律规定的发行条件构成重大、实质影响的，对于首次公</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开发行的全部新股，本公司将按照投资者所缴纳股票申购款</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加同期存款利息予以退款。若在本公司首次公开发行的股票</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592"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上市交易后，因本公司本次发行上市的《招股说明书》及其</w:t>
            </w:r>
          </w:p>
        </w:tc>
        <w:tc>
          <w:tcPr>
            <w:tcW w:w="1649"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single" w:sz="4" w:space="0" w:color="000000"/>
            </w:tcBorders>
          </w:tcPr>
          <w:p>
            <w:pPr/>
          </w:p>
        </w:tc>
        <w:tc>
          <w:tcPr>
            <w:tcW w:w="1625"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592"/>
        <w:gridCol w:w="1274"/>
        <w:gridCol w:w="1558"/>
        <w:gridCol w:w="4678"/>
        <w:gridCol w:w="1649"/>
        <w:gridCol w:w="1642"/>
        <w:gridCol w:w="1625"/>
      </w:tblGrid>
      <w:tr>
        <w:trPr>
          <w:trHeight w:val="332" w:hRule="exact"/>
        </w:trPr>
        <w:tc>
          <w:tcPr>
            <w:tcW w:w="1592" w:type="dxa"/>
            <w:vMerge w:val="restart"/>
            <w:tcBorders>
              <w:top w:val="single" w:sz="15" w:space="0" w:color="000000"/>
              <w:left w:val="single" w:sz="4" w:space="0" w:color="000000"/>
              <w:right w:val="single" w:sz="4" w:space="0" w:color="000000"/>
            </w:tcBorders>
            <w:shd w:val="clear" w:color="auto" w:fill="D2D2D2"/>
          </w:tcPr>
          <w:p>
            <w:pPr/>
          </w:p>
        </w:tc>
        <w:tc>
          <w:tcPr>
            <w:tcW w:w="1274" w:type="dxa"/>
            <w:vMerge w:val="restart"/>
            <w:tcBorders>
              <w:top w:val="single" w:sz="15" w:space="0" w:color="000000"/>
              <w:left w:val="single" w:sz="4" w:space="0" w:color="000000"/>
              <w:right w:val="single" w:sz="4" w:space="0" w:color="000000"/>
            </w:tcBorders>
          </w:tcPr>
          <w:p>
            <w:pPr/>
          </w:p>
        </w:tc>
        <w:tc>
          <w:tcPr>
            <w:tcW w:w="1558" w:type="dxa"/>
            <w:vMerge w:val="restart"/>
            <w:tcBorders>
              <w:top w:val="single" w:sz="15" w:space="0" w:color="000000"/>
              <w:left w:val="single" w:sz="4" w:space="0" w:color="000000"/>
              <w:right w:val="single" w:sz="4" w:space="0" w:color="000000"/>
            </w:tcBorders>
          </w:tcPr>
          <w:p>
            <w:pPr/>
          </w:p>
        </w:tc>
        <w:tc>
          <w:tcPr>
            <w:tcW w:w="4678"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摘要有虚假记载、误导性陈述或者重大遗漏，导致对判断本</w:t>
            </w:r>
          </w:p>
        </w:tc>
        <w:tc>
          <w:tcPr>
            <w:tcW w:w="1649" w:type="dxa"/>
            <w:vMerge w:val="restart"/>
            <w:tcBorders>
              <w:top w:val="single" w:sz="15" w:space="0" w:color="000000"/>
              <w:left w:val="single" w:sz="4" w:space="0" w:color="000000"/>
              <w:right w:val="single" w:sz="4" w:space="0" w:color="000000"/>
            </w:tcBorders>
          </w:tcPr>
          <w:p>
            <w:pPr>
              <w:pStyle w:val="TableParagraph"/>
              <w:spacing w:line="936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6"/>
                <w:sz w:val="20"/>
                <w:szCs w:val="20"/>
              </w:rPr>
              <w:pict>
                <v:group style="width:82pt;height:468.1pt;mso-position-horizontal-relative:char;mso-position-vertical-relative:line" coordorigin="0,0" coordsize="1640,9362">
                  <v:group style="position:absolute;left:0;top:0;width:1640;height:9362" coordorigin="0,0" coordsize="1640,9362">
                    <v:shape style="position:absolute;left:0;top:0;width:1640;height:9362" coordorigin="0,0" coordsize="1640,9362" path="m0,9362l1640,9362,1640,0,0,0,0,9362xe" filled="true" fillcolor="#ffffff" stroked="false">
                      <v:path arrowok="t"/>
                      <v:fill type="solid"/>
                    </v:shape>
                  </v:group>
                </v:group>
              </w:pict>
            </w:r>
            <w:r>
              <w:rPr>
                <w:rFonts w:ascii="Times New Roman" w:hAnsi="Times New Roman" w:cs="Times New Roman" w:eastAsia="Times New Roman" w:hint="default"/>
                <w:position w:val="-186"/>
                <w:sz w:val="20"/>
                <w:szCs w:val="20"/>
              </w:rPr>
            </w:r>
          </w:p>
        </w:tc>
        <w:tc>
          <w:tcPr>
            <w:tcW w:w="1642" w:type="dxa"/>
            <w:vMerge w:val="restart"/>
            <w:tcBorders>
              <w:top w:val="single" w:sz="15" w:space="0" w:color="000000"/>
              <w:left w:val="single" w:sz="4" w:space="0" w:color="000000"/>
              <w:right w:val="single" w:sz="4" w:space="0" w:color="000000"/>
            </w:tcBorders>
          </w:tcPr>
          <w:p>
            <w:pPr/>
          </w:p>
        </w:tc>
        <w:tc>
          <w:tcPr>
            <w:tcW w:w="1625" w:type="dxa"/>
            <w:vMerge w:val="restart"/>
            <w:tcBorders>
              <w:top w:val="single" w:sz="15" w:space="0" w:color="000000"/>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36"/>
              <w:jc w:val="left"/>
              <w:rPr>
                <w:rFonts w:ascii="宋体" w:hAnsi="宋体" w:cs="宋体" w:eastAsia="宋体" w:hint="default"/>
                <w:sz w:val="18"/>
                <w:szCs w:val="18"/>
              </w:rPr>
            </w:pPr>
            <w:r>
              <w:rPr>
                <w:rFonts w:ascii="宋体" w:hAnsi="宋体" w:cs="宋体" w:eastAsia="宋体" w:hint="default"/>
                <w:sz w:val="18"/>
                <w:szCs w:val="18"/>
              </w:rPr>
              <w:t>公司是否符合法律规定的发行条件构成重大、实质影响的，</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本公司将依法回购首次公开发行的全部新股，回购价格不低</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于首次公开发行股票时的发行价（如自首次公开发行公司发</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生过除权除息等事项的，价格应相应调整</w:t>
            </w:r>
            <w:r>
              <w:rPr>
                <w:rFonts w:ascii="宋体" w:hAnsi="宋体" w:cs="宋体" w:eastAsia="宋体" w:hint="default"/>
                <w:spacing w:val="-92"/>
                <w:sz w:val="18"/>
                <w:szCs w:val="18"/>
              </w:rPr>
              <w:t>）</w:t>
            </w:r>
            <w:r>
              <w:rPr>
                <w:rFonts w:ascii="宋体" w:hAnsi="宋体" w:cs="宋体" w:eastAsia="宋体" w:hint="default"/>
                <w:sz w:val="18"/>
                <w:szCs w:val="18"/>
              </w:rPr>
              <w:t>，并根据相关法</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律、法规规定的程序实施。上述回购实施时法律、法规另有</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36"/>
              <w:jc w:val="left"/>
              <w:rPr>
                <w:rFonts w:ascii="宋体" w:hAnsi="宋体" w:cs="宋体" w:eastAsia="宋体" w:hint="default"/>
                <w:sz w:val="18"/>
                <w:szCs w:val="18"/>
              </w:rPr>
            </w:pPr>
            <w:r>
              <w:rPr>
                <w:rFonts w:ascii="宋体" w:hAnsi="宋体" w:cs="宋体" w:eastAsia="宋体" w:hint="default"/>
                <w:sz w:val="18"/>
                <w:szCs w:val="18"/>
              </w:rPr>
              <w:t>规定的从其规定。本公司将及时提出预案，并提交董事会、</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36"/>
              <w:jc w:val="left"/>
              <w:rPr>
                <w:rFonts w:ascii="宋体" w:hAnsi="宋体" w:cs="宋体" w:eastAsia="宋体" w:hint="default"/>
                <w:sz w:val="18"/>
                <w:szCs w:val="18"/>
              </w:rPr>
            </w:pPr>
            <w:r>
              <w:rPr>
                <w:rFonts w:ascii="宋体" w:hAnsi="宋体" w:cs="宋体" w:eastAsia="宋体" w:hint="default"/>
                <w:sz w:val="18"/>
                <w:szCs w:val="18"/>
              </w:rPr>
              <w:t>股东大会讨论。若因本公司本次发行上市的《招股说明书》</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及其摘要有虚假记载、误导性陈述或者重大遗漏，致使投资</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者在证券交易中遭受损失的，本公司将依法赔偿投资者损</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失，但本公司能够证明自己没有过错的除外。在该等违法事</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实被中国证监会、证券交易所或司法机关认定后，本公司将</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本着主动沟通、尽快赔偿、切实保障投资者特别是中小投资</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者利益的原则，按照投资者在证券交易中直接遭受的可测算</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的经济损失选择与投资者沟通赔偿。该等损失的赔偿金额以</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投资者能举证证实的因此而实际发生的直接损失为限，不包</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括间接损失。具体的赔偿标准、赔偿主体范围、赔偿金额等</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细节内容待上述情形实际发生时，依据最终确定的赔偿方案</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为准。如本公司《招股说明书》及其摘要经中国证监会认定</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存在虚假记载、误导性陈述或者重大遗漏，而本公司自中国</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证监会作出认定之日起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个交易日内仍未开始履行上述承</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诺，则本公司有权人士应在前述期限届满之日起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日内召集董事会并通过决议：利用本公司现金并用该等现金</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回购公司首次公开发行的全部新股或赔偿投资者，现金不足</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部分可通过处置公司资产等方式补足。如有权人士未能召集</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董事会或董事会未能通过相关决议或董事会在决议通过后</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个交易日内未能提请股东大会审议，投资者可依法起诉要求</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其履行职责，或根据公司章程规定要求监事会提请罢免相关</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董事，直至公司董事会通过相关决议并提请股东大会审议相</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9" w:hRule="exact"/>
        </w:trPr>
        <w:tc>
          <w:tcPr>
            <w:tcW w:w="1592"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关决议。公司将于股东大会通过相关决议后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日内履行回</w:t>
            </w:r>
          </w:p>
        </w:tc>
        <w:tc>
          <w:tcPr>
            <w:tcW w:w="1649" w:type="dxa"/>
            <w:vMerge/>
            <w:tcBorders>
              <w:left w:val="single" w:sz="4" w:space="0" w:color="000000"/>
              <w:bottom w:val="single" w:sz="4" w:space="0" w:color="000000"/>
              <w:right w:val="single" w:sz="4" w:space="0" w:color="000000"/>
            </w:tcBorders>
          </w:tcPr>
          <w:p>
            <w:pPr/>
          </w:p>
        </w:tc>
        <w:tc>
          <w:tcPr>
            <w:tcW w:w="1642" w:type="dxa"/>
            <w:vMerge/>
            <w:tcBorders>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r>
        <w:rPr/>
        <w:pict>
          <v:shape style="position:absolute;margin-left:501.757996pt;margin-top:75.270004pt;width:106.15pt;height:394.15pt;mso-position-horizontal-relative:page;mso-position-vertical-relative:page;z-index:-1531792" type="#_x0000_t202" filled="false" stroked="false">
            <v:textbox inset="0,0,0,0">
              <w:txbxContent>
                <w:p>
                  <w:pPr>
                    <w:pStyle w:val="BodyText"/>
                    <w:spacing w:line="240" w:lineRule="auto" w:before="48"/>
                    <w:ind w:left="0" w:right="0"/>
                    <w:jc w:val="left"/>
                  </w:pPr>
                  <w:r>
                    <w:rPr/>
                    <w:t>杨成、</w:t>
                  </w:r>
                </w:p>
              </w:txbxContent>
            </v:textbox>
            <w10:wrap type="none"/>
          </v:shape>
        </w:pict>
      </w:r>
      <w:r>
        <w:rPr/>
        <w:pict>
          <v:group style="position:absolute;margin-left:525.909973pt;margin-top:75.270004pt;width:82pt;height:459.1pt;mso-position-horizontal-relative:page;mso-position-vertical-relative:page;z-index:-1531768" coordorigin="10518,1505" coordsize="1640,9182">
            <v:group style="position:absolute;left:10518;top:1505;width:1640;height:7883" coordorigin="10518,1505" coordsize="1640,7883">
              <v:shape style="position:absolute;left:10518;top:1505;width:1640;height:7883" coordorigin="10518,1505" coordsize="1640,7883" path="m10518,9388l12158,9388,12158,1505,10518,1505,10518,9388xe" filled="true" fillcolor="#ffffff" stroked="false">
                <v:path arrowok="t"/>
                <v:fill type="solid"/>
              </v:shape>
            </v:group>
            <v:group style="position:absolute;left:10542;top:5250;width:1592;height:394" coordorigin="10542,5250" coordsize="1592,394">
              <v:shape style="position:absolute;left:10542;top:5250;width:1592;height:394" coordorigin="10542,5250" coordsize="1592,394" path="m10542,5643l12134,5643,12134,5250,10542,5250,10542,5643xe" filled="true" fillcolor="#ffffff" stroked="false">
                <v:path arrowok="t"/>
                <v:fill type="solid"/>
              </v:shape>
            </v:group>
            <v:group style="position:absolute;left:10518;top:9398;width:1640;height:1289" coordorigin="10518,9398" coordsize="1640,1289">
              <v:shape style="position:absolute;left:10518;top:9398;width:1640;height:1289" coordorigin="10518,9398" coordsize="1640,1289" path="m10518,10687l12158,10687,12158,9398,10518,9398,10518,10687xe" filled="true" fillcolor="#ffffff" stroked="false">
                <v:path arrowok="t"/>
                <v:fill type="solid"/>
              </v:shape>
            </v:group>
            <v:group style="position:absolute;left:10542;top:9847;width:1592;height:392" coordorigin="10542,9847" coordsize="1592,392">
              <v:shape style="position:absolute;left:10542;top:9847;width:1592;height:392" coordorigin="10542,9847" coordsize="1592,392" path="m10542,10238l12134,10238,12134,9847,10542,9847,10542,10238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1592"/>
        <w:gridCol w:w="1274"/>
        <w:gridCol w:w="1558"/>
        <w:gridCol w:w="4678"/>
        <w:gridCol w:w="1649"/>
        <w:gridCol w:w="1642"/>
        <w:gridCol w:w="1625"/>
      </w:tblGrid>
      <w:tr>
        <w:trPr>
          <w:trHeight w:val="377" w:hRule="exact"/>
        </w:trPr>
        <w:tc>
          <w:tcPr>
            <w:tcW w:w="1592" w:type="dxa"/>
            <w:vMerge w:val="restart"/>
            <w:tcBorders>
              <w:top w:val="single" w:sz="15" w:space="0" w:color="000000"/>
              <w:left w:val="single" w:sz="4" w:space="0" w:color="000000"/>
              <w:right w:val="single" w:sz="4" w:space="0" w:color="000000"/>
            </w:tcBorders>
            <w:shd w:val="clear" w:color="auto" w:fill="D2D2D2"/>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1558" w:type="dxa"/>
            <w:tcBorders>
              <w:top w:val="single" w:sz="15" w:space="0" w:color="000000"/>
              <w:left w:val="single" w:sz="4" w:space="0" w:color="000000"/>
              <w:bottom w:val="single" w:sz="4" w:space="0" w:color="000000"/>
              <w:right w:val="single" w:sz="4" w:space="0" w:color="000000"/>
            </w:tcBorders>
          </w:tcPr>
          <w:p>
            <w:pPr/>
          </w:p>
        </w:tc>
        <w:tc>
          <w:tcPr>
            <w:tcW w:w="467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购义务及</w:t>
            </w:r>
            <w:r>
              <w:rPr>
                <w:rFonts w:ascii="Times New Roman" w:hAnsi="Times New Roman" w:cs="Times New Roman" w:eastAsia="Times New Roman" w:hint="default"/>
                <w:sz w:val="18"/>
                <w:szCs w:val="18"/>
              </w:rPr>
              <w:t>/</w:t>
            </w:r>
            <w:r>
              <w:rPr>
                <w:rFonts w:ascii="宋体" w:hAnsi="宋体" w:cs="宋体" w:eastAsia="宋体" w:hint="default"/>
                <w:sz w:val="18"/>
                <w:szCs w:val="18"/>
              </w:rPr>
              <w:t>或赔偿义务。</w:t>
            </w:r>
          </w:p>
        </w:tc>
        <w:tc>
          <w:tcPr>
            <w:tcW w:w="1649" w:type="dxa"/>
            <w:tcBorders>
              <w:top w:val="single" w:sz="15" w:space="0" w:color="000000"/>
              <w:left w:val="single" w:sz="4" w:space="0" w:color="000000"/>
              <w:bottom w:val="single" w:sz="4" w:space="0" w:color="000000"/>
              <w:right w:val="single" w:sz="4" w:space="0" w:color="000000"/>
            </w:tcBorders>
          </w:tcPr>
          <w:p>
            <w:pPr/>
          </w:p>
        </w:tc>
        <w:tc>
          <w:tcPr>
            <w:tcW w:w="1642" w:type="dxa"/>
            <w:tcBorders>
              <w:top w:val="single" w:sz="15" w:space="0" w:color="000000"/>
              <w:left w:val="single" w:sz="4" w:space="0" w:color="000000"/>
              <w:bottom w:val="single" w:sz="4" w:space="0" w:color="000000"/>
              <w:right w:val="single" w:sz="4" w:space="0" w:color="000000"/>
            </w:tcBorders>
          </w:tcPr>
          <w:p>
            <w:pPr/>
          </w:p>
        </w:tc>
        <w:tc>
          <w:tcPr>
            <w:tcW w:w="1625" w:type="dxa"/>
            <w:tcBorders>
              <w:top w:val="single" w:sz="15" w:space="0" w:color="000000"/>
              <w:left w:val="single" w:sz="4" w:space="0" w:color="000000"/>
              <w:bottom w:val="single" w:sz="4" w:space="0" w:color="000000"/>
              <w:right w:val="single" w:sz="4" w:space="0" w:color="000000"/>
            </w:tcBorders>
          </w:tcPr>
          <w:p>
            <w:pPr/>
          </w:p>
        </w:tc>
      </w:tr>
      <w:tr>
        <w:trPr>
          <w:trHeight w:val="360" w:hRule="exact"/>
        </w:trPr>
        <w:tc>
          <w:tcPr>
            <w:tcW w:w="1592"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558" w:type="dxa"/>
            <w:tcBorders>
              <w:top w:val="single" w:sz="4" w:space="0" w:color="000000"/>
              <w:left w:val="single" w:sz="4" w:space="0" w:color="000000"/>
              <w:bottom w:val="nil" w:sz="6" w:space="0" w:color="auto"/>
              <w:right w:val="single" w:sz="4" w:space="0" w:color="000000"/>
            </w:tcBorders>
          </w:tcPr>
          <w:p>
            <w:pPr/>
          </w:p>
        </w:tc>
        <w:tc>
          <w:tcPr>
            <w:tcW w:w="4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第一大股东敏行电子、实际控制人罗瑞发、王明宽、</w:t>
            </w:r>
          </w:p>
        </w:tc>
        <w:tc>
          <w:tcPr>
            <w:tcW w:w="1649" w:type="dxa"/>
            <w:tcBorders>
              <w:top w:val="single" w:sz="4" w:space="0" w:color="000000"/>
              <w:left w:val="single" w:sz="4" w:space="0" w:color="000000"/>
              <w:bottom w:val="nil" w:sz="6" w:space="0" w:color="auto"/>
              <w:right w:val="single" w:sz="4" w:space="0" w:color="000000"/>
            </w:tcBorders>
          </w:tcPr>
          <w:p>
            <w:pPr/>
          </w:p>
        </w:tc>
        <w:tc>
          <w:tcPr>
            <w:tcW w:w="1642" w:type="dxa"/>
            <w:tcBorders>
              <w:top w:val="single" w:sz="4" w:space="0" w:color="000000"/>
              <w:left w:val="single" w:sz="4" w:space="0" w:color="000000"/>
              <w:bottom w:val="nil" w:sz="6" w:space="0" w:color="auto"/>
              <w:right w:val="single" w:sz="4" w:space="0" w:color="000000"/>
            </w:tcBorders>
          </w:tcPr>
          <w:p>
            <w:pPr/>
          </w:p>
        </w:tc>
        <w:tc>
          <w:tcPr>
            <w:tcW w:w="162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刘咏平、李朝莉、李娜关于信息披露责任的承诺：本公司</w:t>
            </w:r>
            <w:r>
              <w:rPr>
                <w:rFonts w:ascii="Times New Roman" w:hAnsi="Times New Roman" w:cs="Times New Roman" w:eastAsia="Times New Roman" w:hint="default"/>
                <w:sz w:val="18"/>
                <w:szCs w:val="18"/>
              </w:rPr>
              <w:t>/</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本人承诺本次发行上市的《招股说明书》及其摘要不存在虚</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假记载、误导性陈述或重大遗漏，并对其真实性、准确性和</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完整性承担个别和连带的法律责任。若在发行人首次公开发</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行的股票上市交易后，因发行人本次发行上市的《招股说明</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书》及其摘要有虚假记载、误导性陈述或者重大遗漏，导致</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对判断发行人是否符合法律规定的发行条件构成重大、实质</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影响的，本公司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本人将督促公司依法回购本次发行的全部</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新股。若因发行人本次发行上市的《招股说明书》及其摘要</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李朝莉</w:t>
            </w:r>
            <w:r>
              <w:rPr>
                <w:rFonts w:ascii="Times New Roman" w:hAnsi="Times New Roman" w:cs="Times New Roman" w:eastAsia="Times New Roman" w:hint="default"/>
                <w:sz w:val="18"/>
                <w:szCs w:val="18"/>
              </w:rPr>
              <w:t>;</w:t>
            </w:r>
            <w:r>
              <w:rPr>
                <w:rFonts w:ascii="宋体" w:hAnsi="宋体" w:cs="宋体" w:eastAsia="宋体" w:hint="default"/>
                <w:sz w:val="18"/>
                <w:szCs w:val="18"/>
              </w:rPr>
              <w:t>李娜</w:t>
            </w:r>
            <w:r>
              <w:rPr>
                <w:rFonts w:ascii="Times New Roman" w:hAnsi="Times New Roman" w:cs="Times New Roman" w:eastAsia="Times New Roman" w:hint="default"/>
                <w:sz w:val="18"/>
                <w:szCs w:val="18"/>
              </w:rPr>
              <w:t>;</w:t>
            </w:r>
            <w:r>
              <w:rPr>
                <w:rFonts w:ascii="宋体" w:hAnsi="宋体" w:cs="宋体" w:eastAsia="宋体" w:hint="default"/>
                <w:sz w:val="18"/>
                <w:szCs w:val="18"/>
              </w:rPr>
              <w:t>刘</w:t>
            </w: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有虚假记载、误导性陈述或者重大遗漏，致使投资者在证券</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咏平</w:t>
            </w:r>
            <w:r>
              <w:rPr>
                <w:rFonts w:ascii="Times New Roman" w:hAnsi="Times New Roman" w:cs="Times New Roman" w:eastAsia="Times New Roman" w:hint="default"/>
                <w:sz w:val="18"/>
                <w:szCs w:val="18"/>
              </w:rPr>
              <w:t>;</w:t>
            </w:r>
            <w:r>
              <w:rPr>
                <w:rFonts w:ascii="宋体" w:hAnsi="宋体" w:cs="宋体" w:eastAsia="宋体" w:hint="default"/>
                <w:sz w:val="18"/>
                <w:szCs w:val="18"/>
              </w:rPr>
              <w:t>罗瑞发</w:t>
            </w:r>
            <w:r>
              <w:rPr>
                <w:rFonts w:ascii="Times New Roman" w:hAnsi="Times New Roman" w:cs="Times New Roman" w:eastAsia="Times New Roman" w:hint="default"/>
                <w:sz w:val="18"/>
                <w:szCs w:val="18"/>
              </w:rPr>
              <w:t>;</w:t>
            </w:r>
            <w:r>
              <w:rPr>
                <w:rFonts w:ascii="宋体" w:hAnsi="宋体" w:cs="宋体" w:eastAsia="宋体" w:hint="default"/>
                <w:sz w:val="18"/>
                <w:szCs w:val="18"/>
              </w:rPr>
              <w:t>深</w:t>
            </w: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交易中遭受损失的，本公司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本人将依法赔偿投资者损失，</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圳市敏行电子</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但本公司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本人能够证明自己没有过错的除外。在该等违法</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王明</w:t>
            </w: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事实被中国证监会、证券交易所或司法机关认定后，本公司</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宽</w:t>
            </w:r>
            <w:r>
              <w:rPr>
                <w:rFonts w:ascii="Times New Roman" w:hAnsi="Times New Roman" w:cs="Times New Roman" w:eastAsia="Times New Roman" w:hint="default"/>
                <w:sz w:val="18"/>
                <w:szCs w:val="18"/>
              </w:rPr>
              <w:t>;</w:t>
            </w:r>
            <w:r>
              <w:rPr>
                <w:rFonts w:ascii="宋体" w:hAnsi="宋体" w:cs="宋体" w:eastAsia="宋体" w:hint="default"/>
                <w:sz w:val="18"/>
                <w:szCs w:val="18"/>
              </w:rPr>
              <w:t>杨成</w:t>
            </w: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本人将本着主动沟通、尽快赔偿、切实保障投资者特别是</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中小投资者利益的原则，按照投资者在证券交易中直接遭受</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的可测算的经济损失选择与投资者沟通赔偿，通过设立投资</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者赔偿基金等方式积极赔偿投资者由此遭受的直接经济损</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失。该等损失的赔偿金额以投资者因此而实际发生的直接损</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失为限。具体的赔偿标准、赔偿主体范围、赔偿金额等细节</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内容待上述情形实际发生时，依据最终确定的赔偿方案为</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准。本公司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本人以发行人发行上市当年及以后年度利润分</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配方案中应享有的分红作为履约担保。此外，若本公司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人未履行上述赔偿义务，则在履行承诺前，本公司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本人直</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接或间接所持的发行人股份均不得转让。</w:t>
            </w:r>
            <w:r>
              <w:rPr>
                <w:rFonts w:ascii="Times New Roman" w:hAnsi="Times New Roman" w:cs="Times New Roman" w:eastAsia="Times New Roman" w:hint="default"/>
                <w:sz w:val="18"/>
                <w:szCs w:val="18"/>
              </w:rPr>
              <w:t>"</w:t>
            </w:r>
          </w:p>
        </w:tc>
        <w:tc>
          <w:tcPr>
            <w:tcW w:w="1649"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single" w:sz="4" w:space="0" w:color="000000"/>
            </w:tcBorders>
          </w:tcPr>
          <w:p>
            <w:pPr/>
          </w:p>
        </w:tc>
        <w:tc>
          <w:tcPr>
            <w:tcW w:w="1625"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592"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蔡福春</w:t>
            </w:r>
            <w:r>
              <w:rPr>
                <w:rFonts w:ascii="Times New Roman" w:hAnsi="Times New Roman" w:cs="Times New Roman" w:eastAsia="Times New Roman" w:hint="default"/>
                <w:sz w:val="18"/>
                <w:szCs w:val="18"/>
              </w:rPr>
              <w:t>;</w:t>
            </w:r>
            <w:r>
              <w:rPr>
                <w:rFonts w:ascii="宋体" w:hAnsi="宋体" w:cs="宋体" w:eastAsia="宋体" w:hint="default"/>
                <w:sz w:val="18"/>
                <w:szCs w:val="18"/>
              </w:rPr>
              <w:t>甘云龙</w:t>
            </w:r>
            <w:r>
              <w:rPr>
                <w:rFonts w:ascii="Times New Roman" w:hAnsi="Times New Roman" w:cs="Times New Roman" w:eastAsia="Times New Roman" w:hint="default"/>
                <w:sz w:val="18"/>
                <w:szCs w:val="18"/>
              </w:rPr>
              <w:t>;</w:t>
            </w:r>
          </w:p>
        </w:tc>
        <w:tc>
          <w:tcPr>
            <w:tcW w:w="1558" w:type="dxa"/>
            <w:tcBorders>
              <w:top w:val="single" w:sz="4" w:space="0" w:color="000000"/>
              <w:left w:val="single" w:sz="4" w:space="0" w:color="000000"/>
              <w:bottom w:val="nil" w:sz="6" w:space="0" w:color="auto"/>
              <w:right w:val="single" w:sz="4" w:space="0" w:color="000000"/>
            </w:tcBorders>
          </w:tcPr>
          <w:p>
            <w:pPr/>
          </w:p>
        </w:tc>
        <w:tc>
          <w:tcPr>
            <w:tcW w:w="4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董事罗瑞发、杨成、李朝莉、郑映虹、关志超、许岳明和</w:t>
            </w:r>
          </w:p>
        </w:tc>
        <w:tc>
          <w:tcPr>
            <w:tcW w:w="1649" w:type="dxa"/>
            <w:tcBorders>
              <w:top w:val="single" w:sz="4" w:space="0" w:color="000000"/>
              <w:left w:val="single" w:sz="4" w:space="0" w:color="000000"/>
              <w:bottom w:val="nil" w:sz="6" w:space="0" w:color="auto"/>
              <w:right w:val="single" w:sz="4" w:space="0" w:color="000000"/>
            </w:tcBorders>
          </w:tcPr>
          <w:p>
            <w:pPr/>
          </w:p>
        </w:tc>
        <w:tc>
          <w:tcPr>
            <w:tcW w:w="1642" w:type="dxa"/>
            <w:tcBorders>
              <w:top w:val="single" w:sz="4" w:space="0" w:color="000000"/>
              <w:left w:val="single" w:sz="4" w:space="0" w:color="000000"/>
              <w:bottom w:val="nil" w:sz="6" w:space="0" w:color="auto"/>
              <w:right w:val="single" w:sz="4" w:space="0" w:color="000000"/>
            </w:tcBorders>
          </w:tcPr>
          <w:p>
            <w:pPr/>
          </w:p>
        </w:tc>
        <w:tc>
          <w:tcPr>
            <w:tcW w:w="1625"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4" w:right="58"/>
              <w:jc w:val="left"/>
              <w:rPr>
                <w:rFonts w:ascii="Times New Roman" w:hAnsi="Times New Roman" w:cs="Times New Roman" w:eastAsia="Times New Roman" w:hint="default"/>
                <w:sz w:val="18"/>
                <w:szCs w:val="18"/>
              </w:rPr>
            </w:pPr>
            <w:r>
              <w:rPr>
                <w:rFonts w:ascii="宋体" w:hAnsi="宋体" w:cs="宋体" w:eastAsia="宋体" w:hint="default"/>
                <w:sz w:val="18"/>
                <w:szCs w:val="18"/>
              </w:rPr>
              <w:t>关志超</w:t>
            </w:r>
            <w:r>
              <w:rPr>
                <w:rFonts w:ascii="Times New Roman" w:hAnsi="Times New Roman" w:cs="Times New Roman" w:eastAsia="Times New Roman" w:hint="default"/>
                <w:sz w:val="18"/>
                <w:szCs w:val="18"/>
              </w:rPr>
              <w:t>;</w:t>
            </w:r>
            <w:r>
              <w:rPr>
                <w:rFonts w:ascii="宋体" w:hAnsi="宋体" w:cs="宋体" w:eastAsia="宋体" w:hint="default"/>
                <w:sz w:val="18"/>
                <w:szCs w:val="18"/>
              </w:rPr>
              <w:t>李朝莉</w:t>
            </w:r>
            <w:r>
              <w:rPr>
                <w:rFonts w:ascii="Times New Roman" w:hAnsi="Times New Roman" w:cs="Times New Roman" w:eastAsia="Times New Roman" w:hint="default"/>
                <w:sz w:val="18"/>
                <w:szCs w:val="18"/>
              </w:rPr>
              <w:t>; </w:t>
            </w:r>
            <w:r>
              <w:rPr>
                <w:rFonts w:ascii="宋体" w:hAnsi="宋体" w:cs="宋体" w:eastAsia="宋体" w:hint="default"/>
                <w:sz w:val="18"/>
                <w:szCs w:val="18"/>
              </w:rPr>
              <w:t>刘厚军</w:t>
            </w:r>
            <w:r>
              <w:rPr>
                <w:rFonts w:ascii="Times New Roman" w:hAnsi="Times New Roman" w:cs="Times New Roman" w:eastAsia="Times New Roman" w:hint="default"/>
                <w:sz w:val="18"/>
                <w:szCs w:val="18"/>
              </w:rPr>
              <w:t>;</w:t>
            </w:r>
            <w:r>
              <w:rPr>
                <w:rFonts w:ascii="宋体" w:hAnsi="宋体" w:cs="宋体" w:eastAsia="宋体" w:hint="default"/>
                <w:sz w:val="18"/>
                <w:szCs w:val="18"/>
              </w:rPr>
              <w:t>刘咏平</w:t>
            </w:r>
            <w:r>
              <w:rPr>
                <w:rFonts w:ascii="Times New Roman" w:hAnsi="Times New Roman" w:cs="Times New Roman" w:eastAsia="Times New Roman" w:hint="default"/>
                <w:sz w:val="18"/>
                <w:szCs w:val="18"/>
              </w:rPr>
              <w:t>;</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36"/>
              <w:jc w:val="left"/>
              <w:rPr>
                <w:rFonts w:ascii="宋体" w:hAnsi="宋体" w:cs="宋体" w:eastAsia="宋体" w:hint="default"/>
                <w:sz w:val="18"/>
                <w:szCs w:val="18"/>
              </w:rPr>
            </w:pPr>
            <w:r>
              <w:rPr>
                <w:rFonts w:ascii="宋体" w:hAnsi="宋体" w:cs="宋体" w:eastAsia="宋体" w:hint="default"/>
                <w:spacing w:val="-3"/>
                <w:sz w:val="18"/>
                <w:szCs w:val="18"/>
              </w:rPr>
              <w:t>翁小雄，监事周海荣、甘云龙和钟勇，其他高级管理人员刘</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咏平、王明宽、蔡福春和刘厚军关于信息披露责任的承诺：</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4" w:hRule="exact"/>
        </w:trPr>
        <w:tc>
          <w:tcPr>
            <w:tcW w:w="1592"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罗瑞发</w:t>
            </w:r>
            <w:r>
              <w:rPr>
                <w:rFonts w:ascii="Times New Roman" w:hAnsi="Times New Roman" w:cs="Times New Roman" w:eastAsia="Times New Roman" w:hint="default"/>
                <w:sz w:val="18"/>
                <w:szCs w:val="18"/>
              </w:rPr>
              <w:t>;</w:t>
            </w:r>
            <w:r>
              <w:rPr>
                <w:rFonts w:ascii="宋体" w:hAnsi="宋体" w:cs="宋体" w:eastAsia="宋体" w:hint="default"/>
                <w:sz w:val="18"/>
                <w:szCs w:val="18"/>
              </w:rPr>
              <w:t>王明宽</w:t>
            </w:r>
            <w:r>
              <w:rPr>
                <w:rFonts w:ascii="Times New Roman" w:hAnsi="Times New Roman" w:cs="Times New Roman" w:eastAsia="Times New Roman" w:hint="default"/>
                <w:sz w:val="18"/>
                <w:szCs w:val="18"/>
              </w:rPr>
              <w:t>;</w:t>
            </w:r>
          </w:p>
        </w:tc>
        <w:tc>
          <w:tcPr>
            <w:tcW w:w="1558" w:type="dxa"/>
            <w:tcBorders>
              <w:top w:val="nil" w:sz="6" w:space="0" w:color="auto"/>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本人承诺发行人本次发行上市的《招股说明书》及其摘要不</w:t>
            </w:r>
          </w:p>
        </w:tc>
        <w:tc>
          <w:tcPr>
            <w:tcW w:w="1649"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single" w:sz="4" w:space="0" w:color="000000"/>
            </w:tcBorders>
          </w:tcPr>
          <w:p>
            <w:pPr/>
          </w:p>
        </w:tc>
        <w:tc>
          <w:tcPr>
            <w:tcW w:w="1625"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200" w:left="1300" w:right="1280"/>
        </w:sectPr>
      </w:pPr>
    </w:p>
    <w:p>
      <w:pPr>
        <w:spacing w:line="240" w:lineRule="auto" w:before="2"/>
        <w:rPr>
          <w:rFonts w:ascii="Times New Roman" w:hAnsi="Times New Roman" w:cs="Times New Roman" w:eastAsia="Times New Roman" w:hint="default"/>
          <w:sz w:val="3"/>
          <w:szCs w:val="3"/>
        </w:rPr>
      </w:pPr>
      <w:r>
        <w:rPr/>
        <w:pict>
          <v:shape style="position:absolute;margin-left:465.776001pt;margin-top:324.916016pt;width:142.15pt;height:204.9pt;mso-position-horizontal-relative:page;mso-position-vertical-relative:page;z-index:-15317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4"/>
                      <w:szCs w:val="14"/>
                    </w:rPr>
                  </w:pPr>
                </w:p>
                <w:p>
                  <w:pPr>
                    <w:pStyle w:val="BodyText"/>
                    <w:spacing w:line="240" w:lineRule="auto"/>
                    <w:ind w:left="0" w:right="0"/>
                    <w:jc w:val="left"/>
                  </w:pPr>
                  <w:r>
                    <w:rPr/>
                    <w:t>《招股说明书》</w:t>
                  </w:r>
                </w:p>
              </w:txbxContent>
            </v:textbox>
            <w10:wrap type="none"/>
          </v:shape>
        </w:pict>
      </w:r>
      <w:r>
        <w:rPr/>
        <w:pict>
          <v:group style="position:absolute;margin-left:525.909973pt;margin-top:324.916016pt;width:82pt;height:204.9pt;mso-position-horizontal-relative:page;mso-position-vertical-relative:page;z-index:-1531720" coordorigin="10518,6498" coordsize="1640,4098">
            <v:group style="position:absolute;left:10518;top:6498;width:1640;height:4098" coordorigin="10518,6498" coordsize="1640,4098">
              <v:shape style="position:absolute;left:10518;top:6498;width:1640;height:4098" coordorigin="10518,6498" coordsize="1640,4098" path="m10518,10596l12158,10596,12158,6498,10518,6498,10518,10596xe" filled="true" fillcolor="#ffffff" stroked="false">
                <v:path arrowok="t"/>
                <v:fill type="solid"/>
              </v:shape>
            </v:group>
            <v:group style="position:absolute;left:10542;top:8351;width:1592;height:392" coordorigin="10542,8351" coordsize="1592,392">
              <v:shape style="position:absolute;left:10542;top:8351;width:1592;height:392" coordorigin="10542,8351" coordsize="1592,392" path="m10542,8742l12134,8742,12134,8351,10542,8351,10542,8742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1592"/>
        <w:gridCol w:w="1274"/>
        <w:gridCol w:w="1558"/>
        <w:gridCol w:w="4678"/>
        <w:gridCol w:w="1649"/>
        <w:gridCol w:w="1642"/>
        <w:gridCol w:w="1625"/>
      </w:tblGrid>
      <w:tr>
        <w:trPr>
          <w:trHeight w:val="337" w:hRule="exact"/>
        </w:trPr>
        <w:tc>
          <w:tcPr>
            <w:tcW w:w="1592" w:type="dxa"/>
            <w:vMerge w:val="restart"/>
            <w:tcBorders>
              <w:top w:val="single" w:sz="15" w:space="0" w:color="000000"/>
              <w:left w:val="single" w:sz="4" w:space="0" w:color="000000"/>
              <w:right w:val="single" w:sz="4" w:space="0" w:color="000000"/>
            </w:tcBorders>
            <w:shd w:val="clear" w:color="auto" w:fill="D2D2D2"/>
          </w:tcPr>
          <w:p>
            <w:pPr/>
          </w:p>
        </w:tc>
        <w:tc>
          <w:tcPr>
            <w:tcW w:w="1274"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翁小雄</w:t>
            </w:r>
            <w:r>
              <w:rPr>
                <w:rFonts w:ascii="Times New Roman" w:hAnsi="Times New Roman" w:cs="Times New Roman" w:eastAsia="Times New Roman" w:hint="default"/>
                <w:sz w:val="18"/>
                <w:szCs w:val="18"/>
              </w:rPr>
              <w:t>;</w:t>
            </w:r>
            <w:r>
              <w:rPr>
                <w:rFonts w:ascii="宋体" w:hAnsi="宋体" w:cs="宋体" w:eastAsia="宋体" w:hint="default"/>
                <w:sz w:val="18"/>
                <w:szCs w:val="18"/>
              </w:rPr>
              <w:t>许岳明</w:t>
            </w:r>
            <w:r>
              <w:rPr>
                <w:rFonts w:ascii="Times New Roman" w:hAnsi="Times New Roman" w:cs="Times New Roman" w:eastAsia="Times New Roman" w:hint="default"/>
                <w:sz w:val="18"/>
                <w:szCs w:val="18"/>
              </w:rPr>
              <w:t>;</w:t>
            </w:r>
          </w:p>
        </w:tc>
        <w:tc>
          <w:tcPr>
            <w:tcW w:w="1558" w:type="dxa"/>
            <w:vMerge w:val="restart"/>
            <w:tcBorders>
              <w:top w:val="single" w:sz="15" w:space="0" w:color="000000"/>
              <w:left w:val="single" w:sz="4" w:space="0" w:color="000000"/>
              <w:right w:val="single" w:sz="4" w:space="0" w:color="000000"/>
            </w:tcBorders>
          </w:tcPr>
          <w:p>
            <w:pPr/>
          </w:p>
        </w:tc>
        <w:tc>
          <w:tcPr>
            <w:tcW w:w="4678"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存在虚假记载、误导性陈述或重大遗漏，并对其真实性、准</w:t>
            </w:r>
          </w:p>
        </w:tc>
        <w:tc>
          <w:tcPr>
            <w:tcW w:w="1649" w:type="dxa"/>
            <w:vMerge w:val="restart"/>
            <w:tcBorders>
              <w:top w:val="single" w:sz="15" w:space="0" w:color="000000"/>
              <w:left w:val="single" w:sz="4" w:space="0" w:color="000000"/>
              <w:right w:val="single" w:sz="4" w:space="0" w:color="000000"/>
            </w:tcBorders>
          </w:tcPr>
          <w:p>
            <w:pPr/>
          </w:p>
        </w:tc>
        <w:tc>
          <w:tcPr>
            <w:tcW w:w="1642" w:type="dxa"/>
            <w:vMerge w:val="restart"/>
            <w:tcBorders>
              <w:top w:val="single" w:sz="15" w:space="0" w:color="000000"/>
              <w:left w:val="single" w:sz="4" w:space="0" w:color="000000"/>
              <w:right w:val="single" w:sz="4" w:space="0" w:color="000000"/>
            </w:tcBorders>
          </w:tcPr>
          <w:p>
            <w:pPr/>
          </w:p>
        </w:tc>
        <w:tc>
          <w:tcPr>
            <w:tcW w:w="1625" w:type="dxa"/>
            <w:vMerge w:val="restart"/>
            <w:tcBorders>
              <w:top w:val="single" w:sz="15" w:space="0" w:color="000000"/>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杨成</w:t>
            </w:r>
            <w:r>
              <w:rPr>
                <w:rFonts w:ascii="Times New Roman" w:hAnsi="Times New Roman" w:cs="Times New Roman" w:eastAsia="Times New Roman" w:hint="default"/>
                <w:sz w:val="18"/>
                <w:szCs w:val="18"/>
              </w:rPr>
              <w:t>;</w:t>
            </w:r>
            <w:r>
              <w:rPr>
                <w:rFonts w:ascii="宋体" w:hAnsi="宋体" w:cs="宋体" w:eastAsia="宋体" w:hint="default"/>
                <w:sz w:val="18"/>
                <w:szCs w:val="18"/>
              </w:rPr>
              <w:t>郑映虹</w:t>
            </w:r>
            <w:r>
              <w:rPr>
                <w:rFonts w:ascii="Times New Roman" w:hAnsi="Times New Roman" w:cs="Times New Roman" w:eastAsia="Times New Roman" w:hint="default"/>
                <w:sz w:val="18"/>
                <w:szCs w:val="18"/>
              </w:rPr>
              <w:t>;</w:t>
            </w:r>
            <w:r>
              <w:rPr>
                <w:rFonts w:ascii="宋体" w:hAnsi="宋体" w:cs="宋体" w:eastAsia="宋体" w:hint="default"/>
                <w:sz w:val="18"/>
                <w:szCs w:val="18"/>
              </w:rPr>
              <w:t>钟</w:t>
            </w: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确性和完整性承担个别和连带的法律责任。若因发行人本次</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勇</w:t>
            </w:r>
            <w:r>
              <w:rPr>
                <w:rFonts w:ascii="Times New Roman" w:hAnsi="Times New Roman" w:cs="Times New Roman" w:eastAsia="Times New Roman" w:hint="default"/>
                <w:sz w:val="18"/>
                <w:szCs w:val="18"/>
              </w:rPr>
              <w:t>;</w:t>
            </w:r>
            <w:r>
              <w:rPr>
                <w:rFonts w:ascii="宋体" w:hAnsi="宋体" w:cs="宋体" w:eastAsia="宋体" w:hint="default"/>
                <w:sz w:val="18"/>
                <w:szCs w:val="18"/>
              </w:rPr>
              <w:t>周海荣</w:t>
            </w: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发行上市《招股说明书》及其摘要有虚假记载、误导性陈述</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或者重大遗漏，致使投资者在证券交易中遭受损失的，本人</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将依法赔偿投资者损失，但本人能够证明自己没有过错的除</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外。在该等违法事实被中国证监会、证券交易所或司法机关</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认定后，本人将本着主动沟通、尽快赔偿、切实保障投资者</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特别是中小投资者利益的原则，按照投资者在证券交易中直</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接遭受的可测算的经济损失选择与投资者沟通赔偿，通过设</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立投资者赔偿基金等方式积极赔偿投资者由此遭受的直接</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经济损失。该等损失的赔偿金额以投资者因此而实际发生的</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直接损失为限。具体的赔偿标准、赔偿主体范围、赔偿金额</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等细节内容待上述情形实际发生时，依据最终确定的赔偿方</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案为准。本人以发行上市当年以及以后年度的从发行人处领</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取的薪酬（税后）作为上述承诺的履约担保，此外，若本人</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未履行上述赔偿义务，则在履行承诺前，本人直接或间接所</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58"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持的发行人股份（如有）不得转让。</w:t>
            </w:r>
            <w:r>
              <w:rPr>
                <w:rFonts w:ascii="Times New Roman" w:hAnsi="Times New Roman" w:cs="Times New Roman" w:eastAsia="Times New Roman" w:hint="default"/>
                <w:sz w:val="18"/>
                <w:szCs w:val="18"/>
              </w:rPr>
              <w:t>"</w:t>
            </w:r>
          </w:p>
        </w:tc>
        <w:tc>
          <w:tcPr>
            <w:tcW w:w="1649" w:type="dxa"/>
            <w:vMerge/>
            <w:tcBorders>
              <w:left w:val="single" w:sz="4" w:space="0" w:color="000000"/>
              <w:bottom w:val="single" w:sz="4" w:space="0" w:color="000000"/>
              <w:right w:val="single" w:sz="4" w:space="0" w:color="000000"/>
            </w:tcBorders>
          </w:tcPr>
          <w:p>
            <w:pPr/>
          </w:p>
        </w:tc>
        <w:tc>
          <w:tcPr>
            <w:tcW w:w="1642" w:type="dxa"/>
            <w:vMerge/>
            <w:tcBorders>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r>
      <w:tr>
        <w:trPr>
          <w:trHeight w:val="360" w:hRule="exact"/>
        </w:trPr>
        <w:tc>
          <w:tcPr>
            <w:tcW w:w="1592"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558" w:type="dxa"/>
            <w:tcBorders>
              <w:top w:val="single" w:sz="4" w:space="0" w:color="000000"/>
              <w:left w:val="single" w:sz="4" w:space="0" w:color="000000"/>
              <w:bottom w:val="nil" w:sz="6" w:space="0" w:color="auto"/>
              <w:right w:val="single" w:sz="4" w:space="0" w:color="000000"/>
            </w:tcBorders>
          </w:tcPr>
          <w:p>
            <w:pPr/>
          </w:p>
        </w:tc>
        <w:tc>
          <w:tcPr>
            <w:tcW w:w="4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作为深圳市金溢科技股份有限公司（以下简称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发行人</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49" w:type="dxa"/>
            <w:tcBorders>
              <w:top w:val="single" w:sz="4" w:space="0" w:color="000000"/>
              <w:left w:val="single" w:sz="4" w:space="0" w:color="000000"/>
              <w:bottom w:val="nil" w:sz="6" w:space="0" w:color="auto"/>
              <w:right w:val="single" w:sz="4" w:space="0" w:color="000000"/>
            </w:tcBorders>
          </w:tcPr>
          <w:p>
            <w:pPr/>
          </w:p>
        </w:tc>
        <w:tc>
          <w:tcPr>
            <w:tcW w:w="1642" w:type="dxa"/>
            <w:tcBorders>
              <w:top w:val="single" w:sz="4" w:space="0" w:color="000000"/>
              <w:left w:val="single" w:sz="4" w:space="0" w:color="000000"/>
              <w:bottom w:val="nil" w:sz="6" w:space="0" w:color="auto"/>
              <w:right w:val="single" w:sz="4" w:space="0" w:color="000000"/>
            </w:tcBorders>
          </w:tcPr>
          <w:p>
            <w:pPr/>
          </w:p>
        </w:tc>
        <w:tc>
          <w:tcPr>
            <w:tcW w:w="1625"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的股东，针对发行人向中国证监会提交的《首次公开发行股</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票招股说明书</w:t>
            </w:r>
            <w:r>
              <w:rPr>
                <w:rFonts w:ascii="宋体" w:hAnsi="宋体" w:cs="宋体" w:eastAsia="宋体" w:hint="default"/>
                <w:spacing w:val="-92"/>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招股说明书》</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）及其摘要所</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载内容的真实性、准确性和完整性，本人特此承诺如下：本</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人承诺本次发行上市的《招股说明书》及其摘要不存在虚假</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记载、误导性陈述或重大遗漏，并对其真实性、准确性和完</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2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王丽娟</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pacing w:val="-3"/>
                <w:sz w:val="18"/>
                <w:szCs w:val="18"/>
              </w:rPr>
              <w:t>整性承担个别和连带的法律责任。若在发行人首次公开发行</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的股票上市交易后</w:t>
            </w:r>
            <w:r>
              <w:rPr>
                <w:rFonts w:ascii="宋体" w:hAnsi="宋体" w:cs="宋体" w:eastAsia="宋体" w:hint="default"/>
                <w:spacing w:val="-75"/>
                <w:sz w:val="18"/>
                <w:szCs w:val="18"/>
              </w:rPr>
              <w:t>，</w:t>
            </w:r>
            <w:r>
              <w:rPr>
                <w:rFonts w:ascii="宋体" w:hAnsi="宋体" w:cs="宋体" w:eastAsia="宋体" w:hint="default"/>
                <w:sz w:val="18"/>
                <w:szCs w:val="18"/>
              </w:rPr>
              <w:t>因发行人本次发行上市的</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及其摘要有虚假记载、误导性陈述或者重大遗漏，导致对判</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断发行人是否符合法律规定的发行条件构成重大、实质影响</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的，本人将依法督促公司依法回购本次发行的全部新股。若</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因发行人本次发行上市的《招股说明书》及其摘要有虚假记</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592"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载、误导性陈述或者重大遗漏，致使投资者在证券交易中遭</w:t>
            </w:r>
          </w:p>
        </w:tc>
        <w:tc>
          <w:tcPr>
            <w:tcW w:w="1649"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single" w:sz="4" w:space="0" w:color="000000"/>
            </w:tcBorders>
          </w:tcPr>
          <w:p>
            <w:pPr/>
          </w:p>
        </w:tc>
        <w:tc>
          <w:tcPr>
            <w:tcW w:w="1625"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r>
        <w:rPr/>
        <w:pict>
          <v:shape style="position:absolute;margin-left:519.789978pt;margin-top:262.485992pt;width:88.15pt;height:267.3pt;mso-position-horizontal-relative:page;mso-position-vertical-relative:page;z-index:-15316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4"/>
                    <w:ind w:left="0" w:right="0"/>
                    <w:jc w:val="left"/>
                  </w:pPr>
                  <w:r>
                    <w:rPr/>
                    <w:t>）</w:t>
                  </w:r>
                </w:p>
              </w:txbxContent>
            </v:textbox>
            <w10:wrap type="none"/>
          </v:shape>
        </w:pict>
      </w:r>
      <w:r>
        <w:rPr/>
        <w:pict>
          <v:group style="position:absolute;margin-left:525.909973pt;margin-top:57.240005pt;width:82pt;height:472.55pt;mso-position-horizontal-relative:page;mso-position-vertical-relative:page;z-index:-1531672" coordorigin="10518,1145" coordsize="1640,9451">
            <v:group style="position:absolute;left:10518;top:1145;width:1640;height:4096" coordorigin="10518,1145" coordsize="1640,4096">
              <v:shape style="position:absolute;left:10518;top:1145;width:1640;height:4096" coordorigin="10518,1145" coordsize="1640,4096" path="m10518,5240l12158,5240,12158,1145,10518,1145,10518,5240xe" filled="true" fillcolor="#ffffff" stroked="false">
                <v:path arrowok="t"/>
                <v:fill type="solid"/>
              </v:shape>
            </v:group>
            <v:group style="position:absolute;left:10518;top:5250;width:1640;height:5346" coordorigin="10518,5250" coordsize="1640,5346">
              <v:shape style="position:absolute;left:10518;top:5250;width:1640;height:5346" coordorigin="10518,5250" coordsize="1640,5346" path="m10518,10596l12158,10596,12158,5250,10518,5250,10518,10596xe" filled="true" fillcolor="#ffffff" stroked="false">
                <v:path arrowok="t"/>
                <v:fill type="solid"/>
              </v:shape>
            </v:group>
            <v:group style="position:absolute;left:10542;top:7727;width:1592;height:392" coordorigin="10542,7727" coordsize="1592,392">
              <v:shape style="position:absolute;left:10542;top:7727;width:1592;height:392" coordorigin="10542,7727" coordsize="1592,392" path="m10542,8118l12134,8118,12134,7727,10542,7727,10542,8118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1592"/>
        <w:gridCol w:w="1274"/>
        <w:gridCol w:w="1558"/>
        <w:gridCol w:w="4678"/>
        <w:gridCol w:w="1649"/>
        <w:gridCol w:w="1642"/>
        <w:gridCol w:w="1625"/>
      </w:tblGrid>
      <w:tr>
        <w:trPr>
          <w:trHeight w:val="332" w:hRule="exact"/>
        </w:trPr>
        <w:tc>
          <w:tcPr>
            <w:tcW w:w="1592" w:type="dxa"/>
            <w:vMerge w:val="restart"/>
            <w:tcBorders>
              <w:top w:val="single" w:sz="15" w:space="0" w:color="000000"/>
              <w:left w:val="single" w:sz="4" w:space="0" w:color="000000"/>
              <w:right w:val="single" w:sz="4" w:space="0" w:color="000000"/>
            </w:tcBorders>
            <w:shd w:val="clear" w:color="auto" w:fill="D2D2D2"/>
          </w:tcPr>
          <w:p>
            <w:pPr/>
          </w:p>
        </w:tc>
        <w:tc>
          <w:tcPr>
            <w:tcW w:w="1274" w:type="dxa"/>
            <w:vMerge w:val="restart"/>
            <w:tcBorders>
              <w:top w:val="single" w:sz="15" w:space="0" w:color="000000"/>
              <w:left w:val="single" w:sz="4" w:space="0" w:color="000000"/>
              <w:right w:val="single" w:sz="4" w:space="0" w:color="000000"/>
            </w:tcBorders>
          </w:tcPr>
          <w:p>
            <w:pPr/>
          </w:p>
        </w:tc>
        <w:tc>
          <w:tcPr>
            <w:tcW w:w="1558" w:type="dxa"/>
            <w:vMerge w:val="restart"/>
            <w:tcBorders>
              <w:top w:val="single" w:sz="15" w:space="0" w:color="000000"/>
              <w:left w:val="single" w:sz="4" w:space="0" w:color="000000"/>
              <w:right w:val="single" w:sz="4" w:space="0" w:color="000000"/>
            </w:tcBorders>
          </w:tcPr>
          <w:p>
            <w:pPr/>
          </w:p>
        </w:tc>
        <w:tc>
          <w:tcPr>
            <w:tcW w:w="4678"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受损失的，本人将依法赔偿投资者损失，但本人能够证明自</w:t>
            </w:r>
          </w:p>
        </w:tc>
        <w:tc>
          <w:tcPr>
            <w:tcW w:w="1649" w:type="dxa"/>
            <w:vMerge w:val="restart"/>
            <w:tcBorders>
              <w:top w:val="single" w:sz="15" w:space="0" w:color="000000"/>
              <w:left w:val="single" w:sz="4" w:space="0" w:color="000000"/>
              <w:right w:val="single" w:sz="4" w:space="0" w:color="000000"/>
            </w:tcBorders>
          </w:tcPr>
          <w:p>
            <w:pPr/>
          </w:p>
        </w:tc>
        <w:tc>
          <w:tcPr>
            <w:tcW w:w="1642" w:type="dxa"/>
            <w:vMerge w:val="restart"/>
            <w:tcBorders>
              <w:top w:val="single" w:sz="15" w:space="0" w:color="000000"/>
              <w:left w:val="single" w:sz="4" w:space="0" w:color="000000"/>
              <w:right w:val="single" w:sz="4" w:space="0" w:color="000000"/>
            </w:tcBorders>
          </w:tcPr>
          <w:p>
            <w:pPr/>
          </w:p>
        </w:tc>
        <w:tc>
          <w:tcPr>
            <w:tcW w:w="1625" w:type="dxa"/>
            <w:vMerge w:val="restart"/>
            <w:tcBorders>
              <w:top w:val="single" w:sz="15" w:space="0" w:color="000000"/>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己没有过错的除外。在该等违法事实被中国证监会、证券交</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36"/>
              <w:jc w:val="left"/>
              <w:rPr>
                <w:rFonts w:ascii="宋体" w:hAnsi="宋体" w:cs="宋体" w:eastAsia="宋体" w:hint="default"/>
                <w:sz w:val="18"/>
                <w:szCs w:val="18"/>
              </w:rPr>
            </w:pPr>
            <w:r>
              <w:rPr>
                <w:rFonts w:ascii="宋体" w:hAnsi="宋体" w:cs="宋体" w:eastAsia="宋体" w:hint="default"/>
                <w:sz w:val="18"/>
                <w:szCs w:val="18"/>
              </w:rPr>
              <w:t>易所或司法机关认定后，本人将本着主动沟通、尽快赔偿、</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切实保障投资者特别是中小投资者利益的原则，按照投资者</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在证券交易中直接遭受的可测算的经济损失选择与投资者</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沟通赔偿，通过设立投资者赔偿基金等方式积极赔偿投资者</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由此遭受的直接经济损失。该等损失的赔偿金额以投资者因</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此而实际发生的直接损失为限。具体的赔偿标准、赔偿主体</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范围、赔偿金额等细节内容待上述情形实际发生时，依据最</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终确定的赔偿方案为准。本人以发行人发行上市当年及以后</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年度利润分配方案中应享有的分红作为履约担保。此外，若</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本人未履行上述赔偿义务，则在履行承诺前，本人所持的发</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5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行人股份均不得转让。</w:t>
            </w:r>
            <w:r>
              <w:rPr>
                <w:rFonts w:ascii="Times New Roman" w:hAnsi="Times New Roman" w:cs="Times New Roman" w:eastAsia="Times New Roman" w:hint="default"/>
                <w:sz w:val="18"/>
                <w:szCs w:val="18"/>
              </w:rPr>
              <w:t>"</w:t>
            </w:r>
          </w:p>
        </w:tc>
        <w:tc>
          <w:tcPr>
            <w:tcW w:w="1649" w:type="dxa"/>
            <w:vMerge/>
            <w:tcBorders>
              <w:left w:val="single" w:sz="4" w:space="0" w:color="000000"/>
              <w:bottom w:val="single" w:sz="4" w:space="0" w:color="000000"/>
              <w:right w:val="single" w:sz="4" w:space="0" w:color="000000"/>
            </w:tcBorders>
          </w:tcPr>
          <w:p>
            <w:pPr/>
          </w:p>
        </w:tc>
        <w:tc>
          <w:tcPr>
            <w:tcW w:w="1642" w:type="dxa"/>
            <w:vMerge/>
            <w:tcBorders>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r>
      <w:tr>
        <w:trPr>
          <w:trHeight w:val="360" w:hRule="exact"/>
        </w:trPr>
        <w:tc>
          <w:tcPr>
            <w:tcW w:w="1592"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558" w:type="dxa"/>
            <w:tcBorders>
              <w:top w:val="single" w:sz="4" w:space="0" w:color="000000"/>
              <w:left w:val="single" w:sz="4" w:space="0" w:color="000000"/>
              <w:bottom w:val="nil" w:sz="6" w:space="0" w:color="auto"/>
              <w:right w:val="single" w:sz="4" w:space="0" w:color="000000"/>
            </w:tcBorders>
          </w:tcPr>
          <w:p>
            <w:pPr/>
          </w:p>
        </w:tc>
        <w:tc>
          <w:tcPr>
            <w:tcW w:w="4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本公司对填补回报的若干措施及承诺如下：</w:t>
            </w:r>
            <w:r>
              <w:rPr>
                <w:rFonts w:ascii="Times New Roman" w:hAnsi="Times New Roman" w:cs="Times New Roman" w:eastAsia="Times New Roman" w:hint="default"/>
                <w:sz w:val="18"/>
                <w:szCs w:val="18"/>
              </w:rPr>
              <w:t>1</w:t>
            </w:r>
            <w:r>
              <w:rPr>
                <w:rFonts w:ascii="宋体" w:hAnsi="宋体" w:cs="宋体" w:eastAsia="宋体" w:hint="default"/>
                <w:sz w:val="18"/>
                <w:szCs w:val="18"/>
              </w:rPr>
              <w:t>、公司面临的</w:t>
            </w:r>
          </w:p>
        </w:tc>
        <w:tc>
          <w:tcPr>
            <w:tcW w:w="1649" w:type="dxa"/>
            <w:tcBorders>
              <w:top w:val="single" w:sz="4" w:space="0" w:color="000000"/>
              <w:left w:val="single" w:sz="4" w:space="0" w:color="000000"/>
              <w:bottom w:val="nil" w:sz="6" w:space="0" w:color="auto"/>
              <w:right w:val="single" w:sz="4" w:space="0" w:color="000000"/>
            </w:tcBorders>
          </w:tcPr>
          <w:p>
            <w:pPr/>
          </w:p>
        </w:tc>
        <w:tc>
          <w:tcPr>
            <w:tcW w:w="1642" w:type="dxa"/>
            <w:tcBorders>
              <w:top w:val="single" w:sz="4" w:space="0" w:color="000000"/>
              <w:left w:val="single" w:sz="4" w:space="0" w:color="000000"/>
              <w:bottom w:val="nil" w:sz="6" w:space="0" w:color="auto"/>
              <w:right w:val="single" w:sz="4" w:space="0" w:color="000000"/>
            </w:tcBorders>
          </w:tcPr>
          <w:p>
            <w:pPr/>
          </w:p>
        </w:tc>
        <w:tc>
          <w:tcPr>
            <w:tcW w:w="162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主要风险的改进措施</w:t>
            </w:r>
            <w:r>
              <w:rPr>
                <w:rFonts w:ascii="宋体" w:hAnsi="宋体" w:cs="宋体" w:eastAsia="宋体" w:hint="default"/>
                <w:spacing w:val="-75"/>
                <w:sz w:val="18"/>
                <w:szCs w:val="18"/>
              </w:rPr>
              <w:t>、</w:t>
            </w:r>
            <w:r>
              <w:rPr>
                <w:rFonts w:ascii="宋体" w:hAnsi="宋体" w:cs="宋体" w:eastAsia="宋体" w:hint="default"/>
                <w:sz w:val="18"/>
                <w:szCs w:val="18"/>
              </w:rPr>
              <w:t>提高运营效率及业绩的具体措施</w:t>
            </w:r>
            <w:r>
              <w:rPr>
                <w:rFonts w:ascii="宋体" w:hAnsi="宋体" w:cs="宋体" w:eastAsia="宋体" w:hint="default"/>
                <w:spacing w:val="-166"/>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凭借公司在业内多年的技术积累、丰富的产品线、灵活的营</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运机制等方面的优势，坚持高端化发展，以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产品为主</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36"/>
              <w:jc w:val="left"/>
              <w:rPr>
                <w:rFonts w:ascii="宋体" w:hAnsi="宋体" w:cs="宋体" w:eastAsia="宋体" w:hint="default"/>
                <w:sz w:val="18"/>
                <w:szCs w:val="18"/>
              </w:rPr>
            </w:pPr>
            <w:r>
              <w:rPr>
                <w:rFonts w:ascii="宋体" w:hAnsi="宋体" w:cs="宋体" w:eastAsia="宋体" w:hint="default"/>
                <w:sz w:val="18"/>
                <w:szCs w:val="18"/>
              </w:rPr>
              <w:t>要市场发展方向，进一步凝聚高层次人才，提升服务能力。</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）强化专业化发展原则，继续巩固和深化公司在高速公</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29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路智能交通等方面的优势，加大研发投入和技术储备，进一</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深圳市金溢科</w:t>
            </w: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步扩大核心领域的业务规模</w:t>
            </w:r>
            <w:r>
              <w:rPr>
                <w:rFonts w:ascii="宋体" w:hAnsi="宋体" w:cs="宋体" w:eastAsia="宋体" w:hint="default"/>
                <w:spacing w:val="-20"/>
                <w:sz w:val="18"/>
                <w:szCs w:val="18"/>
              </w:rPr>
              <w:t>，</w:t>
            </w:r>
            <w:r>
              <w:rPr>
                <w:rFonts w:ascii="宋体" w:hAnsi="宋体" w:cs="宋体" w:eastAsia="宋体" w:hint="default"/>
                <w:sz w:val="18"/>
                <w:szCs w:val="18"/>
              </w:rPr>
              <w:t>提升市场占有率</w:t>
            </w:r>
            <w:r>
              <w:rPr>
                <w:rFonts w:ascii="宋体" w:hAnsi="宋体" w:cs="宋体" w:eastAsia="宋体" w:hint="default"/>
                <w:spacing w:val="-111"/>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20"/>
                <w:sz w:val="18"/>
                <w:szCs w:val="18"/>
              </w:rPr>
              <w:t>）</w:t>
            </w:r>
            <w:r>
              <w:rPr>
                <w:rFonts w:ascii="宋体" w:hAnsi="宋体" w:cs="宋体" w:eastAsia="宋体" w:hint="default"/>
                <w:sz w:val="18"/>
                <w:szCs w:val="18"/>
              </w:rPr>
              <w:t>坚持以</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技股份有限公</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pacing w:val="-3"/>
                <w:sz w:val="18"/>
                <w:szCs w:val="18"/>
              </w:rPr>
              <w:t>龙头产品带动其他创新产品的发展原则，完善产品品种，提</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2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pacing w:val="-3"/>
                <w:sz w:val="18"/>
                <w:szCs w:val="18"/>
              </w:rPr>
              <w:t>升交付能力，大力拓展国内高速公路智能交通产品市场，充</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分抓住国家大力推进全国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ETC </w:t>
            </w:r>
            <w:r>
              <w:rPr>
                <w:rFonts w:ascii="宋体" w:hAnsi="宋体" w:cs="宋体" w:eastAsia="宋体" w:hint="default"/>
                <w:sz w:val="18"/>
                <w:szCs w:val="18"/>
              </w:rPr>
              <w:t>联网促进行业发展的历史机</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遇</w:t>
            </w:r>
            <w:r>
              <w:rPr>
                <w:rFonts w:ascii="宋体" w:hAnsi="宋体" w:cs="宋体" w:eastAsia="宋体" w:hint="default"/>
                <w:spacing w:val="-11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20"/>
                <w:sz w:val="18"/>
                <w:szCs w:val="18"/>
              </w:rPr>
              <w:t>）</w:t>
            </w:r>
            <w:r>
              <w:rPr>
                <w:rFonts w:ascii="宋体" w:hAnsi="宋体" w:cs="宋体" w:eastAsia="宋体" w:hint="default"/>
                <w:sz w:val="18"/>
                <w:szCs w:val="18"/>
              </w:rPr>
              <w:t>有效控制应收账款回款速度及存货周转速度</w:t>
            </w:r>
            <w:r>
              <w:rPr>
                <w:rFonts w:ascii="宋体" w:hAnsi="宋体" w:cs="宋体" w:eastAsia="宋体" w:hint="default"/>
                <w:spacing w:val="-20"/>
                <w:sz w:val="18"/>
                <w:szCs w:val="18"/>
              </w:rPr>
              <w:t>，</w:t>
            </w:r>
            <w:r>
              <w:rPr>
                <w:rFonts w:ascii="宋体" w:hAnsi="宋体" w:cs="宋体" w:eastAsia="宋体" w:hint="default"/>
                <w:sz w:val="18"/>
                <w:szCs w:val="18"/>
              </w:rPr>
              <w:t>降低</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运营成本</w:t>
            </w:r>
            <w:r>
              <w:rPr>
                <w:rFonts w:ascii="宋体" w:hAnsi="宋体" w:cs="宋体" w:eastAsia="宋体" w:hint="default"/>
                <w:spacing w:val="-10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5</w:t>
            </w:r>
            <w:r>
              <w:rPr>
                <w:rFonts w:ascii="宋体" w:hAnsi="宋体" w:cs="宋体" w:eastAsia="宋体" w:hint="default"/>
                <w:spacing w:val="-15"/>
                <w:sz w:val="18"/>
                <w:szCs w:val="18"/>
              </w:rPr>
              <w:t>）</w:t>
            </w:r>
            <w:r>
              <w:rPr>
                <w:rFonts w:ascii="宋体" w:hAnsi="宋体" w:cs="宋体" w:eastAsia="宋体" w:hint="default"/>
                <w:sz w:val="18"/>
                <w:szCs w:val="18"/>
              </w:rPr>
              <w:t>多渠道募集资金</w:t>
            </w:r>
            <w:r>
              <w:rPr>
                <w:rFonts w:ascii="宋体" w:hAnsi="宋体" w:cs="宋体" w:eastAsia="宋体" w:hint="default"/>
                <w:spacing w:val="-15"/>
                <w:sz w:val="18"/>
                <w:szCs w:val="18"/>
              </w:rPr>
              <w:t>，</w:t>
            </w:r>
            <w:r>
              <w:rPr>
                <w:rFonts w:ascii="宋体" w:hAnsi="宋体" w:cs="宋体" w:eastAsia="宋体" w:hint="default"/>
                <w:sz w:val="18"/>
                <w:szCs w:val="18"/>
              </w:rPr>
              <w:t>降低资金成本</w:t>
            </w:r>
            <w:r>
              <w:rPr>
                <w:rFonts w:ascii="宋体" w:hAnsi="宋体" w:cs="宋体" w:eastAsia="宋体" w:hint="default"/>
                <w:spacing w:val="-15"/>
                <w:sz w:val="18"/>
                <w:szCs w:val="18"/>
              </w:rPr>
              <w:t>，</w:t>
            </w:r>
            <w:r>
              <w:rPr>
                <w:rFonts w:ascii="宋体" w:hAnsi="宋体" w:cs="宋体" w:eastAsia="宋体" w:hint="default"/>
                <w:sz w:val="18"/>
                <w:szCs w:val="18"/>
              </w:rPr>
              <w:t>确保公司</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36"/>
              <w:jc w:val="left"/>
              <w:rPr>
                <w:rFonts w:ascii="宋体" w:hAnsi="宋体" w:cs="宋体" w:eastAsia="宋体" w:hint="default"/>
                <w:sz w:val="18"/>
                <w:szCs w:val="18"/>
              </w:rPr>
            </w:pPr>
            <w:r>
              <w:rPr>
                <w:rFonts w:ascii="宋体" w:hAnsi="宋体" w:cs="宋体" w:eastAsia="宋体" w:hint="default"/>
                <w:sz w:val="18"/>
                <w:szCs w:val="18"/>
              </w:rPr>
              <w:t>持续经营能力</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6</w:t>
            </w:r>
            <w:r>
              <w:rPr>
                <w:rFonts w:ascii="宋体" w:hAnsi="宋体" w:cs="宋体" w:eastAsia="宋体" w:hint="default"/>
                <w:sz w:val="18"/>
                <w:szCs w:val="18"/>
              </w:rPr>
              <w:t>）加快募投项目的建设，尽快实现效益。</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）进一步优化资金管理和信息系统等，提高资金使用效</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率和经营管理水平</w:t>
            </w:r>
            <w:r>
              <w:rPr>
                <w:rFonts w:ascii="宋体" w:hAnsi="宋体" w:cs="宋体" w:eastAsia="宋体" w:hint="default"/>
                <w:spacing w:val="-11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8</w:t>
            </w:r>
            <w:r>
              <w:rPr>
                <w:rFonts w:ascii="宋体" w:hAnsi="宋体" w:cs="宋体" w:eastAsia="宋体" w:hint="default"/>
                <w:spacing w:val="-20"/>
                <w:sz w:val="18"/>
                <w:szCs w:val="18"/>
              </w:rPr>
              <w:t>）</w:t>
            </w:r>
            <w:r>
              <w:rPr>
                <w:rFonts w:ascii="宋体" w:hAnsi="宋体" w:cs="宋体" w:eastAsia="宋体" w:hint="default"/>
                <w:sz w:val="18"/>
                <w:szCs w:val="18"/>
              </w:rPr>
              <w:t>加强预算管理和费用考核</w:t>
            </w:r>
            <w:r>
              <w:rPr>
                <w:rFonts w:ascii="宋体" w:hAnsi="宋体" w:cs="宋体" w:eastAsia="宋体" w:hint="default"/>
                <w:spacing w:val="-20"/>
                <w:sz w:val="18"/>
                <w:szCs w:val="18"/>
              </w:rPr>
              <w:t>，</w:t>
            </w:r>
            <w:r>
              <w:rPr>
                <w:rFonts w:ascii="宋体" w:hAnsi="宋体" w:cs="宋体" w:eastAsia="宋体" w:hint="default"/>
                <w:sz w:val="18"/>
                <w:szCs w:val="18"/>
              </w:rPr>
              <w:t>约束董</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592"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事和高级管理人员的职务消费行为，严格禁止动用公司资产</w:t>
            </w:r>
          </w:p>
        </w:tc>
        <w:tc>
          <w:tcPr>
            <w:tcW w:w="1649"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single" w:sz="4" w:space="0" w:color="000000"/>
            </w:tcBorders>
          </w:tcPr>
          <w:p>
            <w:pPr/>
          </w:p>
        </w:tc>
        <w:tc>
          <w:tcPr>
            <w:tcW w:w="1625"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r>
        <w:rPr/>
        <w:pict>
          <v:shape style="position:absolute;margin-left:420.766998pt;margin-top:57.240005pt;width:187.15pt;height:314pt;mso-position-horizontal-relative:page;mso-position-vertical-relative:page;z-index:-15316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6"/>
                    <w:ind w:left="0" w:right="0"/>
                    <w:jc w:val="left"/>
                  </w:pPr>
                  <w:r>
                    <w:rPr/>
                    <w:t>保证公司经营规模的扩大。</w:t>
                  </w:r>
                </w:p>
              </w:txbxContent>
            </v:textbox>
            <w10:wrap type="none"/>
          </v:shape>
        </w:pict>
      </w:r>
    </w:p>
    <w:tbl>
      <w:tblPr>
        <w:tblW w:w="0" w:type="auto"/>
        <w:jc w:val="left"/>
        <w:tblInd w:w="106" w:type="dxa"/>
        <w:tblLayout w:type="fixed"/>
        <w:tblCellMar>
          <w:top w:w="0" w:type="dxa"/>
          <w:left w:w="0" w:type="dxa"/>
          <w:bottom w:w="0" w:type="dxa"/>
          <w:right w:w="0" w:type="dxa"/>
        </w:tblCellMar>
        <w:tblLook w:val="01E0"/>
      </w:tblPr>
      <w:tblGrid>
        <w:gridCol w:w="1592"/>
        <w:gridCol w:w="1274"/>
        <w:gridCol w:w="1558"/>
        <w:gridCol w:w="4678"/>
        <w:gridCol w:w="1649"/>
        <w:gridCol w:w="1642"/>
        <w:gridCol w:w="1625"/>
      </w:tblGrid>
      <w:tr>
        <w:trPr>
          <w:trHeight w:val="332" w:hRule="exact"/>
        </w:trPr>
        <w:tc>
          <w:tcPr>
            <w:tcW w:w="1592" w:type="dxa"/>
            <w:vMerge w:val="restart"/>
            <w:tcBorders>
              <w:top w:val="single" w:sz="15" w:space="0" w:color="000000"/>
              <w:left w:val="single" w:sz="4" w:space="0" w:color="000000"/>
              <w:right w:val="single" w:sz="4" w:space="0" w:color="000000"/>
            </w:tcBorders>
            <w:shd w:val="clear" w:color="auto" w:fill="D2D2D2"/>
          </w:tcPr>
          <w:p>
            <w:pPr/>
          </w:p>
        </w:tc>
        <w:tc>
          <w:tcPr>
            <w:tcW w:w="1274" w:type="dxa"/>
            <w:vMerge w:val="restart"/>
            <w:tcBorders>
              <w:top w:val="single" w:sz="15" w:space="0" w:color="000000"/>
              <w:left w:val="single" w:sz="4" w:space="0" w:color="000000"/>
              <w:right w:val="single" w:sz="4" w:space="0" w:color="000000"/>
            </w:tcBorders>
          </w:tcPr>
          <w:p>
            <w:pPr/>
          </w:p>
        </w:tc>
        <w:tc>
          <w:tcPr>
            <w:tcW w:w="1558" w:type="dxa"/>
            <w:vMerge w:val="restart"/>
            <w:tcBorders>
              <w:top w:val="single" w:sz="15" w:space="0" w:color="000000"/>
              <w:left w:val="single" w:sz="4" w:space="0" w:color="000000"/>
              <w:right w:val="single" w:sz="4" w:space="0" w:color="000000"/>
            </w:tcBorders>
          </w:tcPr>
          <w:p>
            <w:pPr/>
          </w:p>
        </w:tc>
        <w:tc>
          <w:tcPr>
            <w:tcW w:w="4678"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从事与其履行职责无关的投资、消费活动，提升公司盈利能</w:t>
            </w:r>
          </w:p>
        </w:tc>
        <w:tc>
          <w:tcPr>
            <w:tcW w:w="1649" w:type="dxa"/>
            <w:vMerge w:val="restart"/>
            <w:tcBorders>
              <w:top w:val="single" w:sz="15" w:space="0" w:color="000000"/>
              <w:left w:val="single" w:sz="4" w:space="0" w:color="000000"/>
              <w:right w:val="single" w:sz="4" w:space="0" w:color="000000"/>
            </w:tcBorders>
          </w:tcPr>
          <w:p>
            <w:pPr>
              <w:pStyle w:val="TableParagraph"/>
              <w:spacing w:line="627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5"/>
                <w:sz w:val="20"/>
                <w:szCs w:val="20"/>
              </w:rPr>
              <w:pict>
                <v:group style="width:82pt;height:314pt;mso-position-horizontal-relative:char;mso-position-vertical-relative:line" coordorigin="0,0" coordsize="1640,6280">
                  <v:group style="position:absolute;left:0;top:0;width:1640;height:6280" coordorigin="0,0" coordsize="1640,6280">
                    <v:shape style="position:absolute;left:0;top:0;width:1640;height:6280" coordorigin="0,0" coordsize="1640,6280" path="m0,6280l1640,6280,1640,0,0,0,0,6280xe" filled="true" fillcolor="#ffffff" stroked="false">
                      <v:path arrowok="t"/>
                      <v:fill type="solid"/>
                    </v:shape>
                  </v:group>
                </v:group>
              </w:pict>
            </w:r>
            <w:r>
              <w:rPr>
                <w:rFonts w:ascii="Times New Roman" w:hAnsi="Times New Roman" w:cs="Times New Roman" w:eastAsia="Times New Roman" w:hint="default"/>
                <w:position w:val="-125"/>
                <w:sz w:val="20"/>
                <w:szCs w:val="20"/>
              </w:rPr>
            </w:r>
          </w:p>
        </w:tc>
        <w:tc>
          <w:tcPr>
            <w:tcW w:w="1642" w:type="dxa"/>
            <w:vMerge w:val="restart"/>
            <w:tcBorders>
              <w:top w:val="single" w:sz="15" w:space="0" w:color="000000"/>
              <w:left w:val="single" w:sz="4" w:space="0" w:color="000000"/>
              <w:right w:val="single" w:sz="4" w:space="0" w:color="000000"/>
            </w:tcBorders>
          </w:tcPr>
          <w:p>
            <w:pPr/>
          </w:p>
        </w:tc>
        <w:tc>
          <w:tcPr>
            <w:tcW w:w="1625" w:type="dxa"/>
            <w:vMerge w:val="restart"/>
            <w:tcBorders>
              <w:top w:val="single" w:sz="15" w:space="0" w:color="000000"/>
              <w:left w:val="single" w:sz="4" w:space="0" w:color="000000"/>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力</w:t>
            </w:r>
            <w:r>
              <w:rPr>
                <w:rFonts w:ascii="宋体" w:hAnsi="宋体" w:cs="宋体" w:eastAsia="宋体" w:hint="default"/>
                <w:spacing w:val="-10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9</w:t>
            </w:r>
            <w:r>
              <w:rPr>
                <w:rFonts w:ascii="宋体" w:hAnsi="宋体" w:cs="宋体" w:eastAsia="宋体" w:hint="default"/>
                <w:spacing w:val="-15"/>
                <w:sz w:val="18"/>
                <w:szCs w:val="18"/>
              </w:rPr>
              <w:t>）</w:t>
            </w:r>
            <w:r>
              <w:rPr>
                <w:rFonts w:ascii="宋体" w:hAnsi="宋体" w:cs="宋体" w:eastAsia="宋体" w:hint="default"/>
                <w:sz w:val="18"/>
                <w:szCs w:val="18"/>
              </w:rPr>
              <w:t>加强人力资源管理</w:t>
            </w:r>
            <w:r>
              <w:rPr>
                <w:rFonts w:ascii="宋体" w:hAnsi="宋体" w:cs="宋体" w:eastAsia="宋体" w:hint="default"/>
                <w:spacing w:val="-15"/>
                <w:sz w:val="18"/>
                <w:szCs w:val="18"/>
              </w:rPr>
              <w:t>，</w:t>
            </w:r>
            <w:r>
              <w:rPr>
                <w:rFonts w:ascii="宋体" w:hAnsi="宋体" w:cs="宋体" w:eastAsia="宋体" w:hint="default"/>
                <w:sz w:val="18"/>
                <w:szCs w:val="18"/>
              </w:rPr>
              <w:t>优化绩效评估和考核</w:t>
            </w:r>
            <w:r>
              <w:rPr>
                <w:rFonts w:ascii="宋体" w:hAnsi="宋体" w:cs="宋体" w:eastAsia="宋体" w:hint="default"/>
                <w:spacing w:val="-15"/>
                <w:sz w:val="18"/>
                <w:szCs w:val="18"/>
              </w:rPr>
              <w:t>，</w:t>
            </w:r>
            <w:r>
              <w:rPr>
                <w:rFonts w:ascii="宋体" w:hAnsi="宋体" w:cs="宋体" w:eastAsia="宋体" w:hint="default"/>
                <w:sz w:val="18"/>
                <w:szCs w:val="18"/>
              </w:rPr>
              <w:t>提升人</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均绩效。董事会或薪酬与考核委员会制订的薪酬制度与公司</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填补回报措施的执行情况相挂钩，公司股权激励的行权条件</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与公司填补回报措施的执行情况相挂钩。</w:t>
            </w:r>
            <w:r>
              <w:rPr>
                <w:rFonts w:ascii="Times New Roman" w:hAnsi="Times New Roman" w:cs="Times New Roman" w:eastAsia="Times New Roman" w:hint="default"/>
                <w:sz w:val="18"/>
                <w:szCs w:val="18"/>
              </w:rPr>
              <w:t>2</w:t>
            </w:r>
            <w:r>
              <w:rPr>
                <w:rFonts w:ascii="宋体" w:hAnsi="宋体" w:cs="宋体" w:eastAsia="宋体" w:hint="default"/>
                <w:sz w:val="18"/>
                <w:szCs w:val="18"/>
              </w:rPr>
              <w:t>、加快募投项目</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投资进度，争取早日实现项目预期效益。本次募集资金项目</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有利于大幅提升公司产品的交付能力、有利于完善公司的基</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础研发体系、提升产品的研发能力。公司将加快上述募投项</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目的投资进度，争取早日实现预期效益，尽快提升公司的盈</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利能力。</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、提高资金使用效率，</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公司拟将首次公开发行股票募集的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5,041.88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万元资金用作</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补充营运资金，公司将提高该部分资金的使用效率，以保证</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公司经营规模的扩大，并为公司持续健康发展及业务链延伸</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提供资金支持。</w:t>
            </w:r>
            <w:r>
              <w:rPr>
                <w:rFonts w:ascii="Times New Roman" w:hAnsi="Times New Roman" w:cs="Times New Roman" w:eastAsia="Times New Roman" w:hint="default"/>
                <w:sz w:val="18"/>
                <w:szCs w:val="18"/>
              </w:rPr>
              <w:t>4</w:t>
            </w:r>
            <w:r>
              <w:rPr>
                <w:rFonts w:ascii="宋体" w:hAnsi="宋体" w:cs="宋体" w:eastAsia="宋体" w:hint="default"/>
                <w:sz w:val="18"/>
                <w:szCs w:val="18"/>
              </w:rPr>
              <w:t>、优化投资回报机制。根据《上市公司监</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管指引第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上市公司现金分红》等相关规定，</w:t>
            </w:r>
            <w:r>
              <w:rPr>
                <w:rFonts w:ascii="Times New Roman" w:hAnsi="Times New Roman" w:cs="Times New Roman" w:eastAsia="Times New Roman" w:hint="default"/>
                <w:sz w:val="18"/>
                <w:szCs w:val="18"/>
              </w:rPr>
              <w:t>2015</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年第一次临时股东大会审议通过了《深</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圳市金溢科技股份有限公司首次公开发行人民币普通股（</w:t>
            </w:r>
            <w:r>
              <w:rPr>
                <w:rFonts w:ascii="Times New Roman" w:hAnsi="Times New Roman" w:cs="Times New Roman" w:eastAsia="Times New Roman" w:hint="default"/>
                <w:sz w:val="18"/>
                <w:szCs w:val="18"/>
              </w:rPr>
              <w:t>A</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w:t>
            </w:r>
            <w:r>
              <w:rPr>
                <w:rFonts w:ascii="宋体" w:hAnsi="宋体" w:cs="宋体" w:eastAsia="宋体" w:hint="default"/>
                <w:spacing w:val="-92"/>
                <w:sz w:val="18"/>
                <w:szCs w:val="18"/>
              </w:rPr>
              <w:t>）</w:t>
            </w:r>
            <w:r>
              <w:rPr>
                <w:rFonts w:ascii="宋体" w:hAnsi="宋体" w:cs="宋体" w:eastAsia="宋体" w:hint="default"/>
                <w:sz w:val="18"/>
                <w:szCs w:val="18"/>
              </w:rPr>
              <w:t>并上市后三年股东分红回</w:t>
            </w:r>
            <w:r>
              <w:rPr>
                <w:rFonts w:ascii="宋体" w:hAnsi="宋体" w:cs="宋体" w:eastAsia="宋体" w:hint="default"/>
                <w:spacing w:val="2"/>
                <w:sz w:val="18"/>
                <w:szCs w:val="18"/>
              </w:rPr>
              <w:t>报</w:t>
            </w:r>
            <w:r>
              <w:rPr>
                <w:rFonts w:ascii="宋体" w:hAnsi="宋体" w:cs="宋体" w:eastAsia="宋体" w:hint="default"/>
                <w:sz w:val="18"/>
                <w:szCs w:val="18"/>
              </w:rPr>
              <w:t>规划</w:t>
            </w:r>
            <w:r>
              <w:rPr>
                <w:rFonts w:ascii="宋体" w:hAnsi="宋体" w:cs="宋体" w:eastAsia="宋体" w:hint="default"/>
                <w:spacing w:val="-92"/>
                <w:sz w:val="18"/>
                <w:szCs w:val="18"/>
              </w:rPr>
              <w:t>》，</w:t>
            </w:r>
            <w:r>
              <w:rPr>
                <w:rFonts w:ascii="宋体" w:hAnsi="宋体" w:cs="宋体" w:eastAsia="宋体" w:hint="default"/>
                <w:sz w:val="18"/>
                <w:szCs w:val="18"/>
              </w:rPr>
              <w:t>并制定了</w:t>
            </w:r>
            <w:r>
              <w:rPr>
                <w:rFonts w:ascii="宋体" w:hAnsi="宋体" w:cs="宋体" w:eastAsia="宋体" w:hint="default"/>
                <w:spacing w:val="-66"/>
                <w:sz w:val="18"/>
                <w:szCs w:val="18"/>
              </w:rPr>
              <w:t> </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年股东分红回报计划。公司上市后将优先采用现金分红的方</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5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式分配利润，注重对投资者尤其是中小股东的回报。</w:t>
            </w:r>
          </w:p>
        </w:tc>
        <w:tc>
          <w:tcPr>
            <w:tcW w:w="1649" w:type="dxa"/>
            <w:vMerge/>
            <w:tcBorders>
              <w:left w:val="single" w:sz="4" w:space="0" w:color="000000"/>
              <w:bottom w:val="single" w:sz="4" w:space="0" w:color="000000"/>
              <w:right w:val="single" w:sz="4" w:space="0" w:color="000000"/>
            </w:tcBorders>
          </w:tcPr>
          <w:p>
            <w:pPr/>
          </w:p>
        </w:tc>
        <w:tc>
          <w:tcPr>
            <w:tcW w:w="1642" w:type="dxa"/>
            <w:vMerge/>
            <w:tcBorders>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r>
      <w:tr>
        <w:trPr>
          <w:trHeight w:val="360" w:hRule="exact"/>
        </w:trPr>
        <w:tc>
          <w:tcPr>
            <w:tcW w:w="1592"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558" w:type="dxa"/>
            <w:tcBorders>
              <w:top w:val="single" w:sz="4" w:space="0" w:color="000000"/>
              <w:left w:val="single" w:sz="4" w:space="0" w:color="000000"/>
              <w:bottom w:val="nil" w:sz="6" w:space="0" w:color="auto"/>
              <w:right w:val="single" w:sz="4" w:space="0" w:color="000000"/>
            </w:tcBorders>
          </w:tcPr>
          <w:p>
            <w:pPr/>
          </w:p>
        </w:tc>
        <w:tc>
          <w:tcPr>
            <w:tcW w:w="4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第一大股东敏行电子对填补回报的若干措施及承诺如下：</w:t>
            </w:r>
          </w:p>
        </w:tc>
        <w:tc>
          <w:tcPr>
            <w:tcW w:w="1649" w:type="dxa"/>
            <w:tcBorders>
              <w:top w:val="single" w:sz="4" w:space="0" w:color="000000"/>
              <w:left w:val="single" w:sz="4" w:space="0" w:color="000000"/>
              <w:bottom w:val="nil" w:sz="6" w:space="0" w:color="auto"/>
              <w:right w:val="single" w:sz="4" w:space="0" w:color="000000"/>
            </w:tcBorders>
          </w:tcPr>
          <w:p>
            <w:pPr/>
          </w:p>
        </w:tc>
        <w:tc>
          <w:tcPr>
            <w:tcW w:w="1642" w:type="dxa"/>
            <w:tcBorders>
              <w:top w:val="single" w:sz="4" w:space="0" w:color="000000"/>
              <w:left w:val="single" w:sz="4" w:space="0" w:color="000000"/>
              <w:bottom w:val="nil" w:sz="6" w:space="0" w:color="auto"/>
              <w:right w:val="single" w:sz="4" w:space="0" w:color="000000"/>
            </w:tcBorders>
          </w:tcPr>
          <w:p>
            <w:pPr/>
          </w:p>
        </w:tc>
        <w:tc>
          <w:tcPr>
            <w:tcW w:w="1625" w:type="dxa"/>
            <w:tcBorders>
              <w:top w:val="single" w:sz="4" w:space="0" w:color="000000"/>
              <w:left w:val="single" w:sz="4" w:space="0" w:color="000000"/>
              <w:bottom w:val="nil" w:sz="6" w:space="0" w:color="auto"/>
              <w:right w:val="single" w:sz="4" w:space="0" w:color="000000"/>
            </w:tcBorders>
          </w:tcPr>
          <w:p>
            <w:pPr/>
          </w:p>
        </w:tc>
      </w:tr>
      <w:tr>
        <w:trPr>
          <w:trHeight w:val="931"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4" w:right="158"/>
              <w:jc w:val="left"/>
              <w:rPr>
                <w:rFonts w:ascii="宋体" w:hAnsi="宋体" w:cs="宋体" w:eastAsia="宋体" w:hint="default"/>
                <w:sz w:val="18"/>
                <w:szCs w:val="18"/>
              </w:rPr>
            </w:pPr>
            <w:r>
              <w:rPr>
                <w:rFonts w:ascii="宋体" w:hAnsi="宋体" w:cs="宋体" w:eastAsia="宋体" w:hint="default"/>
                <w:sz w:val="18"/>
                <w:szCs w:val="18"/>
              </w:rPr>
              <w:t>深圳市敏行电 子有限公司</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21"/>
              <w:jc w:val="left"/>
              <w:rPr>
                <w:rFonts w:ascii="宋体" w:hAnsi="宋体" w:cs="宋体" w:eastAsia="宋体" w:hint="default"/>
                <w:sz w:val="18"/>
                <w:szCs w:val="18"/>
              </w:rPr>
            </w:pPr>
            <w:r>
              <w:rPr>
                <w:rFonts w:ascii="宋体" w:hAnsi="宋体" w:cs="宋体" w:eastAsia="宋体" w:hint="default"/>
                <w:spacing w:val="-3"/>
                <w:sz w:val="18"/>
                <w:szCs w:val="18"/>
              </w:rPr>
              <w:t>公司的第一大股东根据中国证监会的有关规定及要求，就公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司本次发行涉及的每股收益即期回报被摊薄的填补回报措 </w:t>
            </w:r>
            <w:r>
              <w:rPr>
                <w:rFonts w:ascii="宋体" w:hAnsi="宋体" w:cs="宋体" w:eastAsia="宋体" w:hint="default"/>
                <w:spacing w:val="-3"/>
                <w:sz w:val="18"/>
                <w:szCs w:val="18"/>
              </w:rPr>
              <w:t>施作出如下承诺：不越权干预公司经营管理活动，不侵占公</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60"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司利益。</w:t>
            </w:r>
            <w:r>
              <w:rPr>
                <w:rFonts w:ascii="Times New Roman" w:hAnsi="Times New Roman" w:cs="Times New Roman" w:eastAsia="Times New Roman" w:hint="default"/>
                <w:sz w:val="18"/>
                <w:szCs w:val="18"/>
              </w:rPr>
              <w:t>"</w:t>
            </w:r>
          </w:p>
        </w:tc>
        <w:tc>
          <w:tcPr>
            <w:tcW w:w="1649"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single" w:sz="4" w:space="0" w:color="000000"/>
            </w:tcBorders>
          </w:tcPr>
          <w:p>
            <w:pPr/>
          </w:p>
        </w:tc>
        <w:tc>
          <w:tcPr>
            <w:tcW w:w="1625"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592"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34"/>
              <w:jc w:val="center"/>
              <w:rPr>
                <w:rFonts w:ascii="Times New Roman" w:hAnsi="Times New Roman" w:cs="Times New Roman" w:eastAsia="Times New Roman" w:hint="default"/>
                <w:sz w:val="18"/>
                <w:szCs w:val="18"/>
              </w:rPr>
            </w:pPr>
            <w:r>
              <w:rPr>
                <w:rFonts w:ascii="宋体" w:hAnsi="宋体" w:cs="宋体" w:eastAsia="宋体" w:hint="default"/>
                <w:sz w:val="18"/>
                <w:szCs w:val="18"/>
              </w:rPr>
              <w:t>蔡福春</w:t>
            </w:r>
            <w:r>
              <w:rPr>
                <w:rFonts w:ascii="Times New Roman" w:hAnsi="Times New Roman" w:cs="Times New Roman" w:eastAsia="Times New Roman" w:hint="default"/>
                <w:sz w:val="18"/>
                <w:szCs w:val="18"/>
              </w:rPr>
              <w:t>;</w:t>
            </w:r>
            <w:r>
              <w:rPr>
                <w:rFonts w:ascii="宋体" w:hAnsi="宋体" w:cs="宋体" w:eastAsia="宋体" w:hint="default"/>
                <w:sz w:val="18"/>
                <w:szCs w:val="18"/>
              </w:rPr>
              <w:t>甘云龙</w:t>
            </w:r>
            <w:r>
              <w:rPr>
                <w:rFonts w:ascii="Times New Roman" w:hAnsi="Times New Roman" w:cs="Times New Roman" w:eastAsia="Times New Roman" w:hint="default"/>
                <w:sz w:val="18"/>
                <w:szCs w:val="18"/>
              </w:rPr>
              <w:t>;</w:t>
            </w:r>
          </w:p>
        </w:tc>
        <w:tc>
          <w:tcPr>
            <w:tcW w:w="1558" w:type="dxa"/>
            <w:tcBorders>
              <w:top w:val="single" w:sz="4" w:space="0" w:color="000000"/>
              <w:left w:val="single" w:sz="4" w:space="0" w:color="000000"/>
              <w:bottom w:val="nil" w:sz="6" w:space="0" w:color="auto"/>
              <w:right w:val="single" w:sz="4" w:space="0" w:color="000000"/>
            </w:tcBorders>
          </w:tcPr>
          <w:p>
            <w:pPr/>
          </w:p>
        </w:tc>
        <w:tc>
          <w:tcPr>
            <w:tcW w:w="4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公司董事、高级管理人员及实际控制人关于填补被摊薄即</w:t>
            </w:r>
          </w:p>
        </w:tc>
        <w:tc>
          <w:tcPr>
            <w:tcW w:w="1649" w:type="dxa"/>
            <w:tcBorders>
              <w:top w:val="single" w:sz="4" w:space="0" w:color="000000"/>
              <w:left w:val="single" w:sz="4" w:space="0" w:color="000000"/>
              <w:bottom w:val="nil" w:sz="6" w:space="0" w:color="auto"/>
              <w:right w:val="single" w:sz="4" w:space="0" w:color="000000"/>
            </w:tcBorders>
          </w:tcPr>
          <w:p>
            <w:pPr/>
          </w:p>
        </w:tc>
        <w:tc>
          <w:tcPr>
            <w:tcW w:w="1642" w:type="dxa"/>
            <w:tcBorders>
              <w:top w:val="single" w:sz="4" w:space="0" w:color="000000"/>
              <w:left w:val="single" w:sz="4" w:space="0" w:color="000000"/>
              <w:bottom w:val="nil" w:sz="6" w:space="0" w:color="auto"/>
              <w:right w:val="single" w:sz="4" w:space="0" w:color="000000"/>
            </w:tcBorders>
          </w:tcPr>
          <w:p>
            <w:pPr/>
          </w:p>
        </w:tc>
        <w:tc>
          <w:tcPr>
            <w:tcW w:w="1625" w:type="dxa"/>
            <w:tcBorders>
              <w:top w:val="single" w:sz="4" w:space="0" w:color="000000"/>
              <w:left w:val="single" w:sz="4" w:space="0" w:color="000000"/>
              <w:bottom w:val="nil" w:sz="6" w:space="0" w:color="auto"/>
              <w:right w:val="single" w:sz="4" w:space="0" w:color="000000"/>
            </w:tcBorders>
          </w:tcPr>
          <w:p>
            <w:pPr/>
          </w:p>
        </w:tc>
      </w:tr>
      <w:tr>
        <w:trPr>
          <w:trHeight w:val="30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34"/>
              <w:jc w:val="center"/>
              <w:rPr>
                <w:rFonts w:ascii="Times New Roman" w:hAnsi="Times New Roman" w:cs="Times New Roman" w:eastAsia="Times New Roman" w:hint="default"/>
                <w:sz w:val="18"/>
                <w:szCs w:val="18"/>
              </w:rPr>
            </w:pPr>
            <w:r>
              <w:rPr>
                <w:rFonts w:ascii="宋体" w:hAnsi="宋体" w:cs="宋体" w:eastAsia="宋体" w:hint="default"/>
                <w:sz w:val="18"/>
                <w:szCs w:val="18"/>
              </w:rPr>
              <w:t>关志超</w:t>
            </w:r>
            <w:r>
              <w:rPr>
                <w:rFonts w:ascii="Times New Roman" w:hAnsi="Times New Roman" w:cs="Times New Roman" w:eastAsia="Times New Roman" w:hint="default"/>
                <w:sz w:val="18"/>
                <w:szCs w:val="18"/>
              </w:rPr>
              <w:t>;</w:t>
            </w:r>
            <w:r>
              <w:rPr>
                <w:rFonts w:ascii="宋体" w:hAnsi="宋体" w:cs="宋体" w:eastAsia="宋体" w:hint="default"/>
                <w:sz w:val="18"/>
                <w:szCs w:val="18"/>
              </w:rPr>
              <w:t>李朝莉</w:t>
            </w:r>
            <w:r>
              <w:rPr>
                <w:rFonts w:ascii="Times New Roman" w:hAnsi="Times New Roman" w:cs="Times New Roman" w:eastAsia="Times New Roman" w:hint="default"/>
                <w:sz w:val="18"/>
                <w:szCs w:val="18"/>
              </w:rPr>
              <w:t>;</w:t>
            </w: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期回报的相关承诺：公司董事、高级管理人员及实际控制人</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2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35"/>
              <w:jc w:val="center"/>
              <w:rPr>
                <w:rFonts w:ascii="宋体" w:hAnsi="宋体" w:cs="宋体" w:eastAsia="宋体" w:hint="default"/>
                <w:sz w:val="18"/>
                <w:szCs w:val="18"/>
              </w:rPr>
            </w:pPr>
            <w:r>
              <w:rPr>
                <w:rFonts w:ascii="宋体" w:hAnsi="宋体" w:cs="宋体" w:eastAsia="宋体" w:hint="default"/>
                <w:sz w:val="18"/>
                <w:szCs w:val="18"/>
              </w:rPr>
              <w:t>李娜</w:t>
            </w:r>
            <w:r>
              <w:rPr>
                <w:rFonts w:ascii="Times New Roman" w:hAnsi="Times New Roman" w:cs="Times New Roman" w:eastAsia="Times New Roman" w:hint="default"/>
                <w:sz w:val="18"/>
                <w:szCs w:val="18"/>
              </w:rPr>
              <w:t>;</w:t>
            </w:r>
            <w:r>
              <w:rPr>
                <w:rFonts w:ascii="宋体" w:hAnsi="宋体" w:cs="宋体" w:eastAsia="宋体" w:hint="default"/>
                <w:sz w:val="18"/>
                <w:szCs w:val="18"/>
              </w:rPr>
              <w:t>刘厚军</w:t>
            </w:r>
            <w:r>
              <w:rPr>
                <w:rFonts w:ascii="Times New Roman" w:hAnsi="Times New Roman" w:cs="Times New Roman" w:eastAsia="Times New Roman" w:hint="default"/>
                <w:sz w:val="18"/>
                <w:szCs w:val="18"/>
              </w:rPr>
              <w:t>;</w:t>
            </w:r>
            <w:r>
              <w:rPr>
                <w:rFonts w:ascii="宋体" w:hAnsi="宋体" w:cs="宋体" w:eastAsia="宋体" w:hint="default"/>
                <w:sz w:val="18"/>
                <w:szCs w:val="18"/>
              </w:rPr>
              <w:t>刘</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pacing w:val="-3"/>
                <w:sz w:val="18"/>
                <w:szCs w:val="18"/>
              </w:rPr>
              <w:t>根据中国证监会的有关规定及要求，就公司本次发行涉及的</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35"/>
              <w:jc w:val="center"/>
              <w:rPr>
                <w:rFonts w:ascii="宋体" w:hAnsi="宋体" w:cs="宋体" w:eastAsia="宋体" w:hint="default"/>
                <w:sz w:val="18"/>
                <w:szCs w:val="18"/>
              </w:rPr>
            </w:pPr>
            <w:r>
              <w:rPr>
                <w:rFonts w:ascii="宋体" w:hAnsi="宋体" w:cs="宋体" w:eastAsia="宋体" w:hint="default"/>
                <w:sz w:val="18"/>
                <w:szCs w:val="18"/>
              </w:rPr>
              <w:t>咏平</w:t>
            </w:r>
            <w:r>
              <w:rPr>
                <w:rFonts w:ascii="Times New Roman" w:hAnsi="Times New Roman" w:cs="Times New Roman" w:eastAsia="Times New Roman" w:hint="default"/>
                <w:sz w:val="18"/>
                <w:szCs w:val="18"/>
              </w:rPr>
              <w:t>;</w:t>
            </w:r>
            <w:r>
              <w:rPr>
                <w:rFonts w:ascii="宋体" w:hAnsi="宋体" w:cs="宋体" w:eastAsia="宋体" w:hint="default"/>
                <w:sz w:val="18"/>
                <w:szCs w:val="18"/>
              </w:rPr>
              <w:t>罗瑞发</w:t>
            </w:r>
            <w:r>
              <w:rPr>
                <w:rFonts w:ascii="Times New Roman" w:hAnsi="Times New Roman" w:cs="Times New Roman" w:eastAsia="Times New Roman" w:hint="default"/>
                <w:sz w:val="18"/>
                <w:szCs w:val="18"/>
              </w:rPr>
              <w:t>;</w:t>
            </w:r>
            <w:r>
              <w:rPr>
                <w:rFonts w:ascii="宋体" w:hAnsi="宋体" w:cs="宋体" w:eastAsia="宋体" w:hint="default"/>
                <w:sz w:val="18"/>
                <w:szCs w:val="18"/>
              </w:rPr>
              <w:t>王</w:t>
            </w: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每股收益即期回报被摊薄的填补回报措施等有关事项作出</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592"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35"/>
              <w:jc w:val="center"/>
              <w:rPr>
                <w:rFonts w:ascii="宋体" w:hAnsi="宋体" w:cs="宋体" w:eastAsia="宋体" w:hint="default"/>
                <w:sz w:val="18"/>
                <w:szCs w:val="18"/>
              </w:rPr>
            </w:pPr>
            <w:r>
              <w:rPr>
                <w:rFonts w:ascii="宋体" w:hAnsi="宋体" w:cs="宋体" w:eastAsia="宋体" w:hint="default"/>
                <w:sz w:val="18"/>
                <w:szCs w:val="18"/>
              </w:rPr>
              <w:t>明宽</w:t>
            </w:r>
            <w:r>
              <w:rPr>
                <w:rFonts w:ascii="Times New Roman" w:hAnsi="Times New Roman" w:cs="Times New Roman" w:eastAsia="Times New Roman" w:hint="default"/>
                <w:sz w:val="18"/>
                <w:szCs w:val="18"/>
              </w:rPr>
              <w:t>;</w:t>
            </w:r>
            <w:r>
              <w:rPr>
                <w:rFonts w:ascii="宋体" w:hAnsi="宋体" w:cs="宋体" w:eastAsia="宋体" w:hint="default"/>
                <w:sz w:val="18"/>
                <w:szCs w:val="18"/>
              </w:rPr>
              <w:t>翁小雄</w:t>
            </w:r>
            <w:r>
              <w:rPr>
                <w:rFonts w:ascii="Times New Roman" w:hAnsi="Times New Roman" w:cs="Times New Roman" w:eastAsia="Times New Roman" w:hint="default"/>
                <w:sz w:val="18"/>
                <w:szCs w:val="18"/>
              </w:rPr>
              <w:t>;</w:t>
            </w:r>
            <w:r>
              <w:rPr>
                <w:rFonts w:ascii="宋体" w:hAnsi="宋体" w:cs="宋体" w:eastAsia="宋体" w:hint="default"/>
                <w:sz w:val="18"/>
                <w:szCs w:val="18"/>
              </w:rPr>
              <w:t>许</w:t>
            </w:r>
          </w:p>
        </w:tc>
        <w:tc>
          <w:tcPr>
            <w:tcW w:w="1558" w:type="dxa"/>
            <w:tcBorders>
              <w:top w:val="nil" w:sz="6" w:space="0" w:color="auto"/>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如下确认及承诺：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、本人承诺忠实、勤勉地履行职责，维</w:t>
            </w:r>
          </w:p>
        </w:tc>
        <w:tc>
          <w:tcPr>
            <w:tcW w:w="1649"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single" w:sz="4" w:space="0" w:color="000000"/>
            </w:tcBorders>
          </w:tcPr>
          <w:p>
            <w:pPr/>
          </w:p>
        </w:tc>
        <w:tc>
          <w:tcPr>
            <w:tcW w:w="1625"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200" w:left="1300" w:right="1280"/>
        </w:sectPr>
      </w:pPr>
    </w:p>
    <w:p>
      <w:pPr>
        <w:spacing w:line="240" w:lineRule="auto" w:before="2"/>
        <w:rPr>
          <w:rFonts w:ascii="Times New Roman" w:hAnsi="Times New Roman" w:cs="Times New Roman" w:eastAsia="Times New Roman" w:hint="default"/>
          <w:sz w:val="3"/>
          <w:szCs w:val="3"/>
        </w:rPr>
      </w:pPr>
      <w:r>
        <w:rPr/>
        <w:pict>
          <v:shape style="position:absolute;margin-left:519.767029pt;margin-top:57.240005pt;width:88.15pt;height:267.2pt;mso-position-horizontal-relative:page;mso-position-vertical-relative:page;z-index:-15315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19"/>
                      <w:szCs w:val="19"/>
                    </w:rPr>
                  </w:pPr>
                </w:p>
                <w:p>
                  <w:pPr>
                    <w:pStyle w:val="BodyText"/>
                    <w:spacing w:line="240" w:lineRule="auto"/>
                    <w:ind w:left="0" w:right="0"/>
                    <w:jc w:val="left"/>
                  </w:pPr>
                  <w:r>
                    <w:rPr/>
                    <w:t>。</w:t>
                  </w:r>
                </w:p>
              </w:txbxContent>
            </v:textbox>
            <w10:wrap type="none"/>
          </v:shape>
        </w:pict>
      </w:r>
    </w:p>
    <w:tbl>
      <w:tblPr>
        <w:tblW w:w="0" w:type="auto"/>
        <w:jc w:val="left"/>
        <w:tblInd w:w="106" w:type="dxa"/>
        <w:tblLayout w:type="fixed"/>
        <w:tblCellMar>
          <w:top w:w="0" w:type="dxa"/>
          <w:left w:w="0" w:type="dxa"/>
          <w:bottom w:w="0" w:type="dxa"/>
          <w:right w:w="0" w:type="dxa"/>
        </w:tblCellMar>
        <w:tblLook w:val="01E0"/>
      </w:tblPr>
      <w:tblGrid>
        <w:gridCol w:w="1592"/>
        <w:gridCol w:w="1274"/>
        <w:gridCol w:w="1558"/>
        <w:gridCol w:w="4678"/>
        <w:gridCol w:w="1649"/>
        <w:gridCol w:w="1642"/>
        <w:gridCol w:w="1625"/>
      </w:tblGrid>
      <w:tr>
        <w:trPr>
          <w:trHeight w:val="337" w:hRule="exact"/>
        </w:trPr>
        <w:tc>
          <w:tcPr>
            <w:tcW w:w="1592" w:type="dxa"/>
            <w:vMerge w:val="restart"/>
            <w:tcBorders>
              <w:top w:val="single" w:sz="15" w:space="0" w:color="000000"/>
              <w:left w:val="single" w:sz="4" w:space="0" w:color="000000"/>
              <w:right w:val="single" w:sz="4" w:space="0" w:color="000000"/>
            </w:tcBorders>
            <w:shd w:val="clear" w:color="auto" w:fill="D2D2D2"/>
          </w:tcPr>
          <w:p>
            <w:pPr/>
          </w:p>
        </w:tc>
        <w:tc>
          <w:tcPr>
            <w:tcW w:w="1274"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岳明</w:t>
            </w:r>
            <w:r>
              <w:rPr>
                <w:rFonts w:ascii="Times New Roman" w:hAnsi="Times New Roman" w:cs="Times New Roman" w:eastAsia="Times New Roman" w:hint="default"/>
                <w:sz w:val="18"/>
                <w:szCs w:val="18"/>
              </w:rPr>
              <w:t>;</w:t>
            </w:r>
            <w:r>
              <w:rPr>
                <w:rFonts w:ascii="宋体" w:hAnsi="宋体" w:cs="宋体" w:eastAsia="宋体" w:hint="default"/>
                <w:sz w:val="18"/>
                <w:szCs w:val="18"/>
              </w:rPr>
              <w:t>杨成</w:t>
            </w:r>
            <w:r>
              <w:rPr>
                <w:rFonts w:ascii="Times New Roman" w:hAnsi="Times New Roman" w:cs="Times New Roman" w:eastAsia="Times New Roman" w:hint="default"/>
                <w:sz w:val="18"/>
                <w:szCs w:val="18"/>
              </w:rPr>
              <w:t>;</w:t>
            </w:r>
            <w:r>
              <w:rPr>
                <w:rFonts w:ascii="宋体" w:hAnsi="宋体" w:cs="宋体" w:eastAsia="宋体" w:hint="default"/>
                <w:sz w:val="18"/>
                <w:szCs w:val="18"/>
              </w:rPr>
              <w:t>郑映</w:t>
            </w:r>
          </w:p>
        </w:tc>
        <w:tc>
          <w:tcPr>
            <w:tcW w:w="1558" w:type="dxa"/>
            <w:vMerge w:val="restart"/>
            <w:tcBorders>
              <w:top w:val="single" w:sz="15" w:space="0" w:color="000000"/>
              <w:left w:val="single" w:sz="4" w:space="0" w:color="000000"/>
              <w:right w:val="single" w:sz="4" w:space="0" w:color="000000"/>
            </w:tcBorders>
          </w:tcPr>
          <w:p>
            <w:pPr/>
          </w:p>
        </w:tc>
        <w:tc>
          <w:tcPr>
            <w:tcW w:w="4678"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护公司和全体股东的合法权益。</w:t>
            </w:r>
            <w:r>
              <w:rPr>
                <w:rFonts w:ascii="Times New Roman" w:hAnsi="Times New Roman" w:cs="Times New Roman" w:eastAsia="Times New Roman" w:hint="default"/>
                <w:sz w:val="18"/>
                <w:szCs w:val="18"/>
              </w:rPr>
              <w:t>2</w:t>
            </w:r>
            <w:r>
              <w:rPr>
                <w:rFonts w:ascii="宋体" w:hAnsi="宋体" w:cs="宋体" w:eastAsia="宋体" w:hint="default"/>
                <w:sz w:val="18"/>
                <w:szCs w:val="18"/>
              </w:rPr>
              <w:t>、本人承诺不得越权干预</w:t>
            </w:r>
          </w:p>
        </w:tc>
        <w:tc>
          <w:tcPr>
            <w:tcW w:w="1649" w:type="dxa"/>
            <w:vMerge w:val="restart"/>
            <w:tcBorders>
              <w:top w:val="single" w:sz="15" w:space="0" w:color="000000"/>
              <w:left w:val="single" w:sz="4" w:space="0" w:color="000000"/>
              <w:right w:val="single" w:sz="4" w:space="0" w:color="000000"/>
            </w:tcBorders>
          </w:tcPr>
          <w:p>
            <w:pPr>
              <w:pStyle w:val="TableParagraph"/>
              <w:spacing w:line="5343"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6"/>
                <w:sz w:val="20"/>
                <w:szCs w:val="20"/>
              </w:rPr>
              <w:pict>
                <v:group style="width:82pt;height:267.2pt;mso-position-horizontal-relative:char;mso-position-vertical-relative:line" coordorigin="0,0" coordsize="1640,5344">
                  <v:group style="position:absolute;left:0;top:0;width:1640;height:5344" coordorigin="0,0" coordsize="1640,5344">
                    <v:shape style="position:absolute;left:0;top:0;width:1640;height:5344" coordorigin="0,0" coordsize="1640,5344" path="m0,5344l1640,5344,1640,0,0,0,0,5344xe" filled="true" fillcolor="#ffffff" stroked="false">
                      <v:path arrowok="t"/>
                      <v:fill type="solid"/>
                    </v:shape>
                  </v:group>
                </v:group>
              </w:pict>
            </w:r>
            <w:r>
              <w:rPr>
                <w:rFonts w:ascii="Times New Roman" w:hAnsi="Times New Roman" w:cs="Times New Roman" w:eastAsia="Times New Roman" w:hint="default"/>
                <w:position w:val="-106"/>
                <w:sz w:val="20"/>
                <w:szCs w:val="20"/>
              </w:rPr>
            </w:r>
          </w:p>
        </w:tc>
        <w:tc>
          <w:tcPr>
            <w:tcW w:w="1642" w:type="dxa"/>
            <w:vMerge w:val="restart"/>
            <w:tcBorders>
              <w:top w:val="single" w:sz="15" w:space="0" w:color="000000"/>
              <w:left w:val="single" w:sz="4" w:space="0" w:color="000000"/>
              <w:right w:val="single" w:sz="4" w:space="0" w:color="000000"/>
            </w:tcBorders>
          </w:tcPr>
          <w:p>
            <w:pPr/>
          </w:p>
        </w:tc>
        <w:tc>
          <w:tcPr>
            <w:tcW w:w="1625" w:type="dxa"/>
            <w:vMerge w:val="restart"/>
            <w:tcBorders>
              <w:top w:val="single" w:sz="15" w:space="0" w:color="000000"/>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虹</w:t>
            </w:r>
            <w:r>
              <w:rPr>
                <w:rFonts w:ascii="Times New Roman" w:hAnsi="Times New Roman" w:cs="Times New Roman" w:eastAsia="Times New Roman" w:hint="default"/>
                <w:sz w:val="18"/>
                <w:szCs w:val="18"/>
              </w:rPr>
              <w:t>;</w:t>
            </w:r>
            <w:r>
              <w:rPr>
                <w:rFonts w:ascii="宋体" w:hAnsi="宋体" w:cs="宋体" w:eastAsia="宋体" w:hint="default"/>
                <w:sz w:val="18"/>
                <w:szCs w:val="18"/>
              </w:rPr>
              <w:t>钟勇</w:t>
            </w:r>
            <w:r>
              <w:rPr>
                <w:rFonts w:ascii="Times New Roman" w:hAnsi="Times New Roman" w:cs="Times New Roman" w:eastAsia="Times New Roman" w:hint="default"/>
                <w:sz w:val="18"/>
                <w:szCs w:val="18"/>
              </w:rPr>
              <w:t>;</w:t>
            </w:r>
            <w:r>
              <w:rPr>
                <w:rFonts w:ascii="宋体" w:hAnsi="宋体" w:cs="宋体" w:eastAsia="宋体" w:hint="default"/>
                <w:sz w:val="18"/>
                <w:szCs w:val="18"/>
              </w:rPr>
              <w:t>周海荣</w:t>
            </w: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公司经营管理活动，不得侵占公司利益。</w:t>
            </w:r>
            <w:r>
              <w:rPr>
                <w:rFonts w:ascii="Times New Roman" w:hAnsi="Times New Roman" w:cs="Times New Roman" w:eastAsia="Times New Roman" w:hint="default"/>
                <w:sz w:val="18"/>
                <w:szCs w:val="18"/>
              </w:rPr>
              <w:t>3</w:t>
            </w:r>
            <w:r>
              <w:rPr>
                <w:rFonts w:ascii="宋体" w:hAnsi="宋体" w:cs="宋体" w:eastAsia="宋体" w:hint="default"/>
                <w:sz w:val="18"/>
                <w:szCs w:val="18"/>
              </w:rPr>
              <w:t>、本人承诺不无</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偿或以不公平条件向其他单位或者个人输送利益，也不得采</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用其他方式损害公司利益。</w:t>
            </w:r>
            <w:r>
              <w:rPr>
                <w:rFonts w:ascii="Times New Roman" w:hAnsi="Times New Roman" w:cs="Times New Roman" w:eastAsia="Times New Roman" w:hint="default"/>
                <w:sz w:val="18"/>
                <w:szCs w:val="18"/>
              </w:rPr>
              <w:t>4</w:t>
            </w:r>
            <w:r>
              <w:rPr>
                <w:rFonts w:ascii="宋体" w:hAnsi="宋体" w:cs="宋体" w:eastAsia="宋体" w:hint="default"/>
                <w:sz w:val="18"/>
                <w:szCs w:val="18"/>
              </w:rPr>
              <w:t>、本人承诺对本人职务消费行</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为进行约束。</w:t>
            </w:r>
            <w:r>
              <w:rPr>
                <w:rFonts w:ascii="Times New Roman" w:hAnsi="Times New Roman" w:cs="Times New Roman" w:eastAsia="Times New Roman" w:hint="default"/>
                <w:sz w:val="18"/>
                <w:szCs w:val="18"/>
              </w:rPr>
              <w:t>5</w:t>
            </w:r>
            <w:r>
              <w:rPr>
                <w:rFonts w:ascii="宋体" w:hAnsi="宋体" w:cs="宋体" w:eastAsia="宋体" w:hint="default"/>
                <w:sz w:val="18"/>
                <w:szCs w:val="18"/>
              </w:rPr>
              <w:t>、本人承诺不动用公司资产从事与其履行职</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责无关的投资、消费活动。</w:t>
            </w:r>
            <w:r>
              <w:rPr>
                <w:rFonts w:ascii="Times New Roman" w:hAnsi="Times New Roman" w:cs="Times New Roman" w:eastAsia="Times New Roman" w:hint="default"/>
                <w:sz w:val="18"/>
                <w:szCs w:val="18"/>
              </w:rPr>
              <w:t>6</w:t>
            </w:r>
            <w:r>
              <w:rPr>
                <w:rFonts w:ascii="宋体" w:hAnsi="宋体" w:cs="宋体" w:eastAsia="宋体" w:hint="default"/>
                <w:sz w:val="18"/>
                <w:szCs w:val="18"/>
              </w:rPr>
              <w:t>、本人承诺在自身职责和权限</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范围内，全力促使公司董事会或者薪酬与考核委员会制定的</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薪酬制度与公司填补回报措施的执行情况相挂钩，并对公司</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董事会和股东大会审议的相关议案投票赞成（如有表决权）</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、如公司拟实施股权激励，本人承诺在自身职责和权限范</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围内，全力促使公司拟公布的股权激励行权条件与公司填补</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回报措施的执行情况相挂钩，并对公司董事会和股东大会审</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议的相关议案投票赞</w:t>
            </w:r>
            <w:r>
              <w:rPr>
                <w:rFonts w:ascii="宋体" w:hAnsi="宋体" w:cs="宋体" w:eastAsia="宋体" w:hint="default"/>
                <w:spacing w:val="-20"/>
                <w:sz w:val="18"/>
                <w:szCs w:val="18"/>
              </w:rPr>
              <w:t>成</w:t>
            </w:r>
            <w:r>
              <w:rPr>
                <w:rFonts w:ascii="宋体" w:hAnsi="宋体" w:cs="宋体" w:eastAsia="宋体" w:hint="default"/>
                <w:sz w:val="18"/>
                <w:szCs w:val="18"/>
              </w:rPr>
              <w:t>（如有表决权</w:t>
            </w:r>
            <w:r>
              <w:rPr>
                <w:rFonts w:ascii="宋体" w:hAnsi="宋体" w:cs="宋体" w:eastAsia="宋体" w:hint="default"/>
                <w:spacing w:val="-92"/>
                <w:sz w:val="18"/>
                <w:szCs w:val="18"/>
              </w:rPr>
              <w:t>）</w:t>
            </w:r>
            <w:r>
              <w:rPr>
                <w:rFonts w:ascii="宋体" w:hAnsi="宋体" w:cs="宋体" w:eastAsia="宋体" w:hint="default"/>
                <w:spacing w:val="-19"/>
                <w:sz w:val="18"/>
                <w:szCs w:val="18"/>
              </w:rPr>
              <w:t>。</w:t>
            </w:r>
            <w:r>
              <w:rPr>
                <w:rFonts w:ascii="Times New Roman" w:hAnsi="Times New Roman" w:cs="Times New Roman" w:eastAsia="Times New Roman" w:hint="default"/>
                <w:spacing w:val="1"/>
                <w:sz w:val="18"/>
                <w:szCs w:val="18"/>
              </w:rPr>
              <w:t>8</w:t>
            </w:r>
            <w:r>
              <w:rPr>
                <w:rFonts w:ascii="宋体" w:hAnsi="宋体" w:cs="宋体" w:eastAsia="宋体" w:hint="default"/>
                <w:spacing w:val="-20"/>
                <w:sz w:val="18"/>
                <w:szCs w:val="18"/>
              </w:rPr>
              <w:t>、</w:t>
            </w:r>
            <w:r>
              <w:rPr>
                <w:rFonts w:ascii="宋体" w:hAnsi="宋体" w:cs="宋体" w:eastAsia="宋体" w:hint="default"/>
                <w:sz w:val="18"/>
                <w:szCs w:val="18"/>
              </w:rPr>
              <w:t>若中国证监会或</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深圳证券交易所对本人有关确保本次发行摊薄即期回报事</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项的填补回报措施得以切实履行的承诺有不同要求的，本人</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将自愿无条件按照中国证监会或深圳证券交易所的要求予</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58"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以承诺。</w:t>
            </w:r>
            <w:r>
              <w:rPr>
                <w:rFonts w:ascii="Times New Roman" w:hAnsi="Times New Roman" w:cs="Times New Roman" w:eastAsia="Times New Roman" w:hint="default"/>
                <w:sz w:val="18"/>
                <w:szCs w:val="18"/>
              </w:rPr>
              <w:t>"</w:t>
            </w:r>
          </w:p>
        </w:tc>
        <w:tc>
          <w:tcPr>
            <w:tcW w:w="1649" w:type="dxa"/>
            <w:vMerge/>
            <w:tcBorders>
              <w:left w:val="single" w:sz="4" w:space="0" w:color="000000"/>
              <w:bottom w:val="single" w:sz="4" w:space="0" w:color="000000"/>
              <w:right w:val="single" w:sz="4" w:space="0" w:color="000000"/>
            </w:tcBorders>
          </w:tcPr>
          <w:p>
            <w:pPr/>
          </w:p>
        </w:tc>
        <w:tc>
          <w:tcPr>
            <w:tcW w:w="1642" w:type="dxa"/>
            <w:vMerge/>
            <w:tcBorders>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r>
      <w:tr>
        <w:trPr>
          <w:trHeight w:val="360" w:hRule="exact"/>
        </w:trPr>
        <w:tc>
          <w:tcPr>
            <w:tcW w:w="1592"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558" w:type="dxa"/>
            <w:tcBorders>
              <w:top w:val="single" w:sz="4" w:space="0" w:color="000000"/>
              <w:left w:val="single" w:sz="4" w:space="0" w:color="000000"/>
              <w:bottom w:val="nil" w:sz="6" w:space="0" w:color="auto"/>
              <w:right w:val="single" w:sz="4" w:space="0" w:color="000000"/>
            </w:tcBorders>
          </w:tcPr>
          <w:p>
            <w:pPr/>
          </w:p>
        </w:tc>
        <w:tc>
          <w:tcPr>
            <w:tcW w:w="4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本次公开发行完成后，深圳市金溢科技股份有限公司（以</w:t>
            </w:r>
          </w:p>
        </w:tc>
        <w:tc>
          <w:tcPr>
            <w:tcW w:w="1649" w:type="dxa"/>
            <w:tcBorders>
              <w:top w:val="single" w:sz="4" w:space="0" w:color="000000"/>
              <w:left w:val="single" w:sz="4" w:space="0" w:color="000000"/>
              <w:bottom w:val="nil" w:sz="6" w:space="0" w:color="auto"/>
              <w:right w:val="single" w:sz="4" w:space="0" w:color="000000"/>
            </w:tcBorders>
          </w:tcPr>
          <w:p>
            <w:pPr/>
          </w:p>
        </w:tc>
        <w:tc>
          <w:tcPr>
            <w:tcW w:w="1642" w:type="dxa"/>
            <w:tcBorders>
              <w:top w:val="single" w:sz="4" w:space="0" w:color="000000"/>
              <w:left w:val="single" w:sz="4" w:space="0" w:color="000000"/>
              <w:bottom w:val="nil" w:sz="6" w:space="0" w:color="auto"/>
              <w:right w:val="single" w:sz="4" w:space="0" w:color="000000"/>
            </w:tcBorders>
          </w:tcPr>
          <w:p>
            <w:pPr/>
          </w:p>
        </w:tc>
        <w:tc>
          <w:tcPr>
            <w:tcW w:w="162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17"/>
              <w:jc w:val="left"/>
              <w:rPr>
                <w:rFonts w:ascii="宋体" w:hAnsi="宋体" w:cs="宋体" w:eastAsia="宋体" w:hint="default"/>
                <w:sz w:val="18"/>
                <w:szCs w:val="18"/>
              </w:rPr>
            </w:pPr>
            <w:r>
              <w:rPr>
                <w:rFonts w:ascii="宋体" w:hAnsi="宋体" w:cs="宋体" w:eastAsia="宋体" w:hint="default"/>
                <w:sz w:val="18"/>
                <w:szCs w:val="18"/>
              </w:rPr>
              <w:t>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）的净资产将随着募集资金到位而大幅增加，</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由于募集资金项目从开始实施至投产并产生效益需要一定</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时间，在上述时间内，公司的每股收益和加权平均净资产收</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益率等指标将在短期内可能出现一定幅度的下降。为降低本</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次公开发行摊薄即期回报的影响，本人对公司填补回报措施</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2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王丽娟</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能够得到切实履行作出的承诺：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、本人承诺忠实、勤勉地</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履行职责，维护公司和全体股东的合法权益。</w:t>
            </w:r>
            <w:r>
              <w:rPr>
                <w:rFonts w:ascii="Times New Roman" w:hAnsi="Times New Roman" w:cs="Times New Roman" w:eastAsia="Times New Roman" w:hint="default"/>
                <w:sz w:val="18"/>
                <w:szCs w:val="18"/>
              </w:rPr>
              <w:t>2</w:t>
            </w:r>
            <w:r>
              <w:rPr>
                <w:rFonts w:ascii="宋体" w:hAnsi="宋体" w:cs="宋体" w:eastAsia="宋体" w:hint="default"/>
                <w:sz w:val="18"/>
                <w:szCs w:val="18"/>
              </w:rPr>
              <w:t>、本人承诺</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不得越权干预公司经营管理活动，不得侵占公司利益。</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本人承诺不无偿或以不公平条件向其他单位或者个人输送</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利益，也不得采用其他方式损害公司利益。</w:t>
            </w:r>
            <w:r>
              <w:rPr>
                <w:rFonts w:ascii="Times New Roman" w:hAnsi="Times New Roman" w:cs="Times New Roman" w:eastAsia="Times New Roman" w:hint="default"/>
                <w:sz w:val="18"/>
                <w:szCs w:val="18"/>
              </w:rPr>
              <w:t>4</w:t>
            </w:r>
            <w:r>
              <w:rPr>
                <w:rFonts w:ascii="宋体" w:hAnsi="宋体" w:cs="宋体" w:eastAsia="宋体" w:hint="default"/>
                <w:sz w:val="18"/>
                <w:szCs w:val="18"/>
              </w:rPr>
              <w:t>、本人承诺对</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本人职务消费行为进行约束。</w:t>
            </w:r>
            <w:r>
              <w:rPr>
                <w:rFonts w:ascii="Times New Roman" w:hAnsi="Times New Roman" w:cs="Times New Roman" w:eastAsia="Times New Roman" w:hint="default"/>
                <w:sz w:val="18"/>
                <w:szCs w:val="18"/>
              </w:rPr>
              <w:t>5</w:t>
            </w:r>
            <w:r>
              <w:rPr>
                <w:rFonts w:ascii="宋体" w:hAnsi="宋体" w:cs="宋体" w:eastAsia="宋体" w:hint="default"/>
                <w:sz w:val="18"/>
                <w:szCs w:val="18"/>
              </w:rPr>
              <w:t>、本人承诺不动用公司资产</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592"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从事与其履行职责无关的投资、消费活动。</w:t>
            </w:r>
            <w:r>
              <w:rPr>
                <w:rFonts w:ascii="Times New Roman" w:hAnsi="Times New Roman" w:cs="Times New Roman" w:eastAsia="Times New Roman" w:hint="default"/>
                <w:sz w:val="18"/>
                <w:szCs w:val="18"/>
              </w:rPr>
              <w:t>6</w:t>
            </w:r>
            <w:r>
              <w:rPr>
                <w:rFonts w:ascii="宋体" w:hAnsi="宋体" w:cs="宋体" w:eastAsia="宋体" w:hint="default"/>
                <w:sz w:val="18"/>
                <w:szCs w:val="18"/>
              </w:rPr>
              <w:t>、本人承诺在</w:t>
            </w:r>
          </w:p>
        </w:tc>
        <w:tc>
          <w:tcPr>
            <w:tcW w:w="1649"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single" w:sz="4" w:space="0" w:color="000000"/>
            </w:tcBorders>
          </w:tcPr>
          <w:p>
            <w:pPr/>
          </w:p>
        </w:tc>
        <w:tc>
          <w:tcPr>
            <w:tcW w:w="1625"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r>
        <w:rPr/>
        <w:pict>
          <v:shape style="position:absolute;margin-left:519.910034pt;margin-top:231.290009pt;width:88pt;height:113.3pt;mso-position-horizontal-relative:page;mso-position-vertical-relative:page;z-index:-15315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60"/>
                    <w:ind w:left="0" w:right="0"/>
                    <w:jc w:val="left"/>
                  </w:pPr>
                  <w:r>
                    <w:rPr/>
                    <w:t>，</w:t>
                  </w:r>
                </w:p>
              </w:txbxContent>
            </v:textbox>
            <w10:wrap type="none"/>
          </v:shape>
        </w:pict>
      </w:r>
      <w:r>
        <w:rPr/>
        <w:pict>
          <v:group style="position:absolute;margin-left:525.909973pt;margin-top:231.290009pt;width:82pt;height:113.3pt;mso-position-horizontal-relative:page;mso-position-vertical-relative:page;z-index:-1531528" coordorigin="10518,4626" coordsize="1640,2266">
            <v:group style="position:absolute;left:10518;top:4626;width:1640;height:2266" coordorigin="10518,4626" coordsize="1640,2266">
              <v:shape style="position:absolute;left:10518;top:4626;width:1640;height:2266" coordorigin="10518,4626" coordsize="1640,2266" path="m10518,6892l12158,6892,12158,4626,10518,4626,10518,6892xe" filled="true" fillcolor="#ffffff" stroked="false">
                <v:path arrowok="t"/>
                <v:fill type="solid"/>
              </v:shape>
            </v:group>
            <v:group style="position:absolute;left:10542;top:5562;width:1592;height:394" coordorigin="10542,5562" coordsize="1592,394">
              <v:shape style="position:absolute;left:10542;top:5562;width:1592;height:394" coordorigin="10542,5562" coordsize="1592,394" path="m10542,5955l12134,5955,12134,5562,10542,5562,10542,5955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1592"/>
        <w:gridCol w:w="1274"/>
        <w:gridCol w:w="1558"/>
        <w:gridCol w:w="4678"/>
        <w:gridCol w:w="1649"/>
        <w:gridCol w:w="1642"/>
        <w:gridCol w:w="1625"/>
      </w:tblGrid>
      <w:tr>
        <w:trPr>
          <w:trHeight w:val="332" w:hRule="exact"/>
        </w:trPr>
        <w:tc>
          <w:tcPr>
            <w:tcW w:w="1592" w:type="dxa"/>
            <w:vMerge w:val="restart"/>
            <w:tcBorders>
              <w:top w:val="single" w:sz="15" w:space="0" w:color="000000"/>
              <w:left w:val="single" w:sz="4" w:space="0" w:color="000000"/>
              <w:right w:val="single" w:sz="4" w:space="0" w:color="000000"/>
            </w:tcBorders>
            <w:shd w:val="clear" w:color="auto" w:fill="D2D2D2"/>
          </w:tcPr>
          <w:p>
            <w:pPr/>
          </w:p>
        </w:tc>
        <w:tc>
          <w:tcPr>
            <w:tcW w:w="1274" w:type="dxa"/>
            <w:vMerge w:val="restart"/>
            <w:tcBorders>
              <w:top w:val="single" w:sz="15" w:space="0" w:color="000000"/>
              <w:left w:val="single" w:sz="4" w:space="0" w:color="000000"/>
              <w:right w:val="single" w:sz="4" w:space="0" w:color="000000"/>
            </w:tcBorders>
          </w:tcPr>
          <w:p>
            <w:pPr/>
          </w:p>
        </w:tc>
        <w:tc>
          <w:tcPr>
            <w:tcW w:w="1558" w:type="dxa"/>
            <w:vMerge w:val="restart"/>
            <w:tcBorders>
              <w:top w:val="single" w:sz="15" w:space="0" w:color="000000"/>
              <w:left w:val="single" w:sz="4" w:space="0" w:color="000000"/>
              <w:right w:val="single" w:sz="4" w:space="0" w:color="000000"/>
            </w:tcBorders>
          </w:tcPr>
          <w:p>
            <w:pPr/>
          </w:p>
        </w:tc>
        <w:tc>
          <w:tcPr>
            <w:tcW w:w="4678"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自身职责和权限范围内，全力促使公司董事会或者薪酬与考</w:t>
            </w:r>
          </w:p>
        </w:tc>
        <w:tc>
          <w:tcPr>
            <w:tcW w:w="1649" w:type="dxa"/>
            <w:vMerge w:val="restart"/>
            <w:tcBorders>
              <w:top w:val="single" w:sz="15" w:space="0" w:color="000000"/>
              <w:left w:val="single" w:sz="4" w:space="0" w:color="000000"/>
              <w:right w:val="single" w:sz="4" w:space="0" w:color="000000"/>
            </w:tcBorders>
          </w:tcPr>
          <w:p>
            <w:pPr/>
          </w:p>
        </w:tc>
        <w:tc>
          <w:tcPr>
            <w:tcW w:w="1642" w:type="dxa"/>
            <w:vMerge w:val="restart"/>
            <w:tcBorders>
              <w:top w:val="single" w:sz="15" w:space="0" w:color="000000"/>
              <w:left w:val="single" w:sz="4" w:space="0" w:color="000000"/>
              <w:right w:val="single" w:sz="4" w:space="0" w:color="000000"/>
            </w:tcBorders>
          </w:tcPr>
          <w:p>
            <w:pPr/>
          </w:p>
        </w:tc>
        <w:tc>
          <w:tcPr>
            <w:tcW w:w="1625" w:type="dxa"/>
            <w:vMerge w:val="restart"/>
            <w:tcBorders>
              <w:top w:val="single" w:sz="15" w:space="0" w:color="000000"/>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核委员会制定的薪酬制度与公司填补回报措施的执行情况</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相挂钩，并对公司董事会和股东大会审议的相关议案投票赞</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15"/>
                <w:sz w:val="18"/>
                <w:szCs w:val="18"/>
              </w:rPr>
              <w:t>成</w:t>
            </w:r>
            <w:r>
              <w:rPr>
                <w:rFonts w:ascii="宋体" w:hAnsi="宋体" w:cs="宋体" w:eastAsia="宋体" w:hint="default"/>
                <w:sz w:val="18"/>
                <w:szCs w:val="18"/>
              </w:rPr>
              <w:t>（如有表决权</w:t>
            </w:r>
            <w:r>
              <w:rPr>
                <w:rFonts w:ascii="宋体" w:hAnsi="宋体" w:cs="宋体" w:eastAsia="宋体" w:hint="default"/>
                <w:spacing w:val="-92"/>
                <w:sz w:val="18"/>
                <w:szCs w:val="18"/>
              </w:rPr>
              <w:t>）</w:t>
            </w:r>
            <w:r>
              <w:rPr>
                <w:rFonts w:ascii="宋体" w:hAnsi="宋体" w:cs="宋体" w:eastAsia="宋体" w:hint="default"/>
                <w:spacing w:val="-15"/>
                <w:sz w:val="18"/>
                <w:szCs w:val="18"/>
              </w:rPr>
              <w:t>。</w:t>
            </w:r>
            <w:r>
              <w:rPr>
                <w:rFonts w:ascii="Times New Roman" w:hAnsi="Times New Roman" w:cs="Times New Roman" w:eastAsia="Times New Roman" w:hint="default"/>
                <w:spacing w:val="1"/>
                <w:sz w:val="18"/>
                <w:szCs w:val="18"/>
              </w:rPr>
              <w:t>7</w:t>
            </w:r>
            <w:r>
              <w:rPr>
                <w:rFonts w:ascii="宋体" w:hAnsi="宋体" w:cs="宋体" w:eastAsia="宋体" w:hint="default"/>
                <w:spacing w:val="-15"/>
                <w:sz w:val="18"/>
                <w:szCs w:val="18"/>
              </w:rPr>
              <w:t>、</w:t>
            </w:r>
            <w:r>
              <w:rPr>
                <w:rFonts w:ascii="宋体" w:hAnsi="宋体" w:cs="宋体" w:eastAsia="宋体" w:hint="default"/>
                <w:sz w:val="18"/>
                <w:szCs w:val="18"/>
              </w:rPr>
              <w:t>如公司拟实施股权激励</w:t>
            </w:r>
            <w:r>
              <w:rPr>
                <w:rFonts w:ascii="宋体" w:hAnsi="宋体" w:cs="宋体" w:eastAsia="宋体" w:hint="default"/>
                <w:spacing w:val="-15"/>
                <w:sz w:val="18"/>
                <w:szCs w:val="18"/>
              </w:rPr>
              <w:t>，</w:t>
            </w:r>
            <w:r>
              <w:rPr>
                <w:rFonts w:ascii="宋体" w:hAnsi="宋体" w:cs="宋体" w:eastAsia="宋体" w:hint="default"/>
                <w:sz w:val="18"/>
                <w:szCs w:val="18"/>
              </w:rPr>
              <w:t>本人承诺在</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自身职责和权限范围内，全力促使公司拟公布的股权激励行</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权条件与公司填补回报措施的执行情况相挂钩，并对公司股</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东大会审议的相关议案投票赞</w:t>
            </w:r>
            <w:r>
              <w:rPr>
                <w:rFonts w:ascii="宋体" w:hAnsi="宋体" w:cs="宋体" w:eastAsia="宋体" w:hint="default"/>
                <w:spacing w:val="-20"/>
                <w:sz w:val="18"/>
                <w:szCs w:val="18"/>
              </w:rPr>
              <w:t>成</w:t>
            </w:r>
            <w:r>
              <w:rPr>
                <w:rFonts w:ascii="宋体" w:hAnsi="宋体" w:cs="宋体" w:eastAsia="宋体" w:hint="default"/>
                <w:sz w:val="18"/>
                <w:szCs w:val="18"/>
              </w:rPr>
              <w:t>（如有表决权</w:t>
            </w:r>
            <w:r>
              <w:rPr>
                <w:rFonts w:ascii="宋体" w:hAnsi="宋体" w:cs="宋体" w:eastAsia="宋体" w:hint="default"/>
                <w:spacing w:val="-92"/>
                <w:sz w:val="18"/>
                <w:szCs w:val="18"/>
              </w:rPr>
              <w:t>）</w:t>
            </w:r>
            <w:r>
              <w:rPr>
                <w:rFonts w:ascii="宋体" w:hAnsi="宋体" w:cs="宋体" w:eastAsia="宋体" w:hint="default"/>
                <w:spacing w:val="-19"/>
                <w:sz w:val="18"/>
                <w:szCs w:val="18"/>
              </w:rPr>
              <w:t>。</w:t>
            </w:r>
            <w:r>
              <w:rPr>
                <w:rFonts w:ascii="Times New Roman" w:hAnsi="Times New Roman" w:cs="Times New Roman" w:eastAsia="Times New Roman" w:hint="default"/>
                <w:spacing w:val="1"/>
                <w:sz w:val="18"/>
                <w:szCs w:val="18"/>
              </w:rPr>
              <w:t>8</w:t>
            </w:r>
            <w:r>
              <w:rPr>
                <w:rFonts w:ascii="宋体" w:hAnsi="宋体" w:cs="宋体" w:eastAsia="宋体" w:hint="default"/>
                <w:spacing w:val="-20"/>
                <w:sz w:val="18"/>
                <w:szCs w:val="18"/>
              </w:rPr>
              <w:t>、</w:t>
            </w:r>
            <w:r>
              <w:rPr>
                <w:rFonts w:ascii="宋体" w:hAnsi="宋体" w:cs="宋体" w:eastAsia="宋体" w:hint="default"/>
                <w:sz w:val="18"/>
                <w:szCs w:val="18"/>
              </w:rPr>
              <w:t>若中国</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证监会或深圳证券交易所对本人有关确保本次发行摊薄即</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期回报事项的填补回报措施得以切实履行的承诺有不同要</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求的，本人将自愿无条件按照中国证监会或深圳证券交易所</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5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的要求予以承诺。</w:t>
            </w:r>
            <w:r>
              <w:rPr>
                <w:rFonts w:ascii="Times New Roman" w:hAnsi="Times New Roman" w:cs="Times New Roman" w:eastAsia="Times New Roman" w:hint="default"/>
                <w:sz w:val="18"/>
                <w:szCs w:val="18"/>
              </w:rPr>
              <w:t>"</w:t>
            </w:r>
          </w:p>
        </w:tc>
        <w:tc>
          <w:tcPr>
            <w:tcW w:w="1649" w:type="dxa"/>
            <w:vMerge/>
            <w:tcBorders>
              <w:left w:val="single" w:sz="4" w:space="0" w:color="000000"/>
              <w:bottom w:val="single" w:sz="4" w:space="0" w:color="000000"/>
              <w:right w:val="single" w:sz="4" w:space="0" w:color="000000"/>
            </w:tcBorders>
          </w:tcPr>
          <w:p>
            <w:pPr/>
          </w:p>
        </w:tc>
        <w:tc>
          <w:tcPr>
            <w:tcW w:w="1642" w:type="dxa"/>
            <w:vMerge/>
            <w:tcBorders>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r>
      <w:tr>
        <w:trPr>
          <w:trHeight w:val="360" w:hRule="exact"/>
        </w:trPr>
        <w:tc>
          <w:tcPr>
            <w:tcW w:w="1592"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558" w:type="dxa"/>
            <w:tcBorders>
              <w:top w:val="single" w:sz="4" w:space="0" w:color="000000"/>
              <w:left w:val="single" w:sz="4" w:space="0" w:color="000000"/>
              <w:bottom w:val="nil" w:sz="6" w:space="0" w:color="auto"/>
              <w:right w:val="single" w:sz="4" w:space="0" w:color="000000"/>
            </w:tcBorders>
          </w:tcPr>
          <w:p>
            <w:pPr/>
          </w:p>
        </w:tc>
        <w:tc>
          <w:tcPr>
            <w:tcW w:w="4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公司将严格履行本公司就首次公开发行股票并上市所作出</w:t>
            </w:r>
          </w:p>
        </w:tc>
        <w:tc>
          <w:tcPr>
            <w:tcW w:w="1649" w:type="dxa"/>
            <w:tcBorders>
              <w:top w:val="single" w:sz="4" w:space="0" w:color="000000"/>
              <w:left w:val="single" w:sz="4" w:space="0" w:color="000000"/>
              <w:bottom w:val="nil" w:sz="6" w:space="0" w:color="auto"/>
              <w:right w:val="single" w:sz="4" w:space="0" w:color="000000"/>
            </w:tcBorders>
          </w:tcPr>
          <w:p>
            <w:pPr/>
          </w:p>
        </w:tc>
        <w:tc>
          <w:tcPr>
            <w:tcW w:w="1642" w:type="dxa"/>
            <w:tcBorders>
              <w:top w:val="single" w:sz="4" w:space="0" w:color="000000"/>
              <w:left w:val="single" w:sz="4" w:space="0" w:color="000000"/>
              <w:bottom w:val="nil" w:sz="6" w:space="0" w:color="auto"/>
              <w:right w:val="single" w:sz="4" w:space="0" w:color="000000"/>
            </w:tcBorders>
          </w:tcPr>
          <w:p>
            <w:pPr/>
          </w:p>
        </w:tc>
        <w:tc>
          <w:tcPr>
            <w:tcW w:w="1625"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的所有公开承诺事项，积极接受社会监督。如未能履行、确</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深圳市金溢科</w:t>
            </w: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已无法履行或无法按期履行其在招股说明书中所作出的相</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技股份有限公</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关承诺，其将按照所作出的承诺采取如下措施：</w:t>
            </w:r>
            <w:r>
              <w:rPr>
                <w:rFonts w:ascii="Times New Roman" w:hAnsi="Times New Roman" w:cs="Times New Roman" w:eastAsia="Times New Roman" w:hint="default"/>
                <w:sz w:val="18"/>
                <w:szCs w:val="18"/>
              </w:rPr>
              <w:t>1</w:t>
            </w:r>
            <w:r>
              <w:rPr>
                <w:rFonts w:ascii="宋体" w:hAnsi="宋体" w:cs="宋体" w:eastAsia="宋体" w:hint="default"/>
                <w:sz w:val="18"/>
                <w:szCs w:val="18"/>
              </w:rPr>
              <w:t>、在股东</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大会及中国证监会指定报刊上公开说明未履行的具体原因</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并向股东和社会公众投资者道歉。</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、给投资者造成损失的</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本公司将向投资者依法承担赔偿责任。</w:t>
            </w:r>
            <w:r>
              <w:rPr>
                <w:rFonts w:ascii="Times New Roman" w:hAnsi="Times New Roman" w:cs="Times New Roman" w:eastAsia="Times New Roman" w:hint="default"/>
                <w:sz w:val="18"/>
                <w:szCs w:val="18"/>
              </w:rPr>
              <w:t>"</w:t>
            </w:r>
          </w:p>
        </w:tc>
        <w:tc>
          <w:tcPr>
            <w:tcW w:w="1649"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single" w:sz="4" w:space="0" w:color="000000"/>
            </w:tcBorders>
          </w:tcPr>
          <w:p>
            <w:pPr/>
          </w:p>
        </w:tc>
        <w:tc>
          <w:tcPr>
            <w:tcW w:w="1625"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592"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558" w:type="dxa"/>
            <w:tcBorders>
              <w:top w:val="single" w:sz="4" w:space="0" w:color="000000"/>
              <w:left w:val="single" w:sz="4" w:space="0" w:color="000000"/>
              <w:bottom w:val="nil" w:sz="6" w:space="0" w:color="auto"/>
              <w:right w:val="single" w:sz="4" w:space="0" w:color="000000"/>
            </w:tcBorders>
          </w:tcPr>
          <w:p>
            <w:pPr/>
          </w:p>
        </w:tc>
        <w:tc>
          <w:tcPr>
            <w:tcW w:w="4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失信补救措施承诺：公司第一大股东敏行电子，实际控制</w:t>
            </w:r>
          </w:p>
        </w:tc>
        <w:tc>
          <w:tcPr>
            <w:tcW w:w="1649" w:type="dxa"/>
            <w:tcBorders>
              <w:top w:val="single" w:sz="4" w:space="0" w:color="000000"/>
              <w:left w:val="single" w:sz="4" w:space="0" w:color="000000"/>
              <w:bottom w:val="nil" w:sz="6" w:space="0" w:color="auto"/>
              <w:right w:val="single" w:sz="4" w:space="0" w:color="000000"/>
            </w:tcBorders>
          </w:tcPr>
          <w:p>
            <w:pPr/>
          </w:p>
        </w:tc>
        <w:tc>
          <w:tcPr>
            <w:tcW w:w="1642" w:type="dxa"/>
            <w:tcBorders>
              <w:top w:val="single" w:sz="4" w:space="0" w:color="000000"/>
              <w:left w:val="single" w:sz="4" w:space="0" w:color="000000"/>
              <w:bottom w:val="nil" w:sz="6" w:space="0" w:color="auto"/>
              <w:right w:val="single" w:sz="4" w:space="0" w:color="000000"/>
            </w:tcBorders>
          </w:tcPr>
          <w:p>
            <w:pPr/>
          </w:p>
        </w:tc>
        <w:tc>
          <w:tcPr>
            <w:tcW w:w="1625"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人罗瑞发、王明宽、李朝莉、李娜、杨成、刘咏平，董事郑</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1628"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300" w:lineRule="auto" w:before="147"/>
              <w:ind w:left="24" w:right="59"/>
              <w:jc w:val="both"/>
              <w:rPr>
                <w:rFonts w:ascii="宋体" w:hAnsi="宋体" w:cs="宋体" w:eastAsia="宋体" w:hint="default"/>
                <w:sz w:val="18"/>
                <w:szCs w:val="18"/>
              </w:rPr>
            </w:pPr>
            <w:r>
              <w:rPr>
                <w:rFonts w:ascii="宋体" w:hAnsi="宋体" w:cs="宋体" w:eastAsia="宋体" w:hint="default"/>
                <w:sz w:val="18"/>
                <w:szCs w:val="18"/>
              </w:rPr>
              <w:t>蔡福春</w:t>
            </w:r>
            <w:r>
              <w:rPr>
                <w:rFonts w:ascii="Times New Roman" w:hAnsi="Times New Roman" w:cs="Times New Roman" w:eastAsia="Times New Roman" w:hint="default"/>
                <w:sz w:val="18"/>
                <w:szCs w:val="18"/>
              </w:rPr>
              <w:t>;</w:t>
            </w:r>
            <w:r>
              <w:rPr>
                <w:rFonts w:ascii="宋体" w:hAnsi="宋体" w:cs="宋体" w:eastAsia="宋体" w:hint="default"/>
                <w:sz w:val="18"/>
                <w:szCs w:val="18"/>
              </w:rPr>
              <w:t>甘云龙</w:t>
            </w:r>
            <w:r>
              <w:rPr>
                <w:rFonts w:ascii="Times New Roman" w:hAnsi="Times New Roman" w:cs="Times New Roman" w:eastAsia="Times New Roman" w:hint="default"/>
                <w:sz w:val="18"/>
                <w:szCs w:val="18"/>
              </w:rPr>
              <w:t>; </w:t>
            </w:r>
            <w:r>
              <w:rPr>
                <w:rFonts w:ascii="宋体" w:hAnsi="宋体" w:cs="宋体" w:eastAsia="宋体" w:hint="default"/>
                <w:sz w:val="18"/>
                <w:szCs w:val="18"/>
              </w:rPr>
              <w:t>李朝莉</w:t>
            </w:r>
            <w:r>
              <w:rPr>
                <w:rFonts w:ascii="Times New Roman" w:hAnsi="Times New Roman" w:cs="Times New Roman" w:eastAsia="Times New Roman" w:hint="default"/>
                <w:sz w:val="18"/>
                <w:szCs w:val="18"/>
              </w:rPr>
              <w:t>;</w:t>
            </w:r>
            <w:r>
              <w:rPr>
                <w:rFonts w:ascii="宋体" w:hAnsi="宋体" w:cs="宋体" w:eastAsia="宋体" w:hint="default"/>
                <w:sz w:val="18"/>
                <w:szCs w:val="18"/>
              </w:rPr>
              <w:t>李娜</w:t>
            </w:r>
            <w:r>
              <w:rPr>
                <w:rFonts w:ascii="Times New Roman" w:hAnsi="Times New Roman" w:cs="Times New Roman" w:eastAsia="Times New Roman" w:hint="default"/>
                <w:sz w:val="18"/>
                <w:szCs w:val="18"/>
              </w:rPr>
              <w:t>;</w:t>
            </w:r>
            <w:r>
              <w:rPr>
                <w:rFonts w:ascii="宋体" w:hAnsi="宋体" w:cs="宋体" w:eastAsia="宋体" w:hint="default"/>
                <w:sz w:val="18"/>
                <w:szCs w:val="18"/>
              </w:rPr>
              <w:t>刘 厚军</w:t>
            </w:r>
            <w:r>
              <w:rPr>
                <w:rFonts w:ascii="Times New Roman" w:hAnsi="Times New Roman" w:cs="Times New Roman" w:eastAsia="Times New Roman" w:hint="default"/>
                <w:sz w:val="18"/>
                <w:szCs w:val="18"/>
              </w:rPr>
              <w:t>;</w:t>
            </w:r>
            <w:r>
              <w:rPr>
                <w:rFonts w:ascii="宋体" w:hAnsi="宋体" w:cs="宋体" w:eastAsia="宋体" w:hint="default"/>
                <w:sz w:val="18"/>
                <w:szCs w:val="18"/>
              </w:rPr>
              <w:t>刘咏平</w:t>
            </w:r>
            <w:r>
              <w:rPr>
                <w:rFonts w:ascii="Times New Roman" w:hAnsi="Times New Roman" w:cs="Times New Roman" w:eastAsia="Times New Roman" w:hint="default"/>
                <w:sz w:val="18"/>
                <w:szCs w:val="18"/>
              </w:rPr>
              <w:t>;</w:t>
            </w:r>
            <w:r>
              <w:rPr>
                <w:rFonts w:ascii="宋体" w:hAnsi="宋体" w:cs="宋体" w:eastAsia="宋体" w:hint="default"/>
                <w:sz w:val="18"/>
                <w:szCs w:val="18"/>
              </w:rPr>
              <w:t>罗 瑞发</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深圳市敏 行电子有限公</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4" w:right="21"/>
              <w:jc w:val="both"/>
              <w:rPr>
                <w:rFonts w:ascii="宋体" w:hAnsi="宋体" w:cs="宋体" w:eastAsia="宋体" w:hint="default"/>
                <w:sz w:val="18"/>
                <w:szCs w:val="18"/>
              </w:rPr>
            </w:pPr>
            <w:r>
              <w:rPr>
                <w:rFonts w:ascii="宋体" w:hAnsi="宋体" w:cs="宋体" w:eastAsia="宋体" w:hint="default"/>
                <w:spacing w:val="-3"/>
                <w:sz w:val="18"/>
                <w:szCs w:val="18"/>
              </w:rPr>
              <w:t>映虹，监事甘云龙和钟勇，以及高级管理人员蔡福春和刘厚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军如未能履行、确已无法履行或无法按期履行其在招股说明</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书中所作出的相关承诺，其将按照所作出的承诺采取如下措</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施：</w:t>
            </w:r>
            <w:r>
              <w:rPr>
                <w:rFonts w:ascii="Times New Roman" w:hAnsi="Times New Roman" w:cs="Times New Roman" w:eastAsia="Times New Roman" w:hint="default"/>
                <w:sz w:val="18"/>
                <w:szCs w:val="18"/>
              </w:rPr>
              <w:t>1</w:t>
            </w:r>
            <w:r>
              <w:rPr>
                <w:rFonts w:ascii="宋体" w:hAnsi="宋体" w:cs="宋体" w:eastAsia="宋体" w:hint="default"/>
                <w:sz w:val="18"/>
                <w:szCs w:val="18"/>
              </w:rPr>
              <w:t>、在股东大会及中国证监会指定报刊上公开说明未履 行的具体原因并向股东和社会公众投资者道歉。</w:t>
            </w:r>
            <w:r>
              <w:rPr>
                <w:rFonts w:ascii="Times New Roman" w:hAnsi="Times New Roman" w:cs="Times New Roman" w:eastAsia="Times New Roman" w:hint="default"/>
                <w:sz w:val="18"/>
                <w:szCs w:val="18"/>
              </w:rPr>
              <w:t>2</w:t>
            </w:r>
            <w:r>
              <w:rPr>
                <w:rFonts w:ascii="宋体" w:hAnsi="宋体" w:cs="宋体" w:eastAsia="宋体" w:hint="default"/>
                <w:sz w:val="18"/>
                <w:szCs w:val="18"/>
              </w:rPr>
              <w:t>、不得转</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869"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300" w:lineRule="auto" w:before="77"/>
              <w:ind w:left="24" w:right="59"/>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王明宽</w:t>
            </w:r>
            <w:r>
              <w:rPr>
                <w:rFonts w:ascii="Times New Roman" w:hAnsi="Times New Roman" w:cs="Times New Roman" w:eastAsia="Times New Roman" w:hint="default"/>
                <w:sz w:val="18"/>
                <w:szCs w:val="18"/>
              </w:rPr>
              <w:t>;</w:t>
            </w:r>
            <w:r>
              <w:rPr>
                <w:rFonts w:ascii="宋体" w:hAnsi="宋体" w:cs="宋体" w:eastAsia="宋体" w:hint="default"/>
                <w:sz w:val="18"/>
                <w:szCs w:val="18"/>
              </w:rPr>
              <w:t>杨 成</w:t>
            </w:r>
            <w:r>
              <w:rPr>
                <w:rFonts w:ascii="Times New Roman" w:hAnsi="Times New Roman" w:cs="Times New Roman" w:eastAsia="Times New Roman" w:hint="default"/>
                <w:sz w:val="18"/>
                <w:szCs w:val="18"/>
              </w:rPr>
              <w:t>;</w:t>
            </w:r>
            <w:r>
              <w:rPr>
                <w:rFonts w:ascii="宋体" w:hAnsi="宋体" w:cs="宋体" w:eastAsia="宋体" w:hint="default"/>
                <w:sz w:val="18"/>
                <w:szCs w:val="18"/>
              </w:rPr>
              <w:t>郑映虹</w:t>
            </w:r>
            <w:r>
              <w:rPr>
                <w:rFonts w:ascii="Times New Roman" w:hAnsi="Times New Roman" w:cs="Times New Roman" w:eastAsia="Times New Roman" w:hint="default"/>
                <w:sz w:val="18"/>
                <w:szCs w:val="18"/>
              </w:rPr>
              <w:t>;</w:t>
            </w:r>
            <w:r>
              <w:rPr>
                <w:rFonts w:ascii="宋体" w:hAnsi="宋体" w:cs="宋体" w:eastAsia="宋体" w:hint="default"/>
                <w:sz w:val="18"/>
                <w:szCs w:val="18"/>
              </w:rPr>
              <w:t>钟勇</w:t>
            </w: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让公司股份。</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、暂不领取公司的现金分红。</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、以发行上市</w:t>
            </w:r>
          </w:p>
          <w:p>
            <w:pPr>
              <w:pStyle w:val="TableParagraph"/>
              <w:spacing w:line="300" w:lineRule="auto" w:before="63"/>
              <w:ind w:left="24" w:right="21"/>
              <w:jc w:val="left"/>
              <w:rPr>
                <w:rFonts w:ascii="宋体" w:hAnsi="宋体" w:cs="宋体" w:eastAsia="宋体" w:hint="default"/>
                <w:sz w:val="18"/>
                <w:szCs w:val="18"/>
              </w:rPr>
            </w:pPr>
            <w:r>
              <w:rPr>
                <w:rFonts w:ascii="宋体" w:hAnsi="宋体" w:cs="宋体" w:eastAsia="宋体" w:hint="default"/>
                <w:sz w:val="18"/>
                <w:szCs w:val="18"/>
              </w:rPr>
              <w:t>当年以及以后年度分红、及</w:t>
            </w:r>
            <w:r>
              <w:rPr>
                <w:rFonts w:ascii="Times New Roman" w:hAnsi="Times New Roman" w:cs="Times New Roman" w:eastAsia="Times New Roman" w:hint="default"/>
                <w:sz w:val="18"/>
                <w:szCs w:val="18"/>
              </w:rPr>
              <w:t>/</w:t>
            </w:r>
            <w:r>
              <w:rPr>
                <w:rFonts w:ascii="宋体" w:hAnsi="宋体" w:cs="宋体" w:eastAsia="宋体" w:hint="default"/>
                <w:sz w:val="18"/>
                <w:szCs w:val="18"/>
              </w:rPr>
              <w:t>或以发行上市当年以及以后年 </w:t>
            </w:r>
            <w:r>
              <w:rPr>
                <w:rFonts w:ascii="宋体" w:hAnsi="宋体" w:cs="宋体" w:eastAsia="宋体" w:hint="default"/>
                <w:spacing w:val="-3"/>
                <w:sz w:val="18"/>
                <w:szCs w:val="18"/>
              </w:rPr>
              <w:t>度从发行人处领取的薪酬（税后）作为履行相关承诺的履约</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担保。</w:t>
            </w:r>
            <w:r>
              <w:rPr>
                <w:rFonts w:ascii="Times New Roman" w:hAnsi="Times New Roman" w:cs="Times New Roman" w:eastAsia="Times New Roman" w:hint="default"/>
                <w:sz w:val="18"/>
                <w:szCs w:val="18"/>
              </w:rPr>
              <w:t>5</w:t>
            </w:r>
            <w:r>
              <w:rPr>
                <w:rFonts w:ascii="宋体" w:hAnsi="宋体" w:cs="宋体" w:eastAsia="宋体" w:hint="default"/>
                <w:sz w:val="18"/>
                <w:szCs w:val="18"/>
              </w:rPr>
              <w:t>、因未履行相关承诺事项而获得收益的，所获收益</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592"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归公司所有。</w:t>
            </w:r>
            <w:r>
              <w:rPr>
                <w:rFonts w:ascii="Times New Roman" w:hAnsi="Times New Roman" w:cs="Times New Roman" w:eastAsia="Times New Roman" w:hint="default"/>
                <w:sz w:val="18"/>
                <w:szCs w:val="18"/>
              </w:rPr>
              <w:t>6</w:t>
            </w:r>
            <w:r>
              <w:rPr>
                <w:rFonts w:ascii="宋体" w:hAnsi="宋体" w:cs="宋体" w:eastAsia="宋体" w:hint="default"/>
                <w:sz w:val="18"/>
                <w:szCs w:val="18"/>
              </w:rPr>
              <w:t>、给投资者造成损失的，依法赔偿投资者损</w:t>
            </w:r>
          </w:p>
        </w:tc>
        <w:tc>
          <w:tcPr>
            <w:tcW w:w="1649"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single" w:sz="4" w:space="0" w:color="000000"/>
            </w:tcBorders>
          </w:tcPr>
          <w:p>
            <w:pPr/>
          </w:p>
        </w:tc>
        <w:tc>
          <w:tcPr>
            <w:tcW w:w="1625"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20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592"/>
        <w:gridCol w:w="1274"/>
        <w:gridCol w:w="1558"/>
        <w:gridCol w:w="4678"/>
        <w:gridCol w:w="1649"/>
        <w:gridCol w:w="1642"/>
        <w:gridCol w:w="1625"/>
      </w:tblGrid>
      <w:tr>
        <w:trPr>
          <w:trHeight w:val="377" w:hRule="exact"/>
        </w:trPr>
        <w:tc>
          <w:tcPr>
            <w:tcW w:w="1592" w:type="dxa"/>
            <w:vMerge w:val="restart"/>
            <w:tcBorders>
              <w:top w:val="single" w:sz="15" w:space="0" w:color="000000"/>
              <w:left w:val="single" w:sz="4" w:space="0" w:color="000000"/>
              <w:right w:val="single" w:sz="4" w:space="0" w:color="000000"/>
            </w:tcBorders>
            <w:shd w:val="clear" w:color="auto" w:fill="D2D2D2"/>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1558" w:type="dxa"/>
            <w:tcBorders>
              <w:top w:val="single" w:sz="15" w:space="0" w:color="000000"/>
              <w:left w:val="single" w:sz="4" w:space="0" w:color="000000"/>
              <w:bottom w:val="single" w:sz="4" w:space="0" w:color="000000"/>
              <w:right w:val="single" w:sz="4" w:space="0" w:color="000000"/>
            </w:tcBorders>
          </w:tcPr>
          <w:p>
            <w:pPr/>
          </w:p>
        </w:tc>
        <w:tc>
          <w:tcPr>
            <w:tcW w:w="467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失，但本人能够证明自己没有过错的除外。</w:t>
            </w:r>
            <w:r>
              <w:rPr>
                <w:rFonts w:ascii="Times New Roman" w:hAnsi="Times New Roman" w:cs="Times New Roman" w:eastAsia="Times New Roman" w:hint="default"/>
                <w:sz w:val="18"/>
                <w:szCs w:val="18"/>
              </w:rPr>
              <w:t>"</w:t>
            </w:r>
          </w:p>
        </w:tc>
        <w:tc>
          <w:tcPr>
            <w:tcW w:w="1649" w:type="dxa"/>
            <w:tcBorders>
              <w:top w:val="single" w:sz="15" w:space="0" w:color="000000"/>
              <w:left w:val="single" w:sz="4" w:space="0" w:color="000000"/>
              <w:bottom w:val="single" w:sz="4" w:space="0" w:color="000000"/>
              <w:right w:val="single" w:sz="4" w:space="0" w:color="000000"/>
            </w:tcBorders>
          </w:tcPr>
          <w:p>
            <w:pPr/>
          </w:p>
        </w:tc>
        <w:tc>
          <w:tcPr>
            <w:tcW w:w="1642" w:type="dxa"/>
            <w:tcBorders>
              <w:top w:val="single" w:sz="15" w:space="0" w:color="000000"/>
              <w:left w:val="single" w:sz="4" w:space="0" w:color="000000"/>
              <w:bottom w:val="single" w:sz="4" w:space="0" w:color="000000"/>
              <w:right w:val="single" w:sz="4" w:space="0" w:color="000000"/>
            </w:tcBorders>
          </w:tcPr>
          <w:p>
            <w:pPr/>
          </w:p>
        </w:tc>
        <w:tc>
          <w:tcPr>
            <w:tcW w:w="1625" w:type="dxa"/>
            <w:tcBorders>
              <w:top w:val="single" w:sz="15" w:space="0" w:color="000000"/>
              <w:left w:val="single" w:sz="4" w:space="0" w:color="000000"/>
              <w:bottom w:val="single" w:sz="4" w:space="0" w:color="000000"/>
              <w:right w:val="single" w:sz="4" w:space="0" w:color="000000"/>
            </w:tcBorders>
          </w:tcPr>
          <w:p>
            <w:pPr/>
          </w:p>
        </w:tc>
      </w:tr>
      <w:tr>
        <w:trPr>
          <w:trHeight w:val="360" w:hRule="exact"/>
        </w:trPr>
        <w:tc>
          <w:tcPr>
            <w:tcW w:w="1592"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558" w:type="dxa"/>
            <w:tcBorders>
              <w:top w:val="single" w:sz="4" w:space="0" w:color="000000"/>
              <w:left w:val="single" w:sz="4" w:space="0" w:color="000000"/>
              <w:bottom w:val="nil" w:sz="6" w:space="0" w:color="auto"/>
              <w:right w:val="single" w:sz="4" w:space="0" w:color="000000"/>
            </w:tcBorders>
          </w:tcPr>
          <w:p>
            <w:pPr/>
          </w:p>
        </w:tc>
        <w:tc>
          <w:tcPr>
            <w:tcW w:w="4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失信补救措施承诺：独立董事许岳明、翁小雄、关志超及</w:t>
            </w:r>
          </w:p>
        </w:tc>
        <w:tc>
          <w:tcPr>
            <w:tcW w:w="1649" w:type="dxa"/>
            <w:tcBorders>
              <w:top w:val="single" w:sz="4" w:space="0" w:color="000000"/>
              <w:left w:val="single" w:sz="4" w:space="0" w:color="000000"/>
              <w:bottom w:val="nil" w:sz="6" w:space="0" w:color="auto"/>
              <w:right w:val="single" w:sz="4" w:space="0" w:color="000000"/>
            </w:tcBorders>
          </w:tcPr>
          <w:p>
            <w:pPr/>
          </w:p>
        </w:tc>
        <w:tc>
          <w:tcPr>
            <w:tcW w:w="1642" w:type="dxa"/>
            <w:tcBorders>
              <w:top w:val="single" w:sz="4" w:space="0" w:color="000000"/>
              <w:left w:val="single" w:sz="4" w:space="0" w:color="000000"/>
              <w:bottom w:val="nil" w:sz="6" w:space="0" w:color="auto"/>
              <w:right w:val="single" w:sz="4" w:space="0" w:color="000000"/>
            </w:tcBorders>
          </w:tcPr>
          <w:p>
            <w:pPr/>
          </w:p>
        </w:tc>
        <w:tc>
          <w:tcPr>
            <w:tcW w:w="1625"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监事周海荣如未能履行、确已无法履行或无法按期履行其在</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941"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00" w:lineRule="auto"/>
              <w:ind w:left="24" w:right="58"/>
              <w:jc w:val="left"/>
              <w:rPr>
                <w:rFonts w:ascii="宋体" w:hAnsi="宋体" w:cs="宋体" w:eastAsia="宋体" w:hint="default"/>
                <w:sz w:val="18"/>
                <w:szCs w:val="18"/>
              </w:rPr>
            </w:pPr>
            <w:r>
              <w:rPr>
                <w:rFonts w:ascii="宋体" w:hAnsi="宋体" w:cs="宋体" w:eastAsia="宋体" w:hint="default"/>
                <w:sz w:val="18"/>
                <w:szCs w:val="18"/>
              </w:rPr>
              <w:t>关志超</w:t>
            </w:r>
            <w:r>
              <w:rPr>
                <w:rFonts w:ascii="Times New Roman" w:hAnsi="Times New Roman" w:cs="Times New Roman" w:eastAsia="Times New Roman" w:hint="default"/>
                <w:sz w:val="18"/>
                <w:szCs w:val="18"/>
              </w:rPr>
              <w:t>;</w:t>
            </w:r>
            <w:r>
              <w:rPr>
                <w:rFonts w:ascii="宋体" w:hAnsi="宋体" w:cs="宋体" w:eastAsia="宋体" w:hint="default"/>
                <w:sz w:val="18"/>
                <w:szCs w:val="18"/>
              </w:rPr>
              <w:t>翁小雄</w:t>
            </w:r>
            <w:r>
              <w:rPr>
                <w:rFonts w:ascii="Times New Roman" w:hAnsi="Times New Roman" w:cs="Times New Roman" w:eastAsia="Times New Roman" w:hint="default"/>
                <w:sz w:val="18"/>
                <w:szCs w:val="18"/>
              </w:rPr>
              <w:t>; </w:t>
            </w:r>
            <w:r>
              <w:rPr>
                <w:rFonts w:ascii="宋体" w:hAnsi="宋体" w:cs="宋体" w:eastAsia="宋体" w:hint="default"/>
                <w:sz w:val="18"/>
                <w:szCs w:val="18"/>
              </w:rPr>
              <w:t>许岳明</w:t>
            </w:r>
            <w:r>
              <w:rPr>
                <w:rFonts w:ascii="Times New Roman" w:hAnsi="Times New Roman" w:cs="Times New Roman" w:eastAsia="Times New Roman" w:hint="default"/>
                <w:sz w:val="18"/>
                <w:szCs w:val="18"/>
              </w:rPr>
              <w:t>;</w:t>
            </w:r>
            <w:r>
              <w:rPr>
                <w:rFonts w:ascii="宋体" w:hAnsi="宋体" w:cs="宋体" w:eastAsia="宋体" w:hint="default"/>
                <w:sz w:val="18"/>
                <w:szCs w:val="18"/>
              </w:rPr>
              <w:t>周海荣</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4" w:right="21"/>
              <w:jc w:val="both"/>
              <w:rPr>
                <w:rFonts w:ascii="宋体" w:hAnsi="宋体" w:cs="宋体" w:eastAsia="宋体" w:hint="default"/>
                <w:sz w:val="18"/>
                <w:szCs w:val="18"/>
              </w:rPr>
            </w:pPr>
            <w:r>
              <w:rPr>
                <w:rFonts w:ascii="宋体" w:hAnsi="宋体" w:cs="宋体" w:eastAsia="宋体" w:hint="default"/>
                <w:spacing w:val="-3"/>
                <w:sz w:val="18"/>
                <w:szCs w:val="18"/>
              </w:rPr>
              <w:t>招股说明书中所作出的相关承诺，其将按照所作出的承诺采</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取如下措施：</w:t>
            </w:r>
            <w:r>
              <w:rPr>
                <w:rFonts w:ascii="Times New Roman" w:hAnsi="Times New Roman" w:cs="Times New Roman" w:eastAsia="Times New Roman" w:hint="default"/>
                <w:sz w:val="18"/>
                <w:szCs w:val="18"/>
              </w:rPr>
              <w:t>1</w:t>
            </w:r>
            <w:r>
              <w:rPr>
                <w:rFonts w:ascii="宋体" w:hAnsi="宋体" w:cs="宋体" w:eastAsia="宋体" w:hint="default"/>
                <w:sz w:val="18"/>
                <w:szCs w:val="18"/>
              </w:rPr>
              <w:t>、以发行上市当年以及以后年度从发行人处 领取的薪酬（税后）作为履行相关承诺的履约担保。</w:t>
            </w:r>
            <w:r>
              <w:rPr>
                <w:rFonts w:ascii="Times New Roman" w:hAnsi="Times New Roman" w:cs="Times New Roman" w:eastAsia="Times New Roman" w:hint="default"/>
                <w:sz w:val="18"/>
                <w:szCs w:val="18"/>
              </w:rPr>
              <w:t>2</w:t>
            </w:r>
            <w:r>
              <w:rPr>
                <w:rFonts w:ascii="宋体" w:hAnsi="宋体" w:cs="宋体" w:eastAsia="宋体" w:hint="default"/>
                <w:sz w:val="18"/>
                <w:szCs w:val="18"/>
              </w:rPr>
              <w:t>、给</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投资者造成损失的，依法赔偿投资者损失，但本人能够证明</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自己没有过错的除外。</w:t>
            </w:r>
            <w:r>
              <w:rPr>
                <w:rFonts w:ascii="Times New Roman" w:hAnsi="Times New Roman" w:cs="Times New Roman" w:eastAsia="Times New Roman" w:hint="default"/>
                <w:sz w:val="18"/>
                <w:szCs w:val="18"/>
              </w:rPr>
              <w:t>"</w:t>
            </w:r>
          </w:p>
        </w:tc>
        <w:tc>
          <w:tcPr>
            <w:tcW w:w="1649"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single" w:sz="4" w:space="0" w:color="000000"/>
            </w:tcBorders>
          </w:tcPr>
          <w:p>
            <w:pPr/>
          </w:p>
        </w:tc>
        <w:tc>
          <w:tcPr>
            <w:tcW w:w="1625"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592"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558" w:type="dxa"/>
            <w:tcBorders>
              <w:top w:val="single" w:sz="4" w:space="0" w:color="000000"/>
              <w:left w:val="single" w:sz="4" w:space="0" w:color="000000"/>
              <w:bottom w:val="nil" w:sz="6" w:space="0" w:color="auto"/>
              <w:right w:val="single" w:sz="4" w:space="0" w:color="000000"/>
            </w:tcBorders>
          </w:tcPr>
          <w:p>
            <w:pPr/>
          </w:p>
        </w:tc>
        <w:tc>
          <w:tcPr>
            <w:tcW w:w="4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作为深圳市金溢科技股份有限公司（以下简称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发行人</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49" w:type="dxa"/>
            <w:tcBorders>
              <w:top w:val="single" w:sz="4" w:space="0" w:color="000000"/>
              <w:left w:val="single" w:sz="4" w:space="0" w:color="000000"/>
              <w:bottom w:val="nil" w:sz="6" w:space="0" w:color="auto"/>
              <w:right w:val="single" w:sz="4" w:space="0" w:color="000000"/>
            </w:tcBorders>
          </w:tcPr>
          <w:p>
            <w:pPr/>
          </w:p>
        </w:tc>
        <w:tc>
          <w:tcPr>
            <w:tcW w:w="1642" w:type="dxa"/>
            <w:tcBorders>
              <w:top w:val="single" w:sz="4" w:space="0" w:color="000000"/>
              <w:left w:val="single" w:sz="4" w:space="0" w:color="000000"/>
              <w:bottom w:val="nil" w:sz="6" w:space="0" w:color="auto"/>
              <w:right w:val="single" w:sz="4" w:space="0" w:color="000000"/>
            </w:tcBorders>
          </w:tcPr>
          <w:p>
            <w:pPr/>
          </w:p>
        </w:tc>
        <w:tc>
          <w:tcPr>
            <w:tcW w:w="1625"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的股东将严格履行就首次公开发行股票并上市所作出的所</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有公开承诺事项，积极接受社会监督。如未能履行、确已无</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法履行或无法按期履行其在招股说明书中所作出的相关承</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诺，其将按照所作出的承诺采取如下措施：</w:t>
            </w:r>
            <w:r>
              <w:rPr>
                <w:rFonts w:ascii="Times New Roman" w:hAnsi="Times New Roman" w:cs="Times New Roman" w:eastAsia="Times New Roman" w:hint="default"/>
                <w:sz w:val="18"/>
                <w:szCs w:val="18"/>
              </w:rPr>
              <w:t>1</w:t>
            </w:r>
            <w:r>
              <w:rPr>
                <w:rFonts w:ascii="宋体" w:hAnsi="宋体" w:cs="宋体" w:eastAsia="宋体" w:hint="default"/>
                <w:sz w:val="18"/>
                <w:szCs w:val="18"/>
              </w:rPr>
              <w:t>、在股东大会</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4" w:right="0"/>
              <w:jc w:val="left"/>
              <w:rPr>
                <w:rFonts w:ascii="宋体" w:hAnsi="宋体" w:cs="宋体" w:eastAsia="宋体" w:hint="default"/>
                <w:sz w:val="18"/>
                <w:szCs w:val="18"/>
              </w:rPr>
            </w:pPr>
            <w:r>
              <w:rPr>
                <w:rFonts w:ascii="宋体" w:hAnsi="宋体" w:cs="宋体" w:eastAsia="宋体" w:hint="default"/>
                <w:sz w:val="18"/>
                <w:szCs w:val="18"/>
              </w:rPr>
              <w:t>王丽娟</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31"/>
              <w:jc w:val="left"/>
              <w:rPr>
                <w:rFonts w:ascii="宋体" w:hAnsi="宋体" w:cs="宋体" w:eastAsia="宋体" w:hint="default"/>
                <w:sz w:val="18"/>
                <w:szCs w:val="18"/>
              </w:rPr>
            </w:pPr>
            <w:r>
              <w:rPr>
                <w:rFonts w:ascii="宋体" w:hAnsi="宋体" w:cs="宋体" w:eastAsia="宋体" w:hint="default"/>
                <w:sz w:val="18"/>
                <w:szCs w:val="18"/>
              </w:rPr>
              <w:t>及中国证监会指定报刊上公开说明未履行的具体原因并向 </w:t>
            </w:r>
            <w:r>
              <w:rPr>
                <w:rFonts w:ascii="宋体" w:hAnsi="宋体" w:cs="宋体" w:eastAsia="宋体" w:hint="default"/>
                <w:spacing w:val="-3"/>
                <w:sz w:val="18"/>
                <w:szCs w:val="18"/>
              </w:rPr>
              <w:t>股东和社会公众投资者道歉。</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、不得转让公司股份。</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、暂</w:t>
            </w:r>
            <w:r>
              <w:rPr>
                <w:rFonts w:ascii="宋体" w:hAnsi="宋体" w:cs="宋体" w:eastAsia="宋体" w:hint="default"/>
                <w:sz w:val="18"/>
                <w:szCs w:val="18"/>
              </w:rPr>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不领取公司的现金分红。</w:t>
            </w:r>
            <w:r>
              <w:rPr>
                <w:rFonts w:ascii="Times New Roman" w:hAnsi="Times New Roman" w:cs="Times New Roman" w:eastAsia="Times New Roman" w:hint="default"/>
                <w:sz w:val="18"/>
                <w:szCs w:val="18"/>
              </w:rPr>
              <w:t>4</w:t>
            </w:r>
            <w:r>
              <w:rPr>
                <w:rFonts w:ascii="宋体" w:hAnsi="宋体" w:cs="宋体" w:eastAsia="宋体" w:hint="default"/>
                <w:sz w:val="18"/>
                <w:szCs w:val="18"/>
              </w:rPr>
              <w:t>、以发行上市当年以及以后年度</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分红作为履行相关承诺的履约担保。</w:t>
            </w:r>
            <w:r>
              <w:rPr>
                <w:rFonts w:ascii="Times New Roman" w:hAnsi="Times New Roman" w:cs="Times New Roman" w:eastAsia="Times New Roman" w:hint="default"/>
                <w:sz w:val="18"/>
                <w:szCs w:val="18"/>
              </w:rPr>
              <w:t>5</w:t>
            </w:r>
            <w:r>
              <w:rPr>
                <w:rFonts w:ascii="宋体" w:hAnsi="宋体" w:cs="宋体" w:eastAsia="宋体" w:hint="default"/>
                <w:sz w:val="18"/>
                <w:szCs w:val="18"/>
              </w:rPr>
              <w:t>、因未履行相关承诺</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事项而获得收益的，所获收益归公司所有。</w:t>
            </w:r>
            <w:r>
              <w:rPr>
                <w:rFonts w:ascii="Times New Roman" w:hAnsi="Times New Roman" w:cs="Times New Roman" w:eastAsia="Times New Roman" w:hint="default"/>
                <w:sz w:val="18"/>
                <w:szCs w:val="18"/>
              </w:rPr>
              <w:t>6</w:t>
            </w:r>
            <w:r>
              <w:rPr>
                <w:rFonts w:ascii="宋体" w:hAnsi="宋体" w:cs="宋体" w:eastAsia="宋体" w:hint="default"/>
                <w:sz w:val="18"/>
                <w:szCs w:val="18"/>
              </w:rPr>
              <w:t>、给投资者造</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成损失的，依法赔偿投资者损失，但本人能够证明自己没有</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过错的除外。</w:t>
            </w:r>
            <w:r>
              <w:rPr>
                <w:rFonts w:ascii="Times New Roman" w:hAnsi="Times New Roman" w:cs="Times New Roman" w:eastAsia="Times New Roman" w:hint="default"/>
                <w:sz w:val="18"/>
                <w:szCs w:val="18"/>
              </w:rPr>
              <w:t>"</w:t>
            </w:r>
          </w:p>
        </w:tc>
        <w:tc>
          <w:tcPr>
            <w:tcW w:w="1649"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single" w:sz="4" w:space="0" w:color="000000"/>
            </w:tcBorders>
          </w:tcPr>
          <w:p>
            <w:pPr/>
          </w:p>
        </w:tc>
        <w:tc>
          <w:tcPr>
            <w:tcW w:w="1625"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592"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558" w:type="dxa"/>
            <w:tcBorders>
              <w:top w:val="single" w:sz="4" w:space="0" w:color="000000"/>
              <w:left w:val="single" w:sz="4" w:space="0" w:color="000000"/>
              <w:bottom w:val="nil" w:sz="6" w:space="0" w:color="auto"/>
              <w:right w:val="single" w:sz="4" w:space="0" w:color="000000"/>
            </w:tcBorders>
          </w:tcPr>
          <w:p>
            <w:pPr/>
          </w:p>
        </w:tc>
        <w:tc>
          <w:tcPr>
            <w:tcW w:w="4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实际控制人关于避免因追缴税收优惠而给公司造成损失的</w:t>
            </w:r>
          </w:p>
        </w:tc>
        <w:tc>
          <w:tcPr>
            <w:tcW w:w="1649" w:type="dxa"/>
            <w:tcBorders>
              <w:top w:val="single" w:sz="4" w:space="0" w:color="000000"/>
              <w:left w:val="single" w:sz="4" w:space="0" w:color="000000"/>
              <w:bottom w:val="nil" w:sz="6" w:space="0" w:color="auto"/>
              <w:right w:val="single" w:sz="4" w:space="0" w:color="000000"/>
            </w:tcBorders>
          </w:tcPr>
          <w:p>
            <w:pPr/>
          </w:p>
        </w:tc>
        <w:tc>
          <w:tcPr>
            <w:tcW w:w="1642" w:type="dxa"/>
            <w:tcBorders>
              <w:top w:val="single" w:sz="4" w:space="0" w:color="000000"/>
              <w:left w:val="single" w:sz="4" w:space="0" w:color="000000"/>
              <w:bottom w:val="nil" w:sz="6" w:space="0" w:color="auto"/>
              <w:right w:val="single" w:sz="4" w:space="0" w:color="000000"/>
            </w:tcBorders>
          </w:tcPr>
          <w:p>
            <w:pPr/>
          </w:p>
        </w:tc>
        <w:tc>
          <w:tcPr>
            <w:tcW w:w="1625"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承诺若日后国家税务主管部门要求公司补缴因享受有关税</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收优惠政策而免缴及少缴的企业所得税，则承诺人将以连带</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李朝莉</w:t>
            </w:r>
            <w:r>
              <w:rPr>
                <w:rFonts w:ascii="Times New Roman" w:hAnsi="Times New Roman" w:cs="Times New Roman" w:eastAsia="Times New Roman" w:hint="default"/>
                <w:sz w:val="18"/>
                <w:szCs w:val="18"/>
              </w:rPr>
              <w:t>;</w:t>
            </w:r>
            <w:r>
              <w:rPr>
                <w:rFonts w:ascii="宋体" w:hAnsi="宋体" w:cs="宋体" w:eastAsia="宋体" w:hint="default"/>
                <w:sz w:val="18"/>
                <w:szCs w:val="18"/>
              </w:rPr>
              <w:t>李娜</w:t>
            </w:r>
            <w:r>
              <w:rPr>
                <w:rFonts w:ascii="Times New Roman" w:hAnsi="Times New Roman" w:cs="Times New Roman" w:eastAsia="Times New Roman" w:hint="default"/>
                <w:sz w:val="18"/>
                <w:szCs w:val="18"/>
              </w:rPr>
              <w:t>;</w:t>
            </w:r>
            <w:r>
              <w:rPr>
                <w:rFonts w:ascii="宋体" w:hAnsi="宋体" w:cs="宋体" w:eastAsia="宋体" w:hint="default"/>
                <w:sz w:val="18"/>
                <w:szCs w:val="18"/>
              </w:rPr>
              <w:t>刘</w:t>
            </w: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pacing w:val="-3"/>
                <w:sz w:val="18"/>
                <w:szCs w:val="18"/>
              </w:rPr>
              <w:t>责任方式，无条件全额承担公司在上市前应补缴的税款及因</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咏平</w:t>
            </w:r>
            <w:r>
              <w:rPr>
                <w:rFonts w:ascii="Times New Roman" w:hAnsi="Times New Roman" w:cs="Times New Roman" w:eastAsia="Times New Roman" w:hint="default"/>
                <w:sz w:val="18"/>
                <w:szCs w:val="18"/>
              </w:rPr>
              <w:t>;</w:t>
            </w:r>
            <w:r>
              <w:rPr>
                <w:rFonts w:ascii="宋体" w:hAnsi="宋体" w:cs="宋体" w:eastAsia="宋体" w:hint="default"/>
                <w:sz w:val="18"/>
                <w:szCs w:val="18"/>
              </w:rPr>
              <w:t>罗瑞发</w:t>
            </w:r>
            <w:r>
              <w:rPr>
                <w:rFonts w:ascii="Times New Roman" w:hAnsi="Times New Roman" w:cs="Times New Roman" w:eastAsia="Times New Roman" w:hint="default"/>
                <w:sz w:val="18"/>
                <w:szCs w:val="18"/>
              </w:rPr>
              <w:t>;</w:t>
            </w:r>
            <w:r>
              <w:rPr>
                <w:rFonts w:ascii="宋体" w:hAnsi="宋体" w:cs="宋体" w:eastAsia="宋体" w:hint="default"/>
                <w:sz w:val="18"/>
                <w:szCs w:val="18"/>
              </w:rPr>
              <w:t>王</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pacing w:val="-3"/>
                <w:sz w:val="18"/>
                <w:szCs w:val="18"/>
              </w:rPr>
              <w:t>此所产生的所有相关费用，以避免给公司或公司其他股东尤</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2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明宽</w:t>
            </w:r>
            <w:r>
              <w:rPr>
                <w:rFonts w:ascii="Times New Roman" w:hAnsi="Times New Roman" w:cs="Times New Roman" w:eastAsia="Times New Roman" w:hint="default"/>
                <w:sz w:val="18"/>
                <w:szCs w:val="18"/>
              </w:rPr>
              <w:t>;</w:t>
            </w:r>
            <w:r>
              <w:rPr>
                <w:rFonts w:ascii="宋体" w:hAnsi="宋体" w:cs="宋体" w:eastAsia="宋体" w:hint="default"/>
                <w:sz w:val="18"/>
                <w:szCs w:val="18"/>
              </w:rPr>
              <w:t>杨成</w:t>
            </w: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pacing w:val="-3"/>
                <w:sz w:val="18"/>
                <w:szCs w:val="18"/>
              </w:rPr>
              <w:t>其是未来的社会公众股东造成损失或影响。如承诺人违反上</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述承诺，承诺人将在公司股东大会及中国证监会指定报刊上</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公开说明未履行上述承诺的原因并向公司股东和社会公众</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592"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投资者道歉，并以违反上述承诺发生之日起当年度或以后年</w:t>
            </w:r>
          </w:p>
        </w:tc>
        <w:tc>
          <w:tcPr>
            <w:tcW w:w="1649"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single" w:sz="4" w:space="0" w:color="000000"/>
            </w:tcBorders>
          </w:tcPr>
          <w:p>
            <w:pPr/>
          </w:p>
        </w:tc>
        <w:tc>
          <w:tcPr>
            <w:tcW w:w="1625"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r>
        <w:rPr/>
        <w:pict>
          <v:shape style="position:absolute;margin-left:384.776001pt;margin-top:57.236008pt;width:223.15pt;height:48.75pt;mso-position-horizontal-relative:page;mso-position-vertical-relative:page;z-index:-15315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13"/>
                    <w:ind w:left="0" w:right="0"/>
                    <w:jc w:val="left"/>
                  </w:pPr>
                  <w:r>
                    <w:rPr/>
                    <w:t>承诺人持有的公司股份将不得转让。</w:t>
                  </w:r>
                </w:p>
              </w:txbxContent>
            </v:textbox>
            <w10:wrap type="none"/>
          </v:shape>
        </w:pict>
      </w:r>
      <w:r>
        <w:rPr/>
        <w:pict>
          <v:shape style="position:absolute;margin-left:384.776001pt;margin-top:106.470009pt;width:223.15pt;height:206.9pt;mso-position-horizontal-relative:page;mso-position-vertical-relative:page;z-index:-15314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4"/>
                      <w:szCs w:val="14"/>
                    </w:rPr>
                  </w:pPr>
                </w:p>
                <w:p>
                  <w:pPr>
                    <w:pStyle w:val="BodyText"/>
                    <w:spacing w:line="240" w:lineRule="auto"/>
                    <w:ind w:left="0" w:right="0"/>
                    <w:jc w:val="left"/>
                  </w:pPr>
                  <w:r>
                    <w:rPr/>
                    <w:t>承诺人持有的公司股份将不得转让。</w:t>
                  </w:r>
                </w:p>
              </w:txbxContent>
            </v:textbox>
            <w10:wrap type="none"/>
          </v:shape>
        </w:pict>
      </w:r>
      <w:r>
        <w:rPr/>
        <w:pict>
          <v:group style="position:absolute;margin-left:525.909973pt;margin-top:57.236008pt;width:82pt;height:256.1500pt;mso-position-horizontal-relative:page;mso-position-vertical-relative:page;z-index:-1531456" coordorigin="10518,1145" coordsize="1640,5123">
            <v:group style="position:absolute;left:10518;top:1145;width:1640;height:975" coordorigin="10518,1145" coordsize="1640,975">
              <v:shape style="position:absolute;left:10518;top:1145;width:1640;height:975" coordorigin="10518,1145" coordsize="1640,975" path="m10518,2120l12158,2120,12158,1145,10518,1145,10518,2120xe" filled="true" fillcolor="#ffffff" stroked="false">
                <v:path arrowok="t"/>
                <v:fill type="solid"/>
              </v:shape>
            </v:group>
            <v:group style="position:absolute;left:10518;top:2129;width:1640;height:4138" coordorigin="10518,2129" coordsize="1640,4138">
              <v:shape style="position:absolute;left:10518;top:2129;width:1640;height:4138" coordorigin="10518,2129" coordsize="1640,4138" path="m10518,6267l12158,6267,12158,2129,10518,2129,10518,6267xe" filled="true" fillcolor="#ffffff" stroked="false">
                <v:path arrowok="t"/>
                <v:fill type="solid"/>
              </v:shape>
            </v:group>
            <v:group style="position:absolute;left:10542;top:4002;width:1592;height:394" coordorigin="10542,4002" coordsize="1592,394">
              <v:shape style="position:absolute;left:10542;top:4002;width:1592;height:394" coordorigin="10542,4002" coordsize="1592,394" path="m10542,4395l12134,4395,12134,4002,10542,4002,10542,4395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1592"/>
        <w:gridCol w:w="1274"/>
        <w:gridCol w:w="1558"/>
        <w:gridCol w:w="4678"/>
        <w:gridCol w:w="1649"/>
        <w:gridCol w:w="1642"/>
        <w:gridCol w:w="1625"/>
      </w:tblGrid>
      <w:tr>
        <w:trPr>
          <w:trHeight w:val="332" w:hRule="exact"/>
        </w:trPr>
        <w:tc>
          <w:tcPr>
            <w:tcW w:w="1592" w:type="dxa"/>
            <w:vMerge w:val="restart"/>
            <w:tcBorders>
              <w:top w:val="single" w:sz="15" w:space="0" w:color="000000"/>
              <w:left w:val="single" w:sz="4" w:space="0" w:color="000000"/>
              <w:right w:val="single" w:sz="4" w:space="0" w:color="000000"/>
            </w:tcBorders>
            <w:shd w:val="clear" w:color="auto" w:fill="D2D2D2"/>
          </w:tcPr>
          <w:p>
            <w:pPr/>
          </w:p>
        </w:tc>
        <w:tc>
          <w:tcPr>
            <w:tcW w:w="1274" w:type="dxa"/>
            <w:vMerge w:val="restart"/>
            <w:tcBorders>
              <w:top w:val="single" w:sz="15" w:space="0" w:color="000000"/>
              <w:left w:val="single" w:sz="4" w:space="0" w:color="000000"/>
              <w:right w:val="single" w:sz="4" w:space="0" w:color="000000"/>
            </w:tcBorders>
          </w:tcPr>
          <w:p>
            <w:pPr/>
          </w:p>
        </w:tc>
        <w:tc>
          <w:tcPr>
            <w:tcW w:w="1558" w:type="dxa"/>
            <w:vMerge w:val="restart"/>
            <w:tcBorders>
              <w:top w:val="single" w:sz="15" w:space="0" w:color="000000"/>
              <w:left w:val="single" w:sz="4" w:space="0" w:color="000000"/>
              <w:right w:val="single" w:sz="4" w:space="0" w:color="000000"/>
            </w:tcBorders>
          </w:tcPr>
          <w:p>
            <w:pPr/>
          </w:p>
        </w:tc>
        <w:tc>
          <w:tcPr>
            <w:tcW w:w="4678"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度公司利润分配方案中承诺人享有的现金分红作为履约担</w:t>
            </w:r>
          </w:p>
        </w:tc>
        <w:tc>
          <w:tcPr>
            <w:tcW w:w="1649" w:type="dxa"/>
            <w:vMerge w:val="restart"/>
            <w:tcBorders>
              <w:top w:val="single" w:sz="15" w:space="0" w:color="000000"/>
              <w:left w:val="single" w:sz="4" w:space="0" w:color="000000"/>
              <w:right w:val="single" w:sz="4" w:space="0" w:color="000000"/>
            </w:tcBorders>
          </w:tcPr>
          <w:p>
            <w:pPr/>
          </w:p>
        </w:tc>
        <w:tc>
          <w:tcPr>
            <w:tcW w:w="1642" w:type="dxa"/>
            <w:vMerge w:val="restart"/>
            <w:tcBorders>
              <w:top w:val="single" w:sz="15" w:space="0" w:color="000000"/>
              <w:left w:val="single" w:sz="4" w:space="0" w:color="000000"/>
              <w:right w:val="single" w:sz="4" w:space="0" w:color="000000"/>
            </w:tcBorders>
          </w:tcPr>
          <w:p>
            <w:pPr/>
          </w:p>
        </w:tc>
        <w:tc>
          <w:tcPr>
            <w:tcW w:w="1625" w:type="dxa"/>
            <w:vMerge w:val="restart"/>
            <w:tcBorders>
              <w:top w:val="single" w:sz="15" w:space="0" w:color="000000"/>
              <w:left w:val="single" w:sz="4" w:space="0" w:color="000000"/>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保</w:t>
            </w:r>
            <w:r>
              <w:rPr>
                <w:rFonts w:ascii="宋体" w:hAnsi="宋体" w:cs="宋体" w:eastAsia="宋体" w:hint="default"/>
                <w:spacing w:val="-75"/>
                <w:sz w:val="18"/>
                <w:szCs w:val="18"/>
              </w:rPr>
              <w:t>，</w:t>
            </w:r>
            <w:r>
              <w:rPr>
                <w:rFonts w:ascii="宋体" w:hAnsi="宋体" w:cs="宋体" w:eastAsia="宋体" w:hint="default"/>
                <w:sz w:val="18"/>
                <w:szCs w:val="18"/>
              </w:rPr>
              <w:t>同时在履行承诺前，</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53"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49" w:type="dxa"/>
            <w:vMerge/>
            <w:tcBorders>
              <w:left w:val="single" w:sz="4" w:space="0" w:color="000000"/>
              <w:bottom w:val="single" w:sz="4" w:space="0" w:color="000000"/>
              <w:right w:val="single" w:sz="4" w:space="0" w:color="000000"/>
            </w:tcBorders>
          </w:tcPr>
          <w:p>
            <w:pPr/>
          </w:p>
        </w:tc>
        <w:tc>
          <w:tcPr>
            <w:tcW w:w="1642" w:type="dxa"/>
            <w:vMerge/>
            <w:tcBorders>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r>
      <w:tr>
        <w:trPr>
          <w:trHeight w:val="360" w:hRule="exact"/>
        </w:trPr>
        <w:tc>
          <w:tcPr>
            <w:tcW w:w="1592"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558" w:type="dxa"/>
            <w:tcBorders>
              <w:top w:val="single" w:sz="4" w:space="0" w:color="000000"/>
              <w:left w:val="single" w:sz="4" w:space="0" w:color="000000"/>
              <w:bottom w:val="nil" w:sz="6" w:space="0" w:color="auto"/>
              <w:right w:val="single" w:sz="4" w:space="0" w:color="000000"/>
            </w:tcBorders>
          </w:tcPr>
          <w:p>
            <w:pPr/>
          </w:p>
        </w:tc>
        <w:tc>
          <w:tcPr>
            <w:tcW w:w="4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作为深圳市金溢科技股份有限公司（下称公司）的股东，</w:t>
            </w:r>
          </w:p>
        </w:tc>
        <w:tc>
          <w:tcPr>
            <w:tcW w:w="1649" w:type="dxa"/>
            <w:tcBorders>
              <w:top w:val="single" w:sz="4" w:space="0" w:color="000000"/>
              <w:left w:val="single" w:sz="4" w:space="0" w:color="000000"/>
              <w:bottom w:val="nil" w:sz="6" w:space="0" w:color="auto"/>
              <w:right w:val="single" w:sz="4" w:space="0" w:color="000000"/>
            </w:tcBorders>
          </w:tcPr>
          <w:p>
            <w:pPr/>
          </w:p>
        </w:tc>
        <w:tc>
          <w:tcPr>
            <w:tcW w:w="1642" w:type="dxa"/>
            <w:tcBorders>
              <w:top w:val="single" w:sz="4" w:space="0" w:color="000000"/>
              <w:left w:val="single" w:sz="4" w:space="0" w:color="000000"/>
              <w:bottom w:val="nil" w:sz="6" w:space="0" w:color="auto"/>
              <w:right w:val="single" w:sz="4" w:space="0" w:color="000000"/>
            </w:tcBorders>
          </w:tcPr>
          <w:p>
            <w:pPr/>
          </w:p>
        </w:tc>
        <w:tc>
          <w:tcPr>
            <w:tcW w:w="1625"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就避免因追缴税收优惠而给公司造成损失向公司作出承诺</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如下：若日后国家税务主管部门要求公司补缴因享受有关税</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收优惠政策而免缴及少缴的企业所得税，则承诺人将以连带</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责任方式，无条件全额承担公司在上市前应补缴的税款及因</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此所产生的所有相关费用，以避免给公司或公司其他股东尤</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王丽娟</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其是未来的社会公众股东造成损失或影响。如承诺人违反上</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述承诺，承诺人将在公司股东大会及中国证监会指定报刊上</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公开说明未履行上述承诺的原因并向公司股东和社会公众</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投资者道歉，并以违反上述承诺发生之日起当年度或以后年</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度公司利润分配方案中承诺人享有的现金分红作为履约担</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保</w:t>
            </w:r>
            <w:r>
              <w:rPr>
                <w:rFonts w:ascii="宋体" w:hAnsi="宋体" w:cs="宋体" w:eastAsia="宋体" w:hint="default"/>
                <w:spacing w:val="-75"/>
                <w:sz w:val="18"/>
                <w:szCs w:val="18"/>
              </w:rPr>
              <w:t>，</w:t>
            </w:r>
            <w:r>
              <w:rPr>
                <w:rFonts w:ascii="宋体" w:hAnsi="宋体" w:cs="宋体" w:eastAsia="宋体" w:hint="default"/>
                <w:sz w:val="18"/>
                <w:szCs w:val="18"/>
              </w:rPr>
              <w:t>同时在履行承诺前，</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49"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single" w:sz="4" w:space="0" w:color="000000"/>
            </w:tcBorders>
          </w:tcPr>
          <w:p>
            <w:pPr/>
          </w:p>
        </w:tc>
        <w:tc>
          <w:tcPr>
            <w:tcW w:w="1625"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592"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558" w:type="dxa"/>
            <w:tcBorders>
              <w:top w:val="single" w:sz="4" w:space="0" w:color="000000"/>
              <w:left w:val="single" w:sz="4" w:space="0" w:color="000000"/>
              <w:bottom w:val="nil" w:sz="6" w:space="0" w:color="auto"/>
              <w:right w:val="single" w:sz="4" w:space="0" w:color="000000"/>
            </w:tcBorders>
          </w:tcPr>
          <w:p>
            <w:pPr/>
          </w:p>
        </w:tc>
        <w:tc>
          <w:tcPr>
            <w:tcW w:w="4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实际控制人关于瑕疵租赁的承诺：未取得相关权属证明之</w:t>
            </w:r>
          </w:p>
        </w:tc>
        <w:tc>
          <w:tcPr>
            <w:tcW w:w="1649" w:type="dxa"/>
            <w:tcBorders>
              <w:top w:val="single" w:sz="4" w:space="0" w:color="000000"/>
              <w:left w:val="single" w:sz="4" w:space="0" w:color="000000"/>
              <w:bottom w:val="nil" w:sz="6" w:space="0" w:color="auto"/>
              <w:right w:val="single" w:sz="4" w:space="0" w:color="000000"/>
            </w:tcBorders>
          </w:tcPr>
          <w:p>
            <w:pPr/>
          </w:p>
        </w:tc>
        <w:tc>
          <w:tcPr>
            <w:tcW w:w="1642" w:type="dxa"/>
            <w:tcBorders>
              <w:top w:val="single" w:sz="4" w:space="0" w:color="000000"/>
              <w:left w:val="single" w:sz="4" w:space="0" w:color="000000"/>
              <w:bottom w:val="nil" w:sz="6" w:space="0" w:color="auto"/>
              <w:right w:val="single" w:sz="4" w:space="0" w:color="000000"/>
            </w:tcBorders>
          </w:tcPr>
          <w:p>
            <w:pPr/>
          </w:p>
        </w:tc>
        <w:tc>
          <w:tcPr>
            <w:tcW w:w="1625"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租赁房产以及未办理租赁备案之房产非用于公司研发及生</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李朝莉</w:t>
            </w:r>
            <w:r>
              <w:rPr>
                <w:rFonts w:ascii="Times New Roman" w:hAnsi="Times New Roman" w:cs="Times New Roman" w:eastAsia="Times New Roman" w:hint="default"/>
                <w:sz w:val="18"/>
                <w:szCs w:val="18"/>
              </w:rPr>
              <w:t>;</w:t>
            </w:r>
            <w:r>
              <w:rPr>
                <w:rFonts w:ascii="宋体" w:hAnsi="宋体" w:cs="宋体" w:eastAsia="宋体" w:hint="default"/>
                <w:sz w:val="18"/>
                <w:szCs w:val="18"/>
              </w:rPr>
              <w:t>李娜</w:t>
            </w:r>
            <w:r>
              <w:rPr>
                <w:rFonts w:ascii="Times New Roman" w:hAnsi="Times New Roman" w:cs="Times New Roman" w:eastAsia="Times New Roman" w:hint="default"/>
                <w:sz w:val="18"/>
                <w:szCs w:val="18"/>
              </w:rPr>
              <w:t>;</w:t>
            </w:r>
            <w:r>
              <w:rPr>
                <w:rFonts w:ascii="宋体" w:hAnsi="宋体" w:cs="宋体" w:eastAsia="宋体" w:hint="default"/>
                <w:sz w:val="18"/>
                <w:szCs w:val="18"/>
              </w:rPr>
              <w:t>刘</w:t>
            </w: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产，对公司主营业务不构成重大影响。公司在可预见的期间</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咏平</w:t>
            </w:r>
            <w:r>
              <w:rPr>
                <w:rFonts w:ascii="Times New Roman" w:hAnsi="Times New Roman" w:cs="Times New Roman" w:eastAsia="Times New Roman" w:hint="default"/>
                <w:sz w:val="18"/>
                <w:szCs w:val="18"/>
              </w:rPr>
              <w:t>;</w:t>
            </w:r>
            <w:r>
              <w:rPr>
                <w:rFonts w:ascii="宋体" w:hAnsi="宋体" w:cs="宋体" w:eastAsia="宋体" w:hint="default"/>
                <w:sz w:val="18"/>
                <w:szCs w:val="18"/>
              </w:rPr>
              <w:t>罗瑞发</w:t>
            </w:r>
            <w:r>
              <w:rPr>
                <w:rFonts w:ascii="Times New Roman" w:hAnsi="Times New Roman" w:cs="Times New Roman" w:eastAsia="Times New Roman" w:hint="default"/>
                <w:sz w:val="18"/>
                <w:szCs w:val="18"/>
              </w:rPr>
              <w:t>;</w:t>
            </w:r>
            <w:r>
              <w:rPr>
                <w:rFonts w:ascii="宋体" w:hAnsi="宋体" w:cs="宋体" w:eastAsia="宋体" w:hint="default"/>
                <w:sz w:val="18"/>
                <w:szCs w:val="18"/>
              </w:rPr>
              <w:t>王</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内可稳定地租用该等房产。如发生因瑕疵租赁场地拆迁或其</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明宽</w:t>
            </w:r>
            <w:r>
              <w:rPr>
                <w:rFonts w:ascii="Times New Roman" w:hAnsi="Times New Roman" w:cs="Times New Roman" w:eastAsia="Times New Roman" w:hint="default"/>
                <w:sz w:val="18"/>
                <w:szCs w:val="18"/>
              </w:rPr>
              <w:t>;</w:t>
            </w:r>
            <w:r>
              <w:rPr>
                <w:rFonts w:ascii="宋体" w:hAnsi="宋体" w:cs="宋体" w:eastAsia="宋体" w:hint="default"/>
                <w:sz w:val="18"/>
                <w:szCs w:val="18"/>
              </w:rPr>
              <w:t>杨成</w:t>
            </w: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他原因无法继续租用情形，公司将无条件组织相关场地搬</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迁。由此而导致公司产生的相关经济损失，由本人无条件承</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担。</w:t>
            </w:r>
            <w:r>
              <w:rPr>
                <w:rFonts w:ascii="Times New Roman" w:hAnsi="Times New Roman" w:cs="Times New Roman" w:eastAsia="Times New Roman" w:hint="default"/>
                <w:sz w:val="18"/>
                <w:szCs w:val="18"/>
              </w:rPr>
              <w:t>"</w:t>
            </w:r>
          </w:p>
        </w:tc>
        <w:tc>
          <w:tcPr>
            <w:tcW w:w="1649"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single" w:sz="4" w:space="0" w:color="000000"/>
            </w:tcBorders>
          </w:tcPr>
          <w:p>
            <w:pPr/>
          </w:p>
        </w:tc>
        <w:tc>
          <w:tcPr>
            <w:tcW w:w="1625"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592"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558" w:type="dxa"/>
            <w:tcBorders>
              <w:top w:val="single" w:sz="4" w:space="0" w:color="000000"/>
              <w:left w:val="single" w:sz="4" w:space="0" w:color="000000"/>
              <w:bottom w:val="nil" w:sz="6" w:space="0" w:color="auto"/>
              <w:right w:val="single" w:sz="4" w:space="0" w:color="000000"/>
            </w:tcBorders>
          </w:tcPr>
          <w:p>
            <w:pPr/>
          </w:p>
        </w:tc>
        <w:tc>
          <w:tcPr>
            <w:tcW w:w="4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实际控制人关于补缴员工社会保险基金、住房公积金的承</w:t>
            </w:r>
          </w:p>
        </w:tc>
        <w:tc>
          <w:tcPr>
            <w:tcW w:w="1649" w:type="dxa"/>
            <w:tcBorders>
              <w:top w:val="single" w:sz="4" w:space="0" w:color="000000"/>
              <w:left w:val="single" w:sz="4" w:space="0" w:color="000000"/>
              <w:bottom w:val="nil" w:sz="6" w:space="0" w:color="auto"/>
              <w:right w:val="single" w:sz="4" w:space="0" w:color="000000"/>
            </w:tcBorders>
          </w:tcPr>
          <w:p>
            <w:pPr/>
          </w:p>
        </w:tc>
        <w:tc>
          <w:tcPr>
            <w:tcW w:w="1642" w:type="dxa"/>
            <w:tcBorders>
              <w:top w:val="single" w:sz="4" w:space="0" w:color="000000"/>
              <w:left w:val="single" w:sz="4" w:space="0" w:color="000000"/>
              <w:bottom w:val="nil" w:sz="6" w:space="0" w:color="auto"/>
              <w:right w:val="single" w:sz="4" w:space="0" w:color="000000"/>
            </w:tcBorders>
          </w:tcPr>
          <w:p>
            <w:pPr/>
          </w:p>
        </w:tc>
        <w:tc>
          <w:tcPr>
            <w:tcW w:w="1625" w:type="dxa"/>
            <w:tcBorders>
              <w:top w:val="single" w:sz="4" w:space="0" w:color="000000"/>
              <w:left w:val="single" w:sz="4" w:space="0" w:color="000000"/>
              <w:bottom w:val="nil" w:sz="6" w:space="0" w:color="auto"/>
              <w:right w:val="single" w:sz="4" w:space="0" w:color="000000"/>
            </w:tcBorders>
          </w:tcPr>
          <w:p>
            <w:pPr/>
          </w:p>
        </w:tc>
      </w:tr>
      <w:tr>
        <w:trPr>
          <w:trHeight w:val="1243"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300" w:lineRule="auto" w:before="142"/>
              <w:ind w:left="24" w:right="59"/>
              <w:jc w:val="both"/>
              <w:rPr>
                <w:rFonts w:ascii="宋体" w:hAnsi="宋体" w:cs="宋体" w:eastAsia="宋体" w:hint="default"/>
                <w:sz w:val="18"/>
                <w:szCs w:val="18"/>
              </w:rPr>
            </w:pPr>
            <w:r>
              <w:rPr>
                <w:rFonts w:ascii="宋体" w:hAnsi="宋体" w:cs="宋体" w:eastAsia="宋体" w:hint="default"/>
                <w:sz w:val="18"/>
                <w:szCs w:val="18"/>
              </w:rPr>
              <w:t>李朝莉</w:t>
            </w:r>
            <w:r>
              <w:rPr>
                <w:rFonts w:ascii="Times New Roman" w:hAnsi="Times New Roman" w:cs="Times New Roman" w:eastAsia="Times New Roman" w:hint="default"/>
                <w:sz w:val="18"/>
                <w:szCs w:val="18"/>
              </w:rPr>
              <w:t>;</w:t>
            </w:r>
            <w:r>
              <w:rPr>
                <w:rFonts w:ascii="宋体" w:hAnsi="宋体" w:cs="宋体" w:eastAsia="宋体" w:hint="default"/>
                <w:sz w:val="18"/>
                <w:szCs w:val="18"/>
              </w:rPr>
              <w:t>李娜</w:t>
            </w:r>
            <w:r>
              <w:rPr>
                <w:rFonts w:ascii="Times New Roman" w:hAnsi="Times New Roman" w:cs="Times New Roman" w:eastAsia="Times New Roman" w:hint="default"/>
                <w:sz w:val="18"/>
                <w:szCs w:val="18"/>
              </w:rPr>
              <w:t>;</w:t>
            </w:r>
            <w:r>
              <w:rPr>
                <w:rFonts w:ascii="宋体" w:hAnsi="宋体" w:cs="宋体" w:eastAsia="宋体" w:hint="default"/>
                <w:sz w:val="18"/>
                <w:szCs w:val="18"/>
              </w:rPr>
              <w:t>刘 咏平</w:t>
            </w:r>
            <w:r>
              <w:rPr>
                <w:rFonts w:ascii="Times New Roman" w:hAnsi="Times New Roman" w:cs="Times New Roman" w:eastAsia="Times New Roman" w:hint="default"/>
                <w:sz w:val="18"/>
                <w:szCs w:val="18"/>
              </w:rPr>
              <w:t>;</w:t>
            </w:r>
            <w:r>
              <w:rPr>
                <w:rFonts w:ascii="宋体" w:hAnsi="宋体" w:cs="宋体" w:eastAsia="宋体" w:hint="default"/>
                <w:sz w:val="18"/>
                <w:szCs w:val="18"/>
              </w:rPr>
              <w:t>罗瑞发</w:t>
            </w:r>
            <w:r>
              <w:rPr>
                <w:rFonts w:ascii="Times New Roman" w:hAnsi="Times New Roman" w:cs="Times New Roman" w:eastAsia="Times New Roman" w:hint="default"/>
                <w:sz w:val="18"/>
                <w:szCs w:val="18"/>
              </w:rPr>
              <w:t>;</w:t>
            </w:r>
            <w:r>
              <w:rPr>
                <w:rFonts w:ascii="宋体" w:hAnsi="宋体" w:cs="宋体" w:eastAsia="宋体" w:hint="default"/>
                <w:sz w:val="18"/>
                <w:szCs w:val="18"/>
              </w:rPr>
              <w:t>王 明宽</w:t>
            </w:r>
            <w:r>
              <w:rPr>
                <w:rFonts w:ascii="Times New Roman" w:hAnsi="Times New Roman" w:cs="Times New Roman" w:eastAsia="Times New Roman" w:hint="default"/>
                <w:sz w:val="18"/>
                <w:szCs w:val="18"/>
              </w:rPr>
              <w:t>;</w:t>
            </w:r>
            <w:r>
              <w:rPr>
                <w:rFonts w:ascii="宋体" w:hAnsi="宋体" w:cs="宋体" w:eastAsia="宋体" w:hint="default"/>
                <w:sz w:val="18"/>
                <w:szCs w:val="18"/>
              </w:rPr>
              <w:t>杨成</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4" w:right="21"/>
              <w:jc w:val="both"/>
              <w:rPr>
                <w:rFonts w:ascii="宋体" w:hAnsi="宋体" w:cs="宋体" w:eastAsia="宋体" w:hint="default"/>
                <w:sz w:val="18"/>
                <w:szCs w:val="18"/>
              </w:rPr>
            </w:pPr>
            <w:r>
              <w:rPr>
                <w:rFonts w:ascii="宋体" w:hAnsi="宋体" w:cs="宋体" w:eastAsia="宋体" w:hint="default"/>
                <w:spacing w:val="-3"/>
                <w:sz w:val="18"/>
                <w:szCs w:val="18"/>
              </w:rPr>
              <w:t>诺：若日后公司或其分公司所在地社会保险基金、住房公积</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金主管部门要求公司对以前年度的员工社会保险基金、住房</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公积金进行补缴，则承诺人将按主管部门核定的金额，以连</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带责任方式，无条件全额承担公司在上市前应补缴的金额及</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9" w:hRule="exact"/>
        </w:trPr>
        <w:tc>
          <w:tcPr>
            <w:tcW w:w="1592"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因此所产生的所有相关费用，以避免给公司或公司其他股东</w:t>
            </w:r>
          </w:p>
        </w:tc>
        <w:tc>
          <w:tcPr>
            <w:tcW w:w="1649"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single" w:sz="4" w:space="0" w:color="000000"/>
            </w:tcBorders>
          </w:tcPr>
          <w:p>
            <w:pPr/>
          </w:p>
        </w:tc>
        <w:tc>
          <w:tcPr>
            <w:tcW w:w="1625"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r>
        <w:rPr/>
        <w:pict>
          <v:group style="position:absolute;margin-left:525.909973pt;margin-top:376.276001pt;width:82pt;height:158.1pt;mso-position-horizontal-relative:page;mso-position-vertical-relative:page;z-index:-1531432" coordorigin="10518,7526" coordsize="1640,3162">
            <v:group style="position:absolute;left:10518;top:7526;width:1640;height:3162" coordorigin="10518,7526" coordsize="1640,3162">
              <v:shape style="position:absolute;left:10518;top:7526;width:1640;height:3162" coordorigin="10518,7526" coordsize="1640,3162" path="m10518,10687l12158,10687,12158,7526,10518,7526,10518,10687xe" filled="true" fillcolor="#ffffff" stroked="false">
                <v:path arrowok="t"/>
                <v:fill type="solid"/>
              </v:shape>
            </v:group>
            <v:group style="position:absolute;left:10542;top:8911;width:1592;height:392" coordorigin="10542,8911" coordsize="1592,392">
              <v:shape style="position:absolute;left:10542;top:8911;width:1592;height:392" coordorigin="10542,8911" coordsize="1592,392" path="m10542,9302l12134,9302,12134,8911,10542,8911,10542,9302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1592"/>
        <w:gridCol w:w="1274"/>
        <w:gridCol w:w="1558"/>
        <w:gridCol w:w="4678"/>
        <w:gridCol w:w="1649"/>
        <w:gridCol w:w="1642"/>
        <w:gridCol w:w="1625"/>
      </w:tblGrid>
      <w:tr>
        <w:trPr>
          <w:trHeight w:val="332" w:hRule="exact"/>
        </w:trPr>
        <w:tc>
          <w:tcPr>
            <w:tcW w:w="1592" w:type="dxa"/>
            <w:vMerge w:val="restart"/>
            <w:tcBorders>
              <w:top w:val="single" w:sz="15" w:space="0" w:color="000000"/>
              <w:left w:val="single" w:sz="4" w:space="0" w:color="000000"/>
              <w:right w:val="single" w:sz="4" w:space="0" w:color="000000"/>
            </w:tcBorders>
            <w:shd w:val="clear" w:color="auto" w:fill="D2D2D2"/>
          </w:tcPr>
          <w:p>
            <w:pPr/>
          </w:p>
        </w:tc>
        <w:tc>
          <w:tcPr>
            <w:tcW w:w="1274" w:type="dxa"/>
            <w:vMerge w:val="restart"/>
            <w:tcBorders>
              <w:top w:val="single" w:sz="15" w:space="0" w:color="000000"/>
              <w:left w:val="single" w:sz="4" w:space="0" w:color="000000"/>
              <w:right w:val="single" w:sz="4" w:space="0" w:color="000000"/>
            </w:tcBorders>
          </w:tcPr>
          <w:p>
            <w:pPr/>
          </w:p>
        </w:tc>
        <w:tc>
          <w:tcPr>
            <w:tcW w:w="1558" w:type="dxa"/>
            <w:vMerge w:val="restart"/>
            <w:tcBorders>
              <w:top w:val="single" w:sz="15" w:space="0" w:color="000000"/>
              <w:left w:val="single" w:sz="4" w:space="0" w:color="000000"/>
              <w:right w:val="single" w:sz="4" w:space="0" w:color="000000"/>
            </w:tcBorders>
          </w:tcPr>
          <w:p>
            <w:pPr/>
          </w:p>
        </w:tc>
        <w:tc>
          <w:tcPr>
            <w:tcW w:w="4678"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尤其是未来的社会公众股东造成损失或影响。如承诺人违反</w:t>
            </w:r>
          </w:p>
        </w:tc>
        <w:tc>
          <w:tcPr>
            <w:tcW w:w="1649" w:type="dxa"/>
            <w:vMerge w:val="restart"/>
            <w:tcBorders>
              <w:top w:val="single" w:sz="15" w:space="0" w:color="000000"/>
              <w:left w:val="single" w:sz="4" w:space="0" w:color="000000"/>
              <w:right w:val="single" w:sz="4" w:space="0" w:color="000000"/>
            </w:tcBorders>
          </w:tcPr>
          <w:p>
            <w:pPr/>
          </w:p>
        </w:tc>
        <w:tc>
          <w:tcPr>
            <w:tcW w:w="1642" w:type="dxa"/>
            <w:vMerge w:val="restart"/>
            <w:tcBorders>
              <w:top w:val="single" w:sz="15" w:space="0" w:color="000000"/>
              <w:left w:val="single" w:sz="4" w:space="0" w:color="000000"/>
              <w:right w:val="single" w:sz="4" w:space="0" w:color="000000"/>
            </w:tcBorders>
          </w:tcPr>
          <w:p>
            <w:pPr/>
          </w:p>
        </w:tc>
        <w:tc>
          <w:tcPr>
            <w:tcW w:w="1625" w:type="dxa"/>
            <w:vMerge w:val="restart"/>
            <w:tcBorders>
              <w:top w:val="single" w:sz="15" w:space="0" w:color="000000"/>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上述承诺，承诺人将在公司股东大会及中国证监会指定报刊</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上公开说明未履行上述承诺的原因并向公司股东和社会公</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众投资者道歉，并以违反上述承诺发生之日起当年度或以后</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年度公司利润分配方案中承诺人享有的现金分红作为履约</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担保，同时在履行承诺前，承诺人持有的公司股份将不得转</w:t>
            </w:r>
          </w:p>
        </w:tc>
        <w:tc>
          <w:tcPr>
            <w:tcW w:w="1649" w:type="dxa"/>
            <w:vMerge/>
            <w:tcBorders>
              <w:left w:val="single" w:sz="4" w:space="0" w:color="000000"/>
              <w:right w:val="single" w:sz="4" w:space="0" w:color="000000"/>
            </w:tcBorders>
          </w:tcPr>
          <w:p>
            <w:pPr/>
          </w:p>
        </w:tc>
        <w:tc>
          <w:tcPr>
            <w:tcW w:w="1642" w:type="dxa"/>
            <w:vMerge/>
            <w:tcBorders>
              <w:left w:val="single" w:sz="4" w:space="0" w:color="000000"/>
              <w:right w:val="single" w:sz="4" w:space="0" w:color="000000"/>
            </w:tcBorders>
          </w:tcPr>
          <w:p>
            <w:pPr/>
          </w:p>
        </w:tc>
        <w:tc>
          <w:tcPr>
            <w:tcW w:w="1625" w:type="dxa"/>
            <w:vMerge/>
            <w:tcBorders>
              <w:left w:val="single" w:sz="4" w:space="0" w:color="000000"/>
              <w:right w:val="single" w:sz="4" w:space="0" w:color="000000"/>
            </w:tcBorders>
          </w:tcPr>
          <w:p>
            <w:pPr/>
          </w:p>
        </w:tc>
      </w:tr>
      <w:tr>
        <w:trPr>
          <w:trHeight w:val="357" w:hRule="exact"/>
        </w:trPr>
        <w:tc>
          <w:tcPr>
            <w:tcW w:w="159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让。</w:t>
            </w:r>
            <w:r>
              <w:rPr>
                <w:rFonts w:ascii="Times New Roman" w:hAnsi="Times New Roman" w:cs="Times New Roman" w:eastAsia="Times New Roman" w:hint="default"/>
                <w:sz w:val="18"/>
                <w:szCs w:val="18"/>
              </w:rPr>
              <w:t>"</w:t>
            </w:r>
          </w:p>
        </w:tc>
        <w:tc>
          <w:tcPr>
            <w:tcW w:w="1649" w:type="dxa"/>
            <w:vMerge/>
            <w:tcBorders>
              <w:left w:val="single" w:sz="4" w:space="0" w:color="000000"/>
              <w:bottom w:val="single" w:sz="4" w:space="0" w:color="000000"/>
              <w:right w:val="single" w:sz="4" w:space="0" w:color="000000"/>
            </w:tcBorders>
          </w:tcPr>
          <w:p>
            <w:pPr/>
          </w:p>
        </w:tc>
        <w:tc>
          <w:tcPr>
            <w:tcW w:w="1642" w:type="dxa"/>
            <w:vMerge/>
            <w:tcBorders>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r>
      <w:tr>
        <w:trPr>
          <w:trHeight w:val="361" w:hRule="exact"/>
        </w:trPr>
        <w:tc>
          <w:tcPr>
            <w:tcW w:w="1592"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558" w:type="dxa"/>
            <w:tcBorders>
              <w:top w:val="single" w:sz="4" w:space="0" w:color="000000"/>
              <w:left w:val="single" w:sz="4" w:space="0" w:color="000000"/>
              <w:bottom w:val="nil" w:sz="6" w:space="0" w:color="auto"/>
              <w:right w:val="single" w:sz="4" w:space="0" w:color="000000"/>
            </w:tcBorders>
          </w:tcPr>
          <w:p>
            <w:pPr/>
          </w:p>
        </w:tc>
        <w:tc>
          <w:tcPr>
            <w:tcW w:w="4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作为深圳市金溢科技股份有限公司（下称公司）的股东，</w:t>
            </w:r>
          </w:p>
        </w:tc>
        <w:tc>
          <w:tcPr>
            <w:tcW w:w="1649" w:type="dxa"/>
            <w:tcBorders>
              <w:top w:val="single" w:sz="4" w:space="0" w:color="000000"/>
              <w:left w:val="single" w:sz="4" w:space="0" w:color="000000"/>
              <w:bottom w:val="nil" w:sz="6" w:space="0" w:color="auto"/>
              <w:right w:val="single" w:sz="4" w:space="0" w:color="000000"/>
            </w:tcBorders>
          </w:tcPr>
          <w:p>
            <w:pPr/>
          </w:p>
        </w:tc>
        <w:tc>
          <w:tcPr>
            <w:tcW w:w="1642" w:type="dxa"/>
            <w:tcBorders>
              <w:top w:val="single" w:sz="4" w:space="0" w:color="000000"/>
              <w:left w:val="single" w:sz="4" w:space="0" w:color="000000"/>
              <w:bottom w:val="nil" w:sz="6" w:space="0" w:color="auto"/>
              <w:right w:val="single" w:sz="4" w:space="0" w:color="000000"/>
            </w:tcBorders>
          </w:tcPr>
          <w:p>
            <w:pPr/>
          </w:p>
        </w:tc>
        <w:tc>
          <w:tcPr>
            <w:tcW w:w="1625"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3"/>
                <w:sz w:val="18"/>
                <w:szCs w:val="18"/>
              </w:rPr>
              <w:t>就关于补缴员工社会保险基金事宜向公司作出承诺如下：若</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日后公司或其分公司所在地社会保险基金、住房公积金主管</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部门要求公司对以前年度的员工社会保险基金、住房公积金</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进行补缴，则承诺人将按主管部门核定的金额，以连带责任</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方式，无条件全额承担公司在上市前应补缴的金额及因此所</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王丽娟</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产生的所有相关费用，以避免给公司或公司其他股东尤其是</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未来的社会公众股东造成损失或影响。如承诺人违反上述承</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诺，承诺人将在公司股东大会及中国证监会指定报刊上公开</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说明未履行上述承诺的原因并向公司股东和社会公众投资</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者道歉，并以违反上述承诺发生之日起当年度或以后年度公</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司利润分配方案中承诺人享有的现金分红作为履约担保，同</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时在履行承诺前，承诺人持有的公司股份将不得转让。</w:t>
            </w:r>
            <w:r>
              <w:rPr>
                <w:rFonts w:ascii="Times New Roman" w:hAnsi="Times New Roman" w:cs="Times New Roman" w:eastAsia="Times New Roman" w:hint="default"/>
                <w:sz w:val="18"/>
                <w:szCs w:val="18"/>
              </w:rPr>
              <w:t>"</w:t>
            </w:r>
          </w:p>
        </w:tc>
        <w:tc>
          <w:tcPr>
            <w:tcW w:w="1649"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single" w:sz="4" w:space="0" w:color="000000"/>
            </w:tcBorders>
          </w:tcPr>
          <w:p>
            <w:pPr/>
          </w:p>
        </w:tc>
        <w:tc>
          <w:tcPr>
            <w:tcW w:w="1625"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592"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558" w:type="dxa"/>
            <w:tcBorders>
              <w:top w:val="single" w:sz="4" w:space="0" w:color="000000"/>
              <w:left w:val="single" w:sz="4" w:space="0" w:color="000000"/>
              <w:bottom w:val="nil" w:sz="6" w:space="0" w:color="auto"/>
              <w:right w:val="single" w:sz="4" w:space="0" w:color="000000"/>
            </w:tcBorders>
          </w:tcPr>
          <w:p>
            <w:pPr/>
          </w:p>
        </w:tc>
        <w:tc>
          <w:tcPr>
            <w:tcW w:w="4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罗瑞发、刘咏平、杨成、王明宽、李娜、李朝莉对一致行</w:t>
            </w:r>
          </w:p>
        </w:tc>
        <w:tc>
          <w:tcPr>
            <w:tcW w:w="1649" w:type="dxa"/>
            <w:tcBorders>
              <w:top w:val="single" w:sz="4" w:space="0" w:color="000000"/>
              <w:left w:val="single" w:sz="4" w:space="0" w:color="000000"/>
              <w:bottom w:val="nil" w:sz="6" w:space="0" w:color="auto"/>
              <w:right w:val="single" w:sz="4" w:space="0" w:color="000000"/>
            </w:tcBorders>
          </w:tcPr>
          <w:p>
            <w:pPr/>
          </w:p>
        </w:tc>
        <w:tc>
          <w:tcPr>
            <w:tcW w:w="1642" w:type="dxa"/>
            <w:tcBorders>
              <w:top w:val="single" w:sz="4" w:space="0" w:color="000000"/>
              <w:left w:val="single" w:sz="4" w:space="0" w:color="000000"/>
              <w:bottom w:val="nil" w:sz="6" w:space="0" w:color="auto"/>
              <w:right w:val="single" w:sz="4" w:space="0" w:color="000000"/>
            </w:tcBorders>
          </w:tcPr>
          <w:p>
            <w:pPr/>
          </w:p>
        </w:tc>
        <w:tc>
          <w:tcPr>
            <w:tcW w:w="1625"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动作出了合法、有效的安排，签署了《一致行动协议</w:t>
            </w:r>
            <w:r>
              <w:rPr>
                <w:rFonts w:ascii="宋体" w:hAnsi="宋体" w:cs="宋体" w:eastAsia="宋体" w:hint="default"/>
                <w:spacing w:val="-92"/>
                <w:sz w:val="18"/>
                <w:szCs w:val="18"/>
              </w:rPr>
              <w:t>》</w:t>
            </w:r>
            <w:r>
              <w:rPr>
                <w:rFonts w:ascii="宋体" w:hAnsi="宋体" w:cs="宋体" w:eastAsia="宋体" w:hint="default"/>
                <w:sz w:val="18"/>
                <w:szCs w:val="18"/>
              </w:rPr>
              <w:t>，明</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确相互之间的一致行动关系并承诺：</w:t>
            </w:r>
            <w:r>
              <w:rPr>
                <w:rFonts w:ascii="Times New Roman" w:hAnsi="Times New Roman" w:cs="Times New Roman" w:eastAsia="Times New Roman" w:hint="default"/>
                <w:sz w:val="18"/>
                <w:szCs w:val="18"/>
              </w:rPr>
              <w:t>1</w:t>
            </w:r>
            <w:r>
              <w:rPr>
                <w:rFonts w:ascii="宋体" w:hAnsi="宋体" w:cs="宋体" w:eastAsia="宋体" w:hint="default"/>
                <w:sz w:val="18"/>
                <w:szCs w:val="18"/>
              </w:rPr>
              <w:t>、作为深圳市敏行电</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1244"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300" w:lineRule="auto" w:before="142"/>
              <w:ind w:left="24" w:right="59"/>
              <w:jc w:val="both"/>
              <w:rPr>
                <w:rFonts w:ascii="宋体" w:hAnsi="宋体" w:cs="宋体" w:eastAsia="宋体" w:hint="default"/>
                <w:sz w:val="18"/>
                <w:szCs w:val="18"/>
              </w:rPr>
            </w:pPr>
            <w:r>
              <w:rPr>
                <w:rFonts w:ascii="宋体" w:hAnsi="宋体" w:cs="宋体" w:eastAsia="宋体" w:hint="default"/>
                <w:sz w:val="18"/>
                <w:szCs w:val="18"/>
              </w:rPr>
              <w:t>李朝莉</w:t>
            </w:r>
            <w:r>
              <w:rPr>
                <w:rFonts w:ascii="Times New Roman" w:hAnsi="Times New Roman" w:cs="Times New Roman" w:eastAsia="Times New Roman" w:hint="default"/>
                <w:sz w:val="18"/>
                <w:szCs w:val="18"/>
              </w:rPr>
              <w:t>;</w:t>
            </w:r>
            <w:r>
              <w:rPr>
                <w:rFonts w:ascii="宋体" w:hAnsi="宋体" w:cs="宋体" w:eastAsia="宋体" w:hint="default"/>
                <w:sz w:val="18"/>
                <w:szCs w:val="18"/>
              </w:rPr>
              <w:t>李娜</w:t>
            </w:r>
            <w:r>
              <w:rPr>
                <w:rFonts w:ascii="Times New Roman" w:hAnsi="Times New Roman" w:cs="Times New Roman" w:eastAsia="Times New Roman" w:hint="default"/>
                <w:sz w:val="18"/>
                <w:szCs w:val="18"/>
              </w:rPr>
              <w:t>;</w:t>
            </w:r>
            <w:r>
              <w:rPr>
                <w:rFonts w:ascii="宋体" w:hAnsi="宋体" w:cs="宋体" w:eastAsia="宋体" w:hint="default"/>
                <w:sz w:val="18"/>
                <w:szCs w:val="18"/>
              </w:rPr>
              <w:t>刘 咏平</w:t>
            </w:r>
            <w:r>
              <w:rPr>
                <w:rFonts w:ascii="Times New Roman" w:hAnsi="Times New Roman" w:cs="Times New Roman" w:eastAsia="Times New Roman" w:hint="default"/>
                <w:sz w:val="18"/>
                <w:szCs w:val="18"/>
              </w:rPr>
              <w:t>;</w:t>
            </w:r>
            <w:r>
              <w:rPr>
                <w:rFonts w:ascii="宋体" w:hAnsi="宋体" w:cs="宋体" w:eastAsia="宋体" w:hint="default"/>
                <w:sz w:val="18"/>
                <w:szCs w:val="18"/>
              </w:rPr>
              <w:t>罗瑞发</w:t>
            </w:r>
            <w:r>
              <w:rPr>
                <w:rFonts w:ascii="Times New Roman" w:hAnsi="Times New Roman" w:cs="Times New Roman" w:eastAsia="Times New Roman" w:hint="default"/>
                <w:sz w:val="18"/>
                <w:szCs w:val="18"/>
              </w:rPr>
              <w:t>;</w:t>
            </w:r>
            <w:r>
              <w:rPr>
                <w:rFonts w:ascii="宋体" w:hAnsi="宋体" w:cs="宋体" w:eastAsia="宋体" w:hint="default"/>
                <w:sz w:val="18"/>
                <w:szCs w:val="18"/>
              </w:rPr>
              <w:t>王 明宽</w:t>
            </w:r>
            <w:r>
              <w:rPr>
                <w:rFonts w:ascii="Times New Roman" w:hAnsi="Times New Roman" w:cs="Times New Roman" w:eastAsia="Times New Roman" w:hint="default"/>
                <w:sz w:val="18"/>
                <w:szCs w:val="18"/>
              </w:rPr>
              <w:t>;</w:t>
            </w:r>
            <w:r>
              <w:rPr>
                <w:rFonts w:ascii="宋体" w:hAnsi="宋体" w:cs="宋体" w:eastAsia="宋体" w:hint="default"/>
                <w:sz w:val="18"/>
                <w:szCs w:val="18"/>
              </w:rPr>
              <w:t>杨成</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股东一致行动承诺</w:t>
            </w: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307" w:lineRule="auto" w:before="5"/>
              <w:ind w:left="24" w:right="21"/>
              <w:jc w:val="both"/>
              <w:rPr>
                <w:rFonts w:ascii="宋体" w:hAnsi="宋体" w:cs="宋体" w:eastAsia="宋体" w:hint="default"/>
                <w:sz w:val="18"/>
                <w:szCs w:val="18"/>
              </w:rPr>
            </w:pPr>
            <w:r>
              <w:rPr>
                <w:rFonts w:ascii="宋体" w:hAnsi="宋体" w:cs="宋体" w:eastAsia="宋体" w:hint="default"/>
                <w:spacing w:val="-2"/>
                <w:sz w:val="18"/>
                <w:szCs w:val="18"/>
              </w:rPr>
              <w:t>子有限公司（以下简称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敏行电子</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）的控股股东罗瑞发承诺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并同意：敏行电子作为金溢科技股东行使权利时与协议所约</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定最终形成的一致意见保持一致。</w:t>
            </w:r>
            <w:r>
              <w:rPr>
                <w:rFonts w:ascii="Times New Roman" w:hAnsi="Times New Roman" w:cs="Times New Roman" w:eastAsia="Times New Roman" w:hint="default"/>
                <w:sz w:val="18"/>
                <w:szCs w:val="18"/>
              </w:rPr>
              <w:t>2</w:t>
            </w:r>
            <w:r>
              <w:rPr>
                <w:rFonts w:ascii="宋体" w:hAnsi="宋体" w:cs="宋体" w:eastAsia="宋体" w:hint="default"/>
                <w:sz w:val="18"/>
                <w:szCs w:val="18"/>
              </w:rPr>
              <w:t>、罗瑞发、刘咏平、杨 </w:t>
            </w:r>
            <w:r>
              <w:rPr>
                <w:rFonts w:ascii="宋体" w:hAnsi="宋体" w:cs="宋体" w:eastAsia="宋体" w:hint="default"/>
                <w:spacing w:val="-3"/>
                <w:sz w:val="18"/>
                <w:szCs w:val="18"/>
              </w:rPr>
              <w:t>成、王明宽、李娜、李朝莉各自作为金溢科技股东行使股东</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日至</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权利时，保持一致行动；各方任何一方担任金溢科技董事期</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2" w:type="dxa"/>
            <w:vMerge/>
            <w:tcBorders>
              <w:left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nil" w:sz="6" w:space="0" w:color="auto"/>
              <w:right w:val="single" w:sz="4" w:space="0" w:color="000000"/>
            </w:tcBorders>
          </w:tcPr>
          <w:p>
            <w:pPr/>
          </w:p>
        </w:tc>
        <w:tc>
          <w:tcPr>
            <w:tcW w:w="1558" w:type="dxa"/>
            <w:tcBorders>
              <w:top w:val="nil" w:sz="6" w:space="0" w:color="auto"/>
              <w:left w:val="single" w:sz="4" w:space="0" w:color="000000"/>
              <w:bottom w:val="nil" w:sz="6" w:space="0" w:color="auto"/>
              <w:right w:val="single" w:sz="4" w:space="0" w:color="000000"/>
            </w:tcBorders>
          </w:tcPr>
          <w:p>
            <w:pPr/>
          </w:p>
        </w:tc>
        <w:tc>
          <w:tcPr>
            <w:tcW w:w="4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36"/>
              <w:jc w:val="left"/>
              <w:rPr>
                <w:rFonts w:ascii="宋体" w:hAnsi="宋体" w:cs="宋体" w:eastAsia="宋体" w:hint="default"/>
                <w:sz w:val="18"/>
                <w:szCs w:val="18"/>
              </w:rPr>
            </w:pPr>
            <w:r>
              <w:rPr>
                <w:rFonts w:ascii="宋体" w:hAnsi="宋体" w:cs="宋体" w:eastAsia="宋体" w:hint="default"/>
                <w:sz w:val="18"/>
                <w:szCs w:val="18"/>
              </w:rPr>
              <w:t>间，担任董事各方应确保在董事会审议议案行使表决权时，</w:t>
            </w:r>
          </w:p>
        </w:tc>
        <w:tc>
          <w:tcPr>
            <w:tcW w:w="1649" w:type="dxa"/>
            <w:tcBorders>
              <w:top w:val="nil" w:sz="6" w:space="0" w:color="auto"/>
              <w:left w:val="single" w:sz="4" w:space="0" w:color="000000"/>
              <w:bottom w:val="nil" w:sz="6" w:space="0" w:color="auto"/>
              <w:right w:val="single" w:sz="4" w:space="0" w:color="000000"/>
            </w:tcBorders>
          </w:tcPr>
          <w:p>
            <w:pPr/>
          </w:p>
        </w:tc>
        <w:tc>
          <w:tcPr>
            <w:tcW w:w="1642"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592"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tcPr>
          <w:p>
            <w:pPr/>
          </w:p>
        </w:tc>
        <w:tc>
          <w:tcPr>
            <w:tcW w:w="4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保持一致行动。期限为协议生效之日至金溢科技股票上市之</w:t>
            </w:r>
          </w:p>
        </w:tc>
        <w:tc>
          <w:tcPr>
            <w:tcW w:w="1649"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single" w:sz="4" w:space="0" w:color="000000"/>
            </w:tcBorders>
          </w:tcPr>
          <w:p>
            <w:pPr/>
          </w:p>
        </w:tc>
        <w:tc>
          <w:tcPr>
            <w:tcW w:w="1625"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20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592"/>
        <w:gridCol w:w="1274"/>
        <w:gridCol w:w="1558"/>
        <w:gridCol w:w="4678"/>
        <w:gridCol w:w="1649"/>
        <w:gridCol w:w="1642"/>
        <w:gridCol w:w="1625"/>
      </w:tblGrid>
      <w:tr>
        <w:trPr>
          <w:trHeight w:val="377" w:hRule="exact"/>
        </w:trPr>
        <w:tc>
          <w:tcPr>
            <w:tcW w:w="1592"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1558" w:type="dxa"/>
            <w:tcBorders>
              <w:top w:val="single" w:sz="15" w:space="0" w:color="000000"/>
              <w:left w:val="single" w:sz="4" w:space="0" w:color="000000"/>
              <w:bottom w:val="single" w:sz="4" w:space="0" w:color="000000"/>
              <w:right w:val="single" w:sz="4" w:space="0" w:color="000000"/>
            </w:tcBorders>
          </w:tcPr>
          <w:p>
            <w:pPr/>
          </w:p>
        </w:tc>
        <w:tc>
          <w:tcPr>
            <w:tcW w:w="467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r>
              <w:rPr>
                <w:rFonts w:ascii="Times New Roman" w:hAnsi="Times New Roman" w:cs="Times New Roman" w:eastAsia="Times New Roman" w:hint="default"/>
                <w:sz w:val="18"/>
                <w:szCs w:val="18"/>
              </w:rPr>
              <w:t>"</w:t>
            </w:r>
          </w:p>
        </w:tc>
        <w:tc>
          <w:tcPr>
            <w:tcW w:w="1649" w:type="dxa"/>
            <w:tcBorders>
              <w:top w:val="single" w:sz="15" w:space="0" w:color="000000"/>
              <w:left w:val="single" w:sz="4" w:space="0" w:color="000000"/>
              <w:bottom w:val="single" w:sz="4" w:space="0" w:color="000000"/>
              <w:right w:val="single" w:sz="4" w:space="0" w:color="000000"/>
            </w:tcBorders>
          </w:tcPr>
          <w:p>
            <w:pPr/>
          </w:p>
        </w:tc>
        <w:tc>
          <w:tcPr>
            <w:tcW w:w="1642" w:type="dxa"/>
            <w:tcBorders>
              <w:top w:val="single" w:sz="15" w:space="0" w:color="000000"/>
              <w:left w:val="single" w:sz="4" w:space="0" w:color="000000"/>
              <w:bottom w:val="single" w:sz="4" w:space="0" w:color="000000"/>
              <w:right w:val="single" w:sz="4" w:space="0" w:color="000000"/>
            </w:tcBorders>
          </w:tcPr>
          <w:p>
            <w:pPr/>
          </w:p>
        </w:tc>
        <w:tc>
          <w:tcPr>
            <w:tcW w:w="1625" w:type="dxa"/>
            <w:tcBorders>
              <w:top w:val="single" w:sz="15"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678"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17"/>
              <w:jc w:val="left"/>
              <w:rPr>
                <w:rFonts w:ascii="宋体" w:hAnsi="宋体" w:cs="宋体" w:eastAsia="宋体" w:hint="default"/>
                <w:sz w:val="18"/>
                <w:szCs w:val="18"/>
              </w:rPr>
            </w:pPr>
            <w:r>
              <w:rPr>
                <w:rFonts w:ascii="宋体" w:hAnsi="宋体" w:cs="宋体" w:eastAsia="宋体" w:hint="default"/>
                <w:sz w:val="18"/>
                <w:szCs w:val="18"/>
              </w:rPr>
              <w:t>其他对公司中小股 东所作承诺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678"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242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160" w:left="1300" w:right="1280"/>
        </w:sectPr>
      </w:pPr>
    </w:p>
    <w:p>
      <w:pPr>
        <w:spacing w:line="240" w:lineRule="auto" w:before="9"/>
        <w:rPr>
          <w:rFonts w:ascii="Times New Roman" w:hAnsi="Times New Roman" w:cs="Times New Roman" w:eastAsia="Times New Roman" w:hint="default"/>
          <w:sz w:val="23"/>
          <w:szCs w:val="23"/>
        </w:rPr>
      </w:pPr>
    </w:p>
    <w:p>
      <w:pPr>
        <w:pStyle w:val="Heading4"/>
        <w:spacing w:line="314" w:lineRule="exact" w:before="30"/>
        <w:ind w:right="967"/>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26"/>
        </w:rPr>
        <w:t> </w:t>
      </w:r>
      <w:r>
        <w:rPr>
          <w:spacing w:val="26"/>
        </w:rPr>
      </w:r>
      <w:r>
        <w:rPr/>
        <w:t>其原因做出说明</w:t>
      </w:r>
      <w:r>
        <w:rPr>
          <w:b w:val="0"/>
          <w:bCs w:val="0"/>
        </w:rPr>
      </w:r>
    </w:p>
    <w:p>
      <w:pPr>
        <w:spacing w:line="240" w:lineRule="auto" w:before="11"/>
        <w:rPr>
          <w:rFonts w:ascii="Microsoft JhengHei" w:hAnsi="Microsoft JhengHei" w:cs="Microsoft JhengHei" w:eastAsia="Microsoft JhengHei" w:hint="default"/>
          <w:b/>
          <w:bCs/>
          <w:sz w:val="18"/>
          <w:szCs w:val="18"/>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both"/>
        <w:rPr>
          <w:b w:val="0"/>
          <w:bCs w:val="0"/>
        </w:rPr>
      </w:pPr>
      <w:r>
        <w:rPr/>
        <w:t>四、控股股东及其关联方对上市公司的非经营性占用资金情况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38" w:lineRule="auto"/>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10"/>
        <w:rPr>
          <w:rFonts w:ascii="宋体" w:hAnsi="宋体" w:cs="宋体" w:eastAsia="宋体" w:hint="default"/>
          <w:sz w:val="13"/>
          <w:szCs w:val="13"/>
        </w:rPr>
      </w:pPr>
    </w:p>
    <w:p>
      <w:pPr>
        <w:pStyle w:val="Heading2"/>
        <w:spacing w:line="240" w:lineRule="auto"/>
        <w:ind w:right="0"/>
        <w:jc w:val="both"/>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both"/>
        <w:rPr>
          <w:b w:val="0"/>
          <w:bCs w:val="0"/>
        </w:rPr>
      </w:pPr>
      <w:r>
        <w:rPr/>
        <w:t>六、与上年度财务报告相比，会计政策、会计估计和核算方法发生变化的情况说明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40"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会计政策变更</w:t>
      </w:r>
    </w:p>
    <w:p>
      <w:pPr>
        <w:pStyle w:val="BodyText"/>
        <w:spacing w:line="300" w:lineRule="auto" w:before="1"/>
        <w:ind w:right="1034" w:firstLine="360"/>
        <w:jc w:val="left"/>
      </w:pPr>
      <w:r>
        <w:rPr>
          <w:rFonts w:ascii="Times New Roman" w:hAnsi="Times New Roman" w:cs="Times New Roman" w:eastAsia="Times New Roman" w:hint="default"/>
        </w:rPr>
        <w:t>1</w:t>
      </w:r>
      <w:r>
        <w:rPr/>
        <w:t>、财政部于</w:t>
      </w:r>
      <w:r>
        <w:rPr>
          <w:rFonts w:ascii="Times New Roman" w:hAnsi="Times New Roman" w:cs="Times New Roman" w:eastAsia="Times New Roman" w:hint="default"/>
        </w:rPr>
        <w:t>2017</w:t>
      </w:r>
      <w:r>
        <w:rPr/>
        <w:t>年颁布了修订后的《企业会计准则第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[2017]7</w:t>
      </w:r>
      <w:r>
        <w:rPr/>
        <w:t>号</w:t>
      </w:r>
      <w:r>
        <w:rPr>
          <w:rFonts w:ascii="Times New Roman" w:hAnsi="Times New Roman" w:cs="Times New Roman" w:eastAsia="Times New Roman" w:hint="default"/>
        </w:rPr>
        <w:t>)</w:t>
      </w:r>
      <w:r>
        <w:rPr/>
        <w:t>、《企业会计准 则第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[2017]8</w:t>
      </w:r>
      <w:r>
        <w:rPr/>
        <w:t>号</w:t>
      </w:r>
      <w:r>
        <w:rPr>
          <w:rFonts w:ascii="Times New Roman" w:hAnsi="Times New Roman" w:cs="Times New Roman" w:eastAsia="Times New Roman" w:hint="default"/>
        </w:rPr>
        <w:t>)</w:t>
      </w:r>
      <w:r>
        <w:rPr/>
        <w:t>、《企业会计准则第</w:t>
      </w:r>
      <w:r>
        <w:rPr>
          <w:rFonts w:ascii="Times New Roman" w:hAnsi="Times New Roman" w:cs="Times New Roman" w:eastAsia="Times New Roman" w:hint="default"/>
        </w:rPr>
        <w:t>24</w:t>
      </w:r>
      <w:r>
        <w:rPr/>
        <w:t>号</w:t>
      </w:r>
      <w:r>
        <w:rPr>
          <w:rFonts w:ascii="Times New Roman" w:hAnsi="Times New Roman" w:cs="Times New Roman" w:eastAsia="Times New Roman" w:hint="default"/>
        </w:rPr>
        <w:t>——</w:t>
      </w:r>
      <w:r>
        <w:rPr/>
        <w:t>套期会计》</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[2017]9</w:t>
      </w:r>
      <w:r>
        <w:rPr/>
        <w:t>号</w:t>
      </w:r>
      <w:r>
        <w:rPr>
          <w:rFonts w:ascii="Times New Roman" w:hAnsi="Times New Roman" w:cs="Times New Roman" w:eastAsia="Times New Roman" w:hint="default"/>
        </w:rPr>
        <w:t>)</w:t>
      </w:r>
      <w:r>
        <w:rPr/>
        <w:t>及《企业会计准则第 </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[2017]14</w:t>
      </w:r>
      <w:r>
        <w:rPr/>
        <w:t>号</w:t>
      </w:r>
      <w:r>
        <w:rPr>
          <w:rFonts w:ascii="Times New Roman" w:hAnsi="Times New Roman" w:cs="Times New Roman" w:eastAsia="Times New Roman" w:hint="default"/>
        </w:rPr>
        <w:t>)</w:t>
      </w:r>
      <w:r>
        <w:rPr/>
        <w:t>，并要求境内上市公司自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日起施行。根据新金融工具准则中衔接规定 </w:t>
      </w:r>
      <w:r>
        <w:rPr>
          <w:spacing w:val="-2"/>
        </w:rPr>
        <w:t>相关要求，无需对比较财务报表数据进行调整，本次会计政策变更不对公司</w:t>
      </w:r>
      <w:r>
        <w:rPr>
          <w:rFonts w:ascii="Times New Roman" w:hAnsi="Times New Roman" w:cs="Times New Roman" w:eastAsia="Times New Roman" w:hint="default"/>
          <w:spacing w:val="-2"/>
        </w:rPr>
        <w:t>2018</w:t>
      </w:r>
      <w:r>
        <w:rPr>
          <w:spacing w:val="-2"/>
        </w:rPr>
        <w:t>年度的财务状况、经营成果产生影响；同时</w:t>
      </w:r>
      <w:r>
        <w:rPr>
          <w:spacing w:val="-61"/>
        </w:rPr>
        <w:t> </w:t>
      </w:r>
      <w:r>
        <w:rPr>
          <w:spacing w:val="-61"/>
        </w:rPr>
      </w:r>
      <w:r>
        <w:rPr/>
        <w:t>衔接规定于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日之前的金融工具确认和计量与新金融工具准则要求不一致的，对金融工具的分类和计量（含减值） 进行追溯调整，将金融工具原账面价值和在新金融工具准则施行日（即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日）的新账面价值之间的差额计入</w:t>
      </w:r>
      <w:r>
        <w:rPr>
          <w:rFonts w:ascii="Times New Roman" w:hAnsi="Times New Roman" w:cs="Times New Roman" w:eastAsia="Times New Roman" w:hint="default"/>
        </w:rPr>
        <w:t>2019 </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日的留存收益或其他综合收益。本次公司会计政策变更对公司</w:t>
      </w:r>
      <w:r>
        <w:rPr>
          <w:rFonts w:ascii="宋体" w:hAnsi="宋体" w:cs="宋体" w:eastAsia="宋体" w:hint="default"/>
          <w:spacing w:val="-2"/>
        </w:rPr>
        <w:t>2019</w:t>
      </w:r>
      <w:r>
        <w:rPr>
          <w:spacing w:val="-2"/>
        </w:rPr>
        <w:t>年财务报表年初数产生的影响详见</w:t>
      </w:r>
      <w:r>
        <w:rPr>
          <w:rFonts w:ascii="宋体" w:hAnsi="宋体" w:cs="宋体" w:eastAsia="宋体" w:hint="default"/>
          <w:spacing w:val="-2"/>
        </w:rPr>
        <w:t>2019</w:t>
      </w:r>
      <w:r>
        <w:rPr>
          <w:spacing w:val="-2"/>
        </w:rPr>
        <w:t>年年度报告</w:t>
      </w:r>
      <w:r>
        <w:rPr>
          <w:spacing w:val="-59"/>
        </w:rPr>
        <w:t> </w:t>
      </w:r>
      <w:r>
        <w:rPr>
          <w:spacing w:val="-59"/>
        </w:rPr>
      </w:r>
      <w:r>
        <w:rPr/>
        <w:t>第十二节五、</w:t>
      </w:r>
      <w:r>
        <w:rPr>
          <w:rFonts w:ascii="宋体" w:hAnsi="宋体" w:cs="宋体" w:eastAsia="宋体" w:hint="default"/>
        </w:rPr>
        <w:t>44</w:t>
      </w:r>
      <w:r>
        <w:rPr/>
        <w:t>、（</w:t>
      </w:r>
      <w:r>
        <w:rPr>
          <w:rFonts w:ascii="宋体" w:hAnsi="宋体" w:cs="宋体" w:eastAsia="宋体" w:hint="default"/>
        </w:rPr>
        <w:t>3</w:t>
      </w:r>
      <w:r>
        <w:rPr/>
        <w:t>）之说明。</w:t>
      </w:r>
    </w:p>
    <w:p>
      <w:pPr>
        <w:pStyle w:val="BodyText"/>
        <w:spacing w:line="307" w:lineRule="auto" w:before="31"/>
        <w:ind w:right="1131"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日，财政部发布了《关于修订印发</w:t>
      </w:r>
      <w:r>
        <w:rPr>
          <w:rFonts w:ascii="Times New Roman" w:hAnsi="Times New Roman" w:cs="Times New Roman" w:eastAsia="Times New Roman" w:hint="default"/>
        </w:rPr>
        <w:t>2019</w:t>
      </w:r>
      <w:r>
        <w:rPr/>
        <w:t>年度一般企业财务报表格式的通知》（财会</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rFonts w:ascii="Times New Roman" w:hAnsi="Times New Roman" w:cs="Times New Roman" w:eastAsia="Times New Roman" w:hint="default"/>
        </w:rPr>
        <w:t>6</w:t>
      </w:r>
      <w:r>
        <w:rPr/>
        <w:t>号），对一 </w:t>
      </w:r>
      <w:r>
        <w:rPr>
          <w:spacing w:val="-2"/>
        </w:rPr>
        <w:t>般企业财务报表格式进行了修订，要求执行企业会计准则的非金融企业按照企业会计准则和本通知的要求编制</w:t>
      </w:r>
      <w:r>
        <w:rPr>
          <w:rFonts w:ascii="Times New Roman" w:hAnsi="Times New Roman" w:cs="Times New Roman" w:eastAsia="Times New Roman" w:hint="default"/>
          <w:spacing w:val="-2"/>
        </w:rPr>
        <w:t>2019</w:t>
      </w:r>
      <w:r>
        <w:rPr>
          <w:spacing w:val="-2"/>
        </w:rPr>
        <w:t>年度中期</w:t>
      </w:r>
      <w:r>
        <w:rPr>
          <w:spacing w:val="-61"/>
        </w:rPr>
        <w:t> </w:t>
      </w:r>
      <w:r>
        <w:rPr>
          <w:spacing w:val="-61"/>
        </w:rPr>
      </w:r>
      <w:r>
        <w:rPr>
          <w:spacing w:val="-2"/>
        </w:rPr>
        <w:t>财务报表和年度财务报表及以后期间的财务报表。本次公司会计政策变更仅对财务报表格式和部分科目列示产生影响，对公</w:t>
      </w:r>
      <w:r>
        <w:rPr>
          <w:spacing w:val="-64"/>
        </w:rPr>
        <w:t> </w:t>
      </w:r>
      <w:r>
        <w:rPr>
          <w:spacing w:val="-64"/>
        </w:rPr>
      </w:r>
      <w:r>
        <w:rPr/>
        <w:t>司财务状况、经营成果及现金流量没有影响。</w:t>
      </w:r>
    </w:p>
    <w:p>
      <w:pPr>
        <w:pStyle w:val="BodyText"/>
        <w:spacing w:line="240" w:lineRule="auto" w:before="26"/>
        <w:ind w:left="513" w:right="967"/>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日财政部分别发布修订的《企业会计准则第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非货币性资产交换》、《企业会计准则第</w:t>
      </w:r>
    </w:p>
    <w:p>
      <w:pPr>
        <w:pStyle w:val="BodyText"/>
        <w:spacing w:line="300" w:lineRule="auto" w:before="63"/>
        <w:ind w:right="1131"/>
        <w:jc w:val="both"/>
      </w:pP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债务重组》，要求在所有执行企业会计准则的企业范围内施行。根据准则的规定企业对</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日至准则施行日</w:t>
      </w:r>
      <w:r>
        <w:rPr>
          <w:spacing w:val="-60"/>
        </w:rPr>
        <w:t> </w:t>
      </w:r>
      <w:r>
        <w:rPr>
          <w:spacing w:val="-60"/>
        </w:rPr>
      </w:r>
      <w:r>
        <w:rPr>
          <w:spacing w:val="-2"/>
        </w:rPr>
        <w:t>之间发生的非货币性资产交换及债务重组，应根据准则进行调整。企业对</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日之前发生的非货币性资产交换及债务</w:t>
      </w:r>
      <w:r>
        <w:rPr>
          <w:spacing w:val="-60"/>
        </w:rPr>
        <w:t> </w:t>
      </w:r>
      <w:r>
        <w:rPr>
          <w:spacing w:val="-60"/>
        </w:rPr>
      </w:r>
      <w:r>
        <w:rPr/>
        <w:t>重组，不需要按照准则的规定进行追溯调整。根据新准则规定公司无需对财务报表相关项目及金额进行调整。</w:t>
      </w:r>
    </w:p>
    <w:p>
      <w:pPr>
        <w:pStyle w:val="BodyText"/>
        <w:spacing w:line="307" w:lineRule="auto" w:before="31"/>
        <w:ind w:right="1131" w:firstLine="360"/>
        <w:jc w:val="both"/>
      </w:pPr>
      <w:r>
        <w:rPr>
          <w:rFonts w:ascii="Times New Roman" w:hAnsi="Times New Roman" w:cs="Times New Roman" w:eastAsia="Times New Roman" w:hint="default"/>
        </w:rPr>
        <w:t>4</w:t>
      </w:r>
      <w:r>
        <w:rPr/>
        <w:t>、财政部于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日发布了《关于修订印发合并财务报表格式（</w:t>
      </w:r>
      <w:r>
        <w:rPr>
          <w:rFonts w:ascii="Times New Roman" w:hAnsi="Times New Roman" w:cs="Times New Roman" w:eastAsia="Times New Roman" w:hint="default"/>
        </w:rPr>
        <w:t>2019</w:t>
      </w:r>
      <w:r>
        <w:rPr/>
        <w:t>版）的通知》（财会 </w:t>
      </w:r>
      <w:r>
        <w:rPr>
          <w:rFonts w:ascii="Times New Roman" w:hAnsi="Times New Roman" w:cs="Times New Roman" w:eastAsia="Times New Roman" w:hint="default"/>
        </w:rPr>
        <w:t>[2019]</w:t>
      </w:r>
      <w:r>
        <w:rPr>
          <w:rFonts w:ascii="Times New Roman" w:hAnsi="Times New Roman" w:cs="Times New Roman" w:eastAsia="Times New Roman" w:hint="default"/>
          <w:spacing w:val="-24"/>
        </w:rPr>
        <w:t> </w:t>
      </w:r>
      <w:r>
        <w:rPr>
          <w:rFonts w:ascii="Times New Roman" w:hAnsi="Times New Roman" w:cs="Times New Roman" w:eastAsia="Times New Roman" w:hint="default"/>
        </w:rPr>
        <w:t>16</w:t>
      </w:r>
      <w:r>
        <w:rPr/>
        <w:t>号），对企 </w:t>
      </w:r>
      <w:r>
        <w:rPr>
          <w:spacing w:val="-2"/>
        </w:rPr>
        <w:t>业合并财务报表格式进行了修订，要求执行企业会计准则的企业按照企业会计准则和该通知的要求编制</w:t>
      </w:r>
      <w:r>
        <w:rPr>
          <w:rFonts w:ascii="Times New Roman" w:hAnsi="Times New Roman" w:cs="Times New Roman" w:eastAsia="Times New Roman" w:hint="default"/>
          <w:spacing w:val="-2"/>
        </w:rPr>
        <w:t>2019</w:t>
      </w:r>
      <w:r>
        <w:rPr>
          <w:spacing w:val="-2"/>
        </w:rPr>
        <w:t>年度合并财务报</w:t>
      </w:r>
      <w:r>
        <w:rPr>
          <w:spacing w:val="-61"/>
        </w:rPr>
        <w:t> </w:t>
      </w:r>
      <w:r>
        <w:rPr>
          <w:spacing w:val="-61"/>
        </w:rPr>
      </w:r>
      <w:r>
        <w:rPr>
          <w:spacing w:val="-2"/>
        </w:rPr>
        <w:t>表及以后期间的合并财务报表。本次公司会计政策变更仅对财务报表格式和部分科目列示产生影响，不涉及对公司以前年度</w:t>
      </w:r>
      <w:r>
        <w:rPr>
          <w:spacing w:val="-64"/>
        </w:rPr>
        <w:t> </w:t>
      </w:r>
      <w:r>
        <w:rPr>
          <w:spacing w:val="-64"/>
        </w:rPr>
      </w:r>
      <w:r>
        <w:rPr/>
        <w:t>损益的追溯调整，不影响公司净资产、净利润等相关财务指标。</w:t>
      </w:r>
    </w:p>
    <w:p>
      <w:pPr>
        <w:pStyle w:val="BodyText"/>
        <w:spacing w:line="316" w:lineRule="auto" w:before="26"/>
        <w:ind w:left="441" w:right="1195" w:hanging="289"/>
        <w:jc w:val="left"/>
      </w:pPr>
      <w:r>
        <w:rPr/>
        <w:t>会计估计变更 根据深圳证券交易所《中小企业板信息披露业务备忘录第</w:t>
      </w:r>
      <w:r>
        <w:rPr>
          <w:rFonts w:ascii="宋体" w:hAnsi="宋体" w:cs="宋体" w:eastAsia="宋体" w:hint="default"/>
        </w:rPr>
        <w:t>2</w:t>
      </w:r>
      <w:r>
        <w:rPr/>
        <w:t>号：定期报告披露相关事项之一、定期报告披露的一般要求</w:t>
      </w:r>
    </w:p>
    <w:p>
      <w:pPr>
        <w:pStyle w:val="BodyText"/>
        <w:spacing w:line="319" w:lineRule="auto" w:before="19"/>
        <w:ind w:right="1129"/>
        <w:jc w:val="both"/>
      </w:pPr>
      <w:r>
        <w:rPr>
          <w:spacing w:val="-2"/>
        </w:rPr>
        <w:t>（七）会计政策、会计估计变更和会计差错更正》要求，按照《企业会计准则第</w:t>
      </w:r>
      <w:r>
        <w:rPr>
          <w:rFonts w:ascii="宋体" w:hAnsi="宋体" w:cs="宋体" w:eastAsia="宋体" w:hint="default"/>
          <w:spacing w:val="-2"/>
        </w:rPr>
        <w:t>28</w:t>
      </w:r>
      <w:r>
        <w:rPr>
          <w:spacing w:val="-2"/>
        </w:rPr>
        <w:t>号——会计政策、会计估计变更和差错更</w:t>
      </w:r>
      <w:r>
        <w:rPr>
          <w:spacing w:val="-66"/>
        </w:rPr>
        <w:t> </w:t>
      </w:r>
      <w:r>
        <w:rPr>
          <w:spacing w:val="-66"/>
        </w:rPr>
      </w:r>
      <w:r>
        <w:rPr>
          <w:spacing w:val="-2"/>
        </w:rPr>
        <w:t>正》的规定，为使公司固定资产折旧年限与实际使用寿命更接近，从而能准确地反映公司固定资产的折旧情况，公允、恰当</w:t>
      </w:r>
      <w:r>
        <w:rPr>
          <w:spacing w:val="-67"/>
        </w:rPr>
        <w:t> </w:t>
      </w:r>
      <w:r>
        <w:rPr>
          <w:spacing w:val="-67"/>
        </w:rPr>
      </w:r>
      <w:r>
        <w:rPr>
          <w:spacing w:val="-2"/>
        </w:rPr>
        <w:t>地反映公司的财务状况和经营成果，公司拟变更房屋及建筑物的折旧年限。基于</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月末公司固定资产情况，经公司测</w:t>
      </w:r>
      <w:r>
        <w:rPr>
          <w:spacing w:val="-59"/>
        </w:rPr>
        <w:t> </w:t>
      </w:r>
      <w:r>
        <w:rPr>
          <w:spacing w:val="-59"/>
        </w:rPr>
      </w:r>
      <w:r>
        <w:rPr>
          <w:spacing w:val="-2"/>
        </w:rPr>
        <w:t>算，本次会计估计变更影响</w:t>
      </w:r>
      <w:r>
        <w:rPr>
          <w:rFonts w:ascii="宋体" w:hAnsi="宋体" w:cs="宋体" w:eastAsia="宋体" w:hint="default"/>
          <w:spacing w:val="-2"/>
        </w:rPr>
        <w:t>2019</w:t>
      </w:r>
      <w:r>
        <w:rPr>
          <w:spacing w:val="-2"/>
        </w:rPr>
        <w:t>年度少计提折旧</w:t>
      </w:r>
      <w:r>
        <w:rPr>
          <w:rFonts w:ascii="宋体" w:hAnsi="宋体" w:cs="宋体" w:eastAsia="宋体" w:hint="default"/>
          <w:spacing w:val="-2"/>
        </w:rPr>
        <w:t>320.83</w:t>
      </w:r>
      <w:r>
        <w:rPr>
          <w:spacing w:val="-2"/>
        </w:rPr>
        <w:t>万元，扣除企业所得税的影响后，增加归属于母公司所有者的净利润</w:t>
      </w:r>
    </w:p>
    <w:p>
      <w:pPr>
        <w:spacing w:after="0" w:line="319" w:lineRule="auto"/>
        <w:jc w:val="both"/>
        <w:sectPr>
          <w:headerReference w:type="default" r:id="rId17"/>
          <w:footerReference w:type="default" r:id="rId18"/>
          <w:pgSz w:w="11910" w:h="16840"/>
          <w:pgMar w:header="877" w:footer="979" w:top="1100" w:bottom="1160" w:left="980" w:right="0"/>
          <w:pgNumType w:start="73"/>
        </w:sectPr>
      </w:pPr>
    </w:p>
    <w:p>
      <w:pPr>
        <w:spacing w:line="240" w:lineRule="auto" w:before="11"/>
        <w:rPr>
          <w:rFonts w:ascii="宋体" w:hAnsi="宋体" w:cs="宋体" w:eastAsia="宋体" w:hint="default"/>
          <w:sz w:val="21"/>
          <w:szCs w:val="21"/>
        </w:rPr>
      </w:pPr>
    </w:p>
    <w:p>
      <w:pPr>
        <w:pStyle w:val="BodyText"/>
        <w:spacing w:line="240" w:lineRule="auto" w:before="44"/>
        <w:ind w:right="967"/>
        <w:jc w:val="left"/>
      </w:pPr>
      <w:r>
        <w:rPr>
          <w:rFonts w:ascii="宋体" w:hAnsi="宋体" w:cs="宋体" w:eastAsia="宋体" w:hint="default"/>
        </w:rPr>
        <w:t>256.40</w:t>
      </w:r>
      <w:r>
        <w:rPr/>
        <w:t>万元。</w:t>
      </w:r>
    </w:p>
    <w:p>
      <w:pPr>
        <w:spacing w:line="240" w:lineRule="auto" w:before="5"/>
        <w:rPr>
          <w:rFonts w:ascii="宋体" w:hAnsi="宋体" w:cs="宋体" w:eastAsia="宋体" w:hint="default"/>
          <w:sz w:val="19"/>
          <w:szCs w:val="19"/>
        </w:rPr>
      </w:pPr>
    </w:p>
    <w:p>
      <w:pPr>
        <w:pStyle w:val="Heading2"/>
        <w:spacing w:line="240" w:lineRule="auto"/>
        <w:ind w:right="967"/>
        <w:jc w:val="left"/>
        <w:rPr>
          <w:b w:val="0"/>
          <w:bCs w:val="0"/>
        </w:rPr>
      </w:pPr>
      <w:r>
        <w:rPr/>
        <w:t>七、报告期内发生重大会计差错更正需追溯重述的情况说明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38" w:lineRule="auto"/>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公司报告期无重大会计差错更正需追溯重述的情况。</w:t>
      </w:r>
    </w:p>
    <w:p>
      <w:pPr>
        <w:spacing w:line="240" w:lineRule="auto" w:before="10"/>
        <w:rPr>
          <w:rFonts w:ascii="宋体" w:hAnsi="宋体" w:cs="宋体" w:eastAsia="宋体" w:hint="default"/>
          <w:sz w:val="13"/>
          <w:szCs w:val="13"/>
        </w:rPr>
      </w:pPr>
    </w:p>
    <w:p>
      <w:pPr>
        <w:pStyle w:val="Heading2"/>
        <w:spacing w:line="240" w:lineRule="auto"/>
        <w:ind w:right="967"/>
        <w:jc w:val="left"/>
        <w:rPr>
          <w:b w:val="0"/>
          <w:bCs w:val="0"/>
        </w:rPr>
      </w:pPr>
      <w:r>
        <w:rPr/>
        <w:t>八、与上年度财务报告相比，合并报表范围发生变化的情况说明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38"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公司报告期无合并报表范围发生变化的情况。</w:t>
      </w:r>
    </w:p>
    <w:p>
      <w:pPr>
        <w:spacing w:line="240" w:lineRule="auto" w:before="11"/>
        <w:rPr>
          <w:rFonts w:ascii="宋体" w:hAnsi="宋体" w:cs="宋体" w:eastAsia="宋体" w:hint="default"/>
          <w:sz w:val="13"/>
          <w:szCs w:val="13"/>
        </w:rPr>
      </w:pPr>
    </w:p>
    <w:p>
      <w:pPr>
        <w:pStyle w:val="Heading2"/>
        <w:spacing w:line="240" w:lineRule="auto"/>
        <w:ind w:right="967"/>
        <w:jc w:val="left"/>
        <w:rPr>
          <w:b w:val="0"/>
          <w:bCs w:val="0"/>
        </w:rPr>
      </w:pPr>
      <w:r>
        <w:rPr/>
        <w:t>九、聘任、解聘会计师事务所情况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967"/>
        <w:jc w:val="left"/>
      </w:pPr>
      <w:r>
        <w:rPr/>
        <w:t>现聘任的会计师事务所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185</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赵国梁，龙海燕</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赵国梁连续服务年限为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年，龙海燕连续服务年限为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r>
    </w:tbl>
    <w:p>
      <w:pPr>
        <w:pStyle w:val="BodyText"/>
        <w:spacing w:line="240" w:lineRule="auto" w:before="49"/>
        <w:ind w:right="967"/>
        <w:jc w:val="left"/>
      </w:pPr>
      <w:r>
        <w:rPr/>
        <w:t>当期是否改聘会计师事务所</w:t>
      </w:r>
    </w:p>
    <w:p>
      <w:pPr>
        <w:pStyle w:val="BodyText"/>
        <w:spacing w:line="338" w:lineRule="auto" w:before="117"/>
        <w:ind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3"/>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967"/>
        <w:jc w:val="left"/>
        <w:rPr>
          <w:b w:val="0"/>
          <w:bCs w:val="0"/>
        </w:rPr>
      </w:pPr>
      <w:r>
        <w:rPr/>
        <w:t>十、年度报告披露后面临暂停上市和终止上市情况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967"/>
        <w:jc w:val="left"/>
        <w:rPr>
          <w:b w:val="0"/>
          <w:bCs w:val="0"/>
        </w:rPr>
      </w:pPr>
      <w:r>
        <w:rPr/>
        <w:t>十一、破产重整相关事项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6"/>
        <w:rPr>
          <w:rFonts w:ascii="宋体" w:hAnsi="宋体" w:cs="宋体" w:eastAsia="宋体" w:hint="default"/>
          <w:sz w:val="13"/>
          <w:szCs w:val="13"/>
        </w:rPr>
      </w:pPr>
    </w:p>
    <w:p>
      <w:pPr>
        <w:pStyle w:val="Heading2"/>
        <w:spacing w:line="240" w:lineRule="auto"/>
        <w:ind w:right="967"/>
        <w:jc w:val="left"/>
        <w:rPr>
          <w:b w:val="0"/>
          <w:bCs w:val="0"/>
        </w:rPr>
      </w:pPr>
      <w:r>
        <w:rPr/>
        <w:t>十二、重大诉讼、仲裁事项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59"/>
        <w:gridCol w:w="1070"/>
        <w:gridCol w:w="1249"/>
        <w:gridCol w:w="941"/>
        <w:gridCol w:w="1373"/>
        <w:gridCol w:w="1248"/>
        <w:gridCol w:w="1064"/>
        <w:gridCol w:w="1066"/>
      </w:tblGrid>
      <w:tr>
        <w:trPr>
          <w:trHeight w:val="714"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685" w:right="83"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0" w:right="19" w:hanging="327"/>
              <w:jc w:val="left"/>
              <w:rPr>
                <w:rFonts w:ascii="宋体" w:hAnsi="宋体" w:cs="宋体" w:eastAsia="宋体" w:hint="default"/>
                <w:sz w:val="18"/>
                <w:szCs w:val="18"/>
              </w:rPr>
            </w:pPr>
            <w:r>
              <w:rPr>
                <w:rFonts w:ascii="宋体" w:hAnsi="宋体" w:cs="宋体" w:eastAsia="宋体" w:hint="default"/>
                <w:spacing w:val="-11"/>
                <w:sz w:val="18"/>
                <w:szCs w:val="18"/>
              </w:rPr>
              <w:t>涉案金额（万</w:t>
            </w:r>
            <w:r>
              <w:rPr>
                <w:rFonts w:ascii="宋体" w:hAnsi="宋体" w:cs="宋体" w:eastAsia="宋体" w:hint="default"/>
                <w:sz w:val="18"/>
                <w:szCs w:val="18"/>
              </w:rPr>
              <w:t> 元）</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77"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85" w:right="43"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2" w:right="79" w:hanging="152"/>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70" w:right="107"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79" w:top="1100" w:bottom="1160" w:left="98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BodyText"/>
        <w:spacing w:line="316" w:lineRule="auto"/>
        <w:ind w:left="181" w:right="53"/>
        <w:jc w:val="left"/>
      </w:pPr>
      <w:r>
        <w:rPr/>
        <w:t>公司诉北京聚利科 技股份有限公司</w:t>
      </w:r>
    </w:p>
    <w:p>
      <w:pPr>
        <w:pStyle w:val="BodyText"/>
        <w:spacing w:line="309" w:lineRule="auto" w:before="19"/>
        <w:ind w:left="181" w:right="-12"/>
        <w:jc w:val="left"/>
      </w:pPr>
      <w:r>
        <w:rPr>
          <w:spacing w:val="-1"/>
        </w:rPr>
        <w:t>（简称</w:t>
      </w:r>
      <w:r>
        <w:rPr>
          <w:rFonts w:ascii="Times New Roman" w:hAnsi="Times New Roman" w:cs="Times New Roman" w:eastAsia="Times New Roman" w:hint="default"/>
          <w:spacing w:val="-1"/>
        </w:rPr>
        <w:t>"</w:t>
      </w:r>
      <w:r>
        <w:rPr>
          <w:spacing w:val="-1"/>
        </w:rPr>
        <w:t>聚利科技）</w:t>
      </w:r>
      <w:r>
        <w:rPr>
          <w:spacing w:val="-84"/>
        </w:rPr>
        <w:t> </w:t>
      </w:r>
      <w:r>
        <w:rPr/>
        <w:t>侵害发明专利权纠 纷（涉案专利：第</w:t>
      </w:r>
    </w:p>
    <w:p>
      <w:pPr>
        <w:pStyle w:val="BodyText"/>
        <w:spacing w:line="312" w:lineRule="exact" w:before="5"/>
        <w:ind w:left="181" w:right="-17"/>
        <w:jc w:val="left"/>
      </w:pPr>
      <w:r>
        <w:rPr/>
        <w:br w:type="column"/>
      </w:r>
      <w:r>
        <w:rPr/>
        <w:t>公司不服 北京知识 产权法院 一审判决 和北京市 高级人民 法院二审 </w:t>
      </w:r>
      <w:r>
        <w:rPr>
          <w:spacing w:val="-4"/>
        </w:rPr>
        <w:t>判决，向最</w:t>
      </w:r>
      <w:r>
        <w:rPr>
          <w:spacing w:val="-87"/>
        </w:rPr>
        <w:t> </w:t>
      </w:r>
      <w:r>
        <w:rPr>
          <w:spacing w:val="-87"/>
        </w:rPr>
      </w:r>
      <w:r>
        <w:rPr/>
        <w:t>高人民法 院申请再</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4"/>
          <w:szCs w:val="14"/>
        </w:rPr>
      </w:pPr>
    </w:p>
    <w:p>
      <w:pPr>
        <w:pStyle w:val="BodyText"/>
        <w:spacing w:line="316" w:lineRule="auto"/>
        <w:ind w:left="181" w:right="-17"/>
        <w:jc w:val="left"/>
      </w:pPr>
      <w:r>
        <w:rPr/>
        <w:t>一审及二审案 件受理费合计</w:t>
      </w:r>
    </w:p>
    <w:p>
      <w:pPr>
        <w:pStyle w:val="BodyText"/>
        <w:spacing w:line="240" w:lineRule="auto" w:before="19"/>
        <w:ind w:left="181" w:right="-17"/>
        <w:jc w:val="left"/>
      </w:pPr>
      <w:r>
        <w:rPr>
          <w:rFonts w:ascii="Times New Roman" w:hAnsi="Times New Roman" w:cs="Times New Roman" w:eastAsia="Times New Roman" w:hint="default"/>
        </w:rPr>
        <w:t>108.36 </w:t>
      </w:r>
      <w:r>
        <w:rPr/>
        <w:t>万元由</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18"/>
        <w:ind w:left="181" w:right="0"/>
        <w:jc w:val="both"/>
      </w:pPr>
      <w:r>
        <w:rPr/>
        <w:t>巨潮资讯网</w:t>
      </w:r>
    </w:p>
    <w:p>
      <w:pPr>
        <w:pStyle w:val="BodyText"/>
        <w:spacing w:line="240" w:lineRule="auto" w:before="76"/>
        <w:ind w:left="181" w:right="0"/>
        <w:jc w:val="both"/>
        <w:rPr>
          <w:rFonts w:ascii="Times New Roman" w:hAnsi="Times New Roman" w:cs="Times New Roman" w:eastAsia="Times New Roman" w:hint="default"/>
        </w:rPr>
      </w:pPr>
      <w:r>
        <w:rPr/>
        <w:t>（</w:t>
      </w:r>
      <w:hyperlink r:id="rId19">
        <w:r>
          <w:rPr>
            <w:rFonts w:ascii="Times New Roman" w:hAnsi="Times New Roman" w:cs="Times New Roman" w:eastAsia="Times New Roman" w:hint="default"/>
          </w:rPr>
          <w:t>http://www</w:t>
        </w:r>
      </w:hyperlink>
    </w:p>
    <w:p>
      <w:pPr>
        <w:pStyle w:val="BodyText"/>
        <w:spacing w:line="307" w:lineRule="auto" w:before="105"/>
        <w:ind w:left="181" w:right="1157"/>
        <w:jc w:val="both"/>
      </w:pPr>
      <w:r>
        <w:rPr>
          <w:rFonts w:ascii="Times New Roman" w:hAnsi="Times New Roman" w:cs="Times New Roman" w:eastAsia="Times New Roman" w:hint="default"/>
        </w:rPr>
        <w:t>.cninfo.com.c </w:t>
      </w:r>
      <w:r>
        <w:rPr>
          <w:rFonts w:ascii="Times New Roman" w:hAnsi="Times New Roman" w:cs="Times New Roman" w:eastAsia="Times New Roman" w:hint="default"/>
          <w:spacing w:val="-6"/>
        </w:rPr>
        <w:t>n)</w:t>
      </w:r>
      <w:r>
        <w:rPr>
          <w:spacing w:val="-6"/>
        </w:rPr>
        <w:t>《关于重大</w:t>
      </w:r>
      <w:r>
        <w:rPr>
          <w:spacing w:val="-88"/>
        </w:rPr>
        <w:t> </w:t>
      </w:r>
      <w:r>
        <w:rPr/>
        <w:t>诉讼的公告》</w:t>
      </w:r>
    </w:p>
    <w:p>
      <w:pPr>
        <w:pStyle w:val="BodyText"/>
        <w:spacing w:line="240" w:lineRule="auto" w:before="26"/>
        <w:ind w:left="181" w:right="0"/>
        <w:jc w:val="both"/>
      </w:pPr>
      <w:r>
        <w:rPr/>
        <w:t>（公告编号：</w:t>
      </w:r>
    </w:p>
    <w:p>
      <w:pPr>
        <w:pStyle w:val="BodyText"/>
        <w:spacing w:line="240" w:lineRule="auto" w:before="76"/>
        <w:ind w:left="181" w:right="0"/>
        <w:jc w:val="both"/>
      </w:pPr>
      <w:r>
        <w:rPr>
          <w:rFonts w:ascii="Times New Roman" w:hAnsi="Times New Roman" w:cs="Times New Roman" w:eastAsia="Times New Roman" w:hint="default"/>
          <w:spacing w:val="-9"/>
        </w:rPr>
        <w:t>2017-031</w:t>
      </w:r>
      <w:r>
        <w:rPr>
          <w:spacing w:val="-9"/>
        </w:rPr>
        <w:t>）及</w:t>
      </w:r>
      <w:r>
        <w:rPr/>
      </w:r>
    </w:p>
    <w:p>
      <w:pPr>
        <w:spacing w:after="0" w:line="240" w:lineRule="auto"/>
        <w:jc w:val="both"/>
        <w:sectPr>
          <w:type w:val="continuous"/>
          <w:pgSz w:w="11910" w:h="16840"/>
          <w:pgMar w:top="1060" w:bottom="1160" w:left="980" w:right="0"/>
          <w:cols w:num="4" w:equalWidth="0">
            <w:col w:w="1695" w:space="2185"/>
            <w:col w:w="1065" w:space="1249"/>
            <w:col w:w="1265" w:space="1047"/>
            <w:col w:w="2424"/>
          </w:cols>
        </w:sectPr>
      </w:pPr>
    </w:p>
    <w:p>
      <w:pPr>
        <w:pStyle w:val="BodyText"/>
        <w:spacing w:line="133" w:lineRule="exact"/>
        <w:ind w:left="181" w:right="-15"/>
        <w:jc w:val="left"/>
      </w:pPr>
      <w:r>
        <w:rPr>
          <w:rFonts w:ascii="Times New Roman" w:hAnsi="Times New Roman" w:cs="Times New Roman" w:eastAsia="Times New Roman" w:hint="default"/>
        </w:rPr>
        <w:t>201010105622.2</w:t>
      </w:r>
      <w:r>
        <w:rPr>
          <w:rFonts w:ascii="Times New Roman" w:hAnsi="Times New Roman" w:cs="Times New Roman" w:eastAsia="Times New Roman" w:hint="default"/>
          <w:spacing w:val="-2"/>
        </w:rPr>
        <w:t> </w:t>
      </w:r>
      <w:r>
        <w:rPr/>
        <w:t>号</w:t>
      </w:r>
    </w:p>
    <w:p>
      <w:pPr>
        <w:pStyle w:val="BodyText"/>
        <w:spacing w:line="212" w:lineRule="exact" w:before="39"/>
        <w:ind w:left="181" w:right="-18"/>
        <w:jc w:val="left"/>
      </w:pPr>
      <w:r>
        <w:rPr/>
        <w:br w:type="column"/>
      </w:r>
      <w:r>
        <w:rPr>
          <w:rFonts w:ascii="Times New Roman" w:hAnsi="Times New Roman" w:cs="Times New Roman" w:eastAsia="Times New Roman" w:hint="default"/>
        </w:rPr>
        <w:t>10,000</w:t>
      </w:r>
      <w:r>
        <w:rPr>
          <w:rFonts w:ascii="Times New Roman" w:hAnsi="Times New Roman" w:cs="Times New Roman" w:eastAsia="Times New Roman" w:hint="default"/>
          <w:spacing w:val="8"/>
        </w:rPr>
        <w:t> </w:t>
      </w:r>
      <w:r>
        <w:rPr/>
        <w:t>否</w:t>
      </w:r>
    </w:p>
    <w:p>
      <w:pPr>
        <w:pStyle w:val="BodyText"/>
        <w:spacing w:line="212" w:lineRule="exact" w:before="39"/>
        <w:ind w:left="181" w:right="-19"/>
        <w:jc w:val="left"/>
      </w:pPr>
      <w:r>
        <w:rPr>
          <w:spacing w:val="-4"/>
        </w:rPr>
        <w:br w:type="column"/>
      </w:r>
      <w:r>
        <w:rPr>
          <w:spacing w:val="-4"/>
        </w:rPr>
        <w:t>审，最高人</w:t>
      </w:r>
      <w:r>
        <w:rPr>
          <w:spacing w:val="-30"/>
        </w:rPr>
        <w:t> </w:t>
      </w:r>
      <w:r>
        <w:rPr/>
        <w:t>再审被驳回</w:t>
      </w:r>
    </w:p>
    <w:p>
      <w:pPr>
        <w:pStyle w:val="BodyText"/>
        <w:spacing w:line="133" w:lineRule="exact"/>
        <w:ind w:left="181" w:right="0"/>
        <w:jc w:val="left"/>
      </w:pPr>
      <w:r>
        <w:rPr>
          <w:spacing w:val="-10"/>
        </w:rPr>
        <w:br w:type="column"/>
      </w:r>
      <w:r>
        <w:rPr>
          <w:spacing w:val="-10"/>
        </w:rPr>
        <w:t>公司负担，已交</w:t>
      </w:r>
      <w:r>
        <w:rPr>
          <w:spacing w:val="-3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w:t>
      </w:r>
      <w:r>
        <w:rPr>
          <w:spacing w:val="-54"/>
        </w:rPr>
        <w:t> </w:t>
      </w:r>
      <w:r>
        <w:rPr>
          <w:rFonts w:ascii="Times New Roman" w:hAnsi="Times New Roman" w:cs="Times New Roman" w:eastAsia="Times New Roman" w:hint="default"/>
        </w:rPr>
        <w:t>07</w:t>
      </w:r>
      <w:r>
        <w:rPr>
          <w:rFonts w:ascii="Times New Roman" w:hAnsi="Times New Roman" w:cs="Times New Roman" w:eastAsia="Times New Roman" w:hint="default"/>
          <w:spacing w:val="-8"/>
        </w:rPr>
        <w:t> </w:t>
      </w:r>
      <w:r>
        <w:rPr/>
        <w:t>月</w:t>
      </w:r>
      <w:r>
        <w:rPr>
          <w:spacing w:val="-38"/>
        </w:rPr>
        <w:t> </w:t>
      </w:r>
      <w:r>
        <w:rPr/>
        <w:t>《关于重大</w:t>
      </w:r>
    </w:p>
    <w:p>
      <w:pPr>
        <w:spacing w:after="0" w:line="133" w:lineRule="exact"/>
        <w:jc w:val="left"/>
        <w:sectPr>
          <w:type w:val="continuous"/>
          <w:pgSz w:w="11910" w:h="16840"/>
          <w:pgMar w:top="1060" w:bottom="1160" w:left="980" w:right="0"/>
          <w:cols w:num="4" w:equalWidth="0">
            <w:col w:w="1625" w:space="456"/>
            <w:col w:w="912" w:space="886"/>
            <w:col w:w="2023" w:space="291"/>
            <w:col w:w="4737"/>
          </w:cols>
        </w:sectPr>
      </w:pPr>
    </w:p>
    <w:p>
      <w:pPr>
        <w:pStyle w:val="BodyText"/>
        <w:spacing w:line="180" w:lineRule="exact"/>
        <w:ind w:left="181" w:right="-12"/>
        <w:jc w:val="left"/>
      </w:pPr>
      <w:r>
        <w:rPr/>
        <w:t>名称为电子自动收</w:t>
      </w:r>
    </w:p>
    <w:p>
      <w:pPr>
        <w:pStyle w:val="BodyText"/>
        <w:spacing w:line="316" w:lineRule="auto" w:before="76"/>
        <w:ind w:left="181" w:right="-12"/>
        <w:jc w:val="left"/>
      </w:pPr>
      <w:r>
        <w:rPr/>
        <w:t>费车载单元的太阳 </w:t>
      </w:r>
      <w:r>
        <w:rPr>
          <w:spacing w:val="-14"/>
        </w:rPr>
        <w:t>能供电电路），请求</w:t>
      </w:r>
    </w:p>
    <w:p>
      <w:pPr>
        <w:pStyle w:val="BodyText"/>
        <w:spacing w:line="240" w:lineRule="auto" w:before="100"/>
        <w:ind w:left="181" w:right="-18"/>
        <w:jc w:val="left"/>
      </w:pPr>
      <w:r>
        <w:rPr/>
        <w:br w:type="column"/>
      </w:r>
      <w:r>
        <w:rPr/>
        <w:t>民法院于</w:t>
      </w:r>
    </w:p>
    <w:p>
      <w:pPr>
        <w:pStyle w:val="BodyText"/>
        <w:spacing w:line="240" w:lineRule="auto" w:before="76"/>
        <w:ind w:left="181" w:right="-18"/>
        <w:jc w:val="left"/>
        <w:rPr>
          <w:rFonts w:ascii="Times New Roman" w:hAnsi="Times New Roman" w:cs="Times New Roman" w:eastAsia="Times New Roman" w:hint="default"/>
        </w:rPr>
      </w:pPr>
      <w:r>
        <w:rPr>
          <w:rFonts w:ascii="Times New Roman" w:hAnsi="Times New Roman" w:cs="Times New Roman" w:eastAsia="Times New Roman" w:hint="default"/>
        </w:rPr>
        <w:t>2018 </w:t>
      </w:r>
      <w:r>
        <w:rPr/>
        <w:t>年</w:t>
      </w:r>
      <w:r>
        <w:rPr>
          <w:spacing w:val="-43"/>
        </w:rPr>
        <w:t> </w:t>
      </w:r>
      <w:r>
        <w:rPr>
          <w:rFonts w:ascii="Times New Roman" w:hAnsi="Times New Roman" w:cs="Times New Roman" w:eastAsia="Times New Roman" w:hint="default"/>
        </w:rPr>
        <w:t>10</w:t>
      </w:r>
    </w:p>
    <w:p>
      <w:pPr>
        <w:pStyle w:val="BodyText"/>
        <w:spacing w:line="212" w:lineRule="exact" w:before="63"/>
        <w:ind w:left="181" w:right="-17"/>
        <w:jc w:val="left"/>
      </w:pPr>
      <w:r>
        <w:rPr/>
        <w:t>月</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日立</w:t>
      </w:r>
    </w:p>
    <w:p>
      <w:pPr>
        <w:pStyle w:val="BodyText"/>
        <w:spacing w:line="180" w:lineRule="exact"/>
        <w:ind w:left="181" w:right="-17"/>
        <w:jc w:val="left"/>
      </w:pPr>
      <w:r>
        <w:rPr/>
        <w:br w:type="column"/>
      </w:r>
      <w:r>
        <w:rPr/>
        <w:t>纳。截至披露</w:t>
      </w:r>
    </w:p>
    <w:p>
      <w:pPr>
        <w:pStyle w:val="BodyText"/>
        <w:spacing w:line="316" w:lineRule="auto" w:before="76"/>
        <w:ind w:left="181" w:right="-17"/>
        <w:jc w:val="left"/>
      </w:pPr>
      <w:r>
        <w:rPr>
          <w:spacing w:val="-10"/>
        </w:rPr>
        <w:t>日，不存在应当</w:t>
      </w:r>
      <w:r>
        <w:rPr>
          <w:spacing w:val="-88"/>
        </w:rPr>
        <w:t> </w:t>
      </w:r>
      <w:r>
        <w:rPr>
          <w:spacing w:val="-88"/>
        </w:rPr>
      </w:r>
      <w:r>
        <w:rPr/>
        <w:t>由公司承担而</w:t>
      </w:r>
    </w:p>
    <w:p>
      <w:pPr>
        <w:pStyle w:val="BodyText"/>
        <w:spacing w:line="194" w:lineRule="exact"/>
        <w:ind w:left="15" w:right="-19"/>
        <w:jc w:val="left"/>
      </w:pPr>
      <w:r>
        <w:rPr/>
        <w:br w:type="column"/>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t>日</w:t>
      </w:r>
    </w:p>
    <w:p>
      <w:pPr>
        <w:pStyle w:val="BodyText"/>
        <w:spacing w:line="180" w:lineRule="exact"/>
        <w:ind w:left="181" w:right="1236"/>
        <w:jc w:val="left"/>
      </w:pPr>
      <w:r>
        <w:rPr/>
        <w:br w:type="column"/>
      </w:r>
      <w:r>
        <w:rPr/>
        <w:t>诉讼进展的</w:t>
      </w:r>
    </w:p>
    <w:p>
      <w:pPr>
        <w:pStyle w:val="BodyText"/>
        <w:spacing w:line="316" w:lineRule="auto" w:before="76"/>
        <w:ind w:left="181" w:right="1236"/>
        <w:jc w:val="left"/>
      </w:pPr>
      <w:r>
        <w:rPr>
          <w:spacing w:val="-16"/>
        </w:rPr>
        <w:t>公告》（公告</w:t>
      </w:r>
      <w:r>
        <w:rPr>
          <w:spacing w:val="-86"/>
        </w:rPr>
        <w:t> </w:t>
      </w:r>
      <w:r>
        <w:rPr>
          <w:spacing w:val="-86"/>
        </w:rPr>
      </w:r>
      <w:r>
        <w:rPr/>
        <w:t>编号：</w:t>
      </w:r>
    </w:p>
    <w:p>
      <w:pPr>
        <w:spacing w:after="0" w:line="316" w:lineRule="auto"/>
        <w:jc w:val="left"/>
        <w:sectPr>
          <w:type w:val="continuous"/>
          <w:pgSz w:w="11910" w:h="16840"/>
          <w:pgMar w:top="1060" w:bottom="1160" w:left="980" w:right="0"/>
          <w:cols w:num="5" w:equalWidth="0">
            <w:col w:w="1684" w:space="2195"/>
            <w:col w:w="996" w:space="1318"/>
            <w:col w:w="1375" w:space="40"/>
            <w:col w:w="424" w:space="474"/>
            <w:col w:w="2424"/>
          </w:cols>
        </w:sectPr>
      </w:pPr>
    </w:p>
    <w:p>
      <w:pPr>
        <w:pStyle w:val="BodyText"/>
        <w:spacing w:line="180" w:lineRule="exact"/>
        <w:ind w:left="181" w:right="-17"/>
        <w:jc w:val="left"/>
      </w:pPr>
      <w:r>
        <w:rPr/>
        <w:t>判令聚利科技停止</w:t>
      </w:r>
    </w:p>
    <w:p>
      <w:pPr>
        <w:pStyle w:val="BodyText"/>
        <w:spacing w:line="316" w:lineRule="auto" w:before="76"/>
        <w:ind w:left="181" w:right="-19"/>
        <w:jc w:val="left"/>
      </w:pPr>
      <w:r>
        <w:rPr/>
        <w:t>侵害并赔偿公司经 济损失</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亿元等。</w:t>
      </w:r>
    </w:p>
    <w:p>
      <w:pPr>
        <w:pStyle w:val="BodyText"/>
        <w:spacing w:line="240" w:lineRule="auto" w:before="100"/>
        <w:ind w:left="181" w:right="-14"/>
        <w:jc w:val="left"/>
      </w:pPr>
      <w:r>
        <w:rPr>
          <w:spacing w:val="-4"/>
        </w:rPr>
        <w:br w:type="column"/>
      </w:r>
      <w:r>
        <w:rPr>
          <w:spacing w:val="-4"/>
        </w:rPr>
        <w:t>案受理，于</w:t>
      </w:r>
    </w:p>
    <w:p>
      <w:pPr>
        <w:pStyle w:val="BodyText"/>
        <w:spacing w:line="240" w:lineRule="auto" w:before="76"/>
        <w:ind w:left="181" w:right="-18"/>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t>年</w:t>
      </w:r>
      <w:r>
        <w:rPr>
          <w:spacing w:val="-66"/>
        </w:rPr>
        <w:t> </w:t>
      </w:r>
      <w:r>
        <w:rPr>
          <w:rFonts w:ascii="Times New Roman" w:hAnsi="Times New Roman" w:cs="Times New Roman" w:eastAsia="Times New Roman" w:hint="default"/>
        </w:rPr>
        <w:t>3</w:t>
      </w:r>
      <w:r>
        <w:rPr>
          <w:rFonts w:ascii="Times New Roman" w:hAnsi="Times New Roman" w:cs="Times New Roman" w:eastAsia="Times New Roman" w:hint="default"/>
          <w:spacing w:val="-20"/>
        </w:rPr>
        <w:t> </w:t>
      </w:r>
      <w:r>
        <w:rPr/>
        <w:t>月</w:t>
      </w:r>
    </w:p>
    <w:p>
      <w:pPr>
        <w:pStyle w:val="BodyText"/>
        <w:spacing w:line="314" w:lineRule="auto" w:before="63"/>
        <w:ind w:left="181" w:right="-14"/>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日送达 再审裁定 </w:t>
      </w:r>
      <w:r>
        <w:rPr>
          <w:spacing w:val="-4"/>
        </w:rPr>
        <w:t>书，驳回公</w:t>
      </w:r>
      <w:r>
        <w:rPr>
          <w:spacing w:val="-87"/>
        </w:rPr>
        <w:t> </w:t>
      </w:r>
      <w:r>
        <w:rPr>
          <w:spacing w:val="-87"/>
        </w:rPr>
      </w:r>
      <w:r>
        <w:rPr/>
        <w:t>司再审申 请。</w:t>
      </w:r>
    </w:p>
    <w:p>
      <w:pPr>
        <w:pStyle w:val="BodyText"/>
        <w:spacing w:line="180" w:lineRule="exact"/>
        <w:ind w:left="181" w:right="-20"/>
        <w:jc w:val="left"/>
      </w:pPr>
      <w:r>
        <w:rPr/>
        <w:br w:type="column"/>
      </w:r>
      <w:r>
        <w:rPr/>
        <w:t>未入账的费用。</w:t>
      </w:r>
    </w:p>
    <w:p>
      <w:pPr>
        <w:pStyle w:val="BodyText"/>
        <w:spacing w:line="194" w:lineRule="exact"/>
        <w:ind w:left="181" w:right="1236"/>
        <w:jc w:val="left"/>
      </w:pPr>
      <w:r>
        <w:rPr/>
        <w:br w:type="column"/>
      </w:r>
      <w:r>
        <w:rPr>
          <w:rFonts w:ascii="Times New Roman" w:hAnsi="Times New Roman" w:cs="Times New Roman" w:eastAsia="Times New Roman" w:hint="default"/>
        </w:rPr>
        <w:t>2017-053</w:t>
      </w:r>
      <w:r>
        <w:rPr/>
        <w:t>、</w:t>
      </w:r>
    </w:p>
    <w:p>
      <w:pPr>
        <w:pStyle w:val="BodyText"/>
        <w:spacing w:line="240" w:lineRule="auto" w:before="63"/>
        <w:ind w:left="181" w:right="1236"/>
        <w:jc w:val="left"/>
      </w:pPr>
      <w:r>
        <w:rPr>
          <w:rFonts w:ascii="Times New Roman" w:hAnsi="Times New Roman" w:cs="Times New Roman" w:eastAsia="Times New Roman" w:hint="default"/>
        </w:rPr>
        <w:t>2017-054</w:t>
      </w:r>
      <w:r>
        <w:rPr/>
        <w:t>、</w:t>
      </w:r>
    </w:p>
    <w:p>
      <w:pPr>
        <w:pStyle w:val="BodyText"/>
        <w:spacing w:line="240" w:lineRule="auto" w:before="63"/>
        <w:ind w:left="181" w:right="1236"/>
        <w:jc w:val="left"/>
      </w:pPr>
      <w:r>
        <w:rPr>
          <w:rFonts w:ascii="Times New Roman" w:hAnsi="Times New Roman" w:cs="Times New Roman" w:eastAsia="Times New Roman" w:hint="default"/>
        </w:rPr>
        <w:t>2018-017</w:t>
      </w:r>
      <w:r>
        <w:rPr/>
        <w:t>、</w:t>
      </w:r>
    </w:p>
    <w:p>
      <w:pPr>
        <w:pStyle w:val="BodyText"/>
        <w:spacing w:line="240" w:lineRule="auto" w:before="63"/>
        <w:ind w:left="181" w:right="1236"/>
        <w:jc w:val="left"/>
      </w:pPr>
      <w:r>
        <w:rPr>
          <w:rFonts w:ascii="Times New Roman" w:hAnsi="Times New Roman" w:cs="Times New Roman" w:eastAsia="Times New Roman" w:hint="default"/>
        </w:rPr>
        <w:t>2018-071</w:t>
      </w:r>
      <w:r>
        <w:rPr>
          <w:rFonts w:ascii="Times New Roman" w:hAnsi="Times New Roman" w:cs="Times New Roman" w:eastAsia="Times New Roman" w:hint="default"/>
          <w:spacing w:val="-2"/>
        </w:rPr>
        <w:t> </w:t>
      </w:r>
      <w:r>
        <w:rPr/>
        <w:t>和</w:t>
      </w:r>
    </w:p>
    <w:p>
      <w:pPr>
        <w:pStyle w:val="BodyText"/>
        <w:spacing w:line="240" w:lineRule="auto" w:before="63"/>
        <w:ind w:left="181" w:right="1236"/>
        <w:jc w:val="left"/>
      </w:pPr>
      <w:r>
        <w:rPr>
          <w:rFonts w:ascii="Times New Roman" w:hAnsi="Times New Roman" w:cs="Times New Roman" w:eastAsia="Times New Roman" w:hint="default"/>
        </w:rPr>
        <w:t>2019-016</w:t>
      </w:r>
      <w:r>
        <w:rPr/>
        <w:t>）</w:t>
      </w:r>
    </w:p>
    <w:p>
      <w:pPr>
        <w:spacing w:after="0" w:line="240" w:lineRule="auto"/>
        <w:jc w:val="left"/>
        <w:sectPr>
          <w:type w:val="continuous"/>
          <w:pgSz w:w="11910" w:h="16840"/>
          <w:pgMar w:top="1060" w:bottom="1160" w:left="980" w:right="0"/>
          <w:cols w:num="4" w:equalWidth="0">
            <w:col w:w="1625" w:space="2254"/>
            <w:col w:w="1068" w:space="1246"/>
            <w:col w:w="1442" w:space="870"/>
            <w:col w:w="2425"/>
          </w:cols>
        </w:sectPr>
      </w:pPr>
    </w:p>
    <w:p>
      <w:pPr>
        <w:pStyle w:val="BodyText"/>
        <w:spacing w:line="240" w:lineRule="auto" w:before="112"/>
        <w:ind w:right="967"/>
        <w:jc w:val="left"/>
      </w:pPr>
      <w:r>
        <w:rPr/>
        <w:pict>
          <v:group style="position:absolute;margin-left:56.400002pt;margin-top:-329.798279pt;width:479.05pt;height:333.2pt;mso-position-horizontal-relative:page;mso-position-vertical-relative:paragraph;z-index:-1531408" coordorigin="1128,-6596" coordsize="9581,6664">
            <v:group style="position:absolute;left:8581;top:-6582;width:1055;height:6633" coordorigin="8581,-6582" coordsize="1055,6633">
              <v:shape style="position:absolute;left:8581;top:-6582;width:1055;height:6633" coordorigin="8581,-6582" coordsize="1055,6633" path="m8581,51l9635,51,9635,-6582,8581,-6582,8581,51xe" filled="true" fillcolor="#ffffff" stroked="false">
                <v:path arrowok="t"/>
                <v:fill type="solid"/>
              </v:shape>
            </v:group>
            <v:group style="position:absolute;left:8603;top:-3617;width:1009;height:353" coordorigin="8603,-3617" coordsize="1009,353">
              <v:shape style="position:absolute;left:8603;top:-3617;width:1009;height:353" coordorigin="8603,-3617" coordsize="1009,353" path="m8603,-3264l9611,-3264,9611,-3617,8603,-3617,8603,-3264xe" filled="true" fillcolor="#ffffff" stroked="false">
                <v:path arrowok="t"/>
                <v:fill type="solid"/>
              </v:shape>
            </v:group>
            <v:group style="position:absolute;left:8603;top:-3264;width:1009;height:351" coordorigin="8603,-3264" coordsize="1009,351">
              <v:shape style="position:absolute;left:8603;top:-3264;width:1009;height:351" coordorigin="8603,-3264" coordsize="1009,351" path="m8603,-2913l9611,-2913,9611,-3264,8603,-3264,8603,-2913xe" filled="true" fillcolor="#ffffff" stroked="false">
                <v:path arrowok="t"/>
                <v:fill type="solid"/>
              </v:shape>
            </v:group>
            <v:group style="position:absolute;left:1138;top:-6586;width:1551;height:2" coordorigin="1138,-6586" coordsize="1551,2">
              <v:shape style="position:absolute;left:1138;top:-6586;width:1551;height:2" coordorigin="1138,-6586" coordsize="1551,0" path="m1138,-6586l2688,-6586e" filled="false" stroked="true" strokeweight=".48pt" strokecolor="#000000">
                <v:path arrowok="t"/>
              </v:shape>
            </v:group>
            <v:group style="position:absolute;left:2698;top:-6586;width:1061;height:2" coordorigin="2698,-6586" coordsize="1061,2">
              <v:shape style="position:absolute;left:2698;top:-6586;width:1061;height:2" coordorigin="2698,-6586" coordsize="1061,0" path="m2698,-6586l3759,-6586e" filled="false" stroked="true" strokeweight=".48pt" strokecolor="#000000">
                <v:path arrowok="t"/>
              </v:shape>
            </v:group>
            <v:group style="position:absolute;left:3768;top:-6586;width:1239;height:2" coordorigin="3768,-6586" coordsize="1239,2">
              <v:shape style="position:absolute;left:3768;top:-6586;width:1239;height:2" coordorigin="3768,-6586" coordsize="1239,0" path="m3768,-6586l5007,-6586e" filled="false" stroked="true" strokeweight=".48pt" strokecolor="#000000">
                <v:path arrowok="t"/>
              </v:shape>
            </v:group>
            <v:group style="position:absolute;left:5017;top:-6586;width:932;height:2" coordorigin="5017,-6586" coordsize="932,2">
              <v:shape style="position:absolute;left:5017;top:-6586;width:932;height:2" coordorigin="5017,-6586" coordsize="932,0" path="m5017,-6586l5948,-6586e" filled="false" stroked="true" strokeweight=".48pt" strokecolor="#000000">
                <v:path arrowok="t"/>
              </v:shape>
            </v:group>
            <v:group style="position:absolute;left:5958;top:-6586;width:1364;height:2" coordorigin="5958,-6586" coordsize="1364,2">
              <v:shape style="position:absolute;left:5958;top:-6586;width:1364;height:2" coordorigin="5958,-6586" coordsize="1364,0" path="m5958,-6586l7321,-6586e" filled="false" stroked="true" strokeweight=".48pt" strokecolor="#000000">
                <v:path arrowok="t"/>
              </v:shape>
            </v:group>
            <v:group style="position:absolute;left:7331;top:-6586;width:1239;height:2" coordorigin="7331,-6586" coordsize="1239,2">
              <v:shape style="position:absolute;left:7331;top:-6586;width:1239;height:2" coordorigin="7331,-6586" coordsize="1239,0" path="m7331,-6586l8569,-6586e" filled="false" stroked="true" strokeweight=".48pt" strokecolor="#000000">
                <v:path arrowok="t"/>
              </v:shape>
            </v:group>
            <v:group style="position:absolute;left:8579;top:-6586;width:1055;height:2" coordorigin="8579,-6586" coordsize="1055,2">
              <v:shape style="position:absolute;left:8579;top:-6586;width:1055;height:2" coordorigin="8579,-6586" coordsize="1055,0" path="m8579,-6586l9633,-6586e" filled="false" stroked="true" strokeweight=".48pt" strokecolor="#000000">
                <v:path arrowok="t"/>
              </v:shape>
            </v:group>
            <v:group style="position:absolute;left:9643;top:-6586;width:1056;height:2" coordorigin="9643,-6586" coordsize="1056,2">
              <v:shape style="position:absolute;left:9643;top:-6586;width:1056;height:2" coordorigin="9643,-6586" coordsize="1056,0" path="m9643,-6586l10699,-6586e" filled="false" stroked="true" strokeweight=".48pt" strokecolor="#000000">
                <v:path arrowok="t"/>
              </v:shape>
            </v:group>
            <v:group style="position:absolute;left:1133;top:-6591;width:2;height:6654" coordorigin="1133,-6591" coordsize="2,6654">
              <v:shape style="position:absolute;left:1133;top:-6591;width:2;height:6654" coordorigin="1133,-6591" coordsize="0,6654" path="m1133,-6591l1133,63e" filled="false" stroked="true" strokeweight=".48pt" strokecolor="#000000">
                <v:path arrowok="t"/>
              </v:shape>
            </v:group>
            <v:group style="position:absolute;left:1138;top:58;width:1551;height:2" coordorigin="1138,58" coordsize="1551,2">
              <v:shape style="position:absolute;left:1138;top:58;width:1551;height:2" coordorigin="1138,58" coordsize="1551,0" path="m1138,58l2688,58e" filled="false" stroked="true" strokeweight=".47998pt" strokecolor="#000000">
                <v:path arrowok="t"/>
              </v:shape>
            </v:group>
            <v:group style="position:absolute;left:2693;top:-6591;width:2;height:6654" coordorigin="2693,-6591" coordsize="2,6654">
              <v:shape style="position:absolute;left:2693;top:-6591;width:2;height:6654" coordorigin="2693,-6591" coordsize="0,6654" path="m2693,-6591l2693,63e" filled="false" stroked="true" strokeweight=".48001pt" strokecolor="#000000">
                <v:path arrowok="t"/>
              </v:shape>
            </v:group>
            <v:group style="position:absolute;left:2698;top:58;width:1061;height:2" coordorigin="2698,58" coordsize="1061,2">
              <v:shape style="position:absolute;left:2698;top:58;width:1061;height:2" coordorigin="2698,58" coordsize="1061,0" path="m2698,58l3759,58e" filled="false" stroked="true" strokeweight=".47998pt" strokecolor="#000000">
                <v:path arrowok="t"/>
              </v:shape>
            </v:group>
            <v:group style="position:absolute;left:3764;top:-6591;width:2;height:6654" coordorigin="3764,-6591" coordsize="2,6654">
              <v:shape style="position:absolute;left:3764;top:-6591;width:2;height:6654" coordorigin="3764,-6591" coordsize="0,6654" path="m3764,-6591l3764,63e" filled="false" stroked="true" strokeweight=".48pt" strokecolor="#000000">
                <v:path arrowok="t"/>
              </v:shape>
            </v:group>
            <v:group style="position:absolute;left:3768;top:58;width:1239;height:2" coordorigin="3768,58" coordsize="1239,2">
              <v:shape style="position:absolute;left:3768;top:58;width:1239;height:2" coordorigin="3768,58" coordsize="1239,0" path="m3768,58l5007,58e" filled="false" stroked="true" strokeweight=".47998pt" strokecolor="#000000">
                <v:path arrowok="t"/>
              </v:shape>
            </v:group>
            <v:group style="position:absolute;left:5012;top:-6591;width:2;height:6654" coordorigin="5012,-6591" coordsize="2,6654">
              <v:shape style="position:absolute;left:5012;top:-6591;width:2;height:6654" coordorigin="5012,-6591" coordsize="0,6654" path="m5012,-6591l5012,63e" filled="false" stroked="true" strokeweight=".48001pt" strokecolor="#000000">
                <v:path arrowok="t"/>
              </v:shape>
            </v:group>
            <v:group style="position:absolute;left:5017;top:58;width:932;height:2" coordorigin="5017,58" coordsize="932,2">
              <v:shape style="position:absolute;left:5017;top:58;width:932;height:2" coordorigin="5017,58" coordsize="932,0" path="m5017,58l5948,58e" filled="false" stroked="true" strokeweight=".47998pt" strokecolor="#000000">
                <v:path arrowok="t"/>
              </v:shape>
            </v:group>
            <v:group style="position:absolute;left:5953;top:-6591;width:2;height:6654" coordorigin="5953,-6591" coordsize="2,6654">
              <v:shape style="position:absolute;left:5953;top:-6591;width:2;height:6654" coordorigin="5953,-6591" coordsize="0,6654" path="m5953,-6591l5953,63e" filled="false" stroked="true" strokeweight=".48001pt" strokecolor="#000000">
                <v:path arrowok="t"/>
              </v:shape>
            </v:group>
            <v:group style="position:absolute;left:5958;top:58;width:1364;height:2" coordorigin="5958,58" coordsize="1364,2">
              <v:shape style="position:absolute;left:5958;top:58;width:1364;height:2" coordorigin="5958,58" coordsize="1364,0" path="m5958,58l7321,58e" filled="false" stroked="true" strokeweight=".47998pt" strokecolor="#000000">
                <v:path arrowok="t"/>
              </v:shape>
            </v:group>
            <v:group style="position:absolute;left:7326;top:-6591;width:2;height:6654" coordorigin="7326,-6591" coordsize="2,6654">
              <v:shape style="position:absolute;left:7326;top:-6591;width:2;height:6654" coordorigin="7326,-6591" coordsize="0,6654" path="m7326,-6591l7326,63e" filled="false" stroked="true" strokeweight=".48001pt" strokecolor="#000000">
                <v:path arrowok="t"/>
              </v:shape>
            </v:group>
            <v:group style="position:absolute;left:7331;top:58;width:1239;height:2" coordorigin="7331,58" coordsize="1239,2">
              <v:shape style="position:absolute;left:7331;top:58;width:1239;height:2" coordorigin="7331,58" coordsize="1239,0" path="m7331,58l8569,58e" filled="false" stroked="true" strokeweight=".47998pt" strokecolor="#000000">
                <v:path arrowok="t"/>
              </v:shape>
            </v:group>
            <v:group style="position:absolute;left:8574;top:-6591;width:2;height:6654" coordorigin="8574,-6591" coordsize="2,6654">
              <v:shape style="position:absolute;left:8574;top:-6591;width:2;height:6654" coordorigin="8574,-6591" coordsize="0,6654" path="m8574,-6591l8574,63e" filled="false" stroked="true" strokeweight=".47998pt" strokecolor="#000000">
                <v:path arrowok="t"/>
              </v:shape>
            </v:group>
            <v:group style="position:absolute;left:8579;top:58;width:1055;height:2" coordorigin="8579,58" coordsize="1055,2">
              <v:shape style="position:absolute;left:8579;top:58;width:1055;height:2" coordorigin="8579,58" coordsize="1055,0" path="m8579,58l9633,58e" filled="false" stroked="true" strokeweight=".47998pt" strokecolor="#000000">
                <v:path arrowok="t"/>
              </v:shape>
            </v:group>
            <v:group style="position:absolute;left:9638;top:-6591;width:2;height:6654" coordorigin="9638,-6591" coordsize="2,6654">
              <v:shape style="position:absolute;left:9638;top:-6591;width:2;height:6654" coordorigin="9638,-6591" coordsize="0,6654" path="m9638,-6591l9638,63e" filled="false" stroked="true" strokeweight=".48001pt" strokecolor="#000000">
                <v:path arrowok="t"/>
              </v:shape>
            </v:group>
            <v:group style="position:absolute;left:9643;top:58;width:1056;height:2" coordorigin="9643,58" coordsize="1056,2">
              <v:shape style="position:absolute;left:9643;top:58;width:1056;height:2" coordorigin="9643,58" coordsize="1056,0" path="m9643,58l10699,58e" filled="false" stroked="true" strokeweight=".47998pt" strokecolor="#000000">
                <v:path arrowok="t"/>
              </v:shape>
            </v:group>
            <v:group style="position:absolute;left:10704;top:-6591;width:2;height:6654" coordorigin="10704,-6591" coordsize="2,6654">
              <v:shape style="position:absolute;left:10704;top:-6591;width:2;height:6654" coordorigin="10704,-6591" coordsize="0,6654" path="m10704,-6591l10704,63e" filled="false" stroked="true" strokeweight=".47998pt" strokecolor="#000000">
                <v:path arrowok="t"/>
              </v:shape>
            </v:group>
            <w10:wrap type="none"/>
          </v:group>
        </w:pict>
      </w:r>
      <w:r>
        <w:rPr/>
        <w:t>注：</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年度，公司未达到重大诉讼披露标准的其他诉讼的实际涉案总金额为</w:t>
      </w:r>
      <w:r>
        <w:rPr>
          <w:spacing w:val="-47"/>
        </w:rPr>
        <w:t> </w:t>
      </w:r>
      <w:r>
        <w:rPr>
          <w:rFonts w:ascii="Times New Roman" w:hAnsi="Times New Roman" w:cs="Times New Roman" w:eastAsia="Times New Roman" w:hint="default"/>
        </w:rPr>
        <w:t>403.58</w:t>
      </w:r>
      <w:r>
        <w:rPr>
          <w:rFonts w:ascii="Times New Roman" w:hAnsi="Times New Roman" w:cs="Times New Roman" w:eastAsia="Times New Roman" w:hint="default"/>
          <w:spacing w:val="-1"/>
        </w:rPr>
        <w:t> </w:t>
      </w:r>
      <w:r>
        <w:rPr/>
        <w:t>万元，未有因诉讼产生的预计负债。</w:t>
      </w:r>
    </w:p>
    <w:p>
      <w:pPr>
        <w:spacing w:line="240" w:lineRule="auto" w:before="2"/>
        <w:rPr>
          <w:rFonts w:ascii="宋体" w:hAnsi="宋体" w:cs="宋体" w:eastAsia="宋体" w:hint="default"/>
          <w:sz w:val="18"/>
          <w:szCs w:val="18"/>
        </w:rPr>
      </w:pPr>
    </w:p>
    <w:p>
      <w:pPr>
        <w:pStyle w:val="Heading2"/>
        <w:spacing w:line="240" w:lineRule="auto"/>
        <w:ind w:right="967"/>
        <w:jc w:val="left"/>
        <w:rPr>
          <w:b w:val="0"/>
          <w:bCs w:val="0"/>
        </w:rPr>
      </w:pPr>
      <w:r>
        <w:rPr/>
        <w:t>十三、处罚及整改情况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6"/>
        <w:rPr>
          <w:rFonts w:ascii="宋体" w:hAnsi="宋体" w:cs="宋体" w:eastAsia="宋体" w:hint="default"/>
          <w:sz w:val="13"/>
          <w:szCs w:val="13"/>
        </w:rPr>
      </w:pPr>
    </w:p>
    <w:p>
      <w:pPr>
        <w:pStyle w:val="Heading2"/>
        <w:spacing w:line="240" w:lineRule="auto"/>
        <w:ind w:right="967"/>
        <w:jc w:val="left"/>
        <w:rPr>
          <w:b w:val="0"/>
          <w:bCs w:val="0"/>
        </w:rPr>
      </w:pPr>
      <w:r>
        <w:rPr/>
        <w:t>十四、公司及其控股股东、实际控制人的诚信状况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967"/>
        <w:jc w:val="left"/>
        <w:rPr>
          <w:b w:val="0"/>
          <w:bCs w:val="0"/>
        </w:rPr>
      </w:pPr>
      <w:r>
        <w:rPr/>
        <w:t>十五、公司股权激励计划、员工持股计划或其他员工激励措施的实施情况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Heading5"/>
        <w:spacing w:line="240" w:lineRule="auto" w:before="44"/>
        <w:ind w:right="967"/>
        <w:jc w:val="left"/>
        <w:rPr>
          <w:b w:val="0"/>
          <w:bCs w:val="0"/>
        </w:rPr>
      </w:pPr>
      <w:r>
        <w:rPr>
          <w:rFonts w:ascii="Times New Roman" w:hAnsi="Times New Roman" w:cs="Times New Roman" w:eastAsia="Times New Roman" w:hint="default"/>
        </w:rPr>
        <w:t>2019</w:t>
      </w:r>
      <w:r>
        <w:rPr/>
        <w:t>年限制性股票激励计划实施情况</w:t>
      </w:r>
      <w:r>
        <w:rPr>
          <w:b w:val="0"/>
          <w:bCs w:val="0"/>
        </w:rPr>
      </w:r>
    </w:p>
    <w:p>
      <w:pPr>
        <w:pStyle w:val="BodyText"/>
        <w:spacing w:line="316" w:lineRule="auto" w:before="56"/>
        <w:ind w:left="513" w:right="1843"/>
        <w:jc w:val="left"/>
      </w:pPr>
      <w:r>
        <w:rPr>
          <w:rFonts w:ascii="宋体" w:hAnsi="宋体" w:cs="宋体" w:eastAsia="宋体" w:hint="default"/>
        </w:rPr>
        <w:t>1</w:t>
      </w:r>
      <w:r>
        <w:rPr/>
        <w:t>、报告期内激励对象的范围 报告期内，本激励计划首次授予涉及的激励对象共计</w:t>
      </w:r>
      <w:r>
        <w:rPr>
          <w:rFonts w:ascii="宋体" w:hAnsi="宋体" w:cs="宋体" w:eastAsia="宋体" w:hint="default"/>
        </w:rPr>
        <w:t>201</w:t>
      </w:r>
      <w:r>
        <w:rPr/>
        <w:t>人，包括公司任职的高级管理人员及核心骨干员工。 </w:t>
      </w:r>
      <w:r>
        <w:rPr>
          <w:rFonts w:ascii="宋体" w:hAnsi="宋体" w:cs="宋体" w:eastAsia="宋体" w:hint="default"/>
        </w:rPr>
        <w:t>2</w:t>
      </w:r>
      <w:r>
        <w:rPr/>
        <w:t>、报告期内授出、行使和失效的权益总额 报告期内公司授出限制性股票</w:t>
      </w:r>
      <w:r>
        <w:rPr>
          <w:rFonts w:ascii="宋体" w:hAnsi="宋体" w:cs="宋体" w:eastAsia="宋体" w:hint="default"/>
        </w:rPr>
        <w:t>2,718,161</w:t>
      </w:r>
      <w:r>
        <w:rPr/>
        <w:t>股，不存在权益行使或失效的情形。 </w:t>
      </w:r>
      <w:r>
        <w:rPr>
          <w:rFonts w:ascii="宋体" w:hAnsi="宋体" w:cs="宋体" w:eastAsia="宋体" w:hint="default"/>
        </w:rPr>
        <w:t>3</w:t>
      </w:r>
      <w:r>
        <w:rPr/>
        <w:t>、至报告期末累计已授出但尚未行使的权益总额 至报告期末公司累计已授出但尚未行使的限制性股票合计为</w:t>
      </w:r>
      <w:r>
        <w:rPr>
          <w:rFonts w:ascii="宋体" w:hAnsi="宋体" w:cs="宋体" w:eastAsia="宋体" w:hint="default"/>
        </w:rPr>
        <w:t>2,718,161</w:t>
      </w:r>
      <w:r>
        <w:rPr/>
        <w:t>股。 </w:t>
      </w:r>
      <w:r>
        <w:rPr>
          <w:rFonts w:ascii="宋体" w:hAnsi="宋体" w:cs="宋体" w:eastAsia="宋体" w:hint="default"/>
        </w:rPr>
        <w:t>4</w:t>
      </w:r>
      <w:r>
        <w:rPr/>
        <w:t>、报告期内权益价格、权益数量历次调整的情况以及经调整后的最新权益价格与权益数量</w:t>
      </w:r>
    </w:p>
    <w:p>
      <w:pPr>
        <w:pStyle w:val="BodyText"/>
        <w:spacing w:line="240" w:lineRule="auto" w:before="19"/>
        <w:ind w:left="513" w:right="967"/>
        <w:jc w:val="left"/>
        <w:rPr>
          <w:rFonts w:ascii="宋体" w:hAnsi="宋体" w:cs="宋体" w:eastAsia="宋体" w:hint="default"/>
        </w:rPr>
      </w:pPr>
      <w:r>
        <w:rPr/>
        <w:t>（</w:t>
      </w:r>
      <w:r>
        <w:rPr>
          <w:rFonts w:ascii="宋体" w:hAnsi="宋体" w:cs="宋体" w:eastAsia="宋体" w:hint="default"/>
        </w:rPr>
        <w:t>1</w:t>
      </w:r>
      <w:r>
        <w:rPr/>
        <w:t>）</w:t>
      </w: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1</w:t>
      </w:r>
      <w:r>
        <w:rPr/>
        <w:t>日、</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22</w:t>
      </w:r>
      <w:r>
        <w:rPr/>
        <w:t>日，公司分别召开第二届董事会第二十六次会议和第二届监事会第十三次会议及</w:t>
      </w:r>
      <w:r>
        <w:rPr>
          <w:rFonts w:ascii="宋体" w:hAnsi="宋体" w:cs="宋体" w:eastAsia="宋体" w:hint="default"/>
        </w:rPr>
        <w:t>2019</w:t>
      </w:r>
    </w:p>
    <w:p>
      <w:pPr>
        <w:spacing w:after="0" w:line="240" w:lineRule="auto"/>
        <w:jc w:val="left"/>
        <w:rPr>
          <w:rFonts w:ascii="宋体" w:hAnsi="宋体" w:cs="宋体" w:eastAsia="宋体" w:hint="default"/>
        </w:rPr>
        <w:sectPr>
          <w:type w:val="continuous"/>
          <w:pgSz w:w="11910" w:h="16840"/>
          <w:pgMar w:top="106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4"/>
        <w:ind w:right="1131"/>
        <w:jc w:val="both"/>
      </w:pPr>
      <w:r>
        <w:rPr>
          <w:spacing w:val="-5"/>
        </w:rPr>
        <w:t>年第三次临时股东大会，审议通过了《关于公司</w:t>
      </w:r>
      <w:r>
        <w:rPr>
          <w:rFonts w:ascii="宋体" w:hAnsi="宋体" w:cs="宋体" w:eastAsia="宋体" w:hint="default"/>
          <w:spacing w:val="-5"/>
        </w:rPr>
        <w:t>&lt;2019</w:t>
      </w:r>
      <w:r>
        <w:rPr>
          <w:spacing w:val="-5"/>
        </w:rPr>
        <w:t>年限制性股票激励计划（草案）</w:t>
      </w:r>
      <w:r>
        <w:rPr>
          <w:rFonts w:ascii="宋体" w:hAnsi="宋体" w:cs="宋体" w:eastAsia="宋体" w:hint="default"/>
          <w:spacing w:val="-5"/>
        </w:rPr>
        <w:t>&gt;</w:t>
      </w:r>
      <w:r>
        <w:rPr>
          <w:spacing w:val="-5"/>
        </w:rPr>
        <w:t>及摘要的议案》、《关于公司</w:t>
      </w:r>
      <w:r>
        <w:rPr>
          <w:rFonts w:ascii="宋体" w:hAnsi="宋体" w:cs="宋体" w:eastAsia="宋体" w:hint="default"/>
          <w:spacing w:val="-5"/>
        </w:rPr>
        <w:t>&lt;2019</w:t>
      </w:r>
      <w:r>
        <w:rPr>
          <w:rFonts w:ascii="宋体" w:hAnsi="宋体" w:cs="宋体" w:eastAsia="宋体" w:hint="default"/>
          <w:spacing w:val="20"/>
        </w:rPr>
        <w:t> </w:t>
      </w:r>
      <w:r>
        <w:rPr/>
        <w:t>年</w:t>
      </w:r>
      <w:r>
        <w:rPr>
          <w:spacing w:val="-86"/>
        </w:rPr>
        <w:t> </w:t>
      </w:r>
      <w:r>
        <w:rPr/>
        <w:t>限制性股票激励计划实施考核管理办法</w:t>
      </w:r>
      <w:r>
        <w:rPr>
          <w:rFonts w:ascii="宋体" w:hAnsi="宋体" w:cs="宋体" w:eastAsia="宋体" w:hint="default"/>
        </w:rPr>
        <w:t>&gt;</w:t>
      </w:r>
      <w:r>
        <w:rPr/>
        <w:t>的议案》、《关于提请公司股东大会授权董事会办理股权激励相关事宜的议案》等 </w:t>
      </w:r>
      <w:r>
        <w:rPr>
          <w:spacing w:val="-2"/>
        </w:rPr>
        <w:t>议案，同意公司本次激励计划首次授予限制性股票的授予价格为</w:t>
      </w:r>
      <w:r>
        <w:rPr>
          <w:rFonts w:ascii="宋体" w:hAnsi="宋体" w:cs="宋体" w:eastAsia="宋体" w:hint="default"/>
          <w:spacing w:val="-2"/>
        </w:rPr>
        <w:t>21.7</w:t>
      </w:r>
      <w:r>
        <w:rPr>
          <w:spacing w:val="-2"/>
        </w:rPr>
        <w:t>元</w:t>
      </w:r>
      <w:r>
        <w:rPr>
          <w:rFonts w:ascii="宋体" w:hAnsi="宋体" w:cs="宋体" w:eastAsia="宋体" w:hint="default"/>
          <w:spacing w:val="-2"/>
        </w:rPr>
        <w:t>/</w:t>
      </w:r>
      <w:r>
        <w:rPr>
          <w:spacing w:val="-2"/>
        </w:rPr>
        <w:t>股，向激励对象授予限制性股票</w:t>
      </w:r>
      <w:r>
        <w:rPr>
          <w:rFonts w:ascii="宋体" w:hAnsi="宋体" w:cs="宋体" w:eastAsia="宋体" w:hint="default"/>
          <w:spacing w:val="-2"/>
        </w:rPr>
        <w:t>400</w:t>
      </w:r>
      <w:r>
        <w:rPr>
          <w:spacing w:val="-2"/>
        </w:rPr>
        <w:t>万股，其中首次</w:t>
      </w:r>
      <w:r>
        <w:rPr>
          <w:spacing w:val="-61"/>
        </w:rPr>
        <w:t> </w:t>
      </w:r>
      <w:r>
        <w:rPr>
          <w:spacing w:val="-61"/>
        </w:rPr>
      </w:r>
      <w:r>
        <w:rPr/>
        <w:t>授予限制性股票</w:t>
      </w:r>
      <w:r>
        <w:rPr>
          <w:rFonts w:ascii="宋体" w:hAnsi="宋体" w:cs="宋体" w:eastAsia="宋体" w:hint="default"/>
        </w:rPr>
        <w:t>3,561,372</w:t>
      </w:r>
      <w:r>
        <w:rPr/>
        <w:t>股、预留授予限制性股票</w:t>
      </w:r>
      <w:r>
        <w:rPr>
          <w:rFonts w:ascii="宋体" w:hAnsi="宋体" w:cs="宋体" w:eastAsia="宋体" w:hint="default"/>
        </w:rPr>
        <w:t>438,628</w:t>
      </w:r>
      <w:r>
        <w:rPr/>
        <w:t>股。具体情况详见公司分别</w:t>
      </w: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2</w:t>
      </w:r>
      <w:r>
        <w:rPr/>
        <w:t>日、</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23</w:t>
      </w:r>
      <w:r>
        <w:rPr/>
        <w:t>日在巨 潮资讯网（</w:t>
      </w:r>
      <w:hyperlink r:id="rId11">
        <w:r>
          <w:rPr>
            <w:rFonts w:ascii="宋体" w:hAnsi="宋体" w:cs="宋体" w:eastAsia="宋体" w:hint="default"/>
          </w:rPr>
          <w:t>http://www.cninfo.com.cn</w:t>
        </w:r>
      </w:hyperlink>
      <w:r>
        <w:rPr/>
        <w:t>）上披露的相关公告。</w:t>
      </w:r>
    </w:p>
    <w:p>
      <w:pPr>
        <w:pStyle w:val="BodyText"/>
        <w:spacing w:line="300" w:lineRule="auto" w:before="19"/>
        <w:ind w:right="1128" w:firstLine="360"/>
        <w:jc w:val="both"/>
      </w:pPr>
      <w:r>
        <w:rPr/>
        <w:t>（</w:t>
      </w:r>
      <w:r>
        <w:rPr>
          <w:rFonts w:ascii="宋体" w:hAnsi="宋体" w:cs="宋体" w:eastAsia="宋体" w:hint="default"/>
        </w:rPr>
        <w:t>2</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24"/>
        </w:rPr>
        <w:t> </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日，公司分别召开第二届董事会第三十二次会议和第二届监事会第十六次会议，审议通过了《关于 </w:t>
      </w:r>
      <w:r>
        <w:rPr>
          <w:spacing w:val="-2"/>
        </w:rPr>
        <w:t>调整</w:t>
      </w:r>
      <w:r>
        <w:rPr>
          <w:rFonts w:ascii="Times New Roman" w:hAnsi="Times New Roman" w:cs="Times New Roman" w:eastAsia="Times New Roman" w:hint="default"/>
          <w:spacing w:val="-2"/>
        </w:rPr>
        <w:t>2019</w:t>
      </w:r>
      <w:r>
        <w:rPr>
          <w:spacing w:val="-2"/>
        </w:rPr>
        <w:t>年限制性股票激励计划首次授予限制性股票授予价格的议案》，确定公司本次激励计划首次授予限制性股票的授予</w:t>
      </w:r>
      <w:r>
        <w:rPr>
          <w:spacing w:val="-62"/>
        </w:rPr>
        <w:t> </w:t>
      </w:r>
      <w:r>
        <w:rPr>
          <w:spacing w:val="-62"/>
        </w:rPr>
      </w:r>
      <w:r>
        <w:rPr/>
        <w:t>价格调整为</w:t>
      </w:r>
      <w:r>
        <w:rPr>
          <w:rFonts w:ascii="Times New Roman" w:hAnsi="Times New Roman" w:cs="Times New Roman" w:eastAsia="Times New Roman" w:hint="default"/>
        </w:rPr>
        <w:t>21.64</w:t>
      </w:r>
      <w:r>
        <w:rPr/>
        <w:t>元</w:t>
      </w:r>
      <w:r>
        <w:rPr>
          <w:rFonts w:ascii="Times New Roman" w:hAnsi="Times New Roman" w:cs="Times New Roman" w:eastAsia="Times New Roman" w:hint="default"/>
        </w:rPr>
        <w:t>/</w:t>
      </w:r>
      <w:r>
        <w:rPr/>
        <w:t>股，具体情况详见公司于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日在巨潮资讯网（</w:t>
      </w:r>
      <w:hyperlink r:id="rId11">
        <w:r>
          <w:rPr>
            <w:rFonts w:ascii="Times New Roman" w:hAnsi="Times New Roman" w:cs="Times New Roman" w:eastAsia="Times New Roman" w:hint="default"/>
          </w:rPr>
          <w:t>http://www.cninfo.com.cn</w:t>
        </w:r>
      </w:hyperlink>
      <w:r>
        <w:rPr/>
        <w:t>）上披露的相关公告。</w:t>
      </w:r>
    </w:p>
    <w:p>
      <w:pPr>
        <w:pStyle w:val="BodyText"/>
        <w:spacing w:line="300" w:lineRule="auto" w:before="13"/>
        <w:ind w:right="1132" w:firstLine="360"/>
        <w:jc w:val="both"/>
      </w:pPr>
      <w:r>
        <w:rPr>
          <w:spacing w:val="-2"/>
        </w:rPr>
        <w:t>（</w:t>
      </w:r>
      <w:r>
        <w:rPr>
          <w:rFonts w:ascii="宋体" w:hAnsi="宋体" w:cs="宋体" w:eastAsia="宋体" w:hint="default"/>
          <w:spacing w:val="-2"/>
        </w:rPr>
        <w:t>3</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16</w:t>
      </w:r>
      <w:r>
        <w:rPr>
          <w:spacing w:val="-2"/>
        </w:rPr>
        <w:t>日，公司分别召开第二届董事会第三十三次会议和第二届监事会第十七次会议，审议通过了《关于调</w:t>
      </w:r>
      <w:r>
        <w:rPr/>
        <w:t> </w:t>
      </w:r>
      <w:r>
        <w:rPr>
          <w:spacing w:val="-2"/>
        </w:rPr>
        <w:t>整</w:t>
      </w:r>
      <w:r>
        <w:rPr>
          <w:rFonts w:ascii="Times New Roman" w:hAnsi="Times New Roman" w:cs="Times New Roman" w:eastAsia="Times New Roman" w:hint="default"/>
          <w:spacing w:val="-2"/>
        </w:rPr>
        <w:t>2019</w:t>
      </w:r>
      <w:r>
        <w:rPr>
          <w:spacing w:val="-2"/>
        </w:rPr>
        <w:t>年限制性股票激励计划激励对象名单及授予数量的议案》和《关于向激励对象首次授予限制性股票的议案》，确定公</w:t>
      </w:r>
      <w:r>
        <w:rPr>
          <w:spacing w:val="-64"/>
        </w:rPr>
        <w:t> </w:t>
      </w:r>
      <w:r>
        <w:rPr>
          <w:spacing w:val="-64"/>
        </w:rPr>
      </w:r>
      <w:r>
        <w:rPr>
          <w:spacing w:val="-2"/>
        </w:rPr>
        <w:t>司限制性股票的首次授予日为</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17</w:t>
      </w:r>
      <w:r>
        <w:rPr>
          <w:spacing w:val="-2"/>
        </w:rPr>
        <w:t>日，向</w:t>
      </w:r>
      <w:r>
        <w:rPr>
          <w:rFonts w:ascii="Times New Roman" w:hAnsi="Times New Roman" w:cs="Times New Roman" w:eastAsia="Times New Roman" w:hint="default"/>
          <w:spacing w:val="-2"/>
        </w:rPr>
        <w:t>201</w:t>
      </w:r>
      <w:r>
        <w:rPr>
          <w:spacing w:val="-2"/>
        </w:rPr>
        <w:t>名激励对象首次授予</w:t>
      </w:r>
      <w:r>
        <w:rPr>
          <w:rFonts w:ascii="Times New Roman" w:hAnsi="Times New Roman" w:cs="Times New Roman" w:eastAsia="Times New Roman" w:hint="default"/>
          <w:spacing w:val="-2"/>
        </w:rPr>
        <w:t>2,718,161</w:t>
      </w:r>
      <w:r>
        <w:rPr>
          <w:spacing w:val="-2"/>
        </w:rPr>
        <w:t>股限制性股票，具体内容详见公司于</w:t>
      </w:r>
      <w:r>
        <w:rPr>
          <w:rFonts w:ascii="Times New Roman" w:hAnsi="Times New Roman" w:cs="Times New Roman" w:eastAsia="Times New Roman" w:hint="default"/>
          <w:spacing w:val="-2"/>
        </w:rPr>
        <w:t>2019</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17</w:t>
      </w:r>
      <w:r>
        <w:rPr/>
        <w:t>日在巨潮资讯网（</w:t>
      </w:r>
      <w:hyperlink r:id="rId11">
        <w:r>
          <w:rPr>
            <w:rFonts w:ascii="Times New Roman" w:hAnsi="Times New Roman" w:cs="Times New Roman" w:eastAsia="Times New Roman" w:hint="default"/>
          </w:rPr>
          <w:t>http://www.cninfo.com.cn</w:t>
        </w:r>
      </w:hyperlink>
      <w:r>
        <w:rPr/>
        <w:t>）上披露的相关公告。</w:t>
      </w:r>
    </w:p>
    <w:p>
      <w:pPr>
        <w:pStyle w:val="BodyText"/>
        <w:spacing w:line="240" w:lineRule="auto" w:before="53"/>
        <w:ind w:left="633" w:right="967"/>
        <w:jc w:val="left"/>
      </w:pPr>
      <w:r>
        <w:rPr/>
        <w:t>首次授予限制性股票具体分配情况如下（首次授予不含预留部分）：</w:t>
      </w:r>
    </w:p>
    <w:p>
      <w:pPr>
        <w:spacing w:line="240" w:lineRule="auto" w:before="3"/>
        <w:rPr>
          <w:rFonts w:ascii="宋体" w:hAnsi="宋体" w:cs="宋体" w:eastAsia="宋体" w:hint="default"/>
          <w:sz w:val="8"/>
          <w:szCs w:val="8"/>
        </w:rPr>
      </w:pPr>
    </w:p>
    <w:tbl>
      <w:tblPr>
        <w:tblW w:w="0" w:type="auto"/>
        <w:jc w:val="left"/>
        <w:tblInd w:w="123" w:type="dxa"/>
        <w:tblLayout w:type="fixed"/>
        <w:tblCellMar>
          <w:top w:w="0" w:type="dxa"/>
          <w:left w:w="0" w:type="dxa"/>
          <w:bottom w:w="0" w:type="dxa"/>
          <w:right w:w="0" w:type="dxa"/>
        </w:tblCellMar>
        <w:tblLook w:val="01E0"/>
      </w:tblPr>
      <w:tblGrid>
        <w:gridCol w:w="1323"/>
        <w:gridCol w:w="1801"/>
        <w:gridCol w:w="2076"/>
        <w:gridCol w:w="2060"/>
        <w:gridCol w:w="2410"/>
      </w:tblGrid>
      <w:tr>
        <w:trPr>
          <w:trHeight w:val="896" w:hRule="exact"/>
        </w:trPr>
        <w:tc>
          <w:tcPr>
            <w:tcW w:w="1323"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姓名</w:t>
            </w:r>
            <w:r>
              <w:rPr>
                <w:rFonts w:ascii="Microsoft JhengHei" w:hAnsi="Microsoft JhengHei" w:cs="Microsoft JhengHei" w:eastAsia="Microsoft JhengHei" w:hint="default"/>
                <w:sz w:val="18"/>
                <w:szCs w:val="18"/>
              </w:rPr>
            </w:r>
          </w:p>
        </w:tc>
        <w:tc>
          <w:tcPr>
            <w:tcW w:w="1801"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职务</w:t>
            </w:r>
            <w:r>
              <w:rPr>
                <w:rFonts w:ascii="Microsoft JhengHei" w:hAnsi="Microsoft JhengHei" w:cs="Microsoft JhengHei" w:eastAsia="Microsoft JhengHei" w:hint="default"/>
                <w:sz w:val="18"/>
                <w:szCs w:val="18"/>
              </w:rPr>
            </w:r>
          </w:p>
        </w:tc>
        <w:tc>
          <w:tcPr>
            <w:tcW w:w="2076"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311" w:lineRule="exact" w:before="79"/>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获授的限制性股票数量</w:t>
            </w:r>
            <w:r>
              <w:rPr>
                <w:rFonts w:ascii="Microsoft JhengHei" w:hAnsi="Microsoft JhengHei" w:cs="Microsoft JhengHei" w:eastAsia="Microsoft JhengHei" w:hint="default"/>
                <w:sz w:val="18"/>
                <w:szCs w:val="18"/>
              </w:rPr>
            </w:r>
          </w:p>
          <w:p>
            <w:pPr>
              <w:pStyle w:val="TableParagraph"/>
              <w:spacing w:line="311"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w:t>
            </w:r>
            <w:r>
              <w:rPr>
                <w:rFonts w:ascii="Microsoft JhengHei" w:hAnsi="Microsoft JhengHei" w:cs="Microsoft JhengHei" w:eastAsia="Microsoft JhengHei" w:hint="default"/>
                <w:sz w:val="18"/>
                <w:szCs w:val="18"/>
              </w:rPr>
            </w:r>
          </w:p>
        </w:tc>
        <w:tc>
          <w:tcPr>
            <w:tcW w:w="2060"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71" w:lineRule="auto" w:before="57"/>
              <w:ind w:left="574" w:right="389" w:hanging="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占授予权益总量</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z w:val="18"/>
                <w:szCs w:val="18"/>
              </w:rPr>
              <w:t>比例（</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c>
          <w:tcPr>
            <w:tcW w:w="2410"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71" w:lineRule="auto" w:before="57"/>
              <w:ind w:left="653" w:right="651"/>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占最新总股本</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z w:val="18"/>
                <w:szCs w:val="18"/>
              </w:rPr>
              <w:t>的比例（</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r>
      <w:tr>
        <w:trPr>
          <w:trHeight w:val="401" w:hRule="exact"/>
        </w:trPr>
        <w:tc>
          <w:tcPr>
            <w:tcW w:w="13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何宁</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spacing w:val="-1"/>
                <w:sz w:val="18"/>
              </w:rPr>
              <w:t>100,000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3.17</w:t>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0.08</w:t>
            </w:r>
          </w:p>
        </w:tc>
      </w:tr>
      <w:tr>
        <w:trPr>
          <w:trHeight w:val="418" w:hRule="exact"/>
        </w:trPr>
        <w:tc>
          <w:tcPr>
            <w:tcW w:w="3123"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left="583" w:right="0"/>
              <w:jc w:val="left"/>
              <w:rPr>
                <w:rFonts w:ascii="宋体" w:hAnsi="宋体" w:cs="宋体" w:eastAsia="宋体" w:hint="default"/>
                <w:sz w:val="18"/>
                <w:szCs w:val="18"/>
              </w:rPr>
            </w:pPr>
            <w:r>
              <w:rPr>
                <w:rFonts w:ascii="宋体" w:hAnsi="宋体" w:cs="宋体" w:eastAsia="宋体" w:hint="default"/>
                <w:sz w:val="18"/>
                <w:szCs w:val="18"/>
              </w:rPr>
              <w:t>核心骨干员工（</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2,618,161</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82.94</w:t>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2.17</w:t>
            </w:r>
          </w:p>
        </w:tc>
      </w:tr>
      <w:tr>
        <w:trPr>
          <w:trHeight w:val="403" w:hRule="exact"/>
        </w:trPr>
        <w:tc>
          <w:tcPr>
            <w:tcW w:w="3123"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预留部分</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spacing w:val="-1"/>
                <w:sz w:val="18"/>
              </w:rPr>
              <w:t>438,628</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13.89</w:t>
            </w:r>
          </w:p>
        </w:tc>
        <w:tc>
          <w:tcPr>
            <w:tcW w:w="241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0.36</w:t>
            </w:r>
          </w:p>
        </w:tc>
      </w:tr>
      <w:tr>
        <w:trPr>
          <w:trHeight w:val="410" w:hRule="exact"/>
        </w:trPr>
        <w:tc>
          <w:tcPr>
            <w:tcW w:w="3123" w:type="dxa"/>
            <w:gridSpan w:val="2"/>
            <w:tcBorders>
              <w:top w:val="single" w:sz="4" w:space="0" w:color="000000"/>
              <w:left w:val="single" w:sz="12" w:space="0" w:color="000000"/>
              <w:bottom w:val="single" w:sz="12"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3,156,789</w:t>
            </w:r>
          </w:p>
        </w:tc>
        <w:tc>
          <w:tcPr>
            <w:tcW w:w="20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241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2.62</w:t>
            </w:r>
          </w:p>
        </w:tc>
      </w:tr>
    </w:tbl>
    <w:p>
      <w:pPr>
        <w:pStyle w:val="BodyText"/>
        <w:spacing w:line="304" w:lineRule="auto" w:before="11"/>
        <w:ind w:left="513" w:right="2203"/>
        <w:jc w:val="left"/>
      </w:pPr>
      <w:r>
        <w:rPr>
          <w:rFonts w:ascii="Times New Roman" w:hAnsi="Times New Roman" w:cs="Times New Roman" w:eastAsia="Times New Roman" w:hint="default"/>
        </w:rPr>
        <w:t>5</w:t>
      </w:r>
      <w:r>
        <w:rPr/>
        <w:t>、董事、高级管理人员各自的姓名、职务以及在报告期内历次获授、行使权益的情况和失效的权益数量 报告期内公司副总经理何宁获授限制性股票</w:t>
      </w:r>
      <w:r>
        <w:rPr>
          <w:rFonts w:ascii="Times New Roman" w:hAnsi="Times New Roman" w:cs="Times New Roman" w:eastAsia="Times New Roman" w:hint="default"/>
        </w:rPr>
        <w:t>100,000</w:t>
      </w:r>
      <w:r>
        <w:rPr/>
        <w:t>股，不存在权益行使或失效的情形。 </w:t>
      </w:r>
      <w:r>
        <w:rPr>
          <w:rFonts w:ascii="Times New Roman" w:hAnsi="Times New Roman" w:cs="Times New Roman" w:eastAsia="Times New Roman" w:hint="default"/>
        </w:rPr>
        <w:t>6</w:t>
      </w:r>
      <w:r>
        <w:rPr/>
        <w:t>、因激励对象行使权益所引起的股本变动情况 报告期内不存在因激励对象行使权益所引起的股本变动情况。 </w:t>
      </w:r>
      <w:r>
        <w:rPr>
          <w:rFonts w:ascii="Times New Roman" w:hAnsi="Times New Roman" w:cs="Times New Roman" w:eastAsia="Times New Roman" w:hint="default"/>
        </w:rPr>
        <w:t>7</w:t>
      </w:r>
      <w:r>
        <w:rPr/>
        <w:t>、股权激励的会计处理方法及股权激励费用对公司业绩的影响；</w:t>
      </w:r>
    </w:p>
    <w:p>
      <w:pPr>
        <w:pStyle w:val="BodyText"/>
        <w:spacing w:line="300" w:lineRule="auto" w:before="9"/>
        <w:ind w:right="967" w:firstLine="360"/>
        <w:jc w:val="left"/>
      </w:pPr>
      <w:r>
        <w:rPr>
          <w:spacing w:val="-2"/>
        </w:rPr>
        <w:t>报告期公司</w:t>
      </w:r>
      <w:r>
        <w:rPr>
          <w:rFonts w:ascii="Times New Roman" w:hAnsi="Times New Roman" w:cs="Times New Roman" w:eastAsia="Times New Roman" w:hint="default"/>
          <w:spacing w:val="-2"/>
        </w:rPr>
        <w:t>2019</w:t>
      </w:r>
      <w:r>
        <w:rPr>
          <w:spacing w:val="-2"/>
        </w:rPr>
        <w:t>年限制性股票激励计划首次授予股票发行完成后，公司总股本由</w:t>
      </w:r>
      <w:r>
        <w:rPr>
          <w:rFonts w:ascii="Times New Roman" w:hAnsi="Times New Roman" w:cs="Times New Roman" w:eastAsia="Times New Roman" w:hint="default"/>
          <w:spacing w:val="-2"/>
        </w:rPr>
        <w:t>117,800,000</w:t>
      </w:r>
      <w:r>
        <w:rPr>
          <w:spacing w:val="-2"/>
        </w:rPr>
        <w:t>股增加至</w:t>
      </w:r>
      <w:r>
        <w:rPr>
          <w:rFonts w:ascii="Times New Roman" w:hAnsi="Times New Roman" w:cs="Times New Roman" w:eastAsia="Times New Roman" w:hint="default"/>
          <w:spacing w:val="-2"/>
        </w:rPr>
        <w:t>120,518,161</w:t>
      </w:r>
      <w:r>
        <w:rPr>
          <w:spacing w:val="-2"/>
        </w:rPr>
        <w:t>股。股</w:t>
      </w:r>
      <w:r>
        <w:rPr/>
        <w:t> 份变动后，报告期基本每股收益为</w:t>
      </w:r>
      <w:r>
        <w:rPr>
          <w:rFonts w:ascii="Times New Roman" w:hAnsi="Times New Roman" w:cs="Times New Roman" w:eastAsia="Times New Roman" w:hint="default"/>
        </w:rPr>
        <w:t>7.43</w:t>
      </w:r>
      <w:r>
        <w:rPr/>
        <w:t>元，较上年同期的</w:t>
      </w:r>
      <w:r>
        <w:rPr>
          <w:rFonts w:ascii="Times New Roman" w:hAnsi="Times New Roman" w:cs="Times New Roman" w:eastAsia="Times New Roman" w:hint="default"/>
        </w:rPr>
        <w:t>0.18</w:t>
      </w:r>
      <w:r>
        <w:rPr/>
        <w:t>元增长</w:t>
      </w:r>
      <w:r>
        <w:rPr>
          <w:rFonts w:ascii="Times New Roman" w:hAnsi="Times New Roman" w:cs="Times New Roman" w:eastAsia="Times New Roman" w:hint="default"/>
        </w:rPr>
        <w:t>4,027.78%</w:t>
      </w:r>
      <w:r>
        <w:rPr/>
        <w:t>，稀释每股收益为</w:t>
      </w:r>
      <w:r>
        <w:rPr>
          <w:rFonts w:ascii="Times New Roman" w:hAnsi="Times New Roman" w:cs="Times New Roman" w:eastAsia="Times New Roman" w:hint="default"/>
        </w:rPr>
        <w:t>7.43</w:t>
      </w:r>
      <w:r>
        <w:rPr/>
        <w:t>元，较上年同期增长 </w:t>
      </w:r>
      <w:r>
        <w:rPr>
          <w:rFonts w:ascii="Times New Roman" w:hAnsi="Times New Roman" w:cs="Times New Roman" w:eastAsia="Times New Roman" w:hint="default"/>
        </w:rPr>
        <w:t>4,027.78%</w:t>
      </w:r>
      <w:r>
        <w:rPr/>
        <w:t>，报告期末归属于公司普通股股东的每股净资产为</w:t>
      </w:r>
      <w:r>
        <w:rPr>
          <w:rFonts w:ascii="Times New Roman" w:hAnsi="Times New Roman" w:cs="Times New Roman" w:eastAsia="Times New Roman" w:hint="default"/>
        </w:rPr>
        <w:t>15.79</w:t>
      </w:r>
      <w:r>
        <w:rPr/>
        <w:t>元，较上年同期末的</w:t>
      </w:r>
      <w:r>
        <w:rPr>
          <w:rFonts w:ascii="Times New Roman" w:hAnsi="Times New Roman" w:cs="Times New Roman" w:eastAsia="Times New Roman" w:hint="default"/>
        </w:rPr>
        <w:t>8.56</w:t>
      </w:r>
      <w:r>
        <w:rPr/>
        <w:t>元增长</w:t>
      </w:r>
      <w:r>
        <w:rPr>
          <w:rFonts w:ascii="Times New Roman" w:hAnsi="Times New Roman" w:cs="Times New Roman" w:eastAsia="Times New Roman" w:hint="default"/>
        </w:rPr>
        <w:t>84.32%</w:t>
      </w:r>
      <w:r>
        <w:rPr/>
        <w:t>。</w:t>
      </w:r>
    </w:p>
    <w:p>
      <w:pPr>
        <w:pStyle w:val="BodyText"/>
        <w:spacing w:line="300" w:lineRule="auto" w:before="13"/>
        <w:ind w:left="513" w:right="967"/>
        <w:jc w:val="left"/>
      </w:pPr>
      <w:r>
        <w:rPr>
          <w:rFonts w:ascii="Times New Roman" w:hAnsi="Times New Roman" w:cs="Times New Roman" w:eastAsia="Times New Roman" w:hint="default"/>
        </w:rPr>
        <w:t>8</w:t>
      </w:r>
      <w:r>
        <w:rPr/>
        <w:t>、报告期内激励对象获授权益、行使权益的条件是否成就的说明； </w:t>
      </w:r>
      <w:r>
        <w:rPr>
          <w:spacing w:val="-2"/>
        </w:rPr>
        <w:t>公司第二届董事会第三十三次会议和第二届监事会第十七次会议审议通过了《关于调整</w:t>
      </w:r>
      <w:r>
        <w:rPr>
          <w:rFonts w:ascii="宋体" w:hAnsi="宋体" w:cs="宋体" w:eastAsia="宋体" w:hint="default"/>
          <w:spacing w:val="-2"/>
        </w:rPr>
        <w:t>2019</w:t>
      </w:r>
      <w:r>
        <w:rPr>
          <w:spacing w:val="-2"/>
        </w:rPr>
        <w:t>年限制性股票激励计划激励</w:t>
      </w:r>
    </w:p>
    <w:p>
      <w:pPr>
        <w:pStyle w:val="BodyText"/>
        <w:spacing w:line="316" w:lineRule="auto" w:before="32"/>
        <w:ind w:right="1034"/>
        <w:jc w:val="left"/>
      </w:pPr>
      <w:r>
        <w:rPr>
          <w:spacing w:val="-2"/>
        </w:rPr>
        <w:t>对象名单及授予数量的议案》和《关于向激励对象首次授予限制性股票的议案》。公司独立董事发表了同意的独立意见，认</w:t>
      </w:r>
      <w:r>
        <w:rPr>
          <w:spacing w:val="-66"/>
        </w:rPr>
        <w:t> </w:t>
      </w:r>
      <w:r>
        <w:rPr>
          <w:spacing w:val="-66"/>
        </w:rPr>
      </w:r>
      <w:r>
        <w:rPr/>
        <w:t>为激励对象主体资格合法有效，确定的授予日符合相关规定，授予条件成就，不存在损害上市公司及全体股东利益的情形。</w:t>
      </w:r>
      <w:r>
        <w:rPr/>
        <w:t> </w:t>
      </w:r>
      <w:r>
        <w:rPr>
          <w:spacing w:val="-2"/>
        </w:rPr>
        <w:t>监事会对调整后的激励对象名单、授予数量以及董事会确定后的授予日等事项进行了核实，并发表了核查意见。律师出具了</w:t>
      </w:r>
      <w:r>
        <w:rPr>
          <w:spacing w:val="-66"/>
        </w:rPr>
        <w:t> </w:t>
      </w:r>
      <w:r>
        <w:rPr>
          <w:spacing w:val="-66"/>
        </w:rPr>
      </w:r>
      <w:r>
        <w:rPr/>
        <w:t>法律意见书。</w:t>
      </w:r>
    </w:p>
    <w:p>
      <w:pPr>
        <w:pStyle w:val="BodyText"/>
        <w:spacing w:line="316" w:lineRule="auto" w:before="19"/>
        <w:ind w:right="1131" w:firstLine="360"/>
        <w:jc w:val="both"/>
      </w:pPr>
      <w:r>
        <w:rPr/>
        <w:t>公司限制性股票的首次授予日为</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17</w:t>
      </w:r>
      <w:r>
        <w:rPr/>
        <w:t>日。本激励计划首次授予的限制性股票分三期解锁。第一个解锁期的解锁 </w:t>
      </w:r>
      <w:r>
        <w:rPr>
          <w:spacing w:val="-2"/>
        </w:rPr>
        <w:t>时间为自首次授予日起</w:t>
      </w:r>
      <w:r>
        <w:rPr>
          <w:rFonts w:ascii="宋体" w:hAnsi="宋体" w:cs="宋体" w:eastAsia="宋体" w:hint="default"/>
          <w:spacing w:val="-2"/>
        </w:rPr>
        <w:t>12</w:t>
      </w:r>
      <w:r>
        <w:rPr>
          <w:spacing w:val="-2"/>
        </w:rPr>
        <w:t>个月后的首个交易日起至首次授予日起</w:t>
      </w:r>
      <w:r>
        <w:rPr>
          <w:rFonts w:ascii="宋体" w:hAnsi="宋体" w:cs="宋体" w:eastAsia="宋体" w:hint="default"/>
          <w:spacing w:val="-2"/>
        </w:rPr>
        <w:t>24</w:t>
      </w:r>
      <w:r>
        <w:rPr>
          <w:spacing w:val="-2"/>
        </w:rPr>
        <w:t>个月内的最后一个交易日当日止。报告期内尚未达成激励</w:t>
      </w:r>
      <w:r>
        <w:rPr>
          <w:spacing w:val="-63"/>
        </w:rPr>
        <w:t> </w:t>
      </w:r>
      <w:r>
        <w:rPr>
          <w:spacing w:val="-63"/>
        </w:rPr>
      </w:r>
      <w:r>
        <w:rPr/>
        <w:t>对象行使权益的条件。</w:t>
      </w:r>
    </w:p>
    <w:p>
      <w:pPr>
        <w:spacing w:after="0" w:line="316" w:lineRule="auto"/>
        <w:jc w:val="both"/>
        <w:sectPr>
          <w:pgSz w:w="11910" w:h="16840"/>
          <w:pgMar w:header="877" w:footer="979" w:top="1100" w:bottom="1160" w:left="980" w:right="0"/>
        </w:sectPr>
      </w:pPr>
    </w:p>
    <w:p>
      <w:pPr>
        <w:pStyle w:val="Heading2"/>
        <w:spacing w:line="369" w:lineRule="exact"/>
        <w:ind w:left="220" w:right="0"/>
        <w:jc w:val="left"/>
        <w:rPr>
          <w:b w:val="0"/>
          <w:bCs w:val="0"/>
        </w:rPr>
      </w:pPr>
      <w:r>
        <w:rPr/>
        <w:pict>
          <v:group style="position:absolute;margin-left:70.559998pt;margin-top:2.202064pt;width:700.95pt;height:.1pt;mso-position-horizontal-relative:page;mso-position-vertical-relative:paragraph;z-index:-1531384" coordorigin="1411,44" coordsize="14019,2">
            <v:shape style="position:absolute;left:1411;top:44;width:14019;height:2" coordorigin="1411,44" coordsize="14019,0" path="m1411,44l15430,44e" filled="false" stroked="true" strokeweight=".72pt" strokecolor="#000000">
              <v:path arrowok="t"/>
            </v:shape>
            <w10:wrap type="none"/>
          </v:group>
        </w:pict>
      </w:r>
      <w:r>
        <w:rPr/>
        <w:t>十六、重大关联交易</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left="220"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22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987"/>
        <w:gridCol w:w="802"/>
        <w:gridCol w:w="799"/>
        <w:gridCol w:w="840"/>
        <w:gridCol w:w="802"/>
        <w:gridCol w:w="794"/>
        <w:gridCol w:w="1404"/>
        <w:gridCol w:w="1464"/>
        <w:gridCol w:w="1070"/>
        <w:gridCol w:w="797"/>
        <w:gridCol w:w="797"/>
        <w:gridCol w:w="794"/>
        <w:gridCol w:w="792"/>
        <w:gridCol w:w="2235"/>
      </w:tblGrid>
      <w:tr>
        <w:trPr>
          <w:trHeight w:val="355" w:hRule="exact"/>
        </w:trPr>
        <w:tc>
          <w:tcPr>
            <w:tcW w:w="9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27" w:right="0"/>
              <w:jc w:val="left"/>
              <w:rPr>
                <w:rFonts w:ascii="宋体" w:hAnsi="宋体" w:cs="宋体" w:eastAsia="宋体" w:hint="default"/>
                <w:sz w:val="18"/>
                <w:szCs w:val="18"/>
              </w:rPr>
            </w:pPr>
            <w:r>
              <w:rPr>
                <w:rFonts w:ascii="宋体" w:hAnsi="宋体" w:cs="宋体" w:eastAsia="宋体" w:hint="default"/>
                <w:sz w:val="18"/>
                <w:szCs w:val="18"/>
              </w:rPr>
              <w:t>关联交易</w:t>
            </w:r>
          </w:p>
        </w:tc>
        <w:tc>
          <w:tcPr>
            <w:tcW w:w="8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关联关</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关联交</w:t>
            </w:r>
          </w:p>
        </w:tc>
        <w:tc>
          <w:tcPr>
            <w:tcW w:w="8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关联交</w:t>
            </w:r>
          </w:p>
        </w:tc>
        <w:tc>
          <w:tcPr>
            <w:tcW w:w="8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关联交</w:t>
            </w:r>
          </w:p>
        </w:tc>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关联交</w:t>
            </w:r>
          </w:p>
        </w:tc>
        <w:tc>
          <w:tcPr>
            <w:tcW w:w="14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关联交易金额</w:t>
            </w:r>
          </w:p>
        </w:tc>
        <w:tc>
          <w:tcPr>
            <w:tcW w:w="14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占同类交易金</w:t>
            </w:r>
          </w:p>
        </w:tc>
        <w:tc>
          <w:tcPr>
            <w:tcW w:w="10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获批的交</w:t>
            </w: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是否超</w:t>
            </w: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关联交</w:t>
            </w:r>
          </w:p>
        </w:tc>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可获得</w:t>
            </w:r>
          </w:p>
        </w:tc>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披露日</w:t>
            </w:r>
          </w:p>
        </w:tc>
        <w:tc>
          <w:tcPr>
            <w:tcW w:w="22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312" w:hRule="exact"/>
        </w:trPr>
        <w:tc>
          <w:tcPr>
            <w:tcW w:w="9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方</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系</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易类型</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41" w:right="0"/>
              <w:jc w:val="left"/>
              <w:rPr>
                <w:rFonts w:ascii="宋体" w:hAnsi="宋体" w:cs="宋体" w:eastAsia="宋体" w:hint="default"/>
                <w:sz w:val="18"/>
                <w:szCs w:val="18"/>
              </w:rPr>
            </w:pPr>
            <w:r>
              <w:rPr>
                <w:rFonts w:ascii="宋体" w:hAnsi="宋体" w:cs="宋体" w:eastAsia="宋体" w:hint="default"/>
                <w:sz w:val="18"/>
                <w:szCs w:val="18"/>
              </w:rPr>
              <w:t>易内容</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易定价</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易价格</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3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4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67" w:right="0"/>
              <w:jc w:val="left"/>
              <w:rPr>
                <w:rFonts w:ascii="宋体" w:hAnsi="宋体" w:cs="宋体" w:eastAsia="宋体" w:hint="default"/>
                <w:sz w:val="18"/>
                <w:szCs w:val="18"/>
              </w:rPr>
            </w:pPr>
            <w:r>
              <w:rPr>
                <w:rFonts w:ascii="宋体" w:hAnsi="宋体" w:cs="宋体" w:eastAsia="宋体" w:hint="default"/>
                <w:sz w:val="18"/>
                <w:szCs w:val="18"/>
              </w:rPr>
              <w:t>额的比例</w:t>
            </w:r>
          </w:p>
        </w:tc>
        <w:tc>
          <w:tcPr>
            <w:tcW w:w="10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9"/>
                <w:sz w:val="18"/>
                <w:szCs w:val="18"/>
              </w:rPr>
              <w:t>易额度（万</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过获批</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易结算</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的同类</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w:t>
            </w:r>
          </w:p>
        </w:tc>
        <w:tc>
          <w:tcPr>
            <w:tcW w:w="223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87" w:type="dxa"/>
            <w:tcBorders>
              <w:top w:val="nil" w:sz="6" w:space="0" w:color="auto"/>
              <w:left w:val="single" w:sz="4" w:space="0" w:color="000000"/>
              <w:bottom w:val="nil" w:sz="6" w:space="0" w:color="auto"/>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4" w:right="0"/>
              <w:jc w:val="left"/>
              <w:rPr>
                <w:rFonts w:ascii="宋体" w:hAnsi="宋体" w:cs="宋体" w:eastAsia="宋体" w:hint="default"/>
                <w:sz w:val="18"/>
                <w:szCs w:val="18"/>
              </w:rPr>
            </w:pPr>
            <w:r>
              <w:rPr>
                <w:rFonts w:ascii="宋体" w:hAnsi="宋体" w:cs="宋体" w:eastAsia="宋体" w:hint="default"/>
                <w:sz w:val="18"/>
                <w:szCs w:val="18"/>
              </w:rPr>
              <w:t>原则</w:t>
            </w:r>
          </w:p>
        </w:tc>
        <w:tc>
          <w:tcPr>
            <w:tcW w:w="794" w:type="dxa"/>
            <w:tcBorders>
              <w:top w:val="nil" w:sz="6" w:space="0" w:color="auto"/>
              <w:left w:val="single" w:sz="4" w:space="0" w:color="000000"/>
              <w:bottom w:val="nil" w:sz="6" w:space="0" w:color="auto"/>
              <w:right w:val="single" w:sz="4" w:space="0" w:color="000000"/>
            </w:tcBorders>
          </w:tcPr>
          <w:p>
            <w:pPr/>
          </w:p>
        </w:tc>
        <w:tc>
          <w:tcPr>
            <w:tcW w:w="1404" w:type="dxa"/>
            <w:tcBorders>
              <w:top w:val="nil" w:sz="6" w:space="0" w:color="auto"/>
              <w:left w:val="single" w:sz="4" w:space="0" w:color="000000"/>
              <w:bottom w:val="nil" w:sz="6" w:space="0" w:color="auto"/>
              <w:right w:val="single" w:sz="4" w:space="0" w:color="000000"/>
            </w:tcBorders>
          </w:tcPr>
          <w:p>
            <w:pPr/>
          </w:p>
        </w:tc>
        <w:tc>
          <w:tcPr>
            <w:tcW w:w="1464"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5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3" w:right="0"/>
              <w:jc w:val="left"/>
              <w:rPr>
                <w:rFonts w:ascii="宋体" w:hAnsi="宋体" w:cs="宋体" w:eastAsia="宋体" w:hint="default"/>
                <w:sz w:val="18"/>
                <w:szCs w:val="18"/>
              </w:rPr>
            </w:pPr>
            <w:r>
              <w:rPr>
                <w:rFonts w:ascii="宋体" w:hAnsi="宋体" w:cs="宋体" w:eastAsia="宋体" w:hint="default"/>
                <w:sz w:val="18"/>
                <w:szCs w:val="18"/>
              </w:rPr>
              <w:t>额度</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3" w:right="0"/>
              <w:jc w:val="left"/>
              <w:rPr>
                <w:rFonts w:ascii="宋体" w:hAnsi="宋体" w:cs="宋体" w:eastAsia="宋体" w:hint="default"/>
                <w:sz w:val="18"/>
                <w:szCs w:val="18"/>
              </w:rPr>
            </w:pPr>
            <w:r>
              <w:rPr>
                <w:rFonts w:ascii="宋体" w:hAnsi="宋体" w:cs="宋体" w:eastAsia="宋体" w:hint="default"/>
                <w:sz w:val="18"/>
                <w:szCs w:val="18"/>
              </w:rPr>
              <w:t>方式</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交易市</w:t>
            </w:r>
          </w:p>
        </w:tc>
        <w:tc>
          <w:tcPr>
            <w:tcW w:w="792" w:type="dxa"/>
            <w:tcBorders>
              <w:top w:val="nil" w:sz="6" w:space="0" w:color="auto"/>
              <w:left w:val="single" w:sz="4" w:space="0" w:color="000000"/>
              <w:bottom w:val="nil" w:sz="6" w:space="0" w:color="auto"/>
              <w:right w:val="single" w:sz="4" w:space="0" w:color="000000"/>
            </w:tcBorders>
          </w:tcPr>
          <w:p>
            <w:pPr/>
          </w:p>
        </w:tc>
        <w:tc>
          <w:tcPr>
            <w:tcW w:w="2235" w:type="dxa"/>
            <w:tcBorders>
              <w:top w:val="nil" w:sz="6" w:space="0" w:color="auto"/>
              <w:left w:val="single" w:sz="4" w:space="0" w:color="000000"/>
              <w:bottom w:val="nil" w:sz="6" w:space="0" w:color="auto"/>
              <w:right w:val="single" w:sz="4" w:space="0" w:color="000000"/>
            </w:tcBorders>
          </w:tcPr>
          <w:p>
            <w:pPr/>
          </w:p>
        </w:tc>
      </w:tr>
      <w:tr>
        <w:trPr>
          <w:trHeight w:val="437" w:hRule="exact"/>
        </w:trPr>
        <w:tc>
          <w:tcPr>
            <w:tcW w:w="987"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840"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64" w:type="dxa"/>
            <w:tcBorders>
              <w:top w:val="nil" w:sz="6" w:space="0" w:color="auto"/>
              <w:left w:val="single" w:sz="4" w:space="0" w:color="000000"/>
              <w:bottom w:val="single" w:sz="4" w:space="0" w:color="000000"/>
              <w:right w:val="single" w:sz="4" w:space="0" w:color="000000"/>
            </w:tcBorders>
          </w:tcPr>
          <w:p>
            <w:pPr/>
          </w:p>
        </w:tc>
        <w:tc>
          <w:tcPr>
            <w:tcW w:w="107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价</w:t>
            </w:r>
          </w:p>
        </w:tc>
        <w:tc>
          <w:tcPr>
            <w:tcW w:w="792" w:type="dxa"/>
            <w:tcBorders>
              <w:top w:val="nil" w:sz="6" w:space="0" w:color="auto"/>
              <w:left w:val="single" w:sz="4" w:space="0" w:color="000000"/>
              <w:bottom w:val="single" w:sz="4" w:space="0" w:color="000000"/>
              <w:right w:val="single" w:sz="4" w:space="0" w:color="000000"/>
            </w:tcBorders>
          </w:tcPr>
          <w:p>
            <w:pPr/>
          </w:p>
        </w:tc>
        <w:tc>
          <w:tcPr>
            <w:tcW w:w="2235"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9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山东高速</w:t>
            </w:r>
          </w:p>
        </w:tc>
        <w:tc>
          <w:tcPr>
            <w:tcW w:w="8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参股公</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销售商</w:t>
            </w:r>
          </w:p>
        </w:tc>
        <w:tc>
          <w:tcPr>
            <w:tcW w:w="8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销售高</w:t>
            </w:r>
          </w:p>
        </w:tc>
        <w:tc>
          <w:tcPr>
            <w:tcW w:w="8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市场化</w:t>
            </w:r>
          </w:p>
        </w:tc>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市场化</w:t>
            </w:r>
          </w:p>
        </w:tc>
        <w:tc>
          <w:tcPr>
            <w:tcW w:w="14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23,980.20</w:t>
            </w:r>
          </w:p>
        </w:tc>
        <w:tc>
          <w:tcPr>
            <w:tcW w:w="14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4.90%</w:t>
            </w:r>
          </w:p>
        </w:tc>
        <w:tc>
          <w:tcPr>
            <w:tcW w:w="10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24,000</w:t>
            </w: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银行转</w:t>
            </w:r>
          </w:p>
        </w:tc>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4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22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12" w:hRule="exact"/>
        </w:trPr>
        <w:tc>
          <w:tcPr>
            <w:tcW w:w="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信联科技</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品</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速公路</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定价原</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定价原</w:t>
            </w:r>
          </w:p>
        </w:tc>
        <w:tc>
          <w:tcPr>
            <w:tcW w:w="1404" w:type="dxa"/>
            <w:tcBorders>
              <w:top w:val="nil" w:sz="6" w:space="0" w:color="auto"/>
              <w:left w:val="single" w:sz="4" w:space="0" w:color="000000"/>
              <w:bottom w:val="nil" w:sz="6" w:space="0" w:color="auto"/>
              <w:right w:val="single" w:sz="4" w:space="0" w:color="000000"/>
            </w:tcBorders>
          </w:tcPr>
          <w:p>
            <w:pPr/>
          </w:p>
        </w:tc>
        <w:tc>
          <w:tcPr>
            <w:tcW w:w="1464"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账</w:t>
            </w:r>
          </w:p>
        </w:tc>
        <w:tc>
          <w:tcPr>
            <w:tcW w:w="794"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2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22">
              <w:r>
                <w:rPr>
                  <w:rFonts w:ascii="Times New Roman" w:hAnsi="Times New Roman" w:cs="Times New Roman" w:eastAsia="Times New Roman" w:hint="default"/>
                  <w:sz w:val="18"/>
                  <w:szCs w:val="18"/>
                </w:rPr>
                <w:t>http://www.cninfo.com.c</w:t>
              </w:r>
            </w:hyperlink>
          </w:p>
        </w:tc>
      </w:tr>
      <w:tr>
        <w:trPr>
          <w:trHeight w:val="312" w:hRule="exact"/>
        </w:trPr>
        <w:tc>
          <w:tcPr>
            <w:tcW w:w="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02"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收费相</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则</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则</w:t>
            </w:r>
          </w:p>
        </w:tc>
        <w:tc>
          <w:tcPr>
            <w:tcW w:w="1404" w:type="dxa"/>
            <w:tcBorders>
              <w:top w:val="nil" w:sz="6" w:space="0" w:color="auto"/>
              <w:left w:val="single" w:sz="4" w:space="0" w:color="000000"/>
              <w:bottom w:val="nil" w:sz="6" w:space="0" w:color="auto"/>
              <w:right w:val="single" w:sz="4" w:space="0" w:color="000000"/>
            </w:tcBorders>
          </w:tcPr>
          <w:p>
            <w:pPr/>
          </w:p>
        </w:tc>
        <w:tc>
          <w:tcPr>
            <w:tcW w:w="1464"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w:t>
            </w:r>
            <w:r>
              <w:rPr>
                <w:rFonts w:ascii="宋体" w:hAnsi="宋体" w:cs="宋体" w:eastAsia="宋体" w:hint="default"/>
                <w:sz w:val="18"/>
                <w:szCs w:val="18"/>
              </w:rPr>
              <w:t>《关于公司与参股公司</w:t>
            </w:r>
          </w:p>
        </w:tc>
      </w:tr>
      <w:tr>
        <w:trPr>
          <w:trHeight w:val="312" w:hRule="exact"/>
        </w:trPr>
        <w:tc>
          <w:tcPr>
            <w:tcW w:w="987" w:type="dxa"/>
            <w:tcBorders>
              <w:top w:val="nil" w:sz="6" w:space="0" w:color="auto"/>
              <w:left w:val="single" w:sz="4" w:space="0" w:color="000000"/>
              <w:bottom w:val="nil" w:sz="6" w:space="0" w:color="auto"/>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关设备</w:t>
            </w:r>
          </w:p>
        </w:tc>
        <w:tc>
          <w:tcPr>
            <w:tcW w:w="802"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1404" w:type="dxa"/>
            <w:tcBorders>
              <w:top w:val="nil" w:sz="6" w:space="0" w:color="auto"/>
              <w:left w:val="single" w:sz="4" w:space="0" w:color="000000"/>
              <w:bottom w:val="nil" w:sz="6" w:space="0" w:color="auto"/>
              <w:right w:val="single" w:sz="4" w:space="0" w:color="000000"/>
            </w:tcBorders>
          </w:tcPr>
          <w:p>
            <w:pPr/>
          </w:p>
        </w:tc>
        <w:tc>
          <w:tcPr>
            <w:tcW w:w="1464"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
        </w:tc>
        <w:tc>
          <w:tcPr>
            <w:tcW w:w="2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关联交易及新增</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307" w:hRule="exact"/>
        </w:trPr>
        <w:tc>
          <w:tcPr>
            <w:tcW w:w="987" w:type="dxa"/>
            <w:tcBorders>
              <w:top w:val="nil" w:sz="6" w:space="0" w:color="auto"/>
              <w:left w:val="single" w:sz="4" w:space="0" w:color="000000"/>
              <w:bottom w:val="nil" w:sz="6" w:space="0" w:color="auto"/>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及服务</w:t>
            </w:r>
          </w:p>
        </w:tc>
        <w:tc>
          <w:tcPr>
            <w:tcW w:w="802"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1404" w:type="dxa"/>
            <w:tcBorders>
              <w:top w:val="nil" w:sz="6" w:space="0" w:color="auto"/>
              <w:left w:val="single" w:sz="4" w:space="0" w:color="000000"/>
              <w:bottom w:val="nil" w:sz="6" w:space="0" w:color="auto"/>
              <w:right w:val="single" w:sz="4" w:space="0" w:color="000000"/>
            </w:tcBorders>
          </w:tcPr>
          <w:p>
            <w:pPr/>
          </w:p>
        </w:tc>
        <w:tc>
          <w:tcPr>
            <w:tcW w:w="1464"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
        </w:tc>
        <w:tc>
          <w:tcPr>
            <w:tcW w:w="2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度日常关联交易预计的公</w:t>
            </w:r>
          </w:p>
        </w:tc>
      </w:tr>
      <w:tr>
        <w:trPr>
          <w:trHeight w:val="506" w:hRule="exact"/>
        </w:trPr>
        <w:tc>
          <w:tcPr>
            <w:tcW w:w="987"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840"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64" w:type="dxa"/>
            <w:tcBorders>
              <w:top w:val="nil" w:sz="6" w:space="0" w:color="auto"/>
              <w:left w:val="single" w:sz="4" w:space="0" w:color="000000"/>
              <w:bottom w:val="single" w:sz="4" w:space="0" w:color="000000"/>
              <w:right w:val="single" w:sz="4" w:space="0" w:color="000000"/>
            </w:tcBorders>
          </w:tcPr>
          <w:p>
            <w:pPr/>
          </w:p>
        </w:tc>
        <w:tc>
          <w:tcPr>
            <w:tcW w:w="107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792" w:type="dxa"/>
            <w:tcBorders>
              <w:top w:val="nil" w:sz="6" w:space="0" w:color="auto"/>
              <w:left w:val="single" w:sz="4" w:space="0" w:color="000000"/>
              <w:bottom w:val="single" w:sz="4" w:space="0" w:color="000000"/>
              <w:right w:val="single" w:sz="4" w:space="0" w:color="000000"/>
            </w:tcBorders>
          </w:tcPr>
          <w:p>
            <w:pPr/>
          </w:p>
        </w:tc>
        <w:tc>
          <w:tcPr>
            <w:tcW w:w="22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142"/>
                <w:sz w:val="18"/>
                <w:szCs w:val="18"/>
              </w:rPr>
              <w:t>》</w:t>
            </w:r>
            <w:r>
              <w:rPr>
                <w:rFonts w:ascii="宋体" w:hAnsi="宋体" w:cs="宋体" w:eastAsia="宋体" w:hint="default"/>
                <w:sz w:val="18"/>
                <w:szCs w:val="18"/>
              </w:rPr>
              <w:t>（公告编号</w:t>
            </w:r>
            <w:r>
              <w:rPr>
                <w:rFonts w:ascii="宋体" w:hAnsi="宋体" w:cs="宋体" w:eastAsia="宋体" w:hint="default"/>
                <w:spacing w:val="-50"/>
                <w:sz w:val="18"/>
                <w:szCs w:val="18"/>
              </w:rPr>
              <w:t>：</w:t>
            </w:r>
            <w:r>
              <w:rPr>
                <w:rFonts w:ascii="Times New Roman" w:hAnsi="Times New Roman" w:cs="Times New Roman" w:eastAsia="Times New Roman" w:hint="default"/>
                <w:spacing w:val="1"/>
                <w:sz w:val="18"/>
                <w:szCs w:val="18"/>
              </w:rPr>
              <w:t>2019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w:t>
            </w:r>
          </w:p>
        </w:tc>
      </w:tr>
      <w:tr>
        <w:trPr>
          <w:trHeight w:val="361" w:hRule="exact"/>
        </w:trPr>
        <w:tc>
          <w:tcPr>
            <w:tcW w:w="9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山东高速</w:t>
            </w:r>
          </w:p>
        </w:tc>
        <w:tc>
          <w:tcPr>
            <w:tcW w:w="8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参股公</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销售商</w:t>
            </w:r>
          </w:p>
        </w:tc>
        <w:tc>
          <w:tcPr>
            <w:tcW w:w="8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销售高</w:t>
            </w:r>
          </w:p>
        </w:tc>
        <w:tc>
          <w:tcPr>
            <w:tcW w:w="8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市场化</w:t>
            </w:r>
          </w:p>
        </w:tc>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市场化</w:t>
            </w:r>
          </w:p>
        </w:tc>
        <w:tc>
          <w:tcPr>
            <w:tcW w:w="14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7,927.91</w:t>
            </w:r>
          </w:p>
        </w:tc>
        <w:tc>
          <w:tcPr>
            <w:tcW w:w="14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1.62%</w:t>
            </w:r>
          </w:p>
        </w:tc>
        <w:tc>
          <w:tcPr>
            <w:tcW w:w="10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9,500</w:t>
            </w: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银行转</w:t>
            </w:r>
          </w:p>
        </w:tc>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4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22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12" w:hRule="exact"/>
        </w:trPr>
        <w:tc>
          <w:tcPr>
            <w:tcW w:w="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信威信息</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品</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速公路</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定价原</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定价原</w:t>
            </w:r>
          </w:p>
        </w:tc>
        <w:tc>
          <w:tcPr>
            <w:tcW w:w="1404" w:type="dxa"/>
            <w:tcBorders>
              <w:top w:val="nil" w:sz="6" w:space="0" w:color="auto"/>
              <w:left w:val="single" w:sz="4" w:space="0" w:color="000000"/>
              <w:bottom w:val="nil" w:sz="6" w:space="0" w:color="auto"/>
              <w:right w:val="single" w:sz="4" w:space="0" w:color="000000"/>
            </w:tcBorders>
          </w:tcPr>
          <w:p>
            <w:pPr/>
          </w:p>
        </w:tc>
        <w:tc>
          <w:tcPr>
            <w:tcW w:w="1464"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账</w:t>
            </w:r>
          </w:p>
        </w:tc>
        <w:tc>
          <w:tcPr>
            <w:tcW w:w="794"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2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22">
              <w:r>
                <w:rPr>
                  <w:rFonts w:ascii="Times New Roman" w:hAnsi="Times New Roman" w:cs="Times New Roman" w:eastAsia="Times New Roman" w:hint="default"/>
                  <w:sz w:val="18"/>
                  <w:szCs w:val="18"/>
                </w:rPr>
                <w:t>http://www.cninfo.com.c</w:t>
              </w:r>
            </w:hyperlink>
          </w:p>
        </w:tc>
      </w:tr>
      <w:tr>
        <w:trPr>
          <w:trHeight w:val="312" w:hRule="exact"/>
        </w:trPr>
        <w:tc>
          <w:tcPr>
            <w:tcW w:w="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科技有限</w:t>
            </w:r>
          </w:p>
        </w:tc>
        <w:tc>
          <w:tcPr>
            <w:tcW w:w="802"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收费相</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则</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则</w:t>
            </w:r>
          </w:p>
        </w:tc>
        <w:tc>
          <w:tcPr>
            <w:tcW w:w="1404" w:type="dxa"/>
            <w:tcBorders>
              <w:top w:val="nil" w:sz="6" w:space="0" w:color="auto"/>
              <w:left w:val="single" w:sz="4" w:space="0" w:color="000000"/>
              <w:bottom w:val="nil" w:sz="6" w:space="0" w:color="auto"/>
              <w:right w:val="single" w:sz="4" w:space="0" w:color="000000"/>
            </w:tcBorders>
          </w:tcPr>
          <w:p>
            <w:pPr/>
          </w:p>
        </w:tc>
        <w:tc>
          <w:tcPr>
            <w:tcW w:w="1464"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《关于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年度日常</w:t>
            </w:r>
          </w:p>
        </w:tc>
      </w:tr>
      <w:tr>
        <w:trPr>
          <w:trHeight w:val="307" w:hRule="exact"/>
        </w:trPr>
        <w:tc>
          <w:tcPr>
            <w:tcW w:w="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02"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关设备</w:t>
            </w:r>
          </w:p>
        </w:tc>
        <w:tc>
          <w:tcPr>
            <w:tcW w:w="802"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1404" w:type="dxa"/>
            <w:tcBorders>
              <w:top w:val="nil" w:sz="6" w:space="0" w:color="auto"/>
              <w:left w:val="single" w:sz="4" w:space="0" w:color="000000"/>
              <w:bottom w:val="nil" w:sz="6" w:space="0" w:color="auto"/>
              <w:right w:val="single" w:sz="4" w:space="0" w:color="000000"/>
            </w:tcBorders>
          </w:tcPr>
          <w:p>
            <w:pPr/>
          </w:p>
        </w:tc>
        <w:tc>
          <w:tcPr>
            <w:tcW w:w="1464"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
        </w:tc>
        <w:tc>
          <w:tcPr>
            <w:tcW w:w="2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关联交易预计的公告</w:t>
            </w:r>
            <w:r>
              <w:rPr>
                <w:rFonts w:ascii="宋体" w:hAnsi="宋体" w:cs="宋体" w:eastAsia="宋体" w:hint="default"/>
                <w:spacing w:val="-144"/>
                <w:sz w:val="18"/>
                <w:szCs w:val="18"/>
              </w:rPr>
              <w:t>》</w:t>
            </w:r>
            <w:r>
              <w:rPr>
                <w:rFonts w:ascii="宋体" w:hAnsi="宋体" w:cs="宋体" w:eastAsia="宋体" w:hint="default"/>
                <w:sz w:val="18"/>
                <w:szCs w:val="18"/>
              </w:rPr>
              <w:t>（公</w:t>
            </w:r>
          </w:p>
        </w:tc>
      </w:tr>
      <w:tr>
        <w:trPr>
          <w:trHeight w:val="317" w:hRule="exact"/>
        </w:trPr>
        <w:tc>
          <w:tcPr>
            <w:tcW w:w="987" w:type="dxa"/>
            <w:tcBorders>
              <w:top w:val="nil" w:sz="6" w:space="0" w:color="auto"/>
              <w:left w:val="single" w:sz="4" w:space="0" w:color="000000"/>
              <w:bottom w:val="nil" w:sz="6" w:space="0" w:color="auto"/>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及服务</w:t>
            </w:r>
          </w:p>
        </w:tc>
        <w:tc>
          <w:tcPr>
            <w:tcW w:w="802"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1404" w:type="dxa"/>
            <w:tcBorders>
              <w:top w:val="nil" w:sz="6" w:space="0" w:color="auto"/>
              <w:left w:val="single" w:sz="4" w:space="0" w:color="000000"/>
              <w:bottom w:val="nil" w:sz="6" w:space="0" w:color="auto"/>
              <w:right w:val="single" w:sz="4" w:space="0" w:color="000000"/>
            </w:tcBorders>
          </w:tcPr>
          <w:p>
            <w:pPr/>
          </w:p>
        </w:tc>
        <w:tc>
          <w:tcPr>
            <w:tcW w:w="1464"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
        </w:tc>
        <w:tc>
          <w:tcPr>
            <w:tcW w:w="2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告编号：</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15</w:t>
            </w:r>
            <w:r>
              <w:rPr>
                <w:rFonts w:ascii="宋体" w:hAnsi="宋体" w:cs="宋体" w:eastAsia="宋体" w:hint="default"/>
                <w:spacing w:val="-92"/>
                <w:sz w:val="18"/>
                <w:szCs w:val="18"/>
              </w:rPr>
              <w:t>）、</w:t>
            </w:r>
            <w:r>
              <w:rPr>
                <w:rFonts w:ascii="宋体" w:hAnsi="宋体" w:cs="宋体" w:eastAsia="宋体" w:hint="default"/>
                <w:sz w:val="18"/>
                <w:szCs w:val="18"/>
              </w:rPr>
              <w:t>《关</w:t>
            </w:r>
          </w:p>
        </w:tc>
      </w:tr>
      <w:tr>
        <w:trPr>
          <w:trHeight w:val="312" w:hRule="exact"/>
        </w:trPr>
        <w:tc>
          <w:tcPr>
            <w:tcW w:w="987" w:type="dxa"/>
            <w:tcBorders>
              <w:top w:val="nil" w:sz="6" w:space="0" w:color="auto"/>
              <w:left w:val="single" w:sz="4" w:space="0" w:color="000000"/>
              <w:bottom w:val="nil" w:sz="6" w:space="0" w:color="auto"/>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1404" w:type="dxa"/>
            <w:tcBorders>
              <w:top w:val="nil" w:sz="6" w:space="0" w:color="auto"/>
              <w:left w:val="single" w:sz="4" w:space="0" w:color="000000"/>
              <w:bottom w:val="nil" w:sz="6" w:space="0" w:color="auto"/>
              <w:right w:val="single" w:sz="4" w:space="0" w:color="000000"/>
            </w:tcBorders>
          </w:tcPr>
          <w:p>
            <w:pPr/>
          </w:p>
        </w:tc>
        <w:tc>
          <w:tcPr>
            <w:tcW w:w="1464"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
        </w:tc>
        <w:tc>
          <w:tcPr>
            <w:tcW w:w="2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于调整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年度日常关</w:t>
            </w:r>
          </w:p>
        </w:tc>
      </w:tr>
      <w:tr>
        <w:trPr>
          <w:trHeight w:val="307" w:hRule="exact"/>
        </w:trPr>
        <w:tc>
          <w:tcPr>
            <w:tcW w:w="987" w:type="dxa"/>
            <w:tcBorders>
              <w:top w:val="nil" w:sz="6" w:space="0" w:color="auto"/>
              <w:left w:val="single" w:sz="4" w:space="0" w:color="000000"/>
              <w:bottom w:val="nil" w:sz="6" w:space="0" w:color="auto"/>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1404" w:type="dxa"/>
            <w:tcBorders>
              <w:top w:val="nil" w:sz="6" w:space="0" w:color="auto"/>
              <w:left w:val="single" w:sz="4" w:space="0" w:color="000000"/>
              <w:bottom w:val="nil" w:sz="6" w:space="0" w:color="auto"/>
              <w:right w:val="single" w:sz="4" w:space="0" w:color="000000"/>
            </w:tcBorders>
          </w:tcPr>
          <w:p>
            <w:pPr/>
          </w:p>
        </w:tc>
        <w:tc>
          <w:tcPr>
            <w:tcW w:w="1464"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
        </w:tc>
        <w:tc>
          <w:tcPr>
            <w:tcW w:w="2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联交易预计的公告</w:t>
            </w:r>
            <w:r>
              <w:rPr>
                <w:rFonts w:ascii="宋体" w:hAnsi="宋体" w:cs="宋体" w:eastAsia="宋体" w:hint="default"/>
                <w:spacing w:val="-144"/>
                <w:sz w:val="18"/>
                <w:szCs w:val="18"/>
              </w:rPr>
              <w:t>》</w:t>
            </w:r>
            <w:r>
              <w:rPr>
                <w:rFonts w:ascii="宋体" w:hAnsi="宋体" w:cs="宋体" w:eastAsia="宋体" w:hint="default"/>
                <w:sz w:val="18"/>
                <w:szCs w:val="18"/>
              </w:rPr>
              <w:t>（公告</w:t>
            </w:r>
          </w:p>
        </w:tc>
      </w:tr>
      <w:tr>
        <w:trPr>
          <w:trHeight w:val="317" w:hRule="exact"/>
        </w:trPr>
        <w:tc>
          <w:tcPr>
            <w:tcW w:w="987" w:type="dxa"/>
            <w:tcBorders>
              <w:top w:val="nil" w:sz="6" w:space="0" w:color="auto"/>
              <w:left w:val="single" w:sz="4" w:space="0" w:color="000000"/>
              <w:bottom w:val="nil" w:sz="6" w:space="0" w:color="auto"/>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1404" w:type="dxa"/>
            <w:tcBorders>
              <w:top w:val="nil" w:sz="6" w:space="0" w:color="auto"/>
              <w:left w:val="single" w:sz="4" w:space="0" w:color="000000"/>
              <w:bottom w:val="nil" w:sz="6" w:space="0" w:color="auto"/>
              <w:right w:val="single" w:sz="4" w:space="0" w:color="000000"/>
            </w:tcBorders>
          </w:tcPr>
          <w:p>
            <w:pPr/>
          </w:p>
        </w:tc>
        <w:tc>
          <w:tcPr>
            <w:tcW w:w="1464"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
        </w:tc>
        <w:tc>
          <w:tcPr>
            <w:tcW w:w="2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编号：</w:t>
            </w:r>
            <w:r>
              <w:rPr>
                <w:rFonts w:ascii="Times New Roman" w:hAnsi="Times New Roman" w:cs="Times New Roman" w:eastAsia="Times New Roman" w:hint="default"/>
                <w:sz w:val="18"/>
                <w:szCs w:val="18"/>
              </w:rPr>
              <w:t>2019-043</w:t>
            </w:r>
            <w:r>
              <w:rPr>
                <w:rFonts w:ascii="宋体" w:hAnsi="宋体" w:cs="宋体" w:eastAsia="宋体" w:hint="default"/>
                <w:sz w:val="18"/>
                <w:szCs w:val="18"/>
              </w:rPr>
              <w:t>）和《关</w:t>
            </w:r>
          </w:p>
        </w:tc>
      </w:tr>
      <w:tr>
        <w:trPr>
          <w:trHeight w:val="312" w:hRule="exact"/>
        </w:trPr>
        <w:tc>
          <w:tcPr>
            <w:tcW w:w="987" w:type="dxa"/>
            <w:tcBorders>
              <w:top w:val="nil" w:sz="6" w:space="0" w:color="auto"/>
              <w:left w:val="single" w:sz="4" w:space="0" w:color="000000"/>
              <w:bottom w:val="nil" w:sz="6" w:space="0" w:color="auto"/>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1404" w:type="dxa"/>
            <w:tcBorders>
              <w:top w:val="nil" w:sz="6" w:space="0" w:color="auto"/>
              <w:left w:val="single" w:sz="4" w:space="0" w:color="000000"/>
              <w:bottom w:val="nil" w:sz="6" w:space="0" w:color="auto"/>
              <w:right w:val="single" w:sz="4" w:space="0" w:color="000000"/>
            </w:tcBorders>
          </w:tcPr>
          <w:p>
            <w:pPr/>
          </w:p>
        </w:tc>
        <w:tc>
          <w:tcPr>
            <w:tcW w:w="1464"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
        </w:tc>
        <w:tc>
          <w:tcPr>
            <w:tcW w:w="22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于再次调整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年度日</w:t>
            </w:r>
          </w:p>
        </w:tc>
      </w:tr>
      <w:tr>
        <w:trPr>
          <w:trHeight w:val="307" w:hRule="exact"/>
        </w:trPr>
        <w:tc>
          <w:tcPr>
            <w:tcW w:w="987" w:type="dxa"/>
            <w:tcBorders>
              <w:top w:val="nil" w:sz="6" w:space="0" w:color="auto"/>
              <w:left w:val="single" w:sz="4" w:space="0" w:color="000000"/>
              <w:bottom w:val="nil" w:sz="6" w:space="0" w:color="auto"/>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1404" w:type="dxa"/>
            <w:tcBorders>
              <w:top w:val="nil" w:sz="6" w:space="0" w:color="auto"/>
              <w:left w:val="single" w:sz="4" w:space="0" w:color="000000"/>
              <w:bottom w:val="nil" w:sz="6" w:space="0" w:color="auto"/>
              <w:right w:val="single" w:sz="4" w:space="0" w:color="000000"/>
            </w:tcBorders>
          </w:tcPr>
          <w:p>
            <w:pPr/>
          </w:p>
        </w:tc>
        <w:tc>
          <w:tcPr>
            <w:tcW w:w="1464"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
        </w:tc>
        <w:tc>
          <w:tcPr>
            <w:tcW w:w="2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常关联交易预计的公告》</w:t>
            </w:r>
          </w:p>
        </w:tc>
      </w:tr>
      <w:tr>
        <w:trPr>
          <w:trHeight w:val="590" w:hRule="exact"/>
        </w:trPr>
        <w:tc>
          <w:tcPr>
            <w:tcW w:w="987"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840"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64" w:type="dxa"/>
            <w:tcBorders>
              <w:top w:val="nil" w:sz="6" w:space="0" w:color="auto"/>
              <w:left w:val="single" w:sz="4" w:space="0" w:color="000000"/>
              <w:bottom w:val="single" w:sz="4" w:space="0" w:color="000000"/>
              <w:right w:val="single" w:sz="4" w:space="0" w:color="000000"/>
            </w:tcBorders>
          </w:tcPr>
          <w:p>
            <w:pPr/>
          </w:p>
        </w:tc>
        <w:tc>
          <w:tcPr>
            <w:tcW w:w="107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792" w:type="dxa"/>
            <w:tcBorders>
              <w:top w:val="nil" w:sz="6" w:space="0" w:color="auto"/>
              <w:left w:val="single" w:sz="4" w:space="0" w:color="000000"/>
              <w:bottom w:val="single" w:sz="4" w:space="0" w:color="000000"/>
              <w:right w:val="single" w:sz="4" w:space="0" w:color="000000"/>
            </w:tcBorders>
          </w:tcPr>
          <w:p>
            <w:pPr/>
          </w:p>
        </w:tc>
        <w:tc>
          <w:tcPr>
            <w:tcW w:w="22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2019-064</w:t>
            </w:r>
            <w:r>
              <w:rPr>
                <w:rFonts w:ascii="宋体" w:hAnsi="宋体" w:cs="宋体" w:eastAsia="宋体" w:hint="default"/>
                <w:sz w:val="18"/>
                <w:szCs w:val="18"/>
              </w:rPr>
              <w:t>）</w:t>
            </w:r>
          </w:p>
        </w:tc>
      </w:tr>
      <w:tr>
        <w:trPr>
          <w:trHeight w:val="425" w:hRule="exact"/>
        </w:trPr>
        <w:tc>
          <w:tcPr>
            <w:tcW w:w="34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w w:val="95"/>
                <w:sz w:val="18"/>
              </w:rPr>
              <w:t>31,908.11</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33,500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headerReference w:type="default" r:id="rId20"/>
          <w:footerReference w:type="default" r:id="rId21"/>
          <w:pgSz w:w="16840" w:h="11910" w:orient="landscape"/>
          <w:pgMar w:header="867" w:footer="980" w:top="1060" w:bottom="1160" w:left="1220" w:right="1000"/>
          <w:pgNumType w:start="77"/>
        </w:sectPr>
      </w:pPr>
    </w:p>
    <w:p>
      <w:pPr>
        <w:spacing w:line="240" w:lineRule="auto" w:before="11"/>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428"/>
        <w:gridCol w:w="10951"/>
      </w:tblGrid>
      <w:tr>
        <w:trPr>
          <w:trHeight w:val="461" w:hRule="exact"/>
        </w:trPr>
        <w:tc>
          <w:tcPr>
            <w:tcW w:w="342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1095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60" w:hRule="exact"/>
        </w:trPr>
        <w:tc>
          <w:tcPr>
            <w:tcW w:w="34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按类别对本期将发生的日常关联交易进</w:t>
            </w:r>
          </w:p>
        </w:tc>
        <w:tc>
          <w:tcPr>
            <w:tcW w:w="109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8"/>
                <w:sz w:val="18"/>
                <w:szCs w:val="18"/>
              </w:rPr>
              <w:t>，</w:t>
            </w:r>
            <w:r>
              <w:rPr>
                <w:rFonts w:ascii="宋体" w:hAnsi="宋体" w:cs="宋体" w:eastAsia="宋体" w:hint="default"/>
                <w:sz w:val="18"/>
                <w:szCs w:val="18"/>
              </w:rPr>
              <w:t>公司第</w:t>
            </w:r>
            <w:r>
              <w:rPr>
                <w:rFonts w:ascii="宋体" w:hAnsi="宋体" w:cs="宋体" w:eastAsia="宋体" w:hint="default"/>
                <w:spacing w:val="-3"/>
                <w:sz w:val="18"/>
                <w:szCs w:val="18"/>
              </w:rPr>
              <w:t>二</w:t>
            </w:r>
            <w:r>
              <w:rPr>
                <w:rFonts w:ascii="宋体" w:hAnsi="宋体" w:cs="宋体" w:eastAsia="宋体" w:hint="default"/>
                <w:sz w:val="18"/>
                <w:szCs w:val="18"/>
              </w:rPr>
              <w:t>届董事会第三十五次会议审议通过</w:t>
            </w:r>
            <w:r>
              <w:rPr>
                <w:rFonts w:ascii="宋体" w:hAnsi="宋体" w:cs="宋体" w:eastAsia="宋体" w:hint="default"/>
                <w:spacing w:val="-8"/>
                <w:sz w:val="18"/>
                <w:szCs w:val="18"/>
              </w:rPr>
              <w:t>了</w:t>
            </w:r>
            <w:r>
              <w:rPr>
                <w:rFonts w:ascii="宋体" w:hAnsi="宋体" w:cs="宋体" w:eastAsia="宋体" w:hint="default"/>
                <w:sz w:val="18"/>
                <w:szCs w:val="18"/>
              </w:rPr>
              <w:t>《关于新增</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r>
              <w:rPr>
                <w:rFonts w:ascii="宋体" w:hAnsi="宋体" w:cs="宋体" w:eastAsia="宋体" w:hint="default"/>
                <w:spacing w:val="-3"/>
                <w:sz w:val="18"/>
                <w:szCs w:val="18"/>
              </w:rPr>
              <w:t>日</w:t>
            </w:r>
            <w:r>
              <w:rPr>
                <w:rFonts w:ascii="宋体" w:hAnsi="宋体" w:cs="宋体" w:eastAsia="宋体" w:hint="default"/>
                <w:sz w:val="18"/>
                <w:szCs w:val="18"/>
              </w:rPr>
              <w:t>常关联交易预计的议案</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pacing w:val="2"/>
                <w:sz w:val="18"/>
                <w:szCs w:val="18"/>
              </w:rPr>
              <w:t>新</w:t>
            </w:r>
            <w:r>
              <w:rPr>
                <w:rFonts w:ascii="宋体" w:hAnsi="宋体" w:cs="宋体" w:eastAsia="宋体" w:hint="default"/>
                <w:sz w:val="18"/>
                <w:szCs w:val="18"/>
              </w:rPr>
              <w:t>增</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r>
              <w:rPr>
                <w:rFonts w:ascii="宋体" w:hAnsi="宋体" w:cs="宋体" w:eastAsia="宋体" w:hint="default"/>
                <w:spacing w:val="-3"/>
                <w:sz w:val="18"/>
                <w:szCs w:val="18"/>
              </w:rPr>
              <w:t>与</w:t>
            </w:r>
            <w:r>
              <w:rPr>
                <w:rFonts w:ascii="宋体" w:hAnsi="宋体" w:cs="宋体" w:eastAsia="宋体" w:hint="default"/>
                <w:sz w:val="18"/>
                <w:szCs w:val="18"/>
              </w:rPr>
              <w:t>山</w:t>
            </w:r>
          </w:p>
        </w:tc>
      </w:tr>
      <w:tr>
        <w:trPr>
          <w:trHeight w:val="312" w:hRule="exact"/>
        </w:trPr>
        <w:tc>
          <w:tcPr>
            <w:tcW w:w="34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行总金额预计的，在报告期内的实际履行</w:t>
            </w:r>
          </w:p>
        </w:tc>
        <w:tc>
          <w:tcPr>
            <w:tcW w:w="109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东高速信联科技有限公司日常关联交易预计金额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亿元。截至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日，实际发生金额为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23,980.20  </w:t>
            </w:r>
            <w:r>
              <w:rPr>
                <w:rFonts w:ascii="宋体" w:hAnsi="宋体" w:cs="宋体" w:eastAsia="宋体" w:hint="default"/>
                <w:spacing w:val="-3"/>
                <w:sz w:val="18"/>
                <w:szCs w:val="18"/>
              </w:rPr>
              <w:t>万元，未超过董事会批准</w:t>
            </w:r>
          </w:p>
        </w:tc>
      </w:tr>
      <w:tr>
        <w:trPr>
          <w:trHeight w:val="326" w:hRule="exact"/>
        </w:trPr>
        <w:tc>
          <w:tcPr>
            <w:tcW w:w="34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情况（如有）</w:t>
            </w:r>
          </w:p>
        </w:tc>
        <w:tc>
          <w:tcPr>
            <w:tcW w:w="109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的关联交易额度。</w:t>
            </w:r>
          </w:p>
        </w:tc>
      </w:tr>
      <w:tr>
        <w:trPr>
          <w:trHeight w:val="336" w:hRule="exact"/>
        </w:trPr>
        <w:tc>
          <w:tcPr>
            <w:tcW w:w="3428" w:type="dxa"/>
            <w:tcBorders>
              <w:top w:val="nil" w:sz="6" w:space="0" w:color="auto"/>
              <w:left w:val="single" w:sz="4" w:space="0" w:color="000000"/>
              <w:bottom w:val="nil" w:sz="6" w:space="0" w:color="auto"/>
              <w:right w:val="single" w:sz="4" w:space="0" w:color="000000"/>
            </w:tcBorders>
          </w:tcPr>
          <w:p>
            <w:pPr/>
          </w:p>
        </w:tc>
        <w:tc>
          <w:tcPr>
            <w:tcW w:w="10951"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0"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宋体" w:hAnsi="宋体" w:cs="宋体" w:eastAsia="宋体" w:hint="default"/>
                <w:spacing w:val="-22"/>
                <w:sz w:val="18"/>
                <w:szCs w:val="18"/>
              </w:rPr>
              <w:t>，</w:t>
            </w:r>
            <w:r>
              <w:rPr>
                <w:rFonts w:ascii="宋体" w:hAnsi="宋体" w:cs="宋体" w:eastAsia="宋体" w:hint="default"/>
                <w:sz w:val="18"/>
                <w:szCs w:val="18"/>
              </w:rPr>
              <w:t>公司第二届董事会第二十九次会议审议通过</w:t>
            </w:r>
            <w:r>
              <w:rPr>
                <w:rFonts w:ascii="宋体" w:hAnsi="宋体" w:cs="宋体" w:eastAsia="宋体" w:hint="default"/>
                <w:spacing w:val="-22"/>
                <w:sz w:val="18"/>
                <w:szCs w:val="18"/>
              </w:rPr>
              <w:t>了</w:t>
            </w:r>
            <w:r>
              <w:rPr>
                <w:rFonts w:ascii="宋体" w:hAnsi="宋体" w:cs="宋体" w:eastAsia="宋体" w:hint="default"/>
                <w:sz w:val="18"/>
                <w:szCs w:val="18"/>
              </w:rPr>
              <w:t>《关于再次调整</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3"/>
                <w:sz w:val="18"/>
                <w:szCs w:val="18"/>
              </w:rPr>
              <w:t>度</w:t>
            </w:r>
            <w:r>
              <w:rPr>
                <w:rFonts w:ascii="宋体" w:hAnsi="宋体" w:cs="宋体" w:eastAsia="宋体" w:hint="default"/>
                <w:sz w:val="18"/>
                <w:szCs w:val="18"/>
              </w:rPr>
              <w:t>日常关联交易预计的议案</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1"/>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年度公司与</w:t>
            </w:r>
          </w:p>
        </w:tc>
      </w:tr>
      <w:tr>
        <w:trPr>
          <w:trHeight w:val="312" w:hRule="exact"/>
        </w:trPr>
        <w:tc>
          <w:tcPr>
            <w:tcW w:w="3428" w:type="dxa"/>
            <w:tcBorders>
              <w:top w:val="nil" w:sz="6" w:space="0" w:color="auto"/>
              <w:left w:val="single" w:sz="4" w:space="0" w:color="000000"/>
              <w:bottom w:val="nil" w:sz="6" w:space="0" w:color="auto"/>
              <w:right w:val="single" w:sz="4" w:space="0" w:color="000000"/>
            </w:tcBorders>
          </w:tcPr>
          <w:p>
            <w:pPr/>
          </w:p>
        </w:tc>
        <w:tc>
          <w:tcPr>
            <w:tcW w:w="109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山东高速信威信息科技有限公司日常关联交易预计金额调整为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9,500 </w:t>
            </w:r>
            <w:r>
              <w:rPr>
                <w:rFonts w:ascii="宋体" w:hAnsi="宋体" w:cs="宋体" w:eastAsia="宋体" w:hint="default"/>
                <w:sz w:val="18"/>
                <w:szCs w:val="18"/>
              </w:rPr>
              <w:t>万元。截至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日，实际发生金额为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7,927.91  </w:t>
            </w:r>
            <w:r>
              <w:rPr>
                <w:rFonts w:ascii="宋体" w:hAnsi="宋体" w:cs="宋体" w:eastAsia="宋体" w:hint="default"/>
                <w:sz w:val="18"/>
                <w:szCs w:val="18"/>
              </w:rPr>
              <w:t>万元，未</w:t>
            </w:r>
          </w:p>
        </w:tc>
      </w:tr>
      <w:tr>
        <w:trPr>
          <w:trHeight w:val="501" w:hRule="exact"/>
        </w:trPr>
        <w:tc>
          <w:tcPr>
            <w:tcW w:w="3428" w:type="dxa"/>
            <w:tcBorders>
              <w:top w:val="nil" w:sz="6" w:space="0" w:color="auto"/>
              <w:left w:val="single" w:sz="4" w:space="0" w:color="000000"/>
              <w:bottom w:val="single" w:sz="4" w:space="0" w:color="000000"/>
              <w:right w:val="single" w:sz="4" w:space="0" w:color="000000"/>
            </w:tcBorders>
          </w:tcPr>
          <w:p>
            <w:pPr/>
          </w:p>
        </w:tc>
        <w:tc>
          <w:tcPr>
            <w:tcW w:w="109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超过董事会批准的关联交易额度。</w:t>
            </w:r>
          </w:p>
        </w:tc>
      </w:tr>
      <w:tr>
        <w:trPr>
          <w:trHeight w:val="764"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 因（如适用）</w:t>
            </w:r>
          </w:p>
        </w:tc>
        <w:tc>
          <w:tcPr>
            <w:tcW w:w="10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left="789" w:right="0"/>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：关联交易金额为</w:t>
      </w:r>
      <w:r>
        <w:rPr>
          <w:spacing w:val="-49"/>
        </w:rPr>
        <w:t> </w:t>
      </w:r>
      <w:r>
        <w:rPr>
          <w:rFonts w:ascii="Times New Roman" w:hAnsi="Times New Roman" w:cs="Times New Roman" w:eastAsia="Times New Roman" w:hint="default"/>
        </w:rPr>
        <w:t>2019 </w:t>
      </w:r>
      <w:r>
        <w:rPr/>
        <w:t>年度公司及控股子公司向关联人销售商品合同额</w:t>
      </w:r>
    </w:p>
    <w:p>
      <w:pPr>
        <w:spacing w:after="0" w:line="240" w:lineRule="auto"/>
        <w:jc w:val="left"/>
        <w:sectPr>
          <w:pgSz w:w="16840" w:h="11910" w:orient="landscape"/>
          <w:pgMar w:header="867" w:footer="980" w:top="1060" w:bottom="1160" w:left="1220" w:right="100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4"/>
        <w:spacing w:line="335" w:lineRule="exact"/>
        <w:ind w:right="967"/>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2"/>
        <w:rPr>
          <w:rFonts w:ascii="宋体" w:hAnsi="宋体" w:cs="宋体" w:eastAsia="宋体" w:hint="default"/>
          <w:sz w:val="16"/>
          <w:szCs w:val="16"/>
        </w:rPr>
      </w:pPr>
    </w:p>
    <w:p>
      <w:pPr>
        <w:pStyle w:val="Heading4"/>
        <w:spacing w:line="240" w:lineRule="auto"/>
        <w:ind w:right="967"/>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2"/>
        <w:rPr>
          <w:rFonts w:ascii="宋体" w:hAnsi="宋体" w:cs="宋体" w:eastAsia="宋体" w:hint="default"/>
          <w:sz w:val="16"/>
          <w:szCs w:val="16"/>
        </w:rPr>
      </w:pPr>
    </w:p>
    <w:p>
      <w:pPr>
        <w:pStyle w:val="Heading4"/>
        <w:spacing w:line="240" w:lineRule="auto"/>
        <w:ind w:right="967"/>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4"/>
        <w:rPr>
          <w:rFonts w:ascii="宋体" w:hAnsi="宋体" w:cs="宋体" w:eastAsia="宋体" w:hint="default"/>
          <w:sz w:val="16"/>
          <w:szCs w:val="16"/>
        </w:rPr>
      </w:pPr>
    </w:p>
    <w:p>
      <w:pPr>
        <w:pStyle w:val="Heading4"/>
        <w:spacing w:line="240" w:lineRule="auto"/>
        <w:ind w:right="967"/>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0"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line="240" w:lineRule="auto" w:before="9"/>
        <w:rPr>
          <w:rFonts w:ascii="宋体" w:hAnsi="宋体" w:cs="宋体" w:eastAsia="宋体" w:hint="default"/>
          <w:sz w:val="13"/>
          <w:szCs w:val="13"/>
        </w:rPr>
      </w:pPr>
    </w:p>
    <w:p>
      <w:pPr>
        <w:pStyle w:val="Heading2"/>
        <w:spacing w:line="240" w:lineRule="auto"/>
        <w:ind w:right="967"/>
        <w:jc w:val="left"/>
        <w:rPr>
          <w:b w:val="0"/>
          <w:bCs w:val="0"/>
        </w:rPr>
      </w:pPr>
      <w:r>
        <w:rPr/>
        <w:t>十七、重大合同及其履行情况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967"/>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4"/>
        <w:spacing w:line="240" w:lineRule="auto"/>
        <w:ind w:right="967"/>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6"/>
        <w:rPr>
          <w:rFonts w:ascii="宋体" w:hAnsi="宋体" w:cs="宋体" w:eastAsia="宋体" w:hint="default"/>
          <w:sz w:val="16"/>
          <w:szCs w:val="16"/>
        </w:rPr>
      </w:pPr>
    </w:p>
    <w:p>
      <w:pPr>
        <w:pStyle w:val="Heading4"/>
        <w:spacing w:line="240" w:lineRule="auto"/>
        <w:ind w:right="967"/>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2"/>
        <w:rPr>
          <w:rFonts w:ascii="宋体" w:hAnsi="宋体" w:cs="宋体" w:eastAsia="宋体" w:hint="default"/>
          <w:sz w:val="16"/>
          <w:szCs w:val="16"/>
        </w:rPr>
      </w:pPr>
    </w:p>
    <w:p>
      <w:pPr>
        <w:pStyle w:val="Heading4"/>
        <w:spacing w:line="240" w:lineRule="auto"/>
        <w:ind w:right="967"/>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租赁情况说明</w:t>
      </w:r>
    </w:p>
    <w:p>
      <w:pPr>
        <w:pStyle w:val="BodyText"/>
        <w:spacing w:line="340" w:lineRule="auto" w:before="41"/>
        <w:ind w:right="5894"/>
        <w:jc w:val="left"/>
      </w:pPr>
      <w:r>
        <w:rPr/>
        <w:t>报告期内，公司房屋租赁收入</w:t>
      </w:r>
      <w:r>
        <w:rPr>
          <w:rFonts w:ascii="Times New Roman" w:hAnsi="Times New Roman" w:cs="Times New Roman" w:eastAsia="Times New Roman" w:hint="default"/>
        </w:rPr>
        <w:t>0</w:t>
      </w:r>
      <w:r>
        <w:rPr/>
        <w:t>万元，租赁支出</w:t>
      </w:r>
      <w:r>
        <w:rPr>
          <w:rFonts w:ascii="Times New Roman" w:hAnsi="Times New Roman" w:cs="Times New Roman" w:eastAsia="Times New Roman" w:hint="default"/>
        </w:rPr>
        <w:t>1,689.61</w:t>
      </w:r>
      <w:r>
        <w:rPr/>
        <w:t>万元。 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7"/>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4"/>
        <w:ind w:right="967"/>
        <w:jc w:val="left"/>
      </w:pPr>
      <w:r>
        <w:rPr/>
        <w:t>公司报告期不存在为公司带来的损益达到公司报告期利润总额</w:t>
      </w:r>
      <w:r>
        <w:rPr>
          <w:spacing w:val="-43"/>
        </w:rPr>
        <w:t> </w:t>
      </w:r>
      <w:r>
        <w:rPr>
          <w:rFonts w:ascii="Times New Roman" w:hAnsi="Times New Roman" w:cs="Times New Roman" w:eastAsia="Times New Roman" w:hint="default"/>
        </w:rPr>
        <w:t>10%</w:t>
      </w:r>
      <w:r>
        <w:rPr/>
        <w:t>以上的租赁项目。</w:t>
      </w:r>
    </w:p>
    <w:p>
      <w:pPr>
        <w:spacing w:after="0" w:line="240" w:lineRule="auto"/>
        <w:jc w:val="left"/>
        <w:sectPr>
          <w:headerReference w:type="default" r:id="rId23"/>
          <w:footerReference w:type="default" r:id="rId24"/>
          <w:pgSz w:w="11910" w:h="16840"/>
          <w:pgMar w:header="877" w:footer="979" w:top="1100" w:bottom="1160" w:left="980" w:right="0"/>
          <w:pgNumType w:start="79"/>
        </w:sectPr>
      </w:pPr>
    </w:p>
    <w:p>
      <w:pPr>
        <w:spacing w:line="240" w:lineRule="auto" w:before="12"/>
        <w:rPr>
          <w:rFonts w:ascii="宋体" w:hAnsi="宋体" w:cs="宋体" w:eastAsia="宋体" w:hint="default"/>
          <w:sz w:val="20"/>
          <w:szCs w:val="20"/>
        </w:rPr>
      </w:pPr>
    </w:p>
    <w:p>
      <w:pPr>
        <w:pStyle w:val="Heading4"/>
        <w:spacing w:line="335" w:lineRule="exact"/>
        <w:ind w:right="967"/>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82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6"/>
        <w:rPr>
          <w:rFonts w:ascii="宋体" w:hAnsi="宋体" w:cs="宋体" w:eastAsia="宋体" w:hint="default"/>
          <w:sz w:val="16"/>
          <w:szCs w:val="16"/>
        </w:rPr>
      </w:pPr>
    </w:p>
    <w:p>
      <w:pPr>
        <w:pStyle w:val="Heading4"/>
        <w:spacing w:line="240" w:lineRule="auto"/>
        <w:ind w:right="967"/>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967"/>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877" w:footer="979" w:top="1100" w:bottom="1160" w:left="980" w:right="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1953" w:space="6787"/>
            <w:col w:w="219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0"/>
        <w:gridCol w:w="1846"/>
      </w:tblGrid>
      <w:tr>
        <w:trPr>
          <w:trHeight w:val="403"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19,500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19,500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74"/>
        <w:ind w:left="140" w:right="-20"/>
        <w:jc w:val="left"/>
      </w:pPr>
      <w:r>
        <w:rPr/>
        <w:pict>
          <v:group style="position:absolute;margin-left:70.559998pt;margin-top:2.191709pt;width:700.95pt;height:.1pt;mso-position-horizontal-relative:page;mso-position-vertical-relative:paragraph;z-index:2392" coordorigin="1411,44" coordsize="14019,2">
            <v:shape style="position:absolute;left:1411;top:44;width:14019;height:2" coordorigin="1411,44" coordsize="14019,0" path="m1411,44l15430,44e" filled="false" stroked="true" strokeweight=".72pt" strokecolor="#000000">
              <v:path arrowok="t"/>
            </v:shape>
            <w10:wrap type="none"/>
          </v:group>
        </w:pict>
      </w:r>
      <w:r>
        <w:rPr/>
        <w:t>单项金额重大或安全性较低、流动性较差、不保本的高风险委托理财具体情况</w:t>
      </w:r>
    </w:p>
    <w:p>
      <w:pPr>
        <w:pStyle w:val="BodyText"/>
        <w:spacing w:line="240" w:lineRule="auto" w:before="117"/>
        <w:ind w:left="140"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pStyle w:val="BodyText"/>
        <w:spacing w:line="240" w:lineRule="auto"/>
        <w:ind w:left="140" w:right="0"/>
        <w:jc w:val="left"/>
      </w:pPr>
      <w:r>
        <w:rPr/>
        <w:t>单位：万元</w:t>
      </w:r>
    </w:p>
    <w:p>
      <w:pPr>
        <w:spacing w:after="0" w:line="240" w:lineRule="auto"/>
        <w:jc w:val="left"/>
        <w:sectPr>
          <w:headerReference w:type="default" r:id="rId25"/>
          <w:footerReference w:type="default" r:id="rId26"/>
          <w:pgSz w:w="16840" w:h="11910" w:orient="landscape"/>
          <w:pgMar w:header="867" w:footer="980" w:top="1060" w:bottom="1160" w:left="1300" w:right="1280"/>
          <w:pgNumType w:start="81"/>
          <w:cols w:num="2" w:equalWidth="0">
            <w:col w:w="6261" w:space="6800"/>
            <w:col w:w="1199"/>
          </w:cols>
        </w:sectPr>
      </w:pPr>
    </w:p>
    <w:p>
      <w:pPr>
        <w:spacing w:line="240" w:lineRule="auto" w:before="3"/>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749"/>
        <w:gridCol w:w="775"/>
        <w:gridCol w:w="804"/>
        <w:gridCol w:w="756"/>
        <w:gridCol w:w="733"/>
        <w:gridCol w:w="734"/>
        <w:gridCol w:w="734"/>
        <w:gridCol w:w="734"/>
        <w:gridCol w:w="735"/>
        <w:gridCol w:w="735"/>
        <w:gridCol w:w="732"/>
        <w:gridCol w:w="734"/>
        <w:gridCol w:w="734"/>
        <w:gridCol w:w="718"/>
        <w:gridCol w:w="715"/>
        <w:gridCol w:w="715"/>
        <w:gridCol w:w="2180"/>
      </w:tblGrid>
      <w:tr>
        <w:trPr>
          <w:trHeight w:val="1651" w:hRule="exact"/>
        </w:trPr>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8" w:right="99"/>
              <w:jc w:val="both"/>
              <w:rPr>
                <w:rFonts w:ascii="宋体" w:hAnsi="宋体" w:cs="宋体" w:eastAsia="宋体" w:hint="default"/>
                <w:sz w:val="18"/>
                <w:szCs w:val="18"/>
              </w:rPr>
            </w:pPr>
            <w:r>
              <w:rPr>
                <w:rFonts w:ascii="宋体" w:hAnsi="宋体" w:cs="宋体" w:eastAsia="宋体" w:hint="default"/>
                <w:sz w:val="18"/>
                <w:szCs w:val="18"/>
              </w:rPr>
              <w:t>受托机 构名称</w:t>
            </w:r>
          </w:p>
          <w:p>
            <w:pPr>
              <w:pStyle w:val="TableParagraph"/>
              <w:spacing w:line="316" w:lineRule="auto" w:before="20"/>
              <w:ind w:left="98" w:right="99"/>
              <w:jc w:val="both"/>
              <w:rPr>
                <w:rFonts w:ascii="宋体" w:hAnsi="宋体" w:cs="宋体" w:eastAsia="宋体" w:hint="default"/>
                <w:sz w:val="18"/>
                <w:szCs w:val="18"/>
              </w:rPr>
            </w:pPr>
            <w:r>
              <w:rPr>
                <w:rFonts w:ascii="宋体" w:hAnsi="宋体" w:cs="宋体" w:eastAsia="宋体" w:hint="default"/>
                <w:sz w:val="18"/>
                <w:szCs w:val="18"/>
              </w:rPr>
              <w:t>（或受 托人姓 名）</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受托机构</w:t>
            </w:r>
          </w:p>
          <w:p>
            <w:pPr>
              <w:pStyle w:val="TableParagraph"/>
              <w:spacing w:line="316" w:lineRule="auto" w:before="74"/>
              <w:ind w:left="23" w:right="19"/>
              <w:jc w:val="left"/>
              <w:rPr>
                <w:rFonts w:ascii="宋体" w:hAnsi="宋体" w:cs="宋体" w:eastAsia="宋体" w:hint="default"/>
                <w:sz w:val="18"/>
                <w:szCs w:val="18"/>
              </w:rPr>
            </w:pPr>
            <w:r>
              <w:rPr>
                <w:rFonts w:ascii="宋体" w:hAnsi="宋体" w:cs="宋体" w:eastAsia="宋体" w:hint="default"/>
                <w:sz w:val="18"/>
                <w:szCs w:val="18"/>
              </w:rPr>
              <w:t>（或受托 人）类型</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268" w:right="92"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271" w:right="91" w:hanging="180"/>
              <w:jc w:val="left"/>
              <w:rPr>
                <w:rFonts w:ascii="宋体" w:hAnsi="宋体" w:cs="宋体" w:eastAsia="宋体" w:hint="default"/>
                <w:sz w:val="18"/>
                <w:szCs w:val="18"/>
              </w:rPr>
            </w:pPr>
            <w:r>
              <w:rPr>
                <w:rFonts w:ascii="宋体" w:hAnsi="宋体" w:cs="宋体" w:eastAsia="宋体" w:hint="default"/>
                <w:sz w:val="18"/>
                <w:szCs w:val="18"/>
              </w:rPr>
              <w:t>起始日 期</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271" w:right="91" w:hanging="180"/>
              <w:jc w:val="left"/>
              <w:rPr>
                <w:rFonts w:ascii="宋体" w:hAnsi="宋体" w:cs="宋体" w:eastAsia="宋体" w:hint="default"/>
                <w:sz w:val="18"/>
                <w:szCs w:val="18"/>
              </w:rPr>
            </w:pPr>
            <w:r>
              <w:rPr>
                <w:rFonts w:ascii="宋体" w:hAnsi="宋体" w:cs="宋体" w:eastAsia="宋体" w:hint="default"/>
                <w:sz w:val="18"/>
                <w:szCs w:val="18"/>
              </w:rPr>
              <w:t>终止日 期</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271" w:right="91" w:hanging="180"/>
              <w:jc w:val="left"/>
              <w:rPr>
                <w:rFonts w:ascii="宋体" w:hAnsi="宋体" w:cs="宋体" w:eastAsia="宋体" w:hint="default"/>
                <w:sz w:val="18"/>
                <w:szCs w:val="18"/>
              </w:rPr>
            </w:pPr>
            <w:r>
              <w:rPr>
                <w:rFonts w:ascii="宋体" w:hAnsi="宋体" w:cs="宋体" w:eastAsia="宋体" w:hint="default"/>
                <w:sz w:val="18"/>
                <w:szCs w:val="18"/>
              </w:rPr>
              <w:t>资金投 向</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88" w:right="95"/>
              <w:jc w:val="left"/>
              <w:rPr>
                <w:rFonts w:ascii="宋体" w:hAnsi="宋体" w:cs="宋体" w:eastAsia="宋体" w:hint="default"/>
                <w:sz w:val="18"/>
                <w:szCs w:val="18"/>
              </w:rPr>
            </w:pPr>
            <w:r>
              <w:rPr>
                <w:rFonts w:ascii="宋体" w:hAnsi="宋体" w:cs="宋体" w:eastAsia="宋体" w:hint="default"/>
                <w:sz w:val="18"/>
                <w:szCs w:val="18"/>
              </w:rPr>
              <w:t>报酬确 定方式</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8" w:right="95"/>
              <w:jc w:val="center"/>
              <w:rPr>
                <w:rFonts w:ascii="宋体" w:hAnsi="宋体" w:cs="宋体" w:eastAsia="宋体" w:hint="default"/>
                <w:sz w:val="18"/>
                <w:szCs w:val="18"/>
              </w:rPr>
            </w:pPr>
            <w:r>
              <w:rPr>
                <w:rFonts w:ascii="宋体" w:hAnsi="宋体" w:cs="宋体" w:eastAsia="宋体" w:hint="default"/>
                <w:sz w:val="18"/>
                <w:szCs w:val="18"/>
              </w:rPr>
              <w:t>参考年 化收益 率</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21" w:right="23" w:firstLine="67"/>
              <w:jc w:val="left"/>
              <w:rPr>
                <w:rFonts w:ascii="宋体" w:hAnsi="宋体" w:cs="宋体" w:eastAsia="宋体" w:hint="default"/>
                <w:sz w:val="18"/>
                <w:szCs w:val="18"/>
              </w:rPr>
            </w:pPr>
            <w:r>
              <w:rPr>
                <w:rFonts w:ascii="宋体" w:hAnsi="宋体" w:cs="宋体" w:eastAsia="宋体" w:hint="default"/>
                <w:sz w:val="18"/>
                <w:szCs w:val="18"/>
              </w:rPr>
              <w:t>预期收 </w:t>
            </w:r>
            <w:r>
              <w:rPr>
                <w:rFonts w:ascii="宋体" w:hAnsi="宋体" w:cs="宋体" w:eastAsia="宋体" w:hint="default"/>
                <w:spacing w:val="-11"/>
                <w:sz w:val="18"/>
                <w:szCs w:val="18"/>
              </w:rPr>
              <w:t>益（如有</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1" w:right="91"/>
              <w:jc w:val="both"/>
              <w:rPr>
                <w:rFonts w:ascii="宋体" w:hAnsi="宋体" w:cs="宋体" w:eastAsia="宋体" w:hint="default"/>
                <w:sz w:val="18"/>
                <w:szCs w:val="18"/>
              </w:rPr>
            </w:pPr>
            <w:r>
              <w:rPr>
                <w:rFonts w:ascii="宋体" w:hAnsi="宋体" w:cs="宋体" w:eastAsia="宋体" w:hint="default"/>
                <w:sz w:val="18"/>
                <w:szCs w:val="18"/>
              </w:rPr>
              <w:t>报告期 实际损 益金额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1" w:right="91"/>
              <w:jc w:val="both"/>
              <w:rPr>
                <w:rFonts w:ascii="宋体" w:hAnsi="宋体" w:cs="宋体" w:eastAsia="宋体" w:hint="default"/>
                <w:sz w:val="18"/>
                <w:szCs w:val="18"/>
              </w:rPr>
            </w:pPr>
            <w:r>
              <w:rPr>
                <w:rFonts w:ascii="宋体" w:hAnsi="宋体" w:cs="宋体" w:eastAsia="宋体" w:hint="default"/>
                <w:sz w:val="18"/>
                <w:szCs w:val="18"/>
              </w:rPr>
              <w:t>报告期 损益实 际收回 情况</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 w:right="22" w:hanging="1"/>
              <w:jc w:val="center"/>
              <w:rPr>
                <w:rFonts w:ascii="宋体" w:hAnsi="宋体" w:cs="宋体" w:eastAsia="宋体" w:hint="default"/>
                <w:sz w:val="18"/>
                <w:szCs w:val="18"/>
              </w:rPr>
            </w:pPr>
            <w:r>
              <w:rPr>
                <w:rFonts w:ascii="宋体" w:hAnsi="宋体" w:cs="宋体" w:eastAsia="宋体" w:hint="default"/>
                <w:sz w:val="18"/>
                <w:szCs w:val="18"/>
              </w:rPr>
              <w:t>计提减 值准备 </w:t>
            </w:r>
            <w:r>
              <w:rPr>
                <w:rFonts w:ascii="宋体" w:hAnsi="宋体" w:cs="宋体" w:eastAsia="宋体" w:hint="default"/>
                <w:spacing w:val="-15"/>
                <w:sz w:val="18"/>
                <w:szCs w:val="18"/>
              </w:rPr>
              <w:t>金额（如</w:t>
            </w:r>
            <w:r>
              <w:rPr>
                <w:rFonts w:ascii="宋体" w:hAnsi="宋体" w:cs="宋体" w:eastAsia="宋体" w:hint="default"/>
                <w:sz w:val="18"/>
                <w:szCs w:val="18"/>
              </w:rPr>
              <w:t> 有）</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1" w:right="83"/>
              <w:jc w:val="both"/>
              <w:rPr>
                <w:rFonts w:ascii="宋体" w:hAnsi="宋体" w:cs="宋体" w:eastAsia="宋体" w:hint="default"/>
                <w:sz w:val="18"/>
                <w:szCs w:val="18"/>
              </w:rPr>
            </w:pPr>
            <w:r>
              <w:rPr>
                <w:rFonts w:ascii="宋体" w:hAnsi="宋体" w:cs="宋体" w:eastAsia="宋体" w:hint="default"/>
                <w:sz w:val="18"/>
                <w:szCs w:val="18"/>
              </w:rPr>
              <w:t>是否经 过法定 程序</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81" w:right="83"/>
              <w:jc w:val="both"/>
              <w:rPr>
                <w:rFonts w:ascii="宋体" w:hAnsi="宋体" w:cs="宋体" w:eastAsia="宋体" w:hint="default"/>
                <w:sz w:val="18"/>
                <w:szCs w:val="18"/>
              </w:rPr>
            </w:pPr>
            <w:r>
              <w:rPr>
                <w:rFonts w:ascii="宋体" w:hAnsi="宋体" w:cs="宋体" w:eastAsia="宋体" w:hint="default"/>
                <w:sz w:val="18"/>
                <w:szCs w:val="18"/>
              </w:rPr>
              <w:t>未来是 否还有 委托理 财计划</w:t>
            </w:r>
          </w:p>
        </w:tc>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事项概述及相关查询索引</w:t>
            </w:r>
          </w:p>
          <w:p>
            <w:pPr>
              <w:pStyle w:val="TableParagraph"/>
              <w:spacing w:line="240" w:lineRule="auto" w:before="74"/>
              <w:ind w:right="3"/>
              <w:jc w:val="center"/>
              <w:rPr>
                <w:rFonts w:ascii="宋体" w:hAnsi="宋体" w:cs="宋体" w:eastAsia="宋体" w:hint="default"/>
                <w:sz w:val="18"/>
                <w:szCs w:val="18"/>
              </w:rPr>
            </w:pPr>
            <w:r>
              <w:rPr>
                <w:rFonts w:ascii="宋体" w:hAnsi="宋体" w:cs="宋体" w:eastAsia="宋体" w:hint="default"/>
                <w:sz w:val="18"/>
                <w:szCs w:val="18"/>
              </w:rPr>
              <w:t>（如有）</w:t>
            </w:r>
          </w:p>
        </w:tc>
      </w:tr>
      <w:tr>
        <w:trPr>
          <w:trHeight w:val="355" w:hRule="exact"/>
        </w:trPr>
        <w:tc>
          <w:tcPr>
            <w:tcW w:w="749" w:type="dxa"/>
            <w:tcBorders>
              <w:top w:val="single" w:sz="4" w:space="0" w:color="000000"/>
              <w:left w:val="single" w:sz="4" w:space="0" w:color="000000"/>
              <w:bottom w:val="nil" w:sz="6" w:space="0" w:color="auto"/>
              <w:right w:val="single" w:sz="4" w:space="0" w:color="000000"/>
            </w:tcBorders>
          </w:tcPr>
          <w:p>
            <w:pPr/>
          </w:p>
        </w:tc>
        <w:tc>
          <w:tcPr>
            <w:tcW w:w="775"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756" w:type="dxa"/>
            <w:tcBorders>
              <w:top w:val="single" w:sz="4" w:space="0" w:color="000000"/>
              <w:left w:val="single" w:sz="4" w:space="0" w:color="000000"/>
              <w:bottom w:val="nil" w:sz="6" w:space="0" w:color="auto"/>
              <w:right w:val="single" w:sz="4" w:space="0" w:color="000000"/>
            </w:tcBorders>
          </w:tcPr>
          <w:p>
            <w:pPr/>
          </w:p>
        </w:tc>
        <w:tc>
          <w:tcPr>
            <w:tcW w:w="733"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2"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18" w:type="dxa"/>
            <w:tcBorders>
              <w:top w:val="single" w:sz="4" w:space="0" w:color="000000"/>
              <w:left w:val="single" w:sz="4" w:space="0" w:color="000000"/>
              <w:bottom w:val="nil" w:sz="6" w:space="0" w:color="auto"/>
              <w:right w:val="single" w:sz="4" w:space="0" w:color="000000"/>
            </w:tcBorders>
          </w:tcPr>
          <w:p>
            <w:pPr/>
          </w:p>
        </w:tc>
        <w:tc>
          <w:tcPr>
            <w:tcW w:w="715" w:type="dxa"/>
            <w:tcBorders>
              <w:top w:val="single" w:sz="4" w:space="0" w:color="000000"/>
              <w:left w:val="single" w:sz="4" w:space="0" w:color="000000"/>
              <w:bottom w:val="nil" w:sz="6" w:space="0" w:color="auto"/>
              <w:right w:val="single" w:sz="4" w:space="0" w:color="000000"/>
            </w:tcBorders>
          </w:tcPr>
          <w:p>
            <w:pPr/>
          </w:p>
        </w:tc>
        <w:tc>
          <w:tcPr>
            <w:tcW w:w="715" w:type="dxa"/>
            <w:tcBorders>
              <w:top w:val="single" w:sz="4" w:space="0" w:color="000000"/>
              <w:left w:val="single" w:sz="4" w:space="0" w:color="000000"/>
              <w:bottom w:val="nil" w:sz="6" w:space="0" w:color="auto"/>
              <w:right w:val="single" w:sz="4" w:space="0" w:color="000000"/>
            </w:tcBorders>
          </w:tcPr>
          <w:p>
            <w:pPr/>
          </w:p>
        </w:tc>
        <w:tc>
          <w:tcPr>
            <w:tcW w:w="21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1248" w:hRule="exact"/>
        </w:trPr>
        <w:tc>
          <w:tcPr>
            <w:tcW w:w="74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73"/>
              <w:jc w:val="both"/>
              <w:rPr>
                <w:rFonts w:ascii="宋体" w:hAnsi="宋体" w:cs="宋体" w:eastAsia="宋体" w:hint="default"/>
                <w:sz w:val="18"/>
                <w:szCs w:val="18"/>
              </w:rPr>
            </w:pPr>
            <w:r>
              <w:rPr>
                <w:rFonts w:ascii="宋体" w:hAnsi="宋体" w:cs="宋体" w:eastAsia="宋体" w:hint="default"/>
                <w:sz w:val="18"/>
                <w:szCs w:val="18"/>
              </w:rPr>
              <w:t>中国银 行深圳 科苑路 支行</w:t>
            </w:r>
          </w:p>
        </w:tc>
        <w:tc>
          <w:tcPr>
            <w:tcW w:w="7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4" w:right="48"/>
              <w:jc w:val="left"/>
              <w:rPr>
                <w:rFonts w:ascii="宋体" w:hAnsi="宋体" w:cs="宋体" w:eastAsia="宋体" w:hint="default"/>
                <w:sz w:val="18"/>
                <w:szCs w:val="18"/>
              </w:rPr>
            </w:pPr>
            <w:r>
              <w:rPr>
                <w:rFonts w:ascii="宋体" w:hAnsi="宋体" w:cs="宋体" w:eastAsia="宋体" w:hint="default"/>
                <w:sz w:val="18"/>
                <w:szCs w:val="18"/>
              </w:rPr>
              <w:t>结构性存 款</w:t>
            </w: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w:t>
            </w:r>
          </w:p>
        </w:tc>
        <w:tc>
          <w:tcPr>
            <w:tcW w:w="73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1" w:right="159"/>
              <w:jc w:val="left"/>
              <w:rPr>
                <w:rFonts w:ascii="宋体" w:hAnsi="宋体" w:cs="宋体" w:eastAsia="宋体" w:hint="default"/>
                <w:sz w:val="18"/>
                <w:szCs w:val="18"/>
              </w:rPr>
            </w:pPr>
            <w:r>
              <w:rPr>
                <w:rFonts w:ascii="宋体" w:hAnsi="宋体" w:cs="宋体" w:eastAsia="宋体" w:hint="default"/>
                <w:sz w:val="18"/>
                <w:szCs w:val="18"/>
              </w:rPr>
              <w:t>闲置募 集资金</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3" w:right="158"/>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1" w:right="16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3.35%</w:t>
            </w:r>
          </w:p>
        </w:tc>
        <w:tc>
          <w:tcPr>
            <w:tcW w:w="732"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38.82</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http://www.cninfo.com.cn)</w:t>
            </w:r>
          </w:p>
          <w:p>
            <w:pPr>
              <w:pStyle w:val="TableParagraph"/>
              <w:spacing w:line="316" w:lineRule="auto" w:before="63"/>
              <w:ind w:left="21" w:right="166"/>
              <w:jc w:val="both"/>
              <w:rPr>
                <w:rFonts w:ascii="宋体" w:hAnsi="宋体" w:cs="宋体" w:eastAsia="宋体" w:hint="default"/>
                <w:sz w:val="18"/>
                <w:szCs w:val="18"/>
              </w:rPr>
            </w:pPr>
            <w:r>
              <w:rPr>
                <w:rFonts w:ascii="宋体" w:hAnsi="宋体" w:cs="宋体" w:eastAsia="宋体" w:hint="default"/>
                <w:sz w:val="18"/>
                <w:szCs w:val="18"/>
              </w:rPr>
              <w:t>《关于公司及全资子公司 使用部分闲置募集资金进 行现金管理进展的公告》</w:t>
            </w:r>
          </w:p>
        </w:tc>
      </w:tr>
      <w:tr>
        <w:trPr>
          <w:trHeight w:val="357" w:hRule="exact"/>
        </w:trPr>
        <w:tc>
          <w:tcPr>
            <w:tcW w:w="749" w:type="dxa"/>
            <w:tcBorders>
              <w:top w:val="nil" w:sz="6" w:space="0" w:color="auto"/>
              <w:left w:val="single" w:sz="4" w:space="0" w:color="000000"/>
              <w:bottom w:val="single" w:sz="4" w:space="0" w:color="000000"/>
              <w:right w:val="single" w:sz="4" w:space="0" w:color="000000"/>
            </w:tcBorders>
          </w:tcPr>
          <w:p>
            <w:pPr/>
          </w:p>
        </w:tc>
        <w:tc>
          <w:tcPr>
            <w:tcW w:w="775"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756" w:type="dxa"/>
            <w:tcBorders>
              <w:top w:val="nil" w:sz="6" w:space="0" w:color="auto"/>
              <w:left w:val="single" w:sz="4" w:space="0" w:color="000000"/>
              <w:bottom w:val="single" w:sz="4" w:space="0" w:color="000000"/>
              <w:right w:val="single" w:sz="4" w:space="0" w:color="000000"/>
            </w:tcBorders>
          </w:tcPr>
          <w:p>
            <w:pPr/>
          </w:p>
        </w:tc>
        <w:tc>
          <w:tcPr>
            <w:tcW w:w="733"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2"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18" w:type="dxa"/>
            <w:tcBorders>
              <w:top w:val="nil" w:sz="6" w:space="0" w:color="auto"/>
              <w:left w:val="single" w:sz="4" w:space="0" w:color="000000"/>
              <w:bottom w:val="single" w:sz="4" w:space="0" w:color="000000"/>
              <w:right w:val="single" w:sz="4" w:space="0" w:color="000000"/>
            </w:tcBorders>
          </w:tcPr>
          <w:p>
            <w:pPr/>
          </w:p>
        </w:tc>
        <w:tc>
          <w:tcPr>
            <w:tcW w:w="715" w:type="dxa"/>
            <w:tcBorders>
              <w:top w:val="nil" w:sz="6" w:space="0" w:color="auto"/>
              <w:left w:val="single" w:sz="4" w:space="0" w:color="000000"/>
              <w:bottom w:val="single" w:sz="4" w:space="0" w:color="000000"/>
              <w:right w:val="single" w:sz="4" w:space="0" w:color="000000"/>
            </w:tcBorders>
          </w:tcPr>
          <w:p>
            <w:pPr/>
          </w:p>
        </w:tc>
        <w:tc>
          <w:tcPr>
            <w:tcW w:w="715" w:type="dxa"/>
            <w:tcBorders>
              <w:top w:val="nil" w:sz="6" w:space="0" w:color="auto"/>
              <w:left w:val="single" w:sz="4" w:space="0" w:color="000000"/>
              <w:bottom w:val="single" w:sz="4" w:space="0" w:color="000000"/>
              <w:right w:val="single" w:sz="4" w:space="0" w:color="000000"/>
            </w:tcBorders>
          </w:tcPr>
          <w:p>
            <w:pPr/>
          </w:p>
        </w:tc>
        <w:tc>
          <w:tcPr>
            <w:tcW w:w="21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2019-003</w:t>
            </w:r>
            <w:r>
              <w:rPr>
                <w:rFonts w:ascii="宋体" w:hAnsi="宋体" w:cs="宋体" w:eastAsia="宋体" w:hint="default"/>
                <w:sz w:val="18"/>
                <w:szCs w:val="18"/>
              </w:rPr>
              <w:t>）</w:t>
            </w:r>
          </w:p>
        </w:tc>
      </w:tr>
      <w:tr>
        <w:trPr>
          <w:trHeight w:val="357" w:hRule="exact"/>
        </w:trPr>
        <w:tc>
          <w:tcPr>
            <w:tcW w:w="749" w:type="dxa"/>
            <w:tcBorders>
              <w:top w:val="single" w:sz="4" w:space="0" w:color="000000"/>
              <w:left w:val="single" w:sz="4" w:space="0" w:color="000000"/>
              <w:bottom w:val="nil" w:sz="6" w:space="0" w:color="auto"/>
              <w:right w:val="single" w:sz="4" w:space="0" w:color="000000"/>
            </w:tcBorders>
          </w:tcPr>
          <w:p>
            <w:pPr/>
          </w:p>
        </w:tc>
        <w:tc>
          <w:tcPr>
            <w:tcW w:w="775"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756" w:type="dxa"/>
            <w:tcBorders>
              <w:top w:val="single" w:sz="4" w:space="0" w:color="000000"/>
              <w:left w:val="single" w:sz="4" w:space="0" w:color="000000"/>
              <w:bottom w:val="nil" w:sz="6" w:space="0" w:color="auto"/>
              <w:right w:val="single" w:sz="4" w:space="0" w:color="000000"/>
            </w:tcBorders>
          </w:tcPr>
          <w:p>
            <w:pPr/>
          </w:p>
        </w:tc>
        <w:tc>
          <w:tcPr>
            <w:tcW w:w="733"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2"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18" w:type="dxa"/>
            <w:tcBorders>
              <w:top w:val="single" w:sz="4" w:space="0" w:color="000000"/>
              <w:left w:val="single" w:sz="4" w:space="0" w:color="000000"/>
              <w:bottom w:val="nil" w:sz="6" w:space="0" w:color="auto"/>
              <w:right w:val="single" w:sz="4" w:space="0" w:color="000000"/>
            </w:tcBorders>
          </w:tcPr>
          <w:p>
            <w:pPr/>
          </w:p>
        </w:tc>
        <w:tc>
          <w:tcPr>
            <w:tcW w:w="715" w:type="dxa"/>
            <w:tcBorders>
              <w:top w:val="single" w:sz="4" w:space="0" w:color="000000"/>
              <w:left w:val="single" w:sz="4" w:space="0" w:color="000000"/>
              <w:bottom w:val="nil" w:sz="6" w:space="0" w:color="auto"/>
              <w:right w:val="single" w:sz="4" w:space="0" w:color="000000"/>
            </w:tcBorders>
          </w:tcPr>
          <w:p>
            <w:pPr/>
          </w:p>
        </w:tc>
        <w:tc>
          <w:tcPr>
            <w:tcW w:w="715" w:type="dxa"/>
            <w:tcBorders>
              <w:top w:val="single" w:sz="4" w:space="0" w:color="000000"/>
              <w:left w:val="single" w:sz="4" w:space="0" w:color="000000"/>
              <w:bottom w:val="nil" w:sz="6" w:space="0" w:color="auto"/>
              <w:right w:val="single" w:sz="4" w:space="0" w:color="000000"/>
            </w:tcBorders>
          </w:tcPr>
          <w:p>
            <w:pPr/>
          </w:p>
        </w:tc>
        <w:tc>
          <w:tcPr>
            <w:tcW w:w="21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1247" w:hRule="exact"/>
        </w:trPr>
        <w:tc>
          <w:tcPr>
            <w:tcW w:w="749" w:type="dxa"/>
            <w:tcBorders>
              <w:top w:val="nil" w:sz="6" w:space="0" w:color="auto"/>
              <w:left w:val="single" w:sz="4" w:space="0" w:color="000000"/>
              <w:bottom w:val="nil" w:sz="6" w:space="0" w:color="auto"/>
              <w:right w:val="single" w:sz="4" w:space="0" w:color="000000"/>
            </w:tcBorders>
          </w:tcPr>
          <w:p>
            <w:pPr>
              <w:pStyle w:val="TableParagraph"/>
              <w:spacing w:line="316" w:lineRule="auto" w:before="12"/>
              <w:ind w:left="23" w:right="173"/>
              <w:jc w:val="both"/>
              <w:rPr>
                <w:rFonts w:ascii="宋体" w:hAnsi="宋体" w:cs="宋体" w:eastAsia="宋体" w:hint="default"/>
                <w:sz w:val="18"/>
                <w:szCs w:val="18"/>
              </w:rPr>
            </w:pPr>
            <w:r>
              <w:rPr>
                <w:rFonts w:ascii="宋体" w:hAnsi="宋体" w:cs="宋体" w:eastAsia="宋体" w:hint="default"/>
                <w:sz w:val="18"/>
                <w:szCs w:val="18"/>
              </w:rPr>
              <w:t>中国光 大银行 深圳分 行</w:t>
            </w:r>
          </w:p>
        </w:tc>
        <w:tc>
          <w:tcPr>
            <w:tcW w:w="7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4" w:lineRule="auto"/>
              <w:ind w:left="24" w:right="48"/>
              <w:jc w:val="left"/>
              <w:rPr>
                <w:rFonts w:ascii="宋体" w:hAnsi="宋体" w:cs="宋体" w:eastAsia="宋体" w:hint="default"/>
                <w:sz w:val="18"/>
                <w:szCs w:val="18"/>
              </w:rPr>
            </w:pPr>
            <w:r>
              <w:rPr>
                <w:rFonts w:ascii="宋体" w:hAnsi="宋体" w:cs="宋体" w:eastAsia="宋体" w:hint="default"/>
                <w:sz w:val="18"/>
                <w:szCs w:val="18"/>
              </w:rPr>
              <w:t>结构性存 款</w:t>
            </w: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w:t>
            </w:r>
          </w:p>
        </w:tc>
        <w:tc>
          <w:tcPr>
            <w:tcW w:w="7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4" w:lineRule="auto"/>
              <w:ind w:left="21" w:right="159"/>
              <w:jc w:val="left"/>
              <w:rPr>
                <w:rFonts w:ascii="宋体" w:hAnsi="宋体" w:cs="宋体" w:eastAsia="宋体" w:hint="default"/>
                <w:sz w:val="18"/>
                <w:szCs w:val="18"/>
              </w:rPr>
            </w:pPr>
            <w:r>
              <w:rPr>
                <w:rFonts w:ascii="宋体" w:hAnsi="宋体" w:cs="宋体" w:eastAsia="宋体" w:hint="default"/>
                <w:sz w:val="18"/>
                <w:szCs w:val="18"/>
              </w:rPr>
              <w:t>闲置募 集资金</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4" w:lineRule="auto"/>
              <w:ind w:left="23" w:right="158"/>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1" w:right="16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4.05%</w:t>
            </w:r>
          </w:p>
        </w:tc>
        <w:tc>
          <w:tcPr>
            <w:tcW w:w="732"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243</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http://www.cninfo.com.cn)</w:t>
            </w:r>
          </w:p>
          <w:p>
            <w:pPr>
              <w:pStyle w:val="TableParagraph"/>
              <w:spacing w:line="316" w:lineRule="auto" w:before="63"/>
              <w:ind w:left="21" w:right="166"/>
              <w:jc w:val="both"/>
              <w:rPr>
                <w:rFonts w:ascii="宋体" w:hAnsi="宋体" w:cs="宋体" w:eastAsia="宋体" w:hint="default"/>
                <w:sz w:val="18"/>
                <w:szCs w:val="18"/>
              </w:rPr>
            </w:pPr>
            <w:r>
              <w:rPr>
                <w:rFonts w:ascii="宋体" w:hAnsi="宋体" w:cs="宋体" w:eastAsia="宋体" w:hint="default"/>
                <w:sz w:val="18"/>
                <w:szCs w:val="18"/>
              </w:rPr>
              <w:t>《关于公司及全资子公司 使用部分闲置募集资金进 行现金管理进展的公告》</w:t>
            </w:r>
          </w:p>
        </w:tc>
      </w:tr>
      <w:tr>
        <w:trPr>
          <w:trHeight w:val="360" w:hRule="exact"/>
        </w:trPr>
        <w:tc>
          <w:tcPr>
            <w:tcW w:w="749" w:type="dxa"/>
            <w:tcBorders>
              <w:top w:val="nil" w:sz="6" w:space="0" w:color="auto"/>
              <w:left w:val="single" w:sz="4" w:space="0" w:color="000000"/>
              <w:bottom w:val="single" w:sz="4" w:space="0" w:color="000000"/>
              <w:right w:val="single" w:sz="4" w:space="0" w:color="000000"/>
            </w:tcBorders>
          </w:tcPr>
          <w:p>
            <w:pPr/>
          </w:p>
        </w:tc>
        <w:tc>
          <w:tcPr>
            <w:tcW w:w="775"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756" w:type="dxa"/>
            <w:tcBorders>
              <w:top w:val="nil" w:sz="6" w:space="0" w:color="auto"/>
              <w:left w:val="single" w:sz="4" w:space="0" w:color="000000"/>
              <w:bottom w:val="single" w:sz="4" w:space="0" w:color="000000"/>
              <w:right w:val="single" w:sz="4" w:space="0" w:color="000000"/>
            </w:tcBorders>
          </w:tcPr>
          <w:p>
            <w:pPr/>
          </w:p>
        </w:tc>
        <w:tc>
          <w:tcPr>
            <w:tcW w:w="733"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2"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18" w:type="dxa"/>
            <w:tcBorders>
              <w:top w:val="nil" w:sz="6" w:space="0" w:color="auto"/>
              <w:left w:val="single" w:sz="4" w:space="0" w:color="000000"/>
              <w:bottom w:val="single" w:sz="4" w:space="0" w:color="000000"/>
              <w:right w:val="single" w:sz="4" w:space="0" w:color="000000"/>
            </w:tcBorders>
          </w:tcPr>
          <w:p>
            <w:pPr/>
          </w:p>
        </w:tc>
        <w:tc>
          <w:tcPr>
            <w:tcW w:w="715" w:type="dxa"/>
            <w:tcBorders>
              <w:top w:val="nil" w:sz="6" w:space="0" w:color="auto"/>
              <w:left w:val="single" w:sz="4" w:space="0" w:color="000000"/>
              <w:bottom w:val="single" w:sz="4" w:space="0" w:color="000000"/>
              <w:right w:val="single" w:sz="4" w:space="0" w:color="000000"/>
            </w:tcBorders>
          </w:tcPr>
          <w:p>
            <w:pPr/>
          </w:p>
        </w:tc>
        <w:tc>
          <w:tcPr>
            <w:tcW w:w="715" w:type="dxa"/>
            <w:tcBorders>
              <w:top w:val="nil" w:sz="6" w:space="0" w:color="auto"/>
              <w:left w:val="single" w:sz="4" w:space="0" w:color="000000"/>
              <w:bottom w:val="single" w:sz="4" w:space="0" w:color="000000"/>
              <w:right w:val="single" w:sz="4" w:space="0" w:color="000000"/>
            </w:tcBorders>
          </w:tcPr>
          <w:p>
            <w:pPr/>
          </w:p>
        </w:tc>
        <w:tc>
          <w:tcPr>
            <w:tcW w:w="21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2019-003</w:t>
            </w:r>
            <w:r>
              <w:rPr>
                <w:rFonts w:ascii="宋体" w:hAnsi="宋体" w:cs="宋体" w:eastAsia="宋体" w:hint="default"/>
                <w:sz w:val="18"/>
                <w:szCs w:val="18"/>
              </w:rPr>
              <w:t>）</w:t>
            </w:r>
          </w:p>
        </w:tc>
      </w:tr>
      <w:tr>
        <w:trPr>
          <w:trHeight w:val="355" w:hRule="exact"/>
        </w:trPr>
        <w:tc>
          <w:tcPr>
            <w:tcW w:w="749" w:type="dxa"/>
            <w:tcBorders>
              <w:top w:val="single" w:sz="4" w:space="0" w:color="000000"/>
              <w:left w:val="single" w:sz="4" w:space="0" w:color="000000"/>
              <w:bottom w:val="nil" w:sz="6" w:space="0" w:color="auto"/>
              <w:right w:val="single" w:sz="4" w:space="0" w:color="000000"/>
            </w:tcBorders>
          </w:tcPr>
          <w:p>
            <w:pPr/>
          </w:p>
        </w:tc>
        <w:tc>
          <w:tcPr>
            <w:tcW w:w="775"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756" w:type="dxa"/>
            <w:tcBorders>
              <w:top w:val="single" w:sz="4" w:space="0" w:color="000000"/>
              <w:left w:val="single" w:sz="4" w:space="0" w:color="000000"/>
              <w:bottom w:val="nil" w:sz="6" w:space="0" w:color="auto"/>
              <w:right w:val="single" w:sz="4" w:space="0" w:color="000000"/>
            </w:tcBorders>
          </w:tcPr>
          <w:p>
            <w:pPr/>
          </w:p>
        </w:tc>
        <w:tc>
          <w:tcPr>
            <w:tcW w:w="733"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2"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18" w:type="dxa"/>
            <w:tcBorders>
              <w:top w:val="single" w:sz="4" w:space="0" w:color="000000"/>
              <w:left w:val="single" w:sz="4" w:space="0" w:color="000000"/>
              <w:bottom w:val="nil" w:sz="6" w:space="0" w:color="auto"/>
              <w:right w:val="single" w:sz="4" w:space="0" w:color="000000"/>
            </w:tcBorders>
          </w:tcPr>
          <w:p>
            <w:pPr/>
          </w:p>
        </w:tc>
        <w:tc>
          <w:tcPr>
            <w:tcW w:w="715" w:type="dxa"/>
            <w:tcBorders>
              <w:top w:val="single" w:sz="4" w:space="0" w:color="000000"/>
              <w:left w:val="single" w:sz="4" w:space="0" w:color="000000"/>
              <w:bottom w:val="nil" w:sz="6" w:space="0" w:color="auto"/>
              <w:right w:val="single" w:sz="4" w:space="0" w:color="000000"/>
            </w:tcBorders>
          </w:tcPr>
          <w:p>
            <w:pPr/>
          </w:p>
        </w:tc>
        <w:tc>
          <w:tcPr>
            <w:tcW w:w="715" w:type="dxa"/>
            <w:tcBorders>
              <w:top w:val="single" w:sz="4" w:space="0" w:color="000000"/>
              <w:left w:val="single" w:sz="4" w:space="0" w:color="000000"/>
              <w:bottom w:val="nil" w:sz="6" w:space="0" w:color="auto"/>
              <w:right w:val="single" w:sz="4" w:space="0" w:color="000000"/>
            </w:tcBorders>
          </w:tcPr>
          <w:p>
            <w:pPr/>
          </w:p>
        </w:tc>
        <w:tc>
          <w:tcPr>
            <w:tcW w:w="21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1249" w:hRule="exact"/>
        </w:trPr>
        <w:tc>
          <w:tcPr>
            <w:tcW w:w="749"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3" w:right="173"/>
              <w:jc w:val="both"/>
              <w:rPr>
                <w:rFonts w:ascii="宋体" w:hAnsi="宋体" w:cs="宋体" w:eastAsia="宋体" w:hint="default"/>
                <w:sz w:val="18"/>
                <w:szCs w:val="18"/>
              </w:rPr>
            </w:pPr>
            <w:r>
              <w:rPr>
                <w:rFonts w:ascii="宋体" w:hAnsi="宋体" w:cs="宋体" w:eastAsia="宋体" w:hint="default"/>
                <w:sz w:val="18"/>
                <w:szCs w:val="18"/>
              </w:rPr>
              <w:t>中国光 大银行 深圳分 行</w:t>
            </w:r>
          </w:p>
        </w:tc>
        <w:tc>
          <w:tcPr>
            <w:tcW w:w="7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9" w:lineRule="auto"/>
              <w:ind w:left="24" w:right="48"/>
              <w:jc w:val="left"/>
              <w:rPr>
                <w:rFonts w:ascii="宋体" w:hAnsi="宋体" w:cs="宋体" w:eastAsia="宋体" w:hint="default"/>
                <w:sz w:val="18"/>
                <w:szCs w:val="18"/>
              </w:rPr>
            </w:pPr>
            <w:r>
              <w:rPr>
                <w:rFonts w:ascii="宋体" w:hAnsi="宋体" w:cs="宋体" w:eastAsia="宋体" w:hint="default"/>
                <w:sz w:val="18"/>
                <w:szCs w:val="18"/>
              </w:rPr>
              <w:t>结构性存 款</w:t>
            </w: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3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9" w:lineRule="auto"/>
              <w:ind w:left="21" w:right="159"/>
              <w:jc w:val="left"/>
              <w:rPr>
                <w:rFonts w:ascii="宋体" w:hAnsi="宋体" w:cs="宋体" w:eastAsia="宋体" w:hint="default"/>
                <w:sz w:val="18"/>
                <w:szCs w:val="18"/>
              </w:rPr>
            </w:pPr>
            <w:r>
              <w:rPr>
                <w:rFonts w:ascii="宋体" w:hAnsi="宋体" w:cs="宋体" w:eastAsia="宋体" w:hint="default"/>
                <w:sz w:val="18"/>
                <w:szCs w:val="18"/>
              </w:rPr>
              <w:t>闲置募 集资金</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9" w:lineRule="auto"/>
              <w:ind w:left="23" w:right="158"/>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1" w:right="16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3.90%</w:t>
            </w:r>
          </w:p>
        </w:tc>
        <w:tc>
          <w:tcPr>
            <w:tcW w:w="732"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http://www.cninfo.com.cn)</w:t>
            </w:r>
          </w:p>
          <w:p>
            <w:pPr>
              <w:pStyle w:val="TableParagraph"/>
              <w:spacing w:line="319" w:lineRule="auto" w:before="63"/>
              <w:ind w:left="21" w:right="167"/>
              <w:jc w:val="both"/>
              <w:rPr>
                <w:rFonts w:ascii="宋体" w:hAnsi="宋体" w:cs="宋体" w:eastAsia="宋体" w:hint="default"/>
                <w:sz w:val="18"/>
                <w:szCs w:val="18"/>
              </w:rPr>
            </w:pPr>
            <w:r>
              <w:rPr>
                <w:rFonts w:ascii="宋体" w:hAnsi="宋体" w:cs="宋体" w:eastAsia="宋体" w:hint="default"/>
                <w:sz w:val="18"/>
                <w:szCs w:val="18"/>
              </w:rPr>
              <w:t>《关于公司及全资子公司 使用部分闲置募集资金进 行现金管理进展的公告》</w:t>
            </w:r>
          </w:p>
        </w:tc>
      </w:tr>
      <w:tr>
        <w:trPr>
          <w:trHeight w:val="360" w:hRule="exact"/>
        </w:trPr>
        <w:tc>
          <w:tcPr>
            <w:tcW w:w="749" w:type="dxa"/>
            <w:tcBorders>
              <w:top w:val="nil" w:sz="6" w:space="0" w:color="auto"/>
              <w:left w:val="single" w:sz="4" w:space="0" w:color="000000"/>
              <w:bottom w:val="single" w:sz="4" w:space="0" w:color="000000"/>
              <w:right w:val="single" w:sz="4" w:space="0" w:color="000000"/>
            </w:tcBorders>
          </w:tcPr>
          <w:p>
            <w:pPr/>
          </w:p>
        </w:tc>
        <w:tc>
          <w:tcPr>
            <w:tcW w:w="775"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756" w:type="dxa"/>
            <w:tcBorders>
              <w:top w:val="nil" w:sz="6" w:space="0" w:color="auto"/>
              <w:left w:val="single" w:sz="4" w:space="0" w:color="000000"/>
              <w:bottom w:val="single" w:sz="4" w:space="0" w:color="000000"/>
              <w:right w:val="single" w:sz="4" w:space="0" w:color="000000"/>
            </w:tcBorders>
          </w:tcPr>
          <w:p>
            <w:pPr/>
          </w:p>
        </w:tc>
        <w:tc>
          <w:tcPr>
            <w:tcW w:w="733"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2"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18" w:type="dxa"/>
            <w:tcBorders>
              <w:top w:val="nil" w:sz="6" w:space="0" w:color="auto"/>
              <w:left w:val="single" w:sz="4" w:space="0" w:color="000000"/>
              <w:bottom w:val="single" w:sz="4" w:space="0" w:color="000000"/>
              <w:right w:val="single" w:sz="4" w:space="0" w:color="000000"/>
            </w:tcBorders>
          </w:tcPr>
          <w:p>
            <w:pPr/>
          </w:p>
        </w:tc>
        <w:tc>
          <w:tcPr>
            <w:tcW w:w="715" w:type="dxa"/>
            <w:tcBorders>
              <w:top w:val="nil" w:sz="6" w:space="0" w:color="auto"/>
              <w:left w:val="single" w:sz="4" w:space="0" w:color="000000"/>
              <w:bottom w:val="single" w:sz="4" w:space="0" w:color="000000"/>
              <w:right w:val="single" w:sz="4" w:space="0" w:color="000000"/>
            </w:tcBorders>
          </w:tcPr>
          <w:p>
            <w:pPr/>
          </w:p>
        </w:tc>
        <w:tc>
          <w:tcPr>
            <w:tcW w:w="715" w:type="dxa"/>
            <w:tcBorders>
              <w:top w:val="nil" w:sz="6" w:space="0" w:color="auto"/>
              <w:left w:val="single" w:sz="4" w:space="0" w:color="000000"/>
              <w:bottom w:val="single" w:sz="4" w:space="0" w:color="000000"/>
              <w:right w:val="single" w:sz="4" w:space="0" w:color="000000"/>
            </w:tcBorders>
          </w:tcPr>
          <w:p>
            <w:pPr/>
          </w:p>
        </w:tc>
        <w:tc>
          <w:tcPr>
            <w:tcW w:w="21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2019-003</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type w:val="continuous"/>
          <w:pgSz w:w="16840" w:h="11910" w:orient="landscape"/>
          <w:pgMar w:top="1060" w:bottom="1160" w:left="1300" w:right="1280"/>
        </w:sectPr>
      </w:pPr>
    </w:p>
    <w:p>
      <w:pPr>
        <w:spacing w:line="240" w:lineRule="auto" w:before="11"/>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749"/>
        <w:gridCol w:w="775"/>
        <w:gridCol w:w="804"/>
        <w:gridCol w:w="756"/>
        <w:gridCol w:w="733"/>
        <w:gridCol w:w="734"/>
        <w:gridCol w:w="734"/>
        <w:gridCol w:w="734"/>
        <w:gridCol w:w="735"/>
        <w:gridCol w:w="735"/>
        <w:gridCol w:w="732"/>
        <w:gridCol w:w="734"/>
        <w:gridCol w:w="734"/>
        <w:gridCol w:w="718"/>
        <w:gridCol w:w="715"/>
        <w:gridCol w:w="715"/>
        <w:gridCol w:w="2180"/>
      </w:tblGrid>
      <w:tr>
        <w:trPr>
          <w:trHeight w:val="371" w:hRule="exact"/>
        </w:trPr>
        <w:tc>
          <w:tcPr>
            <w:tcW w:w="749" w:type="dxa"/>
            <w:tcBorders>
              <w:top w:val="single" w:sz="15" w:space="0" w:color="000000"/>
              <w:left w:val="single" w:sz="4" w:space="0" w:color="000000"/>
              <w:bottom w:val="nil" w:sz="6" w:space="0" w:color="auto"/>
              <w:right w:val="single" w:sz="4" w:space="0" w:color="000000"/>
            </w:tcBorders>
          </w:tcPr>
          <w:p>
            <w:pPr/>
          </w:p>
        </w:tc>
        <w:tc>
          <w:tcPr>
            <w:tcW w:w="775" w:type="dxa"/>
            <w:tcBorders>
              <w:top w:val="single" w:sz="15" w:space="0" w:color="000000"/>
              <w:left w:val="single" w:sz="4" w:space="0" w:color="000000"/>
              <w:bottom w:val="nil" w:sz="6" w:space="0" w:color="auto"/>
              <w:right w:val="single" w:sz="4" w:space="0" w:color="000000"/>
            </w:tcBorders>
          </w:tcPr>
          <w:p>
            <w:pPr/>
          </w:p>
        </w:tc>
        <w:tc>
          <w:tcPr>
            <w:tcW w:w="804" w:type="dxa"/>
            <w:tcBorders>
              <w:top w:val="single" w:sz="15" w:space="0" w:color="000000"/>
              <w:left w:val="single" w:sz="4" w:space="0" w:color="000000"/>
              <w:bottom w:val="nil" w:sz="6" w:space="0" w:color="auto"/>
              <w:right w:val="single" w:sz="4" w:space="0" w:color="000000"/>
            </w:tcBorders>
          </w:tcPr>
          <w:p>
            <w:pPr/>
          </w:p>
        </w:tc>
        <w:tc>
          <w:tcPr>
            <w:tcW w:w="756" w:type="dxa"/>
            <w:tcBorders>
              <w:top w:val="single" w:sz="15" w:space="0" w:color="000000"/>
              <w:left w:val="single" w:sz="4" w:space="0" w:color="000000"/>
              <w:bottom w:val="nil" w:sz="6" w:space="0" w:color="auto"/>
              <w:right w:val="single" w:sz="4" w:space="0" w:color="000000"/>
            </w:tcBorders>
          </w:tcPr>
          <w:p>
            <w:pPr/>
          </w:p>
        </w:tc>
        <w:tc>
          <w:tcPr>
            <w:tcW w:w="733" w:type="dxa"/>
            <w:tcBorders>
              <w:top w:val="single" w:sz="15" w:space="0" w:color="000000"/>
              <w:left w:val="single" w:sz="4" w:space="0" w:color="000000"/>
              <w:bottom w:val="nil" w:sz="6" w:space="0" w:color="auto"/>
              <w:right w:val="single" w:sz="4" w:space="0" w:color="000000"/>
            </w:tcBorders>
          </w:tcPr>
          <w:p>
            <w:pPr/>
          </w:p>
        </w:tc>
        <w:tc>
          <w:tcPr>
            <w:tcW w:w="734" w:type="dxa"/>
            <w:tcBorders>
              <w:top w:val="single" w:sz="15" w:space="0" w:color="000000"/>
              <w:left w:val="single" w:sz="4" w:space="0" w:color="000000"/>
              <w:bottom w:val="nil" w:sz="6" w:space="0" w:color="auto"/>
              <w:right w:val="single" w:sz="4" w:space="0" w:color="000000"/>
            </w:tcBorders>
          </w:tcPr>
          <w:p>
            <w:pPr/>
          </w:p>
        </w:tc>
        <w:tc>
          <w:tcPr>
            <w:tcW w:w="734" w:type="dxa"/>
            <w:tcBorders>
              <w:top w:val="single" w:sz="15" w:space="0" w:color="000000"/>
              <w:left w:val="single" w:sz="4" w:space="0" w:color="000000"/>
              <w:bottom w:val="nil" w:sz="6" w:space="0" w:color="auto"/>
              <w:right w:val="single" w:sz="4" w:space="0" w:color="000000"/>
            </w:tcBorders>
          </w:tcPr>
          <w:p>
            <w:pPr/>
          </w:p>
        </w:tc>
        <w:tc>
          <w:tcPr>
            <w:tcW w:w="734" w:type="dxa"/>
            <w:tcBorders>
              <w:top w:val="single" w:sz="15" w:space="0" w:color="000000"/>
              <w:left w:val="single" w:sz="4" w:space="0" w:color="000000"/>
              <w:bottom w:val="nil" w:sz="6" w:space="0" w:color="auto"/>
              <w:right w:val="single" w:sz="4" w:space="0" w:color="000000"/>
            </w:tcBorders>
          </w:tcPr>
          <w:p>
            <w:pPr/>
          </w:p>
        </w:tc>
        <w:tc>
          <w:tcPr>
            <w:tcW w:w="735" w:type="dxa"/>
            <w:tcBorders>
              <w:top w:val="single" w:sz="15" w:space="0" w:color="000000"/>
              <w:left w:val="single" w:sz="4" w:space="0" w:color="000000"/>
              <w:bottom w:val="nil" w:sz="6" w:space="0" w:color="auto"/>
              <w:right w:val="single" w:sz="4" w:space="0" w:color="000000"/>
            </w:tcBorders>
          </w:tcPr>
          <w:p>
            <w:pPr/>
          </w:p>
        </w:tc>
        <w:tc>
          <w:tcPr>
            <w:tcW w:w="735" w:type="dxa"/>
            <w:tcBorders>
              <w:top w:val="single" w:sz="15" w:space="0" w:color="000000"/>
              <w:left w:val="single" w:sz="4" w:space="0" w:color="000000"/>
              <w:bottom w:val="nil" w:sz="6" w:space="0" w:color="auto"/>
              <w:right w:val="single" w:sz="4" w:space="0" w:color="000000"/>
            </w:tcBorders>
          </w:tcPr>
          <w:p>
            <w:pPr/>
          </w:p>
        </w:tc>
        <w:tc>
          <w:tcPr>
            <w:tcW w:w="732" w:type="dxa"/>
            <w:vMerge w:val="restart"/>
            <w:tcBorders>
              <w:top w:val="single" w:sz="15" w:space="0" w:color="000000"/>
              <w:left w:val="single" w:sz="4" w:space="0" w:color="000000"/>
              <w:right w:val="single" w:sz="4" w:space="0" w:color="000000"/>
            </w:tcBorders>
          </w:tcPr>
          <w:p>
            <w:pPr/>
          </w:p>
        </w:tc>
        <w:tc>
          <w:tcPr>
            <w:tcW w:w="734" w:type="dxa"/>
            <w:tcBorders>
              <w:top w:val="single" w:sz="15" w:space="0" w:color="000000"/>
              <w:left w:val="single" w:sz="4" w:space="0" w:color="000000"/>
              <w:bottom w:val="nil" w:sz="6" w:space="0" w:color="auto"/>
              <w:right w:val="single" w:sz="4" w:space="0" w:color="000000"/>
            </w:tcBorders>
          </w:tcPr>
          <w:p>
            <w:pPr/>
          </w:p>
        </w:tc>
        <w:tc>
          <w:tcPr>
            <w:tcW w:w="734" w:type="dxa"/>
            <w:tcBorders>
              <w:top w:val="single" w:sz="15" w:space="0" w:color="000000"/>
              <w:left w:val="single" w:sz="4" w:space="0" w:color="000000"/>
              <w:bottom w:val="nil" w:sz="6" w:space="0" w:color="auto"/>
              <w:right w:val="single" w:sz="4" w:space="0" w:color="000000"/>
            </w:tcBorders>
          </w:tcPr>
          <w:p>
            <w:pPr/>
          </w:p>
        </w:tc>
        <w:tc>
          <w:tcPr>
            <w:tcW w:w="718" w:type="dxa"/>
            <w:tcBorders>
              <w:top w:val="single" w:sz="15" w:space="0" w:color="000000"/>
              <w:left w:val="single" w:sz="4" w:space="0" w:color="000000"/>
              <w:bottom w:val="nil" w:sz="6" w:space="0" w:color="auto"/>
              <w:right w:val="single" w:sz="4" w:space="0" w:color="000000"/>
            </w:tcBorders>
          </w:tcPr>
          <w:p>
            <w:pPr/>
          </w:p>
        </w:tc>
        <w:tc>
          <w:tcPr>
            <w:tcW w:w="715" w:type="dxa"/>
            <w:tcBorders>
              <w:top w:val="single" w:sz="15" w:space="0" w:color="000000"/>
              <w:left w:val="single" w:sz="4" w:space="0" w:color="000000"/>
              <w:bottom w:val="nil" w:sz="6" w:space="0" w:color="auto"/>
              <w:right w:val="single" w:sz="4" w:space="0" w:color="000000"/>
            </w:tcBorders>
          </w:tcPr>
          <w:p>
            <w:pPr/>
          </w:p>
        </w:tc>
        <w:tc>
          <w:tcPr>
            <w:tcW w:w="715" w:type="dxa"/>
            <w:tcBorders>
              <w:top w:val="single" w:sz="15" w:space="0" w:color="000000"/>
              <w:left w:val="single" w:sz="4" w:space="0" w:color="000000"/>
              <w:bottom w:val="nil" w:sz="6" w:space="0" w:color="auto"/>
              <w:right w:val="single" w:sz="4" w:space="0" w:color="000000"/>
            </w:tcBorders>
          </w:tcPr>
          <w:p>
            <w:pPr/>
          </w:p>
        </w:tc>
        <w:tc>
          <w:tcPr>
            <w:tcW w:w="2180"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1247" w:hRule="exact"/>
        </w:trPr>
        <w:tc>
          <w:tcPr>
            <w:tcW w:w="749"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173"/>
              <w:jc w:val="both"/>
              <w:rPr>
                <w:rFonts w:ascii="宋体" w:hAnsi="宋体" w:cs="宋体" w:eastAsia="宋体" w:hint="default"/>
                <w:sz w:val="18"/>
                <w:szCs w:val="18"/>
              </w:rPr>
            </w:pPr>
            <w:r>
              <w:rPr>
                <w:rFonts w:ascii="宋体" w:hAnsi="宋体" w:cs="宋体" w:eastAsia="宋体" w:hint="default"/>
                <w:sz w:val="18"/>
                <w:szCs w:val="18"/>
              </w:rPr>
              <w:t>中国光 大银行 深圳分 行</w:t>
            </w:r>
          </w:p>
        </w:tc>
        <w:tc>
          <w:tcPr>
            <w:tcW w:w="7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4" w:lineRule="auto"/>
              <w:ind w:left="24" w:right="48"/>
              <w:jc w:val="left"/>
              <w:rPr>
                <w:rFonts w:ascii="宋体" w:hAnsi="宋体" w:cs="宋体" w:eastAsia="宋体" w:hint="default"/>
                <w:sz w:val="18"/>
                <w:szCs w:val="18"/>
              </w:rPr>
            </w:pPr>
            <w:r>
              <w:rPr>
                <w:rFonts w:ascii="宋体" w:hAnsi="宋体" w:cs="宋体" w:eastAsia="宋体" w:hint="default"/>
                <w:sz w:val="18"/>
                <w:szCs w:val="18"/>
              </w:rPr>
              <w:t>结构性存 款</w:t>
            </w: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7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4" w:lineRule="auto"/>
              <w:ind w:left="21" w:right="159"/>
              <w:jc w:val="left"/>
              <w:rPr>
                <w:rFonts w:ascii="宋体" w:hAnsi="宋体" w:cs="宋体" w:eastAsia="宋体" w:hint="default"/>
                <w:sz w:val="18"/>
                <w:szCs w:val="18"/>
              </w:rPr>
            </w:pPr>
            <w:r>
              <w:rPr>
                <w:rFonts w:ascii="宋体" w:hAnsi="宋体" w:cs="宋体" w:eastAsia="宋体" w:hint="default"/>
                <w:sz w:val="18"/>
                <w:szCs w:val="18"/>
              </w:rPr>
              <w:t>闲置募 集资金</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4" w:lineRule="auto"/>
              <w:ind w:left="23" w:right="158"/>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1" w:right="16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3.95%</w:t>
            </w:r>
          </w:p>
        </w:tc>
        <w:tc>
          <w:tcPr>
            <w:tcW w:w="732"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19.75</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http://www.cninfo.com.cn)</w:t>
            </w:r>
          </w:p>
          <w:p>
            <w:pPr>
              <w:pStyle w:val="TableParagraph"/>
              <w:spacing w:line="316" w:lineRule="auto" w:before="63"/>
              <w:ind w:left="21" w:right="166"/>
              <w:jc w:val="both"/>
              <w:rPr>
                <w:rFonts w:ascii="宋体" w:hAnsi="宋体" w:cs="宋体" w:eastAsia="宋体" w:hint="default"/>
                <w:sz w:val="18"/>
                <w:szCs w:val="18"/>
              </w:rPr>
            </w:pPr>
            <w:r>
              <w:rPr>
                <w:rFonts w:ascii="宋体" w:hAnsi="宋体" w:cs="宋体" w:eastAsia="宋体" w:hint="default"/>
                <w:sz w:val="18"/>
                <w:szCs w:val="18"/>
              </w:rPr>
              <w:t>《关于公司及全资子公司 使用部分闲置募集资金进 行现金管理进展的公告》</w:t>
            </w:r>
          </w:p>
        </w:tc>
      </w:tr>
      <w:tr>
        <w:trPr>
          <w:trHeight w:val="360" w:hRule="exact"/>
        </w:trPr>
        <w:tc>
          <w:tcPr>
            <w:tcW w:w="749" w:type="dxa"/>
            <w:tcBorders>
              <w:top w:val="nil" w:sz="6" w:space="0" w:color="auto"/>
              <w:left w:val="single" w:sz="4" w:space="0" w:color="000000"/>
              <w:bottom w:val="single" w:sz="4" w:space="0" w:color="000000"/>
              <w:right w:val="single" w:sz="4" w:space="0" w:color="000000"/>
            </w:tcBorders>
          </w:tcPr>
          <w:p>
            <w:pPr/>
          </w:p>
        </w:tc>
        <w:tc>
          <w:tcPr>
            <w:tcW w:w="775"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756" w:type="dxa"/>
            <w:tcBorders>
              <w:top w:val="nil" w:sz="6" w:space="0" w:color="auto"/>
              <w:left w:val="single" w:sz="4" w:space="0" w:color="000000"/>
              <w:bottom w:val="single" w:sz="4" w:space="0" w:color="000000"/>
              <w:right w:val="single" w:sz="4" w:space="0" w:color="000000"/>
            </w:tcBorders>
          </w:tcPr>
          <w:p>
            <w:pPr/>
          </w:p>
        </w:tc>
        <w:tc>
          <w:tcPr>
            <w:tcW w:w="733"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2"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18" w:type="dxa"/>
            <w:tcBorders>
              <w:top w:val="nil" w:sz="6" w:space="0" w:color="auto"/>
              <w:left w:val="single" w:sz="4" w:space="0" w:color="000000"/>
              <w:bottom w:val="single" w:sz="4" w:space="0" w:color="000000"/>
              <w:right w:val="single" w:sz="4" w:space="0" w:color="000000"/>
            </w:tcBorders>
          </w:tcPr>
          <w:p>
            <w:pPr/>
          </w:p>
        </w:tc>
        <w:tc>
          <w:tcPr>
            <w:tcW w:w="715" w:type="dxa"/>
            <w:tcBorders>
              <w:top w:val="nil" w:sz="6" w:space="0" w:color="auto"/>
              <w:left w:val="single" w:sz="4" w:space="0" w:color="000000"/>
              <w:bottom w:val="single" w:sz="4" w:space="0" w:color="000000"/>
              <w:right w:val="single" w:sz="4" w:space="0" w:color="000000"/>
            </w:tcBorders>
          </w:tcPr>
          <w:p>
            <w:pPr/>
          </w:p>
        </w:tc>
        <w:tc>
          <w:tcPr>
            <w:tcW w:w="715" w:type="dxa"/>
            <w:tcBorders>
              <w:top w:val="nil" w:sz="6" w:space="0" w:color="auto"/>
              <w:left w:val="single" w:sz="4" w:space="0" w:color="000000"/>
              <w:bottom w:val="single" w:sz="4" w:space="0" w:color="000000"/>
              <w:right w:val="single" w:sz="4" w:space="0" w:color="000000"/>
            </w:tcBorders>
          </w:tcPr>
          <w:p>
            <w:pPr/>
          </w:p>
        </w:tc>
        <w:tc>
          <w:tcPr>
            <w:tcW w:w="21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2019-003</w:t>
            </w:r>
            <w:r>
              <w:rPr>
                <w:rFonts w:ascii="宋体" w:hAnsi="宋体" w:cs="宋体" w:eastAsia="宋体" w:hint="default"/>
                <w:sz w:val="18"/>
                <w:szCs w:val="18"/>
              </w:rPr>
              <w:t>）</w:t>
            </w:r>
          </w:p>
        </w:tc>
      </w:tr>
      <w:tr>
        <w:trPr>
          <w:trHeight w:val="355" w:hRule="exact"/>
        </w:trPr>
        <w:tc>
          <w:tcPr>
            <w:tcW w:w="749" w:type="dxa"/>
            <w:tcBorders>
              <w:top w:val="single" w:sz="4" w:space="0" w:color="000000"/>
              <w:left w:val="single" w:sz="4" w:space="0" w:color="000000"/>
              <w:bottom w:val="nil" w:sz="6" w:space="0" w:color="auto"/>
              <w:right w:val="single" w:sz="4" w:space="0" w:color="000000"/>
            </w:tcBorders>
          </w:tcPr>
          <w:p>
            <w:pPr/>
          </w:p>
        </w:tc>
        <w:tc>
          <w:tcPr>
            <w:tcW w:w="775"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756" w:type="dxa"/>
            <w:tcBorders>
              <w:top w:val="single" w:sz="4" w:space="0" w:color="000000"/>
              <w:left w:val="single" w:sz="4" w:space="0" w:color="000000"/>
              <w:bottom w:val="nil" w:sz="6" w:space="0" w:color="auto"/>
              <w:right w:val="single" w:sz="4" w:space="0" w:color="000000"/>
            </w:tcBorders>
          </w:tcPr>
          <w:p>
            <w:pPr/>
          </w:p>
        </w:tc>
        <w:tc>
          <w:tcPr>
            <w:tcW w:w="733"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2"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18" w:type="dxa"/>
            <w:tcBorders>
              <w:top w:val="single" w:sz="4" w:space="0" w:color="000000"/>
              <w:left w:val="single" w:sz="4" w:space="0" w:color="000000"/>
              <w:bottom w:val="nil" w:sz="6" w:space="0" w:color="auto"/>
              <w:right w:val="single" w:sz="4" w:space="0" w:color="000000"/>
            </w:tcBorders>
          </w:tcPr>
          <w:p>
            <w:pPr/>
          </w:p>
        </w:tc>
        <w:tc>
          <w:tcPr>
            <w:tcW w:w="715" w:type="dxa"/>
            <w:tcBorders>
              <w:top w:val="single" w:sz="4" w:space="0" w:color="000000"/>
              <w:left w:val="single" w:sz="4" w:space="0" w:color="000000"/>
              <w:bottom w:val="nil" w:sz="6" w:space="0" w:color="auto"/>
              <w:right w:val="single" w:sz="4" w:space="0" w:color="000000"/>
            </w:tcBorders>
          </w:tcPr>
          <w:p>
            <w:pPr/>
          </w:p>
        </w:tc>
        <w:tc>
          <w:tcPr>
            <w:tcW w:w="715" w:type="dxa"/>
            <w:tcBorders>
              <w:top w:val="single" w:sz="4" w:space="0" w:color="000000"/>
              <w:left w:val="single" w:sz="4" w:space="0" w:color="000000"/>
              <w:bottom w:val="nil" w:sz="6" w:space="0" w:color="auto"/>
              <w:right w:val="single" w:sz="4" w:space="0" w:color="000000"/>
            </w:tcBorders>
          </w:tcPr>
          <w:p>
            <w:pPr/>
          </w:p>
        </w:tc>
        <w:tc>
          <w:tcPr>
            <w:tcW w:w="21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1249" w:hRule="exact"/>
        </w:trPr>
        <w:tc>
          <w:tcPr>
            <w:tcW w:w="749"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3" w:right="173"/>
              <w:jc w:val="both"/>
              <w:rPr>
                <w:rFonts w:ascii="宋体" w:hAnsi="宋体" w:cs="宋体" w:eastAsia="宋体" w:hint="default"/>
                <w:sz w:val="18"/>
                <w:szCs w:val="18"/>
              </w:rPr>
            </w:pPr>
            <w:r>
              <w:rPr>
                <w:rFonts w:ascii="宋体" w:hAnsi="宋体" w:cs="宋体" w:eastAsia="宋体" w:hint="default"/>
                <w:sz w:val="18"/>
                <w:szCs w:val="18"/>
              </w:rPr>
              <w:t>中国银 行深圳 科苑路 支行</w:t>
            </w:r>
          </w:p>
        </w:tc>
        <w:tc>
          <w:tcPr>
            <w:tcW w:w="7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4" w:right="48"/>
              <w:jc w:val="left"/>
              <w:rPr>
                <w:rFonts w:ascii="宋体" w:hAnsi="宋体" w:cs="宋体" w:eastAsia="宋体" w:hint="default"/>
                <w:sz w:val="18"/>
                <w:szCs w:val="18"/>
              </w:rPr>
            </w:pPr>
            <w:r>
              <w:rPr>
                <w:rFonts w:ascii="宋体" w:hAnsi="宋体" w:cs="宋体" w:eastAsia="宋体" w:hint="default"/>
                <w:sz w:val="18"/>
                <w:szCs w:val="18"/>
              </w:rPr>
              <w:t>结构性存 款</w:t>
            </w: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w:t>
            </w:r>
          </w:p>
        </w:tc>
        <w:tc>
          <w:tcPr>
            <w:tcW w:w="73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1" w:right="159"/>
              <w:jc w:val="left"/>
              <w:rPr>
                <w:rFonts w:ascii="宋体" w:hAnsi="宋体" w:cs="宋体" w:eastAsia="宋体" w:hint="default"/>
                <w:sz w:val="18"/>
                <w:szCs w:val="18"/>
              </w:rPr>
            </w:pPr>
            <w:r>
              <w:rPr>
                <w:rFonts w:ascii="宋体" w:hAnsi="宋体" w:cs="宋体" w:eastAsia="宋体" w:hint="default"/>
                <w:sz w:val="18"/>
                <w:szCs w:val="18"/>
              </w:rPr>
              <w:t>闲置募 集资金</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3" w:right="158"/>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1" w:right="16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3.35%</w:t>
            </w:r>
          </w:p>
        </w:tc>
        <w:tc>
          <w:tcPr>
            <w:tcW w:w="732"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39.65</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http://www.cninfo.com.cn)</w:t>
            </w:r>
          </w:p>
          <w:p>
            <w:pPr>
              <w:pStyle w:val="TableParagraph"/>
              <w:spacing w:line="316" w:lineRule="auto" w:before="63"/>
              <w:ind w:left="21" w:right="166"/>
              <w:jc w:val="both"/>
              <w:rPr>
                <w:rFonts w:ascii="宋体" w:hAnsi="宋体" w:cs="宋体" w:eastAsia="宋体" w:hint="default"/>
                <w:sz w:val="18"/>
                <w:szCs w:val="18"/>
              </w:rPr>
            </w:pPr>
            <w:r>
              <w:rPr>
                <w:rFonts w:ascii="宋体" w:hAnsi="宋体" w:cs="宋体" w:eastAsia="宋体" w:hint="default"/>
                <w:sz w:val="18"/>
                <w:szCs w:val="18"/>
              </w:rPr>
              <w:t>《关于公司及全资子公司 使用部分闲置募集资金进 行现金管理进展的公告》</w:t>
            </w:r>
          </w:p>
        </w:tc>
      </w:tr>
      <w:tr>
        <w:trPr>
          <w:trHeight w:val="357" w:hRule="exact"/>
        </w:trPr>
        <w:tc>
          <w:tcPr>
            <w:tcW w:w="749" w:type="dxa"/>
            <w:tcBorders>
              <w:top w:val="nil" w:sz="6" w:space="0" w:color="auto"/>
              <w:left w:val="single" w:sz="4" w:space="0" w:color="000000"/>
              <w:bottom w:val="single" w:sz="4" w:space="0" w:color="000000"/>
              <w:right w:val="single" w:sz="4" w:space="0" w:color="000000"/>
            </w:tcBorders>
          </w:tcPr>
          <w:p>
            <w:pPr/>
          </w:p>
        </w:tc>
        <w:tc>
          <w:tcPr>
            <w:tcW w:w="775"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756" w:type="dxa"/>
            <w:tcBorders>
              <w:top w:val="nil" w:sz="6" w:space="0" w:color="auto"/>
              <w:left w:val="single" w:sz="4" w:space="0" w:color="000000"/>
              <w:bottom w:val="single" w:sz="4" w:space="0" w:color="000000"/>
              <w:right w:val="single" w:sz="4" w:space="0" w:color="000000"/>
            </w:tcBorders>
          </w:tcPr>
          <w:p>
            <w:pPr/>
          </w:p>
        </w:tc>
        <w:tc>
          <w:tcPr>
            <w:tcW w:w="733"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2"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18" w:type="dxa"/>
            <w:tcBorders>
              <w:top w:val="nil" w:sz="6" w:space="0" w:color="auto"/>
              <w:left w:val="single" w:sz="4" w:space="0" w:color="000000"/>
              <w:bottom w:val="single" w:sz="4" w:space="0" w:color="000000"/>
              <w:right w:val="single" w:sz="4" w:space="0" w:color="000000"/>
            </w:tcBorders>
          </w:tcPr>
          <w:p>
            <w:pPr/>
          </w:p>
        </w:tc>
        <w:tc>
          <w:tcPr>
            <w:tcW w:w="715" w:type="dxa"/>
            <w:tcBorders>
              <w:top w:val="nil" w:sz="6" w:space="0" w:color="auto"/>
              <w:left w:val="single" w:sz="4" w:space="0" w:color="000000"/>
              <w:bottom w:val="single" w:sz="4" w:space="0" w:color="000000"/>
              <w:right w:val="single" w:sz="4" w:space="0" w:color="000000"/>
            </w:tcBorders>
          </w:tcPr>
          <w:p>
            <w:pPr/>
          </w:p>
        </w:tc>
        <w:tc>
          <w:tcPr>
            <w:tcW w:w="715" w:type="dxa"/>
            <w:tcBorders>
              <w:top w:val="nil" w:sz="6" w:space="0" w:color="auto"/>
              <w:left w:val="single" w:sz="4" w:space="0" w:color="000000"/>
              <w:bottom w:val="single" w:sz="4" w:space="0" w:color="000000"/>
              <w:right w:val="single" w:sz="4" w:space="0" w:color="000000"/>
            </w:tcBorders>
          </w:tcPr>
          <w:p>
            <w:pPr/>
          </w:p>
        </w:tc>
        <w:tc>
          <w:tcPr>
            <w:tcW w:w="21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2019-022</w:t>
            </w:r>
            <w:r>
              <w:rPr>
                <w:rFonts w:ascii="宋体" w:hAnsi="宋体" w:cs="宋体" w:eastAsia="宋体" w:hint="default"/>
                <w:sz w:val="18"/>
                <w:szCs w:val="18"/>
              </w:rPr>
              <w:t>）</w:t>
            </w:r>
          </w:p>
        </w:tc>
      </w:tr>
      <w:tr>
        <w:trPr>
          <w:trHeight w:val="357" w:hRule="exact"/>
        </w:trPr>
        <w:tc>
          <w:tcPr>
            <w:tcW w:w="749" w:type="dxa"/>
            <w:tcBorders>
              <w:top w:val="single" w:sz="4" w:space="0" w:color="000000"/>
              <w:left w:val="single" w:sz="4" w:space="0" w:color="000000"/>
              <w:bottom w:val="nil" w:sz="6" w:space="0" w:color="auto"/>
              <w:right w:val="single" w:sz="4" w:space="0" w:color="000000"/>
            </w:tcBorders>
          </w:tcPr>
          <w:p>
            <w:pPr/>
          </w:p>
        </w:tc>
        <w:tc>
          <w:tcPr>
            <w:tcW w:w="775"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756" w:type="dxa"/>
            <w:tcBorders>
              <w:top w:val="single" w:sz="4" w:space="0" w:color="000000"/>
              <w:left w:val="single" w:sz="4" w:space="0" w:color="000000"/>
              <w:bottom w:val="nil" w:sz="6" w:space="0" w:color="auto"/>
              <w:right w:val="single" w:sz="4" w:space="0" w:color="000000"/>
            </w:tcBorders>
          </w:tcPr>
          <w:p>
            <w:pPr/>
          </w:p>
        </w:tc>
        <w:tc>
          <w:tcPr>
            <w:tcW w:w="733"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2"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18" w:type="dxa"/>
            <w:tcBorders>
              <w:top w:val="single" w:sz="4" w:space="0" w:color="000000"/>
              <w:left w:val="single" w:sz="4" w:space="0" w:color="000000"/>
              <w:bottom w:val="nil" w:sz="6" w:space="0" w:color="auto"/>
              <w:right w:val="single" w:sz="4" w:space="0" w:color="000000"/>
            </w:tcBorders>
          </w:tcPr>
          <w:p>
            <w:pPr/>
          </w:p>
        </w:tc>
        <w:tc>
          <w:tcPr>
            <w:tcW w:w="715" w:type="dxa"/>
            <w:tcBorders>
              <w:top w:val="single" w:sz="4" w:space="0" w:color="000000"/>
              <w:left w:val="single" w:sz="4" w:space="0" w:color="000000"/>
              <w:bottom w:val="nil" w:sz="6" w:space="0" w:color="auto"/>
              <w:right w:val="single" w:sz="4" w:space="0" w:color="000000"/>
            </w:tcBorders>
          </w:tcPr>
          <w:p>
            <w:pPr/>
          </w:p>
        </w:tc>
        <w:tc>
          <w:tcPr>
            <w:tcW w:w="715" w:type="dxa"/>
            <w:tcBorders>
              <w:top w:val="single" w:sz="4" w:space="0" w:color="000000"/>
              <w:left w:val="single" w:sz="4" w:space="0" w:color="000000"/>
              <w:bottom w:val="nil" w:sz="6" w:space="0" w:color="auto"/>
              <w:right w:val="single" w:sz="4" w:space="0" w:color="000000"/>
            </w:tcBorders>
          </w:tcPr>
          <w:p>
            <w:pPr/>
          </w:p>
        </w:tc>
        <w:tc>
          <w:tcPr>
            <w:tcW w:w="21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1247" w:hRule="exact"/>
        </w:trPr>
        <w:tc>
          <w:tcPr>
            <w:tcW w:w="749"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173"/>
              <w:jc w:val="both"/>
              <w:rPr>
                <w:rFonts w:ascii="宋体" w:hAnsi="宋体" w:cs="宋体" w:eastAsia="宋体" w:hint="default"/>
                <w:sz w:val="18"/>
                <w:szCs w:val="18"/>
              </w:rPr>
            </w:pPr>
            <w:r>
              <w:rPr>
                <w:rFonts w:ascii="宋体" w:hAnsi="宋体" w:cs="宋体" w:eastAsia="宋体" w:hint="default"/>
                <w:sz w:val="18"/>
                <w:szCs w:val="18"/>
              </w:rPr>
              <w:t>中国银 行深圳 科苑路 支行</w:t>
            </w:r>
          </w:p>
        </w:tc>
        <w:tc>
          <w:tcPr>
            <w:tcW w:w="7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4" w:lineRule="auto"/>
              <w:ind w:left="24" w:right="48"/>
              <w:jc w:val="left"/>
              <w:rPr>
                <w:rFonts w:ascii="宋体" w:hAnsi="宋体" w:cs="宋体" w:eastAsia="宋体" w:hint="default"/>
                <w:sz w:val="18"/>
                <w:szCs w:val="18"/>
              </w:rPr>
            </w:pPr>
            <w:r>
              <w:rPr>
                <w:rFonts w:ascii="宋体" w:hAnsi="宋体" w:cs="宋体" w:eastAsia="宋体" w:hint="default"/>
                <w:sz w:val="18"/>
                <w:szCs w:val="18"/>
              </w:rPr>
              <w:t>结构性存 款</w:t>
            </w: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w:t>
            </w:r>
          </w:p>
        </w:tc>
        <w:tc>
          <w:tcPr>
            <w:tcW w:w="7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4" w:lineRule="auto"/>
              <w:ind w:left="21" w:right="159"/>
              <w:jc w:val="left"/>
              <w:rPr>
                <w:rFonts w:ascii="宋体" w:hAnsi="宋体" w:cs="宋体" w:eastAsia="宋体" w:hint="default"/>
                <w:sz w:val="18"/>
                <w:szCs w:val="18"/>
              </w:rPr>
            </w:pPr>
            <w:r>
              <w:rPr>
                <w:rFonts w:ascii="宋体" w:hAnsi="宋体" w:cs="宋体" w:eastAsia="宋体" w:hint="default"/>
                <w:sz w:val="18"/>
                <w:szCs w:val="18"/>
              </w:rPr>
              <w:t>闲置募 集资金</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4" w:lineRule="auto"/>
              <w:ind w:left="23" w:right="158"/>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1" w:right="16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3.15%</w:t>
            </w:r>
          </w:p>
        </w:tc>
        <w:tc>
          <w:tcPr>
            <w:tcW w:w="732"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36.51</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http://www.cninfo.com.cn)</w:t>
            </w:r>
          </w:p>
          <w:p>
            <w:pPr>
              <w:pStyle w:val="TableParagraph"/>
              <w:spacing w:line="319" w:lineRule="auto" w:before="63"/>
              <w:ind w:left="21" w:right="166"/>
              <w:jc w:val="both"/>
              <w:rPr>
                <w:rFonts w:ascii="宋体" w:hAnsi="宋体" w:cs="宋体" w:eastAsia="宋体" w:hint="default"/>
                <w:sz w:val="18"/>
                <w:szCs w:val="18"/>
              </w:rPr>
            </w:pPr>
            <w:r>
              <w:rPr>
                <w:rFonts w:ascii="宋体" w:hAnsi="宋体" w:cs="宋体" w:eastAsia="宋体" w:hint="default"/>
                <w:sz w:val="18"/>
                <w:szCs w:val="18"/>
              </w:rPr>
              <w:t>《关于公司及全资子公司 使用部分闲置募集资金进 行现金管理进展的公告》</w:t>
            </w:r>
          </w:p>
        </w:tc>
      </w:tr>
      <w:tr>
        <w:trPr>
          <w:trHeight w:val="360" w:hRule="exact"/>
        </w:trPr>
        <w:tc>
          <w:tcPr>
            <w:tcW w:w="749" w:type="dxa"/>
            <w:tcBorders>
              <w:top w:val="nil" w:sz="6" w:space="0" w:color="auto"/>
              <w:left w:val="single" w:sz="4" w:space="0" w:color="000000"/>
              <w:bottom w:val="single" w:sz="4" w:space="0" w:color="000000"/>
              <w:right w:val="single" w:sz="4" w:space="0" w:color="000000"/>
            </w:tcBorders>
          </w:tcPr>
          <w:p>
            <w:pPr/>
          </w:p>
        </w:tc>
        <w:tc>
          <w:tcPr>
            <w:tcW w:w="775"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756" w:type="dxa"/>
            <w:tcBorders>
              <w:top w:val="nil" w:sz="6" w:space="0" w:color="auto"/>
              <w:left w:val="single" w:sz="4" w:space="0" w:color="000000"/>
              <w:bottom w:val="single" w:sz="4" w:space="0" w:color="000000"/>
              <w:right w:val="single" w:sz="4" w:space="0" w:color="000000"/>
            </w:tcBorders>
          </w:tcPr>
          <w:p>
            <w:pPr/>
          </w:p>
        </w:tc>
        <w:tc>
          <w:tcPr>
            <w:tcW w:w="733"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2"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18" w:type="dxa"/>
            <w:tcBorders>
              <w:top w:val="nil" w:sz="6" w:space="0" w:color="auto"/>
              <w:left w:val="single" w:sz="4" w:space="0" w:color="000000"/>
              <w:bottom w:val="single" w:sz="4" w:space="0" w:color="000000"/>
              <w:right w:val="single" w:sz="4" w:space="0" w:color="000000"/>
            </w:tcBorders>
          </w:tcPr>
          <w:p>
            <w:pPr/>
          </w:p>
        </w:tc>
        <w:tc>
          <w:tcPr>
            <w:tcW w:w="715" w:type="dxa"/>
            <w:tcBorders>
              <w:top w:val="nil" w:sz="6" w:space="0" w:color="auto"/>
              <w:left w:val="single" w:sz="4" w:space="0" w:color="000000"/>
              <w:bottom w:val="single" w:sz="4" w:space="0" w:color="000000"/>
              <w:right w:val="single" w:sz="4" w:space="0" w:color="000000"/>
            </w:tcBorders>
          </w:tcPr>
          <w:p>
            <w:pPr/>
          </w:p>
        </w:tc>
        <w:tc>
          <w:tcPr>
            <w:tcW w:w="715" w:type="dxa"/>
            <w:tcBorders>
              <w:top w:val="nil" w:sz="6" w:space="0" w:color="auto"/>
              <w:left w:val="single" w:sz="4" w:space="0" w:color="000000"/>
              <w:bottom w:val="single" w:sz="4" w:space="0" w:color="000000"/>
              <w:right w:val="single" w:sz="4" w:space="0" w:color="000000"/>
            </w:tcBorders>
          </w:tcPr>
          <w:p>
            <w:pPr/>
          </w:p>
        </w:tc>
        <w:tc>
          <w:tcPr>
            <w:tcW w:w="21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2019-058</w:t>
            </w:r>
            <w:r>
              <w:rPr>
                <w:rFonts w:ascii="宋体" w:hAnsi="宋体" w:cs="宋体" w:eastAsia="宋体" w:hint="default"/>
                <w:sz w:val="18"/>
                <w:szCs w:val="18"/>
              </w:rPr>
              <w:t>）</w:t>
            </w:r>
          </w:p>
        </w:tc>
      </w:tr>
      <w:tr>
        <w:trPr>
          <w:trHeight w:val="355" w:hRule="exact"/>
        </w:trPr>
        <w:tc>
          <w:tcPr>
            <w:tcW w:w="749" w:type="dxa"/>
            <w:tcBorders>
              <w:top w:val="single" w:sz="4" w:space="0" w:color="000000"/>
              <w:left w:val="single" w:sz="4" w:space="0" w:color="000000"/>
              <w:bottom w:val="nil" w:sz="6" w:space="0" w:color="auto"/>
              <w:right w:val="single" w:sz="4" w:space="0" w:color="000000"/>
            </w:tcBorders>
          </w:tcPr>
          <w:p>
            <w:pPr/>
          </w:p>
        </w:tc>
        <w:tc>
          <w:tcPr>
            <w:tcW w:w="775"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756" w:type="dxa"/>
            <w:tcBorders>
              <w:top w:val="single" w:sz="4" w:space="0" w:color="000000"/>
              <w:left w:val="single" w:sz="4" w:space="0" w:color="000000"/>
              <w:bottom w:val="nil" w:sz="6" w:space="0" w:color="auto"/>
              <w:right w:val="single" w:sz="4" w:space="0" w:color="000000"/>
            </w:tcBorders>
          </w:tcPr>
          <w:p>
            <w:pPr/>
          </w:p>
        </w:tc>
        <w:tc>
          <w:tcPr>
            <w:tcW w:w="733"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2"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18" w:type="dxa"/>
            <w:tcBorders>
              <w:top w:val="single" w:sz="4" w:space="0" w:color="000000"/>
              <w:left w:val="single" w:sz="4" w:space="0" w:color="000000"/>
              <w:bottom w:val="nil" w:sz="6" w:space="0" w:color="auto"/>
              <w:right w:val="single" w:sz="4" w:space="0" w:color="000000"/>
            </w:tcBorders>
          </w:tcPr>
          <w:p>
            <w:pPr/>
          </w:p>
        </w:tc>
        <w:tc>
          <w:tcPr>
            <w:tcW w:w="715" w:type="dxa"/>
            <w:tcBorders>
              <w:top w:val="single" w:sz="4" w:space="0" w:color="000000"/>
              <w:left w:val="single" w:sz="4" w:space="0" w:color="000000"/>
              <w:bottom w:val="nil" w:sz="6" w:space="0" w:color="auto"/>
              <w:right w:val="single" w:sz="4" w:space="0" w:color="000000"/>
            </w:tcBorders>
          </w:tcPr>
          <w:p>
            <w:pPr/>
          </w:p>
        </w:tc>
        <w:tc>
          <w:tcPr>
            <w:tcW w:w="715" w:type="dxa"/>
            <w:tcBorders>
              <w:top w:val="single" w:sz="4" w:space="0" w:color="000000"/>
              <w:left w:val="single" w:sz="4" w:space="0" w:color="000000"/>
              <w:bottom w:val="nil" w:sz="6" w:space="0" w:color="auto"/>
              <w:right w:val="single" w:sz="4" w:space="0" w:color="000000"/>
            </w:tcBorders>
          </w:tcPr>
          <w:p>
            <w:pPr/>
          </w:p>
        </w:tc>
        <w:tc>
          <w:tcPr>
            <w:tcW w:w="21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1248" w:hRule="exact"/>
        </w:trPr>
        <w:tc>
          <w:tcPr>
            <w:tcW w:w="74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73"/>
              <w:jc w:val="both"/>
              <w:rPr>
                <w:rFonts w:ascii="宋体" w:hAnsi="宋体" w:cs="宋体" w:eastAsia="宋体" w:hint="default"/>
                <w:sz w:val="18"/>
                <w:szCs w:val="18"/>
              </w:rPr>
            </w:pPr>
            <w:r>
              <w:rPr>
                <w:rFonts w:ascii="宋体" w:hAnsi="宋体" w:cs="宋体" w:eastAsia="宋体" w:hint="default"/>
                <w:sz w:val="18"/>
                <w:szCs w:val="18"/>
              </w:rPr>
              <w:t>中国光 大银行 深圳分 行</w:t>
            </w:r>
          </w:p>
        </w:tc>
        <w:tc>
          <w:tcPr>
            <w:tcW w:w="7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4" w:right="48"/>
              <w:jc w:val="left"/>
              <w:rPr>
                <w:rFonts w:ascii="宋体" w:hAnsi="宋体" w:cs="宋体" w:eastAsia="宋体" w:hint="default"/>
                <w:sz w:val="18"/>
                <w:szCs w:val="18"/>
              </w:rPr>
            </w:pPr>
            <w:r>
              <w:rPr>
                <w:rFonts w:ascii="宋体" w:hAnsi="宋体" w:cs="宋体" w:eastAsia="宋体" w:hint="default"/>
                <w:sz w:val="18"/>
                <w:szCs w:val="18"/>
              </w:rPr>
              <w:t>结构性存 款</w:t>
            </w: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73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1" w:right="159"/>
              <w:jc w:val="left"/>
              <w:rPr>
                <w:rFonts w:ascii="宋体" w:hAnsi="宋体" w:cs="宋体" w:eastAsia="宋体" w:hint="default"/>
                <w:sz w:val="18"/>
                <w:szCs w:val="18"/>
              </w:rPr>
            </w:pPr>
            <w:r>
              <w:rPr>
                <w:rFonts w:ascii="宋体" w:hAnsi="宋体" w:cs="宋体" w:eastAsia="宋体" w:hint="default"/>
                <w:sz w:val="18"/>
                <w:szCs w:val="18"/>
              </w:rPr>
              <w:t>闲置募 集资金</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3" w:right="158"/>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1" w:right="16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3.75%</w:t>
            </w:r>
          </w:p>
        </w:tc>
        <w:tc>
          <w:tcPr>
            <w:tcW w:w="732"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84.75</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http://www.cninfo.com.cn)</w:t>
            </w:r>
          </w:p>
          <w:p>
            <w:pPr>
              <w:pStyle w:val="TableParagraph"/>
              <w:spacing w:line="316" w:lineRule="auto" w:before="63"/>
              <w:ind w:left="21" w:right="166"/>
              <w:jc w:val="both"/>
              <w:rPr>
                <w:rFonts w:ascii="宋体" w:hAnsi="宋体" w:cs="宋体" w:eastAsia="宋体" w:hint="default"/>
                <w:sz w:val="18"/>
                <w:szCs w:val="18"/>
              </w:rPr>
            </w:pPr>
            <w:r>
              <w:rPr>
                <w:rFonts w:ascii="宋体" w:hAnsi="宋体" w:cs="宋体" w:eastAsia="宋体" w:hint="default"/>
                <w:sz w:val="18"/>
                <w:szCs w:val="18"/>
              </w:rPr>
              <w:t>《关于公司及全资子公司 使用部分闲置募集资金进 行现金管理进展的公告》</w:t>
            </w:r>
          </w:p>
        </w:tc>
      </w:tr>
      <w:tr>
        <w:trPr>
          <w:trHeight w:val="358" w:hRule="exact"/>
        </w:trPr>
        <w:tc>
          <w:tcPr>
            <w:tcW w:w="749" w:type="dxa"/>
            <w:tcBorders>
              <w:top w:val="nil" w:sz="6" w:space="0" w:color="auto"/>
              <w:left w:val="single" w:sz="4" w:space="0" w:color="000000"/>
              <w:bottom w:val="single" w:sz="4" w:space="0" w:color="000000"/>
              <w:right w:val="single" w:sz="4" w:space="0" w:color="000000"/>
            </w:tcBorders>
          </w:tcPr>
          <w:p>
            <w:pPr/>
          </w:p>
        </w:tc>
        <w:tc>
          <w:tcPr>
            <w:tcW w:w="775"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756" w:type="dxa"/>
            <w:tcBorders>
              <w:top w:val="nil" w:sz="6" w:space="0" w:color="auto"/>
              <w:left w:val="single" w:sz="4" w:space="0" w:color="000000"/>
              <w:bottom w:val="single" w:sz="4" w:space="0" w:color="000000"/>
              <w:right w:val="single" w:sz="4" w:space="0" w:color="000000"/>
            </w:tcBorders>
          </w:tcPr>
          <w:p>
            <w:pPr/>
          </w:p>
        </w:tc>
        <w:tc>
          <w:tcPr>
            <w:tcW w:w="733"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2"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18" w:type="dxa"/>
            <w:tcBorders>
              <w:top w:val="nil" w:sz="6" w:space="0" w:color="auto"/>
              <w:left w:val="single" w:sz="4" w:space="0" w:color="000000"/>
              <w:bottom w:val="single" w:sz="4" w:space="0" w:color="000000"/>
              <w:right w:val="single" w:sz="4" w:space="0" w:color="000000"/>
            </w:tcBorders>
          </w:tcPr>
          <w:p>
            <w:pPr/>
          </w:p>
        </w:tc>
        <w:tc>
          <w:tcPr>
            <w:tcW w:w="715" w:type="dxa"/>
            <w:tcBorders>
              <w:top w:val="nil" w:sz="6" w:space="0" w:color="auto"/>
              <w:left w:val="single" w:sz="4" w:space="0" w:color="000000"/>
              <w:bottom w:val="single" w:sz="4" w:space="0" w:color="000000"/>
              <w:right w:val="single" w:sz="4" w:space="0" w:color="000000"/>
            </w:tcBorders>
          </w:tcPr>
          <w:p>
            <w:pPr/>
          </w:p>
        </w:tc>
        <w:tc>
          <w:tcPr>
            <w:tcW w:w="715" w:type="dxa"/>
            <w:tcBorders>
              <w:top w:val="nil" w:sz="6" w:space="0" w:color="auto"/>
              <w:left w:val="single" w:sz="4" w:space="0" w:color="000000"/>
              <w:bottom w:val="single" w:sz="4" w:space="0" w:color="000000"/>
              <w:right w:val="single" w:sz="4" w:space="0" w:color="000000"/>
            </w:tcBorders>
          </w:tcPr>
          <w:p>
            <w:pPr/>
          </w:p>
        </w:tc>
        <w:tc>
          <w:tcPr>
            <w:tcW w:w="21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2019-090</w:t>
            </w:r>
            <w:r>
              <w:rPr>
                <w:rFonts w:ascii="宋体" w:hAnsi="宋体" w:cs="宋体" w:eastAsia="宋体" w:hint="default"/>
                <w:sz w:val="18"/>
                <w:szCs w:val="18"/>
              </w:rPr>
              <w:t>）</w:t>
            </w:r>
          </w:p>
        </w:tc>
      </w:tr>
      <w:tr>
        <w:trPr>
          <w:trHeight w:val="403" w:hRule="exact"/>
        </w:trPr>
        <w:tc>
          <w:tcPr>
            <w:tcW w:w="232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37,500</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481.98</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left="140" w:right="0"/>
        <w:jc w:val="left"/>
      </w:pPr>
      <w:r>
        <w:rPr/>
        <w:t>委托理财出现预期无法收回本金或存在其他可能导致减值的情形</w:t>
      </w:r>
    </w:p>
    <w:p>
      <w:pPr>
        <w:pStyle w:val="BodyText"/>
        <w:spacing w:line="240" w:lineRule="auto" w:before="114"/>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6840" w:h="11910" w:orient="landscape"/>
          <w:pgMar w:header="867" w:footer="980" w:top="1060" w:bottom="1160" w:left="1300" w:right="1280"/>
        </w:sectPr>
      </w:pPr>
    </w:p>
    <w:p>
      <w:pPr>
        <w:spacing w:line="240" w:lineRule="auto" w:before="12"/>
        <w:rPr>
          <w:rFonts w:ascii="宋体" w:hAnsi="宋体" w:cs="宋体" w:eastAsia="宋体" w:hint="default"/>
          <w:sz w:val="20"/>
          <w:szCs w:val="20"/>
        </w:rPr>
      </w:pPr>
    </w:p>
    <w:p>
      <w:pPr>
        <w:pStyle w:val="Heading4"/>
        <w:spacing w:line="335" w:lineRule="exact"/>
        <w:ind w:left="212" w:right="1194"/>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left="212"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6"/>
        <w:rPr>
          <w:rFonts w:ascii="宋体" w:hAnsi="宋体" w:cs="宋体" w:eastAsia="宋体" w:hint="default"/>
          <w:sz w:val="16"/>
          <w:szCs w:val="16"/>
        </w:rPr>
      </w:pPr>
    </w:p>
    <w:p>
      <w:pPr>
        <w:pStyle w:val="Heading4"/>
        <w:spacing w:line="240" w:lineRule="auto"/>
        <w:ind w:left="212" w:right="1194"/>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212" w:right="11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452"/>
        <w:gridCol w:w="576"/>
        <w:gridCol w:w="454"/>
        <w:gridCol w:w="576"/>
        <w:gridCol w:w="576"/>
        <w:gridCol w:w="577"/>
        <w:gridCol w:w="576"/>
        <w:gridCol w:w="576"/>
        <w:gridCol w:w="454"/>
        <w:gridCol w:w="639"/>
        <w:gridCol w:w="456"/>
        <w:gridCol w:w="454"/>
        <w:gridCol w:w="576"/>
        <w:gridCol w:w="576"/>
        <w:gridCol w:w="2341"/>
      </w:tblGrid>
      <w:tr>
        <w:trPr>
          <w:trHeight w:val="3212" w:hRule="exact"/>
        </w:trPr>
        <w:tc>
          <w:tcPr>
            <w:tcW w:w="4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29" w:right="130"/>
              <w:jc w:val="both"/>
              <w:rPr>
                <w:rFonts w:ascii="宋体" w:hAnsi="宋体" w:cs="宋体" w:eastAsia="宋体" w:hint="default"/>
                <w:sz w:val="18"/>
                <w:szCs w:val="18"/>
              </w:rPr>
            </w:pPr>
            <w:r>
              <w:rPr>
                <w:rFonts w:ascii="宋体" w:hAnsi="宋体" w:cs="宋体" w:eastAsia="宋体" w:hint="default"/>
                <w:sz w:val="18"/>
                <w:szCs w:val="18"/>
              </w:rPr>
              <w:t>合 同 订 立 公 司 方 名 称</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both"/>
              <w:rPr>
                <w:rFonts w:ascii="宋体" w:hAnsi="宋体" w:cs="宋体" w:eastAsia="宋体" w:hint="default"/>
                <w:sz w:val="18"/>
                <w:szCs w:val="18"/>
              </w:rPr>
            </w:pPr>
            <w:r>
              <w:rPr>
                <w:rFonts w:ascii="宋体" w:hAnsi="宋体" w:cs="宋体" w:eastAsia="宋体" w:hint="default"/>
                <w:sz w:val="18"/>
                <w:szCs w:val="18"/>
              </w:rPr>
              <w:t>合同 订立 对方 名称</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31" w:right="131"/>
              <w:jc w:val="both"/>
              <w:rPr>
                <w:rFonts w:ascii="宋体" w:hAnsi="宋体" w:cs="宋体" w:eastAsia="宋体" w:hint="default"/>
                <w:sz w:val="18"/>
                <w:szCs w:val="18"/>
              </w:rPr>
            </w:pPr>
            <w:r>
              <w:rPr>
                <w:rFonts w:ascii="宋体" w:hAnsi="宋体" w:cs="宋体" w:eastAsia="宋体" w:hint="default"/>
                <w:sz w:val="18"/>
                <w:szCs w:val="18"/>
              </w:rPr>
              <w:t>合 同 标 的</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both"/>
              <w:rPr>
                <w:rFonts w:ascii="宋体" w:hAnsi="宋体" w:cs="宋体" w:eastAsia="宋体" w:hint="default"/>
                <w:sz w:val="18"/>
                <w:szCs w:val="18"/>
              </w:rPr>
            </w:pPr>
            <w:r>
              <w:rPr>
                <w:rFonts w:ascii="宋体" w:hAnsi="宋体" w:cs="宋体" w:eastAsia="宋体" w:hint="default"/>
                <w:sz w:val="18"/>
                <w:szCs w:val="18"/>
              </w:rPr>
              <w:t>合同 签订 日期</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both"/>
              <w:rPr>
                <w:rFonts w:ascii="宋体" w:hAnsi="宋体" w:cs="宋体" w:eastAsia="宋体" w:hint="default"/>
                <w:sz w:val="18"/>
                <w:szCs w:val="18"/>
              </w:rPr>
            </w:pPr>
            <w:r>
              <w:rPr>
                <w:rFonts w:ascii="宋体" w:hAnsi="宋体" w:cs="宋体" w:eastAsia="宋体" w:hint="default"/>
                <w:sz w:val="18"/>
                <w:szCs w:val="18"/>
              </w:rPr>
              <w:t>合同 涉及 资产 的账 面价 值</w:t>
            </w:r>
          </w:p>
          <w:p>
            <w:pPr>
              <w:pStyle w:val="TableParagraph"/>
              <w:spacing w:line="316" w:lineRule="auto" w:before="19"/>
              <w:ind w:left="146" w:right="59" w:hanging="44"/>
              <w:jc w:val="both"/>
              <w:rPr>
                <w:rFonts w:ascii="宋体" w:hAnsi="宋体" w:cs="宋体" w:eastAsia="宋体" w:hint="default"/>
                <w:sz w:val="18"/>
                <w:szCs w:val="18"/>
              </w:rPr>
            </w:pPr>
            <w:r>
              <w:rPr>
                <w:rFonts w:ascii="宋体" w:hAnsi="宋体" w:cs="宋体" w:eastAsia="宋体" w:hint="default"/>
                <w:sz w:val="18"/>
                <w:szCs w:val="18"/>
              </w:rPr>
              <w:t>（万 元）</w:t>
            </w:r>
          </w:p>
          <w:p>
            <w:pPr>
              <w:pStyle w:val="TableParagraph"/>
              <w:spacing w:line="316" w:lineRule="auto" w:before="19"/>
              <w:ind w:left="103" w:right="101"/>
              <w:jc w:val="both"/>
              <w:rPr>
                <w:rFonts w:ascii="宋体" w:hAnsi="宋体" w:cs="宋体" w:eastAsia="宋体" w:hint="default"/>
                <w:sz w:val="18"/>
                <w:szCs w:val="18"/>
              </w:rPr>
            </w:pPr>
            <w:r>
              <w:rPr>
                <w:rFonts w:ascii="宋体" w:hAnsi="宋体" w:cs="宋体" w:eastAsia="宋体" w:hint="default"/>
                <w:sz w:val="18"/>
                <w:szCs w:val="18"/>
              </w:rPr>
              <w:t>（如 有）</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both"/>
              <w:rPr>
                <w:rFonts w:ascii="宋体" w:hAnsi="宋体" w:cs="宋体" w:eastAsia="宋体" w:hint="default"/>
                <w:sz w:val="18"/>
                <w:szCs w:val="18"/>
              </w:rPr>
            </w:pPr>
            <w:r>
              <w:rPr>
                <w:rFonts w:ascii="宋体" w:hAnsi="宋体" w:cs="宋体" w:eastAsia="宋体" w:hint="default"/>
                <w:sz w:val="18"/>
                <w:szCs w:val="18"/>
              </w:rPr>
              <w:t>合同 涉及 资产 的评 估价 值</w:t>
            </w:r>
          </w:p>
          <w:p>
            <w:pPr>
              <w:pStyle w:val="TableParagraph"/>
              <w:spacing w:line="316" w:lineRule="auto" w:before="19"/>
              <w:ind w:left="147" w:right="59" w:hanging="44"/>
              <w:jc w:val="both"/>
              <w:rPr>
                <w:rFonts w:ascii="宋体" w:hAnsi="宋体" w:cs="宋体" w:eastAsia="宋体" w:hint="default"/>
                <w:sz w:val="18"/>
                <w:szCs w:val="18"/>
              </w:rPr>
            </w:pPr>
            <w:r>
              <w:rPr>
                <w:rFonts w:ascii="宋体" w:hAnsi="宋体" w:cs="宋体" w:eastAsia="宋体" w:hint="default"/>
                <w:sz w:val="18"/>
                <w:szCs w:val="18"/>
              </w:rPr>
              <w:t>（万 元）</w:t>
            </w:r>
          </w:p>
          <w:p>
            <w:pPr>
              <w:pStyle w:val="TableParagraph"/>
              <w:spacing w:line="316" w:lineRule="auto" w:before="19"/>
              <w:ind w:left="103" w:right="101"/>
              <w:jc w:val="both"/>
              <w:rPr>
                <w:rFonts w:ascii="宋体" w:hAnsi="宋体" w:cs="宋体" w:eastAsia="宋体" w:hint="default"/>
                <w:sz w:val="18"/>
                <w:szCs w:val="18"/>
              </w:rPr>
            </w:pPr>
            <w:r>
              <w:rPr>
                <w:rFonts w:ascii="宋体" w:hAnsi="宋体" w:cs="宋体" w:eastAsia="宋体" w:hint="default"/>
                <w:sz w:val="18"/>
                <w:szCs w:val="18"/>
              </w:rPr>
              <w:t>（如 有）</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both"/>
              <w:rPr>
                <w:rFonts w:ascii="宋体" w:hAnsi="宋体" w:cs="宋体" w:eastAsia="宋体" w:hint="default"/>
                <w:sz w:val="18"/>
                <w:szCs w:val="18"/>
              </w:rPr>
            </w:pPr>
            <w:r>
              <w:rPr>
                <w:rFonts w:ascii="宋体" w:hAnsi="宋体" w:cs="宋体" w:eastAsia="宋体" w:hint="default"/>
                <w:sz w:val="18"/>
                <w:szCs w:val="18"/>
              </w:rPr>
              <w:t>评估 机构 名称</w:t>
            </w:r>
          </w:p>
          <w:p>
            <w:pPr>
              <w:pStyle w:val="TableParagraph"/>
              <w:spacing w:line="316" w:lineRule="auto" w:before="19"/>
              <w:ind w:left="103" w:right="101"/>
              <w:jc w:val="both"/>
              <w:rPr>
                <w:rFonts w:ascii="宋体" w:hAnsi="宋体" w:cs="宋体" w:eastAsia="宋体" w:hint="default"/>
                <w:sz w:val="18"/>
                <w:szCs w:val="18"/>
              </w:rPr>
            </w:pPr>
            <w:r>
              <w:rPr>
                <w:rFonts w:ascii="宋体" w:hAnsi="宋体" w:cs="宋体" w:eastAsia="宋体" w:hint="default"/>
                <w:sz w:val="18"/>
                <w:szCs w:val="18"/>
              </w:rPr>
              <w:t>（如 有）</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both"/>
              <w:rPr>
                <w:rFonts w:ascii="宋体" w:hAnsi="宋体" w:cs="宋体" w:eastAsia="宋体" w:hint="default"/>
                <w:sz w:val="18"/>
                <w:szCs w:val="18"/>
              </w:rPr>
            </w:pPr>
            <w:r>
              <w:rPr>
                <w:rFonts w:ascii="宋体" w:hAnsi="宋体" w:cs="宋体" w:eastAsia="宋体" w:hint="default"/>
                <w:sz w:val="18"/>
                <w:szCs w:val="18"/>
              </w:rPr>
              <w:t>评估 基准 日</w:t>
            </w:r>
          </w:p>
          <w:p>
            <w:pPr>
              <w:pStyle w:val="TableParagraph"/>
              <w:spacing w:line="316" w:lineRule="auto" w:before="19"/>
              <w:ind w:left="103" w:right="101"/>
              <w:jc w:val="both"/>
              <w:rPr>
                <w:rFonts w:ascii="宋体" w:hAnsi="宋体" w:cs="宋体" w:eastAsia="宋体" w:hint="default"/>
                <w:sz w:val="18"/>
                <w:szCs w:val="18"/>
              </w:rPr>
            </w:pPr>
            <w:r>
              <w:rPr>
                <w:rFonts w:ascii="宋体" w:hAnsi="宋体" w:cs="宋体" w:eastAsia="宋体" w:hint="default"/>
                <w:sz w:val="18"/>
                <w:szCs w:val="18"/>
              </w:rPr>
              <w:t>（如 有）</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32" w:right="131"/>
              <w:jc w:val="both"/>
              <w:rPr>
                <w:rFonts w:ascii="宋体" w:hAnsi="宋体" w:cs="宋体" w:eastAsia="宋体" w:hint="default"/>
                <w:sz w:val="18"/>
                <w:szCs w:val="18"/>
              </w:rPr>
            </w:pPr>
            <w:r>
              <w:rPr>
                <w:rFonts w:ascii="宋体" w:hAnsi="宋体" w:cs="宋体" w:eastAsia="宋体" w:hint="default"/>
                <w:sz w:val="18"/>
                <w:szCs w:val="18"/>
              </w:rPr>
              <w:t>定 价 原 则</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34" w:right="132"/>
              <w:jc w:val="left"/>
              <w:rPr>
                <w:rFonts w:ascii="宋体" w:hAnsi="宋体" w:cs="宋体" w:eastAsia="宋体" w:hint="default"/>
                <w:sz w:val="18"/>
                <w:szCs w:val="18"/>
              </w:rPr>
            </w:pPr>
            <w:r>
              <w:rPr>
                <w:rFonts w:ascii="宋体" w:hAnsi="宋体" w:cs="宋体" w:eastAsia="宋体" w:hint="default"/>
                <w:sz w:val="18"/>
                <w:szCs w:val="18"/>
              </w:rPr>
              <w:t>交易 价格</w:t>
            </w:r>
          </w:p>
          <w:p>
            <w:pPr>
              <w:pStyle w:val="TableParagraph"/>
              <w:spacing w:line="319" w:lineRule="auto" w:before="20"/>
              <w:ind w:left="134" w:right="132"/>
              <w:jc w:val="left"/>
              <w:rPr>
                <w:rFonts w:ascii="宋体" w:hAnsi="宋体" w:cs="宋体" w:eastAsia="宋体" w:hint="default"/>
                <w:sz w:val="18"/>
                <w:szCs w:val="18"/>
              </w:rPr>
            </w:pPr>
            <w:r>
              <w:rPr>
                <w:rFonts w:ascii="宋体" w:hAnsi="宋体" w:cs="宋体" w:eastAsia="宋体" w:hint="default"/>
                <w:sz w:val="18"/>
                <w:szCs w:val="18"/>
              </w:rPr>
              <w:t>（万 元）</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34" w:right="131"/>
              <w:jc w:val="both"/>
              <w:rPr>
                <w:rFonts w:ascii="宋体" w:hAnsi="宋体" w:cs="宋体" w:eastAsia="宋体" w:hint="default"/>
                <w:sz w:val="18"/>
                <w:szCs w:val="18"/>
              </w:rPr>
            </w:pPr>
            <w:r>
              <w:rPr>
                <w:rFonts w:ascii="宋体" w:hAnsi="宋体" w:cs="宋体" w:eastAsia="宋体" w:hint="default"/>
                <w:sz w:val="18"/>
                <w:szCs w:val="18"/>
              </w:rPr>
              <w:t>是 否 关 联 交 易</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31" w:right="131"/>
              <w:jc w:val="both"/>
              <w:rPr>
                <w:rFonts w:ascii="宋体" w:hAnsi="宋体" w:cs="宋体" w:eastAsia="宋体" w:hint="default"/>
                <w:sz w:val="18"/>
                <w:szCs w:val="18"/>
              </w:rPr>
            </w:pPr>
            <w:r>
              <w:rPr>
                <w:rFonts w:ascii="宋体" w:hAnsi="宋体" w:cs="宋体" w:eastAsia="宋体" w:hint="default"/>
                <w:sz w:val="18"/>
                <w:szCs w:val="18"/>
              </w:rPr>
              <w:t>关 联 关 系</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98"/>
              <w:jc w:val="both"/>
              <w:rPr>
                <w:rFonts w:ascii="宋体" w:hAnsi="宋体" w:cs="宋体" w:eastAsia="宋体" w:hint="default"/>
                <w:sz w:val="18"/>
                <w:szCs w:val="18"/>
              </w:rPr>
            </w:pPr>
            <w:r>
              <w:rPr>
                <w:rFonts w:ascii="宋体" w:hAnsi="宋体" w:cs="宋体" w:eastAsia="宋体" w:hint="default"/>
                <w:sz w:val="18"/>
                <w:szCs w:val="18"/>
              </w:rPr>
              <w:t>截至 报告 期末 的执 行情 况</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5" w:right="98"/>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6332" w:hRule="exact"/>
        </w:trPr>
        <w:tc>
          <w:tcPr>
            <w:tcW w:w="4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56"/>
              <w:jc w:val="both"/>
              <w:rPr>
                <w:rFonts w:ascii="宋体" w:hAnsi="宋体" w:cs="宋体" w:eastAsia="宋体" w:hint="default"/>
                <w:sz w:val="18"/>
                <w:szCs w:val="18"/>
              </w:rPr>
            </w:pPr>
            <w:r>
              <w:rPr>
                <w:rFonts w:ascii="宋体" w:hAnsi="宋体" w:cs="宋体" w:eastAsia="宋体" w:hint="default"/>
                <w:sz w:val="18"/>
                <w:szCs w:val="18"/>
              </w:rPr>
              <w:t>深 圳 市 金 溢 科 技 股 份 有 限 公 司</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both"/>
              <w:rPr>
                <w:rFonts w:ascii="宋体" w:hAnsi="宋体" w:cs="宋体" w:eastAsia="宋体" w:hint="default"/>
                <w:sz w:val="18"/>
                <w:szCs w:val="18"/>
              </w:rPr>
            </w:pPr>
            <w:r>
              <w:rPr>
                <w:rFonts w:ascii="宋体" w:hAnsi="宋体" w:cs="宋体" w:eastAsia="宋体" w:hint="default"/>
                <w:sz w:val="18"/>
                <w:szCs w:val="18"/>
              </w:rPr>
              <w:t>腾讯 科技</w:t>
            </w:r>
          </w:p>
          <w:p>
            <w:pPr>
              <w:pStyle w:val="TableParagraph"/>
              <w:spacing w:line="319" w:lineRule="auto" w:before="19"/>
              <w:ind w:left="103" w:right="101"/>
              <w:jc w:val="both"/>
              <w:rPr>
                <w:rFonts w:ascii="宋体" w:hAnsi="宋体" w:cs="宋体" w:eastAsia="宋体" w:hint="default"/>
                <w:sz w:val="18"/>
                <w:szCs w:val="18"/>
              </w:rPr>
            </w:pPr>
            <w:r>
              <w:rPr>
                <w:rFonts w:ascii="宋体" w:hAnsi="宋体" w:cs="宋体" w:eastAsia="宋体" w:hint="default"/>
                <w:sz w:val="18"/>
                <w:szCs w:val="18"/>
              </w:rPr>
              <w:t>（深 圳） 有限 公司</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58"/>
              <w:jc w:val="both"/>
              <w:rPr>
                <w:rFonts w:ascii="宋体" w:hAnsi="宋体" w:cs="宋体" w:eastAsia="宋体" w:hint="default"/>
                <w:sz w:val="18"/>
                <w:szCs w:val="18"/>
              </w:rPr>
            </w:pPr>
            <w:r>
              <w:rPr>
                <w:rFonts w:ascii="宋体" w:hAnsi="宋体" w:cs="宋体" w:eastAsia="宋体" w:hint="default"/>
                <w:sz w:val="18"/>
                <w:szCs w:val="18"/>
              </w:rPr>
              <w:t>战 略 合 作</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08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23</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83" w:right="101" w:hanging="180"/>
              <w:jc w:val="left"/>
              <w:rPr>
                <w:rFonts w:ascii="宋体" w:hAnsi="宋体" w:cs="宋体" w:eastAsia="宋体" w:hint="default"/>
                <w:sz w:val="18"/>
                <w:szCs w:val="18"/>
              </w:rPr>
            </w:pPr>
            <w:r>
              <w:rPr>
                <w:rFonts w:ascii="宋体" w:hAnsi="宋体" w:cs="宋体" w:eastAsia="宋体" w:hint="default"/>
                <w:sz w:val="18"/>
                <w:szCs w:val="18"/>
              </w:rPr>
              <w:t>不适 用</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83" w:right="101" w:hanging="181"/>
              <w:jc w:val="left"/>
              <w:rPr>
                <w:rFonts w:ascii="宋体" w:hAnsi="宋体" w:cs="宋体" w:eastAsia="宋体" w:hint="default"/>
                <w:sz w:val="18"/>
                <w:szCs w:val="18"/>
              </w:rPr>
            </w:pPr>
            <w:r>
              <w:rPr>
                <w:rFonts w:ascii="宋体" w:hAnsi="宋体" w:cs="宋体" w:eastAsia="宋体" w:hint="default"/>
                <w:sz w:val="18"/>
                <w:szCs w:val="18"/>
              </w:rPr>
              <w:t>不适 用</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不适 用</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不适 用</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58"/>
              <w:jc w:val="both"/>
              <w:rPr>
                <w:rFonts w:ascii="宋体" w:hAnsi="宋体" w:cs="宋体" w:eastAsia="宋体" w:hint="default"/>
                <w:sz w:val="18"/>
                <w:szCs w:val="18"/>
              </w:rPr>
            </w:pPr>
            <w:r>
              <w:rPr>
                <w:rFonts w:ascii="宋体" w:hAnsi="宋体" w:cs="宋体" w:eastAsia="宋体" w:hint="default"/>
                <w:sz w:val="18"/>
                <w:szCs w:val="18"/>
              </w:rPr>
              <w:t>不 适 用</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45" w:right="101" w:hanging="180"/>
              <w:jc w:val="left"/>
              <w:rPr>
                <w:rFonts w:ascii="宋体" w:hAnsi="宋体" w:cs="宋体" w:eastAsia="宋体" w:hint="default"/>
                <w:sz w:val="18"/>
                <w:szCs w:val="18"/>
              </w:rPr>
            </w:pPr>
            <w:r>
              <w:rPr>
                <w:rFonts w:ascii="宋体" w:hAnsi="宋体" w:cs="宋体" w:eastAsia="宋体" w:hint="default"/>
                <w:sz w:val="18"/>
                <w:szCs w:val="18"/>
              </w:rPr>
              <w:t>不适 用</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58"/>
              <w:jc w:val="both"/>
              <w:rPr>
                <w:rFonts w:ascii="宋体" w:hAnsi="宋体" w:cs="宋体" w:eastAsia="宋体" w:hint="default"/>
                <w:sz w:val="18"/>
                <w:szCs w:val="18"/>
              </w:rPr>
            </w:pPr>
            <w:r>
              <w:rPr>
                <w:rFonts w:ascii="宋体" w:hAnsi="宋体" w:cs="宋体" w:eastAsia="宋体" w:hint="default"/>
                <w:sz w:val="18"/>
                <w:szCs w:val="18"/>
              </w:rPr>
              <w:t>不 适 用</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98"/>
              <w:jc w:val="left"/>
              <w:rPr>
                <w:rFonts w:ascii="宋体" w:hAnsi="宋体" w:cs="宋体" w:eastAsia="宋体" w:hint="default"/>
                <w:sz w:val="18"/>
                <w:szCs w:val="18"/>
              </w:rPr>
            </w:pPr>
            <w:r>
              <w:rPr>
                <w:rFonts w:ascii="宋体" w:hAnsi="宋体" w:cs="宋体" w:eastAsia="宋体" w:hint="default"/>
                <w:sz w:val="18"/>
                <w:szCs w:val="18"/>
              </w:rPr>
              <w:t>本协 议为 双方 合作 的原 则性 约 定， 具体 合作 事项 尚待 双方 另行 签署 相关 协议 依据 以实 施。</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8"/>
              <w:ind w:left="105" w:right="0"/>
              <w:jc w:val="left"/>
              <w:rPr>
                <w:rFonts w:ascii="Times New Roman" w:hAnsi="Times New Roman" w:cs="Times New Roman" w:eastAsia="Times New Roman" w:hint="default"/>
                <w:sz w:val="18"/>
                <w:szCs w:val="18"/>
              </w:rPr>
            </w:pPr>
            <w:r>
              <w:rPr>
                <w:rFonts w:ascii="Times New Roman"/>
                <w:sz w:val="18"/>
              </w:rPr>
              <w:t>08</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105" w:right="0"/>
              <w:jc w:val="left"/>
              <w:rPr>
                <w:rFonts w:ascii="Times New Roman" w:hAnsi="Times New Roman" w:cs="Times New Roman" w:eastAsia="Times New Roman" w:hint="default"/>
                <w:sz w:val="18"/>
                <w:szCs w:val="18"/>
              </w:rPr>
            </w:pPr>
            <w:r>
              <w:rPr>
                <w:rFonts w:ascii="Times New Roman"/>
                <w:sz w:val="18"/>
              </w:rPr>
              <w:t>27</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http://www.cninfo.com.cn)</w:t>
            </w:r>
          </w:p>
          <w:p>
            <w:pPr>
              <w:pStyle w:val="TableParagraph"/>
              <w:spacing w:line="312" w:lineRule="auto" w:before="63"/>
              <w:ind w:left="105" w:right="122"/>
              <w:jc w:val="left"/>
              <w:rPr>
                <w:rFonts w:ascii="宋体" w:hAnsi="宋体" w:cs="宋体" w:eastAsia="宋体" w:hint="default"/>
                <w:sz w:val="18"/>
                <w:szCs w:val="18"/>
              </w:rPr>
            </w:pPr>
            <w:r>
              <w:rPr>
                <w:rFonts w:ascii="宋体" w:hAnsi="宋体" w:cs="宋体" w:eastAsia="宋体" w:hint="default"/>
                <w:sz w:val="18"/>
                <w:szCs w:val="18"/>
              </w:rPr>
              <w:t>《关于与腾讯科技</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限公司签署战略合作框架 </w:t>
            </w:r>
            <w:r>
              <w:rPr>
                <w:rFonts w:ascii="宋体" w:hAnsi="宋体" w:cs="宋体" w:eastAsia="宋体" w:hint="default"/>
                <w:spacing w:val="-8"/>
                <w:sz w:val="18"/>
                <w:szCs w:val="18"/>
              </w:rPr>
              <w:t>协议的公告》（公告编号：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2019-076</w:t>
            </w:r>
            <w:r>
              <w:rPr>
                <w:rFonts w:ascii="宋体" w:hAnsi="宋体" w:cs="宋体" w:eastAsia="宋体" w:hint="default"/>
                <w:sz w:val="18"/>
                <w:szCs w:val="18"/>
              </w:rPr>
              <w:t>）</w:t>
            </w:r>
          </w:p>
        </w:tc>
      </w:tr>
    </w:tbl>
    <w:p>
      <w:pPr>
        <w:spacing w:line="240" w:lineRule="auto" w:before="1"/>
        <w:rPr>
          <w:rFonts w:ascii="宋体" w:hAnsi="宋体" w:cs="宋体" w:eastAsia="宋体" w:hint="default"/>
          <w:sz w:val="18"/>
          <w:szCs w:val="18"/>
        </w:rPr>
      </w:pPr>
    </w:p>
    <w:p>
      <w:pPr>
        <w:pStyle w:val="Heading2"/>
        <w:spacing w:line="367" w:lineRule="exact"/>
        <w:ind w:left="212" w:right="1194"/>
        <w:jc w:val="left"/>
        <w:rPr>
          <w:b w:val="0"/>
          <w:bCs w:val="0"/>
        </w:rPr>
      </w:pPr>
      <w:r>
        <w:rPr/>
        <w:t>十八、社会责任情况</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4"/>
        <w:spacing w:line="240" w:lineRule="auto"/>
        <w:ind w:left="212" w:right="1194"/>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73" w:right="0"/>
        <w:jc w:val="left"/>
      </w:pPr>
      <w:r>
        <w:rPr/>
        <w:t>公司坚持着</w:t>
      </w:r>
      <w:r>
        <w:rPr>
          <w:rFonts w:ascii="Times New Roman" w:hAnsi="Times New Roman" w:cs="Times New Roman" w:eastAsia="Times New Roman" w:hint="default"/>
        </w:rPr>
        <w:t>“</w:t>
      </w:r>
      <w:r>
        <w:rPr/>
        <w:t>聚焦客户、追求卓越；锐意创新，勇担责任；以人为本，合作共赢</w:t>
      </w:r>
      <w:r>
        <w:rPr>
          <w:rFonts w:ascii="Times New Roman" w:hAnsi="Times New Roman" w:cs="Times New Roman" w:eastAsia="Times New Roman" w:hint="default"/>
        </w:rPr>
        <w:t>”</w:t>
      </w:r>
      <w:r>
        <w:rPr/>
        <w:t>的价值理念，持续履行社会责任，不断</w:t>
      </w:r>
    </w:p>
    <w:p>
      <w:pPr>
        <w:spacing w:after="0" w:line="240" w:lineRule="auto"/>
        <w:jc w:val="left"/>
        <w:sectPr>
          <w:headerReference w:type="default" r:id="rId27"/>
          <w:footerReference w:type="default" r:id="rId28"/>
          <w:pgSz w:w="11910" w:h="16840"/>
          <w:pgMar w:header="877" w:footer="979" w:top="1100" w:bottom="1160" w:left="920" w:right="0"/>
          <w:pgNumType w:start="83"/>
        </w:sectPr>
      </w:pPr>
    </w:p>
    <w:p>
      <w:pPr>
        <w:spacing w:line="240" w:lineRule="auto" w:before="11"/>
        <w:rPr>
          <w:rFonts w:ascii="宋体" w:hAnsi="宋体" w:cs="宋体" w:eastAsia="宋体" w:hint="default"/>
          <w:sz w:val="21"/>
          <w:szCs w:val="21"/>
        </w:rPr>
      </w:pPr>
    </w:p>
    <w:p>
      <w:pPr>
        <w:pStyle w:val="BodyText"/>
        <w:spacing w:line="240" w:lineRule="auto" w:before="44"/>
        <w:ind w:right="0"/>
        <w:jc w:val="both"/>
      </w:pPr>
      <w:r>
        <w:rPr/>
        <w:t>为各利益相关者及社会创造价值。</w:t>
      </w:r>
    </w:p>
    <w:p>
      <w:pPr>
        <w:pStyle w:val="BodyText"/>
        <w:spacing w:line="240" w:lineRule="auto" w:before="117"/>
        <w:ind w:left="369" w:right="967"/>
        <w:jc w:val="left"/>
      </w:pPr>
      <w:r>
        <w:rPr/>
        <w:t>（</w:t>
      </w:r>
      <w:r>
        <w:rPr>
          <w:rFonts w:ascii="Times New Roman" w:hAnsi="Times New Roman" w:cs="Times New Roman" w:eastAsia="Times New Roman" w:hint="default"/>
        </w:rPr>
        <w:t>1</w:t>
      </w:r>
      <w:r>
        <w:rPr/>
        <w:t>）股东和债权人权益保护</w:t>
      </w:r>
    </w:p>
    <w:p>
      <w:pPr>
        <w:pStyle w:val="BodyText"/>
        <w:spacing w:line="300" w:lineRule="auto" w:before="101"/>
        <w:ind w:left="441" w:right="967"/>
        <w:jc w:val="left"/>
      </w:pPr>
      <w:r>
        <w:rPr>
          <w:rFonts w:ascii="Times New Roman" w:hAnsi="Times New Roman" w:cs="Times New Roman" w:eastAsia="Times New Roman" w:hint="default"/>
        </w:rPr>
        <w:t>a.</w:t>
      </w:r>
      <w:r>
        <w:rPr/>
        <w:t>完善公司治理结构、加强公司内控管理 </w:t>
      </w:r>
      <w:r>
        <w:rPr>
          <w:spacing w:val="-3"/>
        </w:rPr>
        <w:t>公司建立了完善的法人治理体系，严格按照现代企业管理制度、《公司法》、《证券法》及《上市公司治理准则》运行。</w:t>
      </w:r>
    </w:p>
    <w:p>
      <w:pPr>
        <w:pStyle w:val="BodyText"/>
        <w:spacing w:line="316" w:lineRule="auto" w:before="31"/>
        <w:ind w:right="1133"/>
        <w:jc w:val="both"/>
      </w:pPr>
      <w:r>
        <w:rPr>
          <w:spacing w:val="-2"/>
        </w:rPr>
        <w:t>在此基础上，公司持续规范了相应制度，新通过了《审计及预算审核委员会年报工作规程》、《年报信息披露重大差错责任</w:t>
      </w:r>
      <w:r>
        <w:rPr>
          <w:spacing w:val="-67"/>
        </w:rPr>
        <w:t> </w:t>
      </w:r>
      <w:r>
        <w:rPr>
          <w:spacing w:val="-67"/>
        </w:rPr>
      </w:r>
      <w:r>
        <w:rPr>
          <w:spacing w:val="-2"/>
        </w:rPr>
        <w:t>追究制度》，新修订了《信息披露管理制度》、《股东大会议事规则》、《董事会议事规则》、《监事会议事规则》、《董</w:t>
      </w:r>
      <w:r>
        <w:rPr>
          <w:spacing w:val="-69"/>
        </w:rPr>
        <w:t> </w:t>
      </w:r>
      <w:r>
        <w:rPr>
          <w:spacing w:val="-69"/>
        </w:rPr>
      </w:r>
      <w:r>
        <w:rPr/>
        <w:t>事、监事选举办法》，提升公司治理水平，为公司发展提供制度支持。</w:t>
      </w:r>
    </w:p>
    <w:p>
      <w:pPr>
        <w:pStyle w:val="BodyText"/>
        <w:spacing w:line="340" w:lineRule="auto" w:before="19"/>
        <w:ind w:left="513" w:right="1033" w:hanging="72"/>
        <w:jc w:val="left"/>
      </w:pPr>
      <w:r>
        <w:rPr>
          <w:rFonts w:ascii="Times New Roman" w:hAnsi="Times New Roman" w:cs="Times New Roman" w:eastAsia="Times New Roman" w:hint="default"/>
        </w:rPr>
        <w:t>b.</w:t>
      </w:r>
      <w:r>
        <w:rPr/>
        <w:t>提高信息披露透明度，做好投资者关系管理 公司始终高度重视投资者关系保护工作，把投资者利益放在重要位置，严格按照监管机构的要求，履行信息披露义务，</w:t>
      </w:r>
    </w:p>
    <w:p>
      <w:pPr>
        <w:pStyle w:val="BodyText"/>
        <w:spacing w:line="307" w:lineRule="auto" w:before="1"/>
        <w:ind w:right="967"/>
        <w:jc w:val="left"/>
      </w:pPr>
      <w:r>
        <w:rPr>
          <w:spacing w:val="-2"/>
        </w:rPr>
        <w:t>保证信息披露质量。通过完善投资者关系管理制度，全面提升投资者关系的工作质量，做到信息化、标准化、常态化的三化</w:t>
      </w:r>
      <w:r>
        <w:rPr>
          <w:spacing w:val="-67"/>
        </w:rPr>
        <w:t> </w:t>
      </w:r>
      <w:r>
        <w:rPr>
          <w:spacing w:val="-67"/>
        </w:rPr>
      </w:r>
      <w:r>
        <w:rPr/>
        <w:t>管理。</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8</w:t>
      </w:r>
      <w:r>
        <w:rPr/>
        <w:t>日公司第二届董事会第二十一次会议审议通过了《关于设立信息披露委员会暨制订</w:t>
      </w:r>
      <w:r>
        <w:rPr>
          <w:rFonts w:ascii="Times New Roman" w:hAnsi="Times New Roman" w:cs="Times New Roman" w:eastAsia="Times New Roman" w:hint="default"/>
        </w:rPr>
        <w:t>&lt;</w:t>
      </w:r>
      <w:r>
        <w:rPr/>
        <w:t>信息披露委员会工作 细则</w:t>
      </w:r>
      <w:r>
        <w:rPr>
          <w:rFonts w:ascii="Times New Roman" w:hAnsi="Times New Roman" w:cs="Times New Roman" w:eastAsia="Times New Roman" w:hint="default"/>
        </w:rPr>
        <w:t>&gt;</w:t>
      </w:r>
      <w:r>
        <w:rPr/>
        <w:t>的议案》，董事会同意设立信息披露委员会并制订《信息披露委员会工作细则》，信息披露委员会的成立及《信息披 </w:t>
      </w:r>
      <w:r>
        <w:rPr>
          <w:spacing w:val="-2"/>
        </w:rPr>
        <w:t>露委员会工作细则》的制定进一步规范公司的信息披露管理，完善公司信息披露内控机制，提升公司信息披露质量，保障公</w:t>
      </w:r>
      <w:r>
        <w:rPr>
          <w:spacing w:val="-64"/>
        </w:rPr>
        <w:t> </w:t>
      </w:r>
      <w:r>
        <w:rPr>
          <w:spacing w:val="-64"/>
        </w:rPr>
      </w:r>
      <w:r>
        <w:rPr>
          <w:spacing w:val="-2"/>
        </w:rPr>
        <w:t>司信息披露的真实、准确、完整、及时和公平，确保披露内容基本涵盖了公司所有的重大事项，使投资者能够迅速了解到公</w:t>
      </w:r>
      <w:r>
        <w:rPr>
          <w:spacing w:val="-67"/>
        </w:rPr>
        <w:t> </w:t>
      </w:r>
      <w:r>
        <w:rPr>
          <w:spacing w:val="-67"/>
        </w:rPr>
      </w:r>
      <w:r>
        <w:rPr>
          <w:spacing w:val="-3"/>
        </w:rPr>
        <w:t>司发展状况，确保所有投资者和债权人公平地获取公司信息。公司依托深交所</w:t>
      </w:r>
      <w:r>
        <w:rPr>
          <w:rFonts w:ascii="Times New Roman" w:hAnsi="Times New Roman" w:cs="Times New Roman" w:eastAsia="Times New Roman" w:hint="default"/>
          <w:spacing w:val="-3"/>
        </w:rPr>
        <w:t>“</w:t>
      </w:r>
      <w:r>
        <w:rPr>
          <w:spacing w:val="-3"/>
        </w:rPr>
        <w:t>互动易</w:t>
      </w:r>
      <w:r>
        <w:rPr>
          <w:rFonts w:ascii="Times New Roman" w:hAnsi="Times New Roman" w:cs="Times New Roman" w:eastAsia="Times New Roman" w:hint="default"/>
          <w:spacing w:val="-3"/>
        </w:rPr>
        <w:t>”</w:t>
      </w:r>
      <w:r>
        <w:rPr>
          <w:spacing w:val="-3"/>
        </w:rPr>
        <w:t>平台、公司</w:t>
      </w:r>
      <w:r>
        <w:rPr>
          <w:rFonts w:ascii="Times New Roman" w:hAnsi="Times New Roman" w:cs="Times New Roman" w:eastAsia="Times New Roman" w:hint="default"/>
          <w:spacing w:val="-3"/>
        </w:rPr>
        <w:t>IR</w:t>
      </w:r>
      <w:r>
        <w:rPr>
          <w:spacing w:val="-3"/>
        </w:rPr>
        <w:t>邮箱、</w:t>
      </w:r>
      <w:r>
        <w:rPr>
          <w:rFonts w:ascii="Times New Roman" w:hAnsi="Times New Roman" w:cs="Times New Roman" w:eastAsia="Times New Roman" w:hint="default"/>
          <w:spacing w:val="-3"/>
        </w:rPr>
        <w:t>IR</w:t>
      </w:r>
      <w:r>
        <w:rPr>
          <w:spacing w:val="-3"/>
        </w:rPr>
        <w:t>电话、</w:t>
      </w:r>
      <w:r>
        <w:rPr>
          <w:rFonts w:ascii="Times New Roman" w:hAnsi="Times New Roman" w:cs="Times New Roman" w:eastAsia="Times New Roman" w:hint="default"/>
          <w:spacing w:val="-3"/>
        </w:rPr>
        <w:t>IR</w:t>
      </w:r>
      <w:r>
        <w:rPr>
          <w:spacing w:val="-3"/>
        </w:rPr>
        <w:t>网站、</w:t>
      </w:r>
      <w:r>
        <w:rPr>
          <w:spacing w:val="-72"/>
        </w:rPr>
        <w:t> </w:t>
      </w:r>
      <w:r>
        <w:rPr>
          <w:spacing w:val="-72"/>
        </w:rPr>
      </w:r>
      <w:r>
        <w:rPr/>
        <w:t>现场调研、业绩</w:t>
      </w:r>
      <w:r>
        <w:rPr>
          <w:rFonts w:ascii="Times New Roman" w:hAnsi="Times New Roman" w:cs="Times New Roman" w:eastAsia="Times New Roman" w:hint="default"/>
        </w:rPr>
        <w:t>/</w:t>
      </w:r>
      <w:r>
        <w:rPr/>
        <w:t>专项说明会、策略会、路演等方式与投资者、媒体等进行信息交流及沟通，持续增进与投资者多层次、全</w:t>
      </w:r>
      <w:r>
        <w:rPr>
          <w:spacing w:val="-51"/>
        </w:rPr>
        <w:t> </w:t>
      </w:r>
      <w:r>
        <w:rPr>
          <w:spacing w:val="-51"/>
        </w:rPr>
      </w:r>
      <w:r>
        <w:rPr/>
        <w:t>方位的互动与交流，提升公司信息透明度。</w:t>
      </w:r>
      <w:r>
        <w:rPr>
          <w:rFonts w:ascii="Times New Roman" w:hAnsi="Times New Roman" w:cs="Times New Roman" w:eastAsia="Times New Roman" w:hint="default"/>
        </w:rPr>
        <w:t>2019</w:t>
      </w:r>
      <w:r>
        <w:rPr/>
        <w:t>年，公司获得权威机构颁发的</w:t>
      </w:r>
      <w:r>
        <w:rPr>
          <w:rFonts w:ascii="Times New Roman" w:hAnsi="Times New Roman" w:cs="Times New Roman" w:eastAsia="Times New Roman" w:hint="default"/>
        </w:rPr>
        <w:t>4</w:t>
      </w:r>
      <w:r>
        <w:rPr/>
        <w:t>个奖项，包括十佳董秘、中国上市公司金牛</w:t>
      </w:r>
      <w:r>
        <w:rPr>
          <w:spacing w:val="-84"/>
        </w:rPr>
        <w:t> </w:t>
      </w:r>
      <w:r>
        <w:rPr>
          <w:spacing w:val="-84"/>
        </w:rPr>
      </w:r>
      <w:r>
        <w:rPr/>
        <w:t>奖、</w:t>
      </w:r>
      <w:r>
        <w:rPr>
          <w:rFonts w:ascii="Times New Roman" w:hAnsi="Times New Roman" w:cs="Times New Roman" w:eastAsia="Times New Roman" w:hint="default"/>
        </w:rPr>
        <w:t>2019</w:t>
      </w:r>
      <w:r>
        <w:rPr/>
        <w:t>年最具传播力上市公司奖、</w:t>
      </w:r>
      <w:r>
        <w:rPr>
          <w:rFonts w:ascii="Times New Roman" w:hAnsi="Times New Roman" w:cs="Times New Roman" w:eastAsia="Times New Roman" w:hint="default"/>
        </w:rPr>
        <w:t>2019</w:t>
      </w:r>
      <w:r>
        <w:rPr/>
        <w:t>年度杰出投资者关系管理公司。</w:t>
      </w:r>
    </w:p>
    <w:p>
      <w:pPr>
        <w:pStyle w:val="BodyText"/>
        <w:spacing w:line="338" w:lineRule="auto" w:before="48"/>
        <w:ind w:left="513" w:right="967"/>
        <w:jc w:val="left"/>
      </w:pPr>
      <w:r>
        <w:rPr>
          <w:rFonts w:ascii="Times New Roman" w:hAnsi="Times New Roman" w:cs="Times New Roman" w:eastAsia="Times New Roman" w:hint="default"/>
        </w:rPr>
        <w:t>c.</w:t>
      </w:r>
      <w:r>
        <w:rPr/>
        <w:t>科学合理分红，回报投资者 </w:t>
      </w:r>
      <w:r>
        <w:rPr>
          <w:spacing w:val="-4"/>
        </w:rPr>
        <w:t>自上市以来，公司一直高度重视投资者和债权人保护工作，持续优化投资者回报长效机制，维护广大投资者的切身利益。</w:t>
      </w:r>
    </w:p>
    <w:p>
      <w:pPr>
        <w:pStyle w:val="BodyText"/>
        <w:spacing w:line="312" w:lineRule="auto" w:before="2"/>
        <w:ind w:right="1130"/>
        <w:jc w:val="both"/>
      </w:pPr>
      <w:r>
        <w:rPr>
          <w:spacing w:val="-2"/>
        </w:rPr>
        <w:t>同时，公司注重给予投资者持续合理的投资回报，在确保利润分配政策的持续性和稳定性的前提下，兼顾公司的实际经营情</w:t>
      </w:r>
      <w:r>
        <w:rPr>
          <w:spacing w:val="-63"/>
        </w:rPr>
        <w:t> </w:t>
      </w:r>
      <w:r>
        <w:rPr>
          <w:spacing w:val="-63"/>
        </w:rPr>
      </w:r>
      <w:r>
        <w:rPr>
          <w:spacing w:val="-2"/>
        </w:rPr>
        <w:t>况及公司的长期战略发展，主动与广大投资者共享公司经营成果，根据《公司章程》及《深圳市金溢科技股份有限公司首次</w:t>
      </w:r>
      <w:r>
        <w:rPr>
          <w:spacing w:val="-65"/>
        </w:rPr>
        <w:t> </w:t>
      </w:r>
      <w:r>
        <w:rPr>
          <w:spacing w:val="-65"/>
        </w:rPr>
      </w:r>
      <w:r>
        <w:rPr/>
        <w:t>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w:t>
      </w:r>
      <w:r>
        <w:rPr/>
        <w:t>并上市后三年股东分红回报规划》，对</w:t>
      </w:r>
      <w:r>
        <w:rPr>
          <w:rFonts w:ascii="Times New Roman" w:hAnsi="Times New Roman" w:cs="Times New Roman" w:eastAsia="Times New Roman" w:hint="default"/>
        </w:rPr>
        <w:t>2017</w:t>
      </w:r>
      <w:r>
        <w:rPr/>
        <w:t>年到</w:t>
      </w:r>
      <w:r>
        <w:rPr>
          <w:rFonts w:ascii="Times New Roman" w:hAnsi="Times New Roman" w:cs="Times New Roman" w:eastAsia="Times New Roman" w:hint="default"/>
        </w:rPr>
        <w:t>2019</w:t>
      </w:r>
      <w:r>
        <w:rPr/>
        <w:t>年及以后期间公司的利润分配形式、利润</w:t>
      </w:r>
      <w:r>
        <w:rPr>
          <w:spacing w:val="-68"/>
        </w:rPr>
        <w:t> </w:t>
      </w:r>
      <w:r>
        <w:rPr>
          <w:spacing w:val="-68"/>
        </w:rPr>
      </w:r>
      <w:r>
        <w:rPr/>
        <w:t>分配周期、利润分配比例和利润分配方案提出了明确的要求。</w:t>
      </w:r>
    </w:p>
    <w:p>
      <w:pPr>
        <w:pStyle w:val="BodyText"/>
        <w:spacing w:line="340" w:lineRule="auto" w:before="63"/>
        <w:ind w:left="585" w:right="1141" w:hanging="72"/>
        <w:jc w:val="left"/>
      </w:pPr>
      <w:r>
        <w:rPr/>
        <w:t>（</w:t>
      </w:r>
      <w:r>
        <w:rPr>
          <w:rFonts w:ascii="Times New Roman" w:hAnsi="Times New Roman" w:cs="Times New Roman" w:eastAsia="Times New Roman" w:hint="default"/>
        </w:rPr>
        <w:t>2</w:t>
      </w:r>
      <w:r>
        <w:rPr/>
        <w:t>）职工权益保护 公司严格遵守《劳动法》、《劳动合同法》、《劳动合同法实施条例》、《社会保障法》以及当地相关法律法规，依</w:t>
      </w:r>
    </w:p>
    <w:p>
      <w:pPr>
        <w:pStyle w:val="BodyText"/>
        <w:spacing w:line="316" w:lineRule="auto" w:before="1"/>
        <w:ind w:right="1130"/>
        <w:jc w:val="both"/>
      </w:pPr>
      <w:r>
        <w:rPr>
          <w:spacing w:val="-2"/>
        </w:rPr>
        <w:t>法维护员工的合法权益，并依此制定并不断完善公司的劳动用工管理制度。公司与全体员工均签订了劳动合同，建立了规范</w:t>
      </w:r>
      <w:r>
        <w:rPr>
          <w:spacing w:val="-63"/>
        </w:rPr>
        <w:t> </w:t>
      </w:r>
      <w:r>
        <w:rPr>
          <w:spacing w:val="-63"/>
        </w:rPr>
      </w:r>
      <w:r>
        <w:rPr>
          <w:spacing w:val="-2"/>
        </w:rPr>
        <w:t>的劳动用工关系。公司已按国家、地方的有关规定，参加社会保障体系，为员工购买了养老、医疗、生育、工伤、失业等保</w:t>
      </w:r>
      <w:r>
        <w:rPr>
          <w:spacing w:val="-65"/>
        </w:rPr>
        <w:t> </w:t>
      </w:r>
      <w:r>
        <w:rPr>
          <w:spacing w:val="-65"/>
        </w:rPr>
      </w:r>
      <w:r>
        <w:rPr>
          <w:spacing w:val="-2"/>
        </w:rPr>
        <w:t>险，由公司定期向社会保险统筹部门缴纳各项社会保险。同时，公司还根据《住房公积金管理条例》及地方政府相关规定建</w:t>
      </w:r>
      <w:r>
        <w:rPr>
          <w:spacing w:val="-67"/>
        </w:rPr>
        <w:t> </w:t>
      </w:r>
      <w:r>
        <w:rPr>
          <w:spacing w:val="-67"/>
        </w:rPr>
      </w:r>
      <w:r>
        <w:rPr/>
        <w:t>立了住房公积金制度，依法为员工缴纳了住房公积金。</w:t>
      </w:r>
    </w:p>
    <w:p>
      <w:pPr>
        <w:pStyle w:val="BodyText"/>
        <w:spacing w:line="304" w:lineRule="auto" w:before="19"/>
        <w:ind w:right="1035" w:firstLine="432"/>
        <w:jc w:val="left"/>
      </w:pPr>
      <w:r>
        <w:rPr>
          <w:spacing w:val="-1"/>
        </w:rPr>
        <w:t>公司严格执行国家</w:t>
      </w:r>
      <w:r>
        <w:rPr>
          <w:rFonts w:ascii="Times New Roman" w:hAnsi="Times New Roman" w:cs="Times New Roman" w:eastAsia="Times New Roman" w:hint="default"/>
          <w:spacing w:val="-1"/>
        </w:rPr>
        <w:t>“</w:t>
      </w:r>
      <w:r>
        <w:rPr>
          <w:spacing w:val="-1"/>
        </w:rPr>
        <w:t>安全第一、预防为主、综合治理</w:t>
      </w:r>
      <w:r>
        <w:rPr>
          <w:rFonts w:ascii="Times New Roman" w:hAnsi="Times New Roman" w:cs="Times New Roman" w:eastAsia="Times New Roman" w:hint="default"/>
          <w:spacing w:val="-1"/>
        </w:rPr>
        <w:t>”</w:t>
      </w:r>
      <w:r>
        <w:rPr>
          <w:spacing w:val="-1"/>
        </w:rPr>
        <w:t>的管理方针，严格执行国家安全生产的法律法规、规章制度要求，</w:t>
      </w:r>
      <w:r>
        <w:rPr/>
        <w:t> 建立、健全安全生产责任制，重视安全生产和劳动保护工作。公司已通过</w:t>
      </w:r>
      <w:r>
        <w:rPr>
          <w:rFonts w:ascii="Times New Roman" w:hAnsi="Times New Roman" w:cs="Times New Roman" w:eastAsia="Times New Roman" w:hint="default"/>
          <w:sz w:val="21"/>
          <w:szCs w:val="21"/>
        </w:rPr>
        <w:t>ISO45001</w:t>
      </w:r>
      <w:r>
        <w:rPr/>
        <w:t>职业健康安全管理体系认证，建立完善 </w:t>
      </w:r>
      <w:r>
        <w:rPr>
          <w:spacing w:val="-2"/>
        </w:rPr>
        <w:t>的职业健康安全管理程序，依法设置安全生产管理部门，设立环境及安全小组、应急救援小组，按照法定要求配置了各级专</w:t>
      </w:r>
      <w:r>
        <w:rPr>
          <w:spacing w:val="-65"/>
        </w:rPr>
        <w:t> </w:t>
      </w:r>
      <w:r>
        <w:rPr>
          <w:spacing w:val="-65"/>
        </w:rPr>
      </w:r>
      <w:r>
        <w:rPr/>
        <w:t>兼职安全生产管理人员，有效推进安全生产管理各项工作落实。</w:t>
      </w:r>
    </w:p>
    <w:p>
      <w:pPr>
        <w:pStyle w:val="BodyText"/>
        <w:spacing w:line="314" w:lineRule="auto" w:before="28"/>
        <w:ind w:right="1034" w:firstLine="36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35"/>
        </w:rPr>
        <w:t> </w:t>
      </w:r>
      <w:r>
        <w:rPr/>
        <w:t>年，公司定期开展安全生产检查工作、组织员工安全生产培训，本年度内公司未出现各类重大生产安全事故，未 出现人员伤亡和职业病病例。 为实现员工与公司共同发展，为公司发展储备合格的人才，同时也为员工提供必要的素质技</w:t>
      </w:r>
      <w:r>
        <w:rPr>
          <w:spacing w:val="-84"/>
        </w:rPr>
        <w:t> </w:t>
      </w:r>
      <w:r>
        <w:rPr>
          <w:spacing w:val="-84"/>
        </w:rPr>
      </w:r>
      <w:r>
        <w:rPr>
          <w:spacing w:val="-2"/>
        </w:rPr>
        <w:t>能培训，公司根据整体经营战略，结合部门业务需求以及员工个人培训需求，每年制定培训计划，从员工通用能力、专业能</w:t>
      </w:r>
      <w:r>
        <w:rPr>
          <w:spacing w:val="-66"/>
        </w:rPr>
        <w:t> </w:t>
      </w:r>
      <w:r>
        <w:rPr>
          <w:spacing w:val="-66"/>
        </w:rPr>
      </w:r>
      <w:r>
        <w:rPr/>
        <w:t>力、管理能力等方面组织开展培训课程。以新员工入职培训、企业内部培训、外部培训、委托培训、内部交流、岗位辅导、 外出参观和对外交流、员工自学等多种形式，提升全体员工岗位技能和专业知识。 此外，公司也在不断完善和规范员工的</w:t>
      </w:r>
      <w:r>
        <w:rPr>
          <w:spacing w:val="-83"/>
        </w:rPr>
        <w:t> </w:t>
      </w:r>
      <w:r>
        <w:rPr>
          <w:spacing w:val="-83"/>
        </w:rPr>
      </w:r>
      <w:r>
        <w:rPr/>
        <w:t>福利保障和管理制度，确保员工在公平、公正的环境中工作、发展。</w:t>
      </w:r>
    </w:p>
    <w:p>
      <w:pPr>
        <w:pStyle w:val="BodyText"/>
        <w:spacing w:line="338" w:lineRule="auto" w:before="61"/>
        <w:ind w:left="441" w:right="967" w:firstLine="72"/>
        <w:jc w:val="left"/>
      </w:pPr>
      <w:r>
        <w:rPr/>
        <w:t>（</w:t>
      </w:r>
      <w:r>
        <w:rPr>
          <w:rFonts w:ascii="Times New Roman" w:hAnsi="Times New Roman" w:cs="Times New Roman" w:eastAsia="Times New Roman" w:hint="default"/>
        </w:rPr>
        <w:t>3</w:t>
      </w:r>
      <w:r>
        <w:rPr/>
        <w:t>）供应商、客户和消费者权益保护 </w:t>
      </w:r>
      <w:r>
        <w:rPr>
          <w:spacing w:val="-1"/>
        </w:rPr>
        <w:t>公司始终秉持诚信经营、互利共赢的原则和理念，注重建设有效的供应链体系，同时致力于为客户提供优质的产品和服</w:t>
      </w:r>
    </w:p>
    <w:p>
      <w:pPr>
        <w:pStyle w:val="BodyText"/>
        <w:spacing w:line="240" w:lineRule="auto" w:before="2"/>
        <w:ind w:right="0"/>
        <w:jc w:val="both"/>
      </w:pPr>
      <w:r>
        <w:rPr/>
        <w:t>务，积极建立与供应商和客户的沟通诚信合作机制，承担对客户的责任，以客户需求为出发点，为客户创造价值，与客户共</w:t>
      </w:r>
    </w:p>
    <w:p>
      <w:pPr>
        <w:spacing w:after="0" w:line="240" w:lineRule="auto"/>
        <w:jc w:val="both"/>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4"/>
        <w:ind w:right="967"/>
        <w:jc w:val="left"/>
      </w:pPr>
      <w:r>
        <w:rPr>
          <w:spacing w:val="-2"/>
        </w:rPr>
        <w:t>同成长，全力保障对供应商、客户的权益，并通过自身的规范运作积极带动供应商及外协厂商不断规范经营，按协议结算并</w:t>
      </w:r>
      <w:r>
        <w:rPr>
          <w:spacing w:val="-64"/>
        </w:rPr>
        <w:t> </w:t>
      </w:r>
      <w:r>
        <w:rPr>
          <w:spacing w:val="-64"/>
        </w:rPr>
      </w:r>
      <w:r>
        <w:rPr/>
        <w:t>支付货款，保障供应商利益不受损害，公司努力营造公平、健康的商业环境。</w:t>
      </w:r>
    </w:p>
    <w:p>
      <w:pPr>
        <w:pStyle w:val="BodyText"/>
        <w:spacing w:line="338" w:lineRule="auto" w:before="59"/>
        <w:ind w:left="453" w:right="967" w:firstLine="60"/>
        <w:jc w:val="left"/>
      </w:pPr>
      <w:r>
        <w:rPr/>
        <w:t>（</w:t>
      </w:r>
      <w:r>
        <w:rPr>
          <w:rFonts w:ascii="Times New Roman" w:hAnsi="Times New Roman" w:cs="Times New Roman" w:eastAsia="Times New Roman" w:hint="default"/>
        </w:rPr>
        <w:t>4</w:t>
      </w:r>
      <w:r>
        <w:rPr/>
        <w:t>）环境保护与可持续发展 </w:t>
      </w:r>
      <w:r>
        <w:rPr>
          <w:spacing w:val="-1"/>
        </w:rPr>
        <w:t>公司响应国家环保政策，通过技术创新，致力于绿色环保、节能减排、节约资源的产品目标，坚持不懈的为社会和行业</w:t>
      </w:r>
    </w:p>
    <w:p>
      <w:pPr>
        <w:pStyle w:val="BodyText"/>
        <w:spacing w:line="316" w:lineRule="auto" w:before="2"/>
        <w:ind w:right="967"/>
        <w:jc w:val="left"/>
      </w:pPr>
      <w:r>
        <w:rPr>
          <w:spacing w:val="-2"/>
        </w:rPr>
        <w:t>的可持续发展做出积极贡献。公司秉持环境保护、可持续发展的理念，严格遵守国家环境保护法律法规。实行资源能源节约</w:t>
      </w:r>
      <w:r>
        <w:rPr>
          <w:spacing w:val="-65"/>
        </w:rPr>
        <w:t> </w:t>
      </w:r>
      <w:r>
        <w:rPr>
          <w:spacing w:val="-65"/>
        </w:rPr>
      </w:r>
      <w:r>
        <w:rPr/>
        <w:t>管理，节约用纸、用水、用电。</w:t>
      </w:r>
    </w:p>
    <w:p>
      <w:pPr>
        <w:pStyle w:val="BodyText"/>
        <w:spacing w:line="314" w:lineRule="auto" w:before="19"/>
        <w:ind w:right="967" w:firstLine="300"/>
        <w:jc w:val="left"/>
      </w:pPr>
      <w:r>
        <w:rPr>
          <w:spacing w:val="-1"/>
        </w:rPr>
        <w:t>公司选用低噪声设备并合理布局，采用隔离、减震等噪声治理措施，确保厂界噪声达到工业企业厂界噪声排放标准；合</w:t>
      </w:r>
      <w:r>
        <w:rPr/>
        <w:t> </w:t>
      </w:r>
      <w:r>
        <w:rPr>
          <w:spacing w:val="-2"/>
        </w:rPr>
        <w:t>理布局，对于环保设备定期维护确保其正常运转，生产区域绿化美化工作定期开展，便于空气流通与污染物的扩散；为减少</w:t>
      </w:r>
      <w:r>
        <w:rPr>
          <w:spacing w:val="-63"/>
        </w:rPr>
        <w:t> </w:t>
      </w:r>
      <w:r>
        <w:rPr>
          <w:spacing w:val="-63"/>
        </w:rPr>
      </w:r>
      <w:r>
        <w:rPr>
          <w:spacing w:val="-2"/>
        </w:rPr>
        <w:t>固体废弃物的产生，加强生产管理，制定相应作业指导书，定期进行员工环保意识培训，制定相关管理制度、指导书等文件</w:t>
      </w:r>
      <w:r>
        <w:rPr>
          <w:spacing w:val="-67"/>
        </w:rPr>
        <w:t> </w:t>
      </w:r>
      <w:r>
        <w:rPr>
          <w:spacing w:val="-67"/>
        </w:rPr>
      </w:r>
      <w:r>
        <w:rPr/>
        <w:t>并实施监督巡查以减少固体废弃的产生量、能源的消耗量；推进各项环保的开展我公司持续推行环境管理体系</w:t>
      </w:r>
      <w:r>
        <w:rPr>
          <w:rFonts w:ascii="Times New Roman" w:hAnsi="Times New Roman" w:cs="Times New Roman" w:eastAsia="Times New Roman" w:hint="default"/>
        </w:rPr>
        <w:t>ISO14001</w:t>
      </w:r>
      <w:r>
        <w:rPr/>
        <w:t>， 设专人管理执行环保管理制度并不断完善健全环保管理制度。</w:t>
      </w:r>
    </w:p>
    <w:p>
      <w:pPr>
        <w:pStyle w:val="BodyText"/>
        <w:spacing w:line="307" w:lineRule="auto" w:before="62"/>
        <w:ind w:right="1034" w:firstLine="360"/>
        <w:jc w:val="left"/>
      </w:pPr>
      <w:r>
        <w:rPr/>
        <w:t>公司一直把废弃物的管理作为生产过程环保的重要一环，通过制定管理政策，严格控制固体废弃物、废液、生产废气、 </w:t>
      </w:r>
      <w:r>
        <w:rPr>
          <w:spacing w:val="-4"/>
        </w:rPr>
        <w:t>噪声等污染物的排放，产生的相关废弃物均按国家规定委托具备处理资质的供应商予以处理，妥善减少废弃物。通过</w:t>
      </w:r>
      <w:r>
        <w:rPr>
          <w:rFonts w:ascii="Times New Roman" w:hAnsi="Times New Roman" w:cs="Times New Roman" w:eastAsia="Times New Roman" w:hint="default"/>
          <w:spacing w:val="-4"/>
        </w:rPr>
        <w:t>“3R</w:t>
      </w:r>
      <w:r>
        <w:rPr>
          <w:spacing w:val="-4"/>
        </w:rPr>
        <w:t>（减</w:t>
      </w:r>
      <w:r>
        <w:rPr>
          <w:spacing w:val="-59"/>
        </w:rPr>
        <w:t> </w:t>
      </w:r>
      <w:r>
        <w:rPr/>
        <w:t>少原料</w:t>
      </w:r>
      <w:r>
        <w:rPr>
          <w:rFonts w:ascii="Times New Roman" w:hAnsi="Times New Roman" w:cs="Times New Roman" w:eastAsia="Times New Roman" w:hint="default"/>
        </w:rPr>
        <w:t>(reduce)</w:t>
      </w:r>
      <w:r>
        <w:rPr/>
        <w:t>、重新利用</w:t>
      </w:r>
      <w:r>
        <w:rPr>
          <w:rFonts w:ascii="Times New Roman" w:hAnsi="Times New Roman" w:cs="Times New Roman" w:eastAsia="Times New Roman" w:hint="default"/>
        </w:rPr>
        <w:t>(reuse)</w:t>
      </w:r>
      <w:r>
        <w:rPr/>
        <w:t>和物品回收</w:t>
      </w:r>
      <w:r>
        <w:rPr>
          <w:rFonts w:ascii="Times New Roman" w:hAnsi="Times New Roman" w:cs="Times New Roman" w:eastAsia="Times New Roman" w:hint="default"/>
        </w:rPr>
        <w:t>(recycle)</w:t>
      </w:r>
      <w:r>
        <w:rPr/>
        <w:t>）活动</w:t>
      </w:r>
      <w:r>
        <w:rPr>
          <w:rFonts w:ascii="Times New Roman" w:hAnsi="Times New Roman" w:cs="Times New Roman" w:eastAsia="Times New Roman" w:hint="default"/>
        </w:rPr>
        <w:t>”</w:t>
      </w:r>
      <w:r>
        <w:rPr/>
        <w:t>的开展，将产生的锡渣、包装、塑料等通过供应商回收，重复</w:t>
      </w:r>
      <w:r>
        <w:rPr>
          <w:spacing w:val="-31"/>
        </w:rPr>
        <w:t> </w:t>
      </w:r>
      <w:r>
        <w:rPr>
          <w:spacing w:val="-31"/>
        </w:rPr>
      </w:r>
      <w:r>
        <w:rPr/>
        <w:t>利用；通过具备相应处理资质的公司处理严控废弃物、危险废弃物、普通工业废弃物，全年固体废弃物产生减少</w:t>
      </w:r>
      <w:r>
        <w:rPr>
          <w:rFonts w:ascii="Times New Roman" w:hAnsi="Times New Roman" w:cs="Times New Roman" w:eastAsia="Times New Roman" w:hint="default"/>
        </w:rPr>
        <w:t>10%</w:t>
      </w:r>
      <w:r>
        <w:rPr/>
        <w:t>。</w:t>
      </w:r>
    </w:p>
    <w:p>
      <w:pPr>
        <w:pStyle w:val="BodyText"/>
        <w:spacing w:line="240" w:lineRule="auto" w:before="48"/>
        <w:ind w:left="513" w:right="967"/>
        <w:jc w:val="left"/>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9</w:t>
      </w:r>
      <w:r>
        <w:rPr/>
        <w:t>年公司不存在环保未达</w:t>
      </w:r>
      <w:r>
        <w:rPr>
          <w:spacing w:val="-3"/>
        </w:rPr>
        <w:t>标</w:t>
      </w:r>
      <w:r>
        <w:rPr/>
        <w:t>情况</w:t>
      </w:r>
      <w:r>
        <w:rPr>
          <w:spacing w:val="-87"/>
        </w:rPr>
        <w:t>，</w:t>
      </w:r>
      <w:r>
        <w:rPr/>
        <w:t>未出现重大环保事故</w:t>
      </w:r>
      <w:r>
        <w:rPr>
          <w:spacing w:val="-87"/>
        </w:rPr>
        <w:t>，</w:t>
      </w:r>
      <w:r>
        <w:rPr/>
        <w:t>不存在被环保部门处罚或者被列入重点污染企业名单的情形。</w:t>
      </w:r>
    </w:p>
    <w:p>
      <w:pPr>
        <w:pStyle w:val="BodyText"/>
        <w:spacing w:line="340" w:lineRule="auto" w:before="101"/>
        <w:ind w:left="513" w:right="967"/>
        <w:jc w:val="left"/>
      </w:pPr>
      <w:r>
        <w:rPr/>
        <w:t>（</w:t>
      </w:r>
      <w:r>
        <w:rPr>
          <w:rFonts w:ascii="Times New Roman" w:hAnsi="Times New Roman" w:cs="Times New Roman" w:eastAsia="Times New Roman" w:hint="default"/>
        </w:rPr>
        <w:t>5</w:t>
      </w:r>
      <w:r>
        <w:rPr/>
        <w:t>）公关关系与社会公益事业 </w:t>
      </w:r>
      <w:r>
        <w:rPr>
          <w:spacing w:val="-2"/>
        </w:rPr>
        <w:t>公司自成立以来，一直积极支持公益事业，坚持服务社会，开展各项慈善活动。公司始终将依法经营作为公司运行的基</w:t>
      </w:r>
    </w:p>
    <w:p>
      <w:pPr>
        <w:pStyle w:val="BodyText"/>
        <w:spacing w:line="300" w:lineRule="auto" w:before="1"/>
        <w:ind w:right="1130"/>
        <w:jc w:val="both"/>
      </w:pPr>
      <w:r>
        <w:rPr/>
        <w:t>本原则，注重企业经济效益与社会效益的同步共赢。自</w:t>
      </w:r>
      <w:r>
        <w:rPr>
          <w:rFonts w:ascii="Times New Roman" w:hAnsi="Times New Roman" w:cs="Times New Roman" w:eastAsia="Times New Roman" w:hint="default"/>
        </w:rPr>
        <w:t>2008</w:t>
      </w:r>
      <w:r>
        <w:rPr/>
        <w:t>年起，公司持续不断向壹基金进行捐赠活动。</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月，向中</w:t>
      </w:r>
      <w:r>
        <w:rPr>
          <w:spacing w:val="-85"/>
        </w:rPr>
        <w:t> </w:t>
      </w:r>
      <w:r>
        <w:rPr>
          <w:spacing w:val="-85"/>
        </w:rPr>
      </w:r>
      <w:r>
        <w:rPr/>
        <w:t>山大学教育发展基金会无偿捐赠人民币</w:t>
      </w:r>
      <w:r>
        <w:rPr>
          <w:rFonts w:ascii="Times New Roman" w:hAnsi="Times New Roman" w:cs="Times New Roman" w:eastAsia="Times New Roman" w:hint="default"/>
        </w:rPr>
        <w:t>20</w:t>
      </w:r>
      <w:r>
        <w:rPr/>
        <w:t>万元整，支持</w:t>
      </w:r>
      <w:r>
        <w:rPr>
          <w:rFonts w:ascii="Times New Roman" w:hAnsi="Times New Roman" w:cs="Times New Roman" w:eastAsia="Times New Roman" w:hint="default"/>
        </w:rPr>
        <w:t>“</w:t>
      </w:r>
      <w:r>
        <w:rPr/>
        <w:t>交通工程教育发展基金</w:t>
      </w:r>
      <w:r>
        <w:rPr>
          <w:rFonts w:ascii="Times New Roman" w:hAnsi="Times New Roman" w:cs="Times New Roman" w:eastAsia="Times New Roman" w:hint="default"/>
        </w:rPr>
        <w:t>”</w:t>
      </w:r>
      <w:r>
        <w:rPr/>
        <w:t>，用于促进交通工程专业人才培养；</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t>年</w:t>
      </w:r>
      <w:r>
        <w:rPr>
          <w:rFonts w:ascii="Times New Roman" w:hAnsi="Times New Roman" w:cs="Times New Roman" w:eastAsia="Times New Roman" w:hint="default"/>
        </w:rPr>
        <w:t>9</w:t>
      </w:r>
      <w:r>
        <w:rPr/>
        <w:t>月，为深入贯彻落实公安部扶贫工作统一部署，进一步加强公司与业务主管单位的公共关系，公司参与了由联盟组织的</w:t>
      </w:r>
      <w:r>
        <w:rPr>
          <w:spacing w:val="-84"/>
        </w:rPr>
        <w:t> </w:t>
      </w:r>
      <w:r>
        <w:rPr>
          <w:spacing w:val="-84"/>
        </w:rPr>
      </w:r>
      <w:r>
        <w:rPr/>
        <w:t>贵州省普安县扶贫活动，捐款</w:t>
      </w:r>
      <w:r>
        <w:rPr>
          <w:rFonts w:ascii="Times New Roman" w:hAnsi="Times New Roman" w:cs="Times New Roman" w:eastAsia="Times New Roman" w:hint="default"/>
        </w:rPr>
        <w:t>2</w:t>
      </w:r>
      <w:r>
        <w:rPr/>
        <w:t>万元。</w:t>
      </w:r>
    </w:p>
    <w:p>
      <w:pPr>
        <w:spacing w:line="240" w:lineRule="auto" w:before="3"/>
        <w:rPr>
          <w:rFonts w:ascii="宋体" w:hAnsi="宋体" w:cs="宋体" w:eastAsia="宋体" w:hint="default"/>
          <w:sz w:val="17"/>
          <w:szCs w:val="17"/>
        </w:rPr>
      </w:pPr>
    </w:p>
    <w:p>
      <w:pPr>
        <w:pStyle w:val="Heading4"/>
        <w:spacing w:line="240" w:lineRule="auto"/>
        <w:ind w:right="0"/>
        <w:jc w:val="both"/>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both"/>
      </w:pPr>
      <w:r>
        <w:rPr/>
        <w:t>公司报告年度暂未开展精准扶贫工作，也暂无后续精准扶贫计划。</w:t>
      </w:r>
    </w:p>
    <w:p>
      <w:pPr>
        <w:spacing w:line="240" w:lineRule="auto" w:before="12"/>
        <w:rPr>
          <w:rFonts w:ascii="宋体" w:hAnsi="宋体" w:cs="宋体" w:eastAsia="宋体" w:hint="default"/>
          <w:sz w:val="21"/>
          <w:szCs w:val="21"/>
        </w:rPr>
      </w:pPr>
    </w:p>
    <w:p>
      <w:pPr>
        <w:pStyle w:val="Heading4"/>
        <w:spacing w:line="240" w:lineRule="auto"/>
        <w:ind w:right="0"/>
        <w:jc w:val="both"/>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60" w:lineRule="auto"/>
        <w:ind w:right="5714"/>
        <w:jc w:val="left"/>
      </w:pPr>
      <w:r>
        <w:rPr/>
        <w:t>上市公司及其子公司是否属于环境保护部门公布的重点排污单位 否</w:t>
      </w:r>
    </w:p>
    <w:p>
      <w:pPr>
        <w:pStyle w:val="BodyText"/>
        <w:spacing w:line="340" w:lineRule="auto" w:before="25"/>
        <w:ind w:left="513" w:right="967"/>
        <w:jc w:val="left"/>
      </w:pPr>
      <w:r>
        <w:rPr/>
        <w:t>（</w:t>
      </w:r>
      <w:r>
        <w:rPr>
          <w:rFonts w:ascii="Times New Roman" w:hAnsi="Times New Roman" w:cs="Times New Roman" w:eastAsia="Times New Roman" w:hint="default"/>
        </w:rPr>
        <w:t>1</w:t>
      </w:r>
      <w:r>
        <w:rPr/>
        <w:t>）排污信息 </w:t>
      </w:r>
      <w:r>
        <w:rPr>
          <w:spacing w:val="-2"/>
        </w:rPr>
        <w:t>经核查，公司及各子公司不属于环境保护部门公布的重点排污单位。公司及各子公司在日常生产经营中认真执行《中华</w:t>
      </w:r>
    </w:p>
    <w:p>
      <w:pPr>
        <w:pStyle w:val="BodyText"/>
        <w:spacing w:line="316" w:lineRule="auto" w:before="1"/>
        <w:ind w:right="1131"/>
        <w:jc w:val="both"/>
      </w:pPr>
      <w:r>
        <w:rPr>
          <w:spacing w:val="-2"/>
        </w:rPr>
        <w:t>人民共和国环境保护法》、《中华人民共和国水污染防治法》、《中华人民共和国大气污染防治法》、《中华人民共和国环</w:t>
      </w:r>
      <w:r>
        <w:rPr>
          <w:spacing w:val="-67"/>
        </w:rPr>
        <w:t> </w:t>
      </w:r>
      <w:r>
        <w:rPr>
          <w:spacing w:val="-67"/>
        </w:rPr>
      </w:r>
      <w:r>
        <w:rPr>
          <w:spacing w:val="-2"/>
        </w:rPr>
        <w:t>境噪声污染防治法》、《中华人民共和国固体废物污染防治法》等环保方面的法律法规，报告期内未出现因违法违规而受到</w:t>
      </w:r>
      <w:r>
        <w:rPr>
          <w:spacing w:val="-65"/>
        </w:rPr>
        <w:t> </w:t>
      </w:r>
      <w:r>
        <w:rPr>
          <w:spacing w:val="-65"/>
        </w:rPr>
      </w:r>
      <w:r>
        <w:rPr/>
        <w:t>处罚的情况。</w:t>
      </w:r>
    </w:p>
    <w:p>
      <w:pPr>
        <w:pStyle w:val="BodyText"/>
        <w:spacing w:line="338" w:lineRule="auto" w:before="59"/>
        <w:ind w:left="513" w:right="967"/>
        <w:jc w:val="left"/>
      </w:pPr>
      <w:r>
        <w:rPr/>
        <w:t>（</w:t>
      </w:r>
      <w:r>
        <w:rPr>
          <w:rFonts w:ascii="Times New Roman" w:hAnsi="Times New Roman" w:cs="Times New Roman" w:eastAsia="Times New Roman" w:hint="default"/>
        </w:rPr>
        <w:t>2</w:t>
      </w:r>
      <w:r>
        <w:rPr/>
        <w:t>）防治污染设施的建设和运行情况 </w:t>
      </w:r>
      <w:r>
        <w:rPr>
          <w:spacing w:val="-2"/>
        </w:rPr>
        <w:t>公司一直重视环境保护，严格遵守国家环保法律法规要求，认真落实污染治理、节能减排等各项环保措施，有效合理解</w:t>
      </w:r>
    </w:p>
    <w:p>
      <w:pPr>
        <w:pStyle w:val="BodyText"/>
        <w:spacing w:line="319" w:lineRule="auto" w:before="2"/>
        <w:ind w:right="1034"/>
        <w:jc w:val="left"/>
      </w:pPr>
      <w:r>
        <w:rPr>
          <w:spacing w:val="-2"/>
        </w:rPr>
        <w:t>决废水、废气、固体废物等方面污染源的问题。公司选用低噪声设备并合理布局，采用隔离、减震等噪声治理措施，确保厂</w:t>
      </w:r>
      <w:r>
        <w:rPr>
          <w:spacing w:val="-68"/>
        </w:rPr>
        <w:t> </w:t>
      </w:r>
      <w:r>
        <w:rPr>
          <w:spacing w:val="-68"/>
        </w:rPr>
      </w:r>
      <w:r>
        <w:rPr>
          <w:spacing w:val="-2"/>
        </w:rPr>
        <w:t>界噪声达到工业企业厂界噪声排放标准；合理布局，对于环保设备定期维护确保其正常运转，生产区域绿化美化工作定期开</w:t>
      </w:r>
      <w:r>
        <w:rPr>
          <w:spacing w:val="-66"/>
        </w:rPr>
        <w:t> </w:t>
      </w:r>
      <w:r>
        <w:rPr>
          <w:spacing w:val="-66"/>
        </w:rPr>
      </w:r>
      <w:r>
        <w:rPr/>
        <w:t>展；加强生产管理，制定相应制度及作业指导书，定期进行员工环保意识培训，并实施监督巡查以减少固体废弃的产生量、 能源的消耗量；对环保设施持续进行改造，严格执行国家排放标准，确保废水、废气等污染物达标排放。</w:t>
      </w:r>
    </w:p>
    <w:p>
      <w:pPr>
        <w:pStyle w:val="BodyText"/>
        <w:spacing w:line="240" w:lineRule="auto" w:before="58"/>
        <w:ind w:left="513" w:right="967"/>
        <w:jc w:val="left"/>
      </w:pPr>
      <w:r>
        <w:rPr/>
        <w:t>（</w:t>
      </w:r>
      <w:r>
        <w:rPr>
          <w:rFonts w:ascii="Times New Roman" w:hAnsi="Times New Roman" w:cs="Times New Roman" w:eastAsia="Times New Roman" w:hint="default"/>
        </w:rPr>
        <w:t>3</w:t>
      </w:r>
      <w:r>
        <w:rPr/>
        <w:t>）建设项目环境影响评价及其他环境保护行政许可情况</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4"/>
        <w:ind w:right="967" w:firstLine="360"/>
        <w:jc w:val="left"/>
      </w:pPr>
      <w:r>
        <w:rPr>
          <w:spacing w:val="-2"/>
        </w:rPr>
        <w:t>公司严格遵守环保相关法律法规要求，相关建设项目实施中严格执行环境影响评价制度和环保“三同时”制度。公司广</w:t>
      </w:r>
      <w:r>
        <w:rPr/>
        <w:t> 州分公司已取得《排污许可证》。</w:t>
      </w:r>
    </w:p>
    <w:p>
      <w:pPr>
        <w:pStyle w:val="BodyText"/>
        <w:spacing w:line="338" w:lineRule="auto" w:before="59"/>
        <w:ind w:left="513" w:right="1123"/>
        <w:jc w:val="left"/>
      </w:pPr>
      <w:r>
        <w:rPr/>
        <w:t>（</w:t>
      </w:r>
      <w:r>
        <w:rPr>
          <w:rFonts w:ascii="Times New Roman" w:hAnsi="Times New Roman" w:cs="Times New Roman" w:eastAsia="Times New Roman" w:hint="default"/>
        </w:rPr>
        <w:t>4</w:t>
      </w:r>
      <w:r>
        <w:rPr/>
        <w:t>）突发环境事件应急预案 公司制定了《环境运行控制规范》、《环境和职业健康安全管理程序》</w:t>
      </w:r>
      <w:r>
        <w:rPr>
          <w:rFonts w:ascii="宋体" w:hAnsi="宋体" w:cs="宋体" w:eastAsia="宋体" w:hint="default"/>
        </w:rPr>
        <w:t>,</w:t>
      </w:r>
      <w:r>
        <w:rPr/>
        <w:t>为突发事件的应对提供制度程序支持，预备了</w:t>
      </w:r>
    </w:p>
    <w:p>
      <w:pPr>
        <w:pStyle w:val="BodyText"/>
        <w:spacing w:line="316" w:lineRule="auto" w:before="2"/>
        <w:ind w:right="1131"/>
        <w:jc w:val="both"/>
      </w:pPr>
      <w:r>
        <w:rPr>
          <w:spacing w:val="-2"/>
        </w:rPr>
        <w:t>各项突发环境事件应急预案，对危险化学品、危险废弃物、废气及废水污染等方面均有配套预案，公司定期组织应急处理演</w:t>
      </w:r>
      <w:r>
        <w:rPr>
          <w:spacing w:val="-64"/>
        </w:rPr>
        <w:t> </w:t>
      </w:r>
      <w:r>
        <w:rPr>
          <w:spacing w:val="-64"/>
        </w:rPr>
      </w:r>
      <w:r>
        <w:rPr>
          <w:spacing w:val="-2"/>
        </w:rPr>
        <w:t>练，演练内容包括联系落实附近医院及急救车辆、毒气中毒伤员运送、人员紧急疏散、防护措施的使用等，以确保有效应对</w:t>
      </w:r>
      <w:r>
        <w:rPr>
          <w:spacing w:val="-67"/>
        </w:rPr>
        <w:t> </w:t>
      </w:r>
      <w:r>
        <w:rPr>
          <w:spacing w:val="-67"/>
        </w:rPr>
      </w:r>
      <w:r>
        <w:rPr/>
        <w:t>突发安全事故，切实提高了企业应对突发环境事件的应急响应能力和处置能力。</w:t>
      </w:r>
    </w:p>
    <w:p>
      <w:pPr>
        <w:pStyle w:val="BodyText"/>
        <w:spacing w:line="340" w:lineRule="auto" w:before="59"/>
        <w:ind w:left="513" w:right="967"/>
        <w:jc w:val="left"/>
      </w:pPr>
      <w:r>
        <w:rPr/>
        <w:t>（</w:t>
      </w:r>
      <w:r>
        <w:rPr>
          <w:rFonts w:ascii="Times New Roman" w:hAnsi="Times New Roman" w:cs="Times New Roman" w:eastAsia="Times New Roman" w:hint="default"/>
        </w:rPr>
        <w:t>5</w:t>
      </w:r>
      <w:r>
        <w:rPr/>
        <w:t>）环境自行监测方案 公司严格遵守国家及地方法律、法规和相关规定，公司推进各项环保措施的开展，持续推行环境管理体系</w:t>
      </w:r>
      <w:r>
        <w:rPr>
          <w:rFonts w:ascii="Times New Roman" w:hAnsi="Times New Roman" w:cs="Times New Roman" w:eastAsia="Times New Roman" w:hint="default"/>
        </w:rPr>
        <w:t>ISO14001</w:t>
      </w:r>
      <w:r>
        <w:rPr/>
        <w:t>并</w:t>
      </w:r>
    </w:p>
    <w:p>
      <w:pPr>
        <w:pStyle w:val="BodyText"/>
        <w:spacing w:line="215" w:lineRule="exact"/>
        <w:ind w:right="0"/>
        <w:jc w:val="both"/>
      </w:pPr>
      <w:r>
        <w:rPr/>
        <w:t>设专人管理执行环保管理制度，定期对废水、废气等进行检测。</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r>
        <w:rPr/>
        <w:t>十九、其他重大事项的说明</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before="80"/>
        <w:ind w:left="0" w:right="1042"/>
        <w:jc w:val="right"/>
      </w:pPr>
      <w:r>
        <w:rPr/>
        <w:pict>
          <v:shape style="position:absolute;margin-left:55.799999pt;margin-top:-113.308266pt;width:484.1pt;height:461.5pt;mso-position-horizontal-relative:page;mso-position-vertical-relative:paragraph;z-index:2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61"/>
                    <w:gridCol w:w="2420"/>
                    <w:gridCol w:w="4679"/>
                  </w:tblGrid>
                  <w:tr>
                    <w:trPr>
                      <w:trHeight w:val="334" w:hRule="exact"/>
                    </w:trPr>
                    <w:tc>
                      <w:tcPr>
                        <w:tcW w:w="25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left="732" w:right="0"/>
                          <w:jc w:val="left"/>
                          <w:rPr>
                            <w:rFonts w:ascii="宋体" w:hAnsi="宋体" w:cs="宋体" w:eastAsia="宋体" w:hint="default"/>
                            <w:sz w:val="18"/>
                            <w:szCs w:val="18"/>
                          </w:rPr>
                        </w:pPr>
                        <w:r>
                          <w:rPr>
                            <w:rFonts w:ascii="宋体" w:hAnsi="宋体" w:cs="宋体" w:eastAsia="宋体" w:hint="default"/>
                            <w:sz w:val="18"/>
                            <w:szCs w:val="18"/>
                          </w:rPr>
                          <w:t>重要事项概述</w:t>
                        </w:r>
                      </w:p>
                    </w:tc>
                    <w:tc>
                      <w:tcPr>
                        <w:tcW w:w="24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46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left="1250" w:right="0"/>
                          <w:jc w:val="left"/>
                          <w:rPr>
                            <w:rFonts w:ascii="宋体" w:hAnsi="宋体" w:cs="宋体" w:eastAsia="宋体" w:hint="default"/>
                            <w:sz w:val="18"/>
                            <w:szCs w:val="18"/>
                          </w:rPr>
                        </w:pPr>
                        <w:r>
                          <w:rPr>
                            <w:rFonts w:ascii="宋体" w:hAnsi="宋体" w:cs="宋体" w:eastAsia="宋体" w:hint="default"/>
                            <w:sz w:val="18"/>
                            <w:szCs w:val="18"/>
                          </w:rPr>
                          <w:t>临时报告披露网站查询索引</w:t>
                        </w:r>
                      </w:p>
                    </w:tc>
                  </w:tr>
                  <w:tr>
                    <w:trPr>
                      <w:trHeight w:val="660" w:hRule="exact"/>
                    </w:trPr>
                    <w:tc>
                      <w:tcPr>
                        <w:tcW w:w="2561" w:type="dxa"/>
                        <w:vMerge w:val="restart"/>
                        <w:tcBorders>
                          <w:top w:val="single" w:sz="6" w:space="0" w:color="000000"/>
                          <w:left w:val="single" w:sz="6" w:space="0" w:color="000000"/>
                          <w:right w:val="single" w:sz="6" w:space="0" w:color="000000"/>
                        </w:tcBorders>
                      </w:tcPr>
                      <w:p>
                        <w:pPr>
                          <w:pStyle w:val="TableParagraph"/>
                          <w:spacing w:line="316" w:lineRule="auto" w:before="20"/>
                          <w:ind w:left="2" w:right="22"/>
                          <w:jc w:val="left"/>
                          <w:rPr>
                            <w:rFonts w:ascii="宋体" w:hAnsi="宋体" w:cs="宋体" w:eastAsia="宋体" w:hint="default"/>
                            <w:sz w:val="18"/>
                            <w:szCs w:val="18"/>
                          </w:rPr>
                        </w:pPr>
                        <w:r>
                          <w:rPr>
                            <w:rFonts w:ascii="宋体" w:hAnsi="宋体" w:cs="宋体" w:eastAsia="宋体" w:hint="default"/>
                            <w:sz w:val="18"/>
                            <w:szCs w:val="18"/>
                          </w:rPr>
                          <w:t>修改《公司章程》及《股东大会 </w:t>
                        </w:r>
                        <w:r>
                          <w:rPr>
                            <w:rFonts w:ascii="宋体" w:hAnsi="宋体" w:cs="宋体" w:eastAsia="宋体" w:hint="default"/>
                            <w:spacing w:val="-5"/>
                            <w:sz w:val="18"/>
                            <w:szCs w:val="18"/>
                          </w:rPr>
                          <w:t>议事规则》、《董事会议事规则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等制度文件</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09</w:t>
                        </w:r>
                        <w:r>
                          <w:rPr>
                            <w:rFonts w:ascii="宋体" w:hAnsi="宋体" w:cs="宋体" w:eastAsia="宋体" w:hint="default"/>
                            <w:sz w:val="18"/>
                            <w:szCs w:val="18"/>
                          </w:rPr>
                          <w:t>日</w:t>
                        </w:r>
                      </w:p>
                      <w:p>
                        <w:pPr>
                          <w:pStyle w:val="TableParagraph"/>
                          <w:spacing w:line="240" w:lineRule="auto" w:before="63"/>
                          <w:ind w:left="-106" w:right="0"/>
                          <w:jc w:val="left"/>
                          <w:rPr>
                            <w:rFonts w:ascii="宋体" w:hAnsi="宋体" w:cs="宋体" w:eastAsia="宋体" w:hint="default"/>
                            <w:sz w:val="18"/>
                            <w:szCs w:val="18"/>
                          </w:rPr>
                        </w:pPr>
                        <w:r>
                          <w:rPr>
                            <w:rFonts w:ascii="宋体" w:hAnsi="宋体" w:cs="宋体" w:eastAsia="宋体" w:hint="default"/>
                            <w:sz w:val="18"/>
                            <w:szCs w:val="18"/>
                          </w:rPr>
                          <w:t>》</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5"/>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《第二届董事会第二 十一次会议决议公告》（公告编号：</w:t>
                        </w:r>
                        <w:r>
                          <w:rPr>
                            <w:rFonts w:ascii="Times New Roman" w:hAnsi="Times New Roman" w:cs="Times New Roman" w:eastAsia="Times New Roman" w:hint="default"/>
                            <w:sz w:val="18"/>
                            <w:szCs w:val="18"/>
                          </w:rPr>
                          <w:t>2019-001</w:t>
                        </w:r>
                        <w:r>
                          <w:rPr>
                            <w:rFonts w:ascii="宋体" w:hAnsi="宋体" w:cs="宋体" w:eastAsia="宋体" w:hint="default"/>
                            <w:sz w:val="18"/>
                            <w:szCs w:val="18"/>
                          </w:rPr>
                          <w:t>）</w:t>
                        </w:r>
                      </w:p>
                    </w:tc>
                  </w:tr>
                  <w:tr>
                    <w:trPr>
                      <w:trHeight w:val="660" w:hRule="exact"/>
                    </w:trPr>
                    <w:tc>
                      <w:tcPr>
                        <w:tcW w:w="2561" w:type="dxa"/>
                        <w:vMerge/>
                        <w:tcBorders>
                          <w:left w:val="single" w:sz="6" w:space="0" w:color="000000"/>
                          <w:bottom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6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年第一次临 时股东大会决议公告》（公告编号：</w:t>
                        </w:r>
                        <w:r>
                          <w:rPr>
                            <w:rFonts w:ascii="Times New Roman" w:hAnsi="Times New Roman" w:cs="Times New Roman" w:eastAsia="Times New Roman" w:hint="default"/>
                            <w:sz w:val="18"/>
                            <w:szCs w:val="18"/>
                          </w:rPr>
                          <w:t>2019-005</w:t>
                        </w:r>
                        <w:r>
                          <w:rPr>
                            <w:rFonts w:ascii="宋体" w:hAnsi="宋体" w:cs="宋体" w:eastAsia="宋体" w:hint="default"/>
                            <w:sz w:val="18"/>
                            <w:szCs w:val="18"/>
                          </w:rPr>
                          <w:t>）</w:t>
                        </w:r>
                      </w:p>
                    </w:tc>
                  </w:tr>
                  <w:tr>
                    <w:trPr>
                      <w:trHeight w:val="658" w:hRule="exact"/>
                    </w:trPr>
                    <w:tc>
                      <w:tcPr>
                        <w:tcW w:w="2561" w:type="dxa"/>
                        <w:vMerge w:val="restart"/>
                        <w:tcBorders>
                          <w:top w:val="single" w:sz="6" w:space="0" w:color="000000"/>
                          <w:left w:val="single" w:sz="6" w:space="0" w:color="000000"/>
                          <w:right w:val="single" w:sz="6" w:space="0" w:color="000000"/>
                        </w:tcBorders>
                      </w:tcPr>
                      <w:p>
                        <w:pPr>
                          <w:pStyle w:val="TableParagraph"/>
                          <w:spacing w:line="319" w:lineRule="auto" w:before="17"/>
                          <w:ind w:left="2" w:right="22"/>
                          <w:jc w:val="left"/>
                          <w:rPr>
                            <w:rFonts w:ascii="宋体" w:hAnsi="宋体" w:cs="宋体" w:eastAsia="宋体" w:hint="default"/>
                            <w:sz w:val="18"/>
                            <w:szCs w:val="18"/>
                          </w:rPr>
                        </w:pPr>
                        <w:r>
                          <w:rPr>
                            <w:rFonts w:ascii="宋体" w:hAnsi="宋体" w:cs="宋体" w:eastAsia="宋体" w:hint="default"/>
                            <w:sz w:val="18"/>
                            <w:szCs w:val="18"/>
                          </w:rPr>
                          <w:t>参与山东高速信联支付有限公 司、山东高速信联科技有限公司 混改增资事项</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0"/>
                          <w:jc w:val="left"/>
                          <w:rPr>
                            <w:rFonts w:ascii="宋体" w:hAnsi="宋体" w:cs="宋体" w:eastAsia="宋体" w:hint="default"/>
                            <w:sz w:val="18"/>
                            <w:szCs w:val="18"/>
                          </w:rPr>
                        </w:pPr>
                        <w:r>
                          <w:rPr>
                            <w:rFonts w:ascii="宋体" w:hAnsi="宋体" w:cs="宋体" w:eastAsia="宋体" w:hint="default"/>
                            <w:spacing w:val="-5"/>
                            <w:w w:val="99"/>
                            <w:sz w:val="18"/>
                            <w:szCs w:val="18"/>
                          </w:rPr>
                          <w:t>巨潮资讯网（</w:t>
                        </w:r>
                        <w:r>
                          <w:rPr>
                            <w:rFonts w:ascii="Times New Roman" w:hAnsi="Times New Roman" w:cs="Times New Roman" w:eastAsia="Times New Roman" w:hint="default"/>
                            <w:spacing w:val="-5"/>
                            <w:w w:val="99"/>
                            <w:sz w:val="18"/>
                            <w:szCs w:val="18"/>
                          </w:rPr>
                          <w:t>http://www.cninfo.com.cn)</w:t>
                        </w:r>
                        <w:r>
                          <w:rPr>
                            <w:rFonts w:ascii="宋体" w:hAnsi="宋体" w:cs="宋体" w:eastAsia="宋体" w:hint="default"/>
                            <w:spacing w:val="-5"/>
                            <w:w w:val="99"/>
                            <w:sz w:val="18"/>
                            <w:szCs w:val="18"/>
                          </w:rPr>
                          <w:t>《对外投资公告》（公</w:t>
                        </w:r>
                        <w:r>
                          <w:rPr>
                            <w:rFonts w:ascii="宋体" w:hAnsi="宋体" w:cs="宋体" w:eastAsia="宋体" w:hint="default"/>
                            <w:spacing w:val="-69"/>
                            <w:w w:val="99"/>
                            <w:sz w:val="18"/>
                            <w:szCs w:val="18"/>
                          </w:rPr>
                          <w:t> </w:t>
                        </w:r>
                        <w:r>
                          <w:rPr>
                            <w:rFonts w:ascii="宋体" w:hAnsi="宋体" w:cs="宋体" w:eastAsia="宋体" w:hint="default"/>
                            <w:spacing w:val="-69"/>
                            <w:w w:val="99"/>
                            <w:sz w:val="18"/>
                            <w:szCs w:val="18"/>
                          </w:rPr>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2019-055</w:t>
                        </w:r>
                        <w:r>
                          <w:rPr>
                            <w:rFonts w:ascii="宋体" w:hAnsi="宋体" w:cs="宋体" w:eastAsia="宋体" w:hint="default"/>
                            <w:sz w:val="18"/>
                            <w:szCs w:val="18"/>
                          </w:rPr>
                          <w:t>）</w:t>
                        </w:r>
                      </w:p>
                    </w:tc>
                  </w:tr>
                  <w:tr>
                    <w:trPr>
                      <w:trHeight w:val="660" w:hRule="exact"/>
                    </w:trPr>
                    <w:tc>
                      <w:tcPr>
                        <w:tcW w:w="2561" w:type="dxa"/>
                        <w:vMerge/>
                        <w:tcBorders>
                          <w:left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r>
                          <w:rPr>
                            <w:rFonts w:ascii="Times New Roman" w:hAnsi="Times New Roman" w:cs="Times New Roman" w:eastAsia="Times New Roman" w:hint="default"/>
                            <w:spacing w:val="-3"/>
                            <w:sz w:val="18"/>
                            <w:szCs w:val="18"/>
                          </w:rPr>
                          <w:t>http://www.cninfo.com.cn)</w:t>
                        </w:r>
                        <w:r>
                          <w:rPr>
                            <w:rFonts w:ascii="宋体" w:hAnsi="宋体" w:cs="宋体" w:eastAsia="宋体" w:hint="default"/>
                            <w:spacing w:val="-3"/>
                            <w:sz w:val="18"/>
                            <w:szCs w:val="18"/>
                          </w:rPr>
                          <w:t>《对外投资进展公告</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2019-057</w:t>
                        </w:r>
                        <w:r>
                          <w:rPr>
                            <w:rFonts w:ascii="宋体" w:hAnsi="宋体" w:cs="宋体" w:eastAsia="宋体" w:hint="default"/>
                            <w:sz w:val="18"/>
                            <w:szCs w:val="18"/>
                          </w:rPr>
                          <w:t>）</w:t>
                        </w:r>
                      </w:p>
                    </w:tc>
                  </w:tr>
                  <w:tr>
                    <w:trPr>
                      <w:trHeight w:val="658" w:hRule="exact"/>
                    </w:trPr>
                    <w:tc>
                      <w:tcPr>
                        <w:tcW w:w="2561" w:type="dxa"/>
                        <w:vMerge/>
                        <w:tcBorders>
                          <w:left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《对外投资进展公告</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（二）》（公告编号：</w:t>
                        </w:r>
                        <w:r>
                          <w:rPr>
                            <w:rFonts w:ascii="Times New Roman" w:hAnsi="Times New Roman" w:cs="Times New Roman" w:eastAsia="Times New Roman" w:hint="default"/>
                            <w:sz w:val="18"/>
                            <w:szCs w:val="18"/>
                          </w:rPr>
                          <w:t>2019-068</w:t>
                        </w:r>
                        <w:r>
                          <w:rPr>
                            <w:rFonts w:ascii="宋体" w:hAnsi="宋体" w:cs="宋体" w:eastAsia="宋体" w:hint="default"/>
                            <w:sz w:val="18"/>
                            <w:szCs w:val="18"/>
                          </w:rPr>
                          <w:t>）</w:t>
                        </w:r>
                      </w:p>
                    </w:tc>
                  </w:tr>
                  <w:tr>
                    <w:trPr>
                      <w:trHeight w:val="660" w:hRule="exact"/>
                    </w:trPr>
                    <w:tc>
                      <w:tcPr>
                        <w:tcW w:w="2561" w:type="dxa"/>
                        <w:vMerge/>
                        <w:tcBorders>
                          <w:left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《对外投资进展公告</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（三）》（公告编号：</w:t>
                        </w:r>
                        <w:r>
                          <w:rPr>
                            <w:rFonts w:ascii="Times New Roman" w:hAnsi="Times New Roman" w:cs="Times New Roman" w:eastAsia="Times New Roman" w:hint="default"/>
                            <w:sz w:val="18"/>
                            <w:szCs w:val="18"/>
                          </w:rPr>
                          <w:t>2019-070</w:t>
                        </w:r>
                        <w:r>
                          <w:rPr>
                            <w:rFonts w:ascii="宋体" w:hAnsi="宋体" w:cs="宋体" w:eastAsia="宋体" w:hint="default"/>
                            <w:sz w:val="18"/>
                            <w:szCs w:val="18"/>
                          </w:rPr>
                          <w:t>）</w:t>
                        </w:r>
                      </w:p>
                    </w:tc>
                  </w:tr>
                  <w:tr>
                    <w:trPr>
                      <w:trHeight w:val="660" w:hRule="exact"/>
                    </w:trPr>
                    <w:tc>
                      <w:tcPr>
                        <w:tcW w:w="2561" w:type="dxa"/>
                        <w:vMerge/>
                        <w:tcBorders>
                          <w:left w:val="single" w:sz="6" w:space="0" w:color="000000"/>
                          <w:bottom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《对外投资进展公告</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（四）》（公告编号：</w:t>
                        </w:r>
                        <w:r>
                          <w:rPr>
                            <w:rFonts w:ascii="Times New Roman" w:hAnsi="Times New Roman" w:cs="Times New Roman" w:eastAsia="Times New Roman" w:hint="default"/>
                            <w:sz w:val="18"/>
                            <w:szCs w:val="18"/>
                          </w:rPr>
                          <w:t>2019-091</w:t>
                        </w:r>
                        <w:r>
                          <w:rPr>
                            <w:rFonts w:ascii="宋体" w:hAnsi="宋体" w:cs="宋体" w:eastAsia="宋体" w:hint="default"/>
                            <w:sz w:val="18"/>
                            <w:szCs w:val="18"/>
                          </w:rPr>
                          <w:t>）</w:t>
                        </w:r>
                      </w:p>
                    </w:tc>
                  </w:tr>
                  <w:tr>
                    <w:trPr>
                      <w:trHeight w:val="658" w:hRule="exact"/>
                    </w:trPr>
                    <w:tc>
                      <w:tcPr>
                        <w:tcW w:w="2561" w:type="dxa"/>
                        <w:vMerge w:val="restart"/>
                        <w:tcBorders>
                          <w:top w:val="single" w:sz="6" w:space="0" w:color="000000"/>
                          <w:left w:val="single" w:sz="6" w:space="0" w:color="000000"/>
                          <w:right w:val="single" w:sz="6" w:space="0" w:color="000000"/>
                        </w:tcBorders>
                      </w:tcPr>
                      <w:p>
                        <w:pPr>
                          <w:pStyle w:val="TableParagraph"/>
                          <w:spacing w:line="300" w:lineRule="auto" w:before="17"/>
                          <w:ind w:left="2" w:right="31"/>
                          <w:jc w:val="left"/>
                          <w:rPr>
                            <w:rFonts w:ascii="宋体" w:hAnsi="宋体" w:cs="宋体" w:eastAsia="宋体" w:hint="default"/>
                            <w:sz w:val="18"/>
                            <w:szCs w:val="18"/>
                          </w:rPr>
                        </w:pPr>
                        <w:r>
                          <w:rPr>
                            <w:rFonts w:ascii="宋体" w:hAnsi="宋体" w:cs="宋体" w:eastAsia="宋体" w:hint="default"/>
                            <w:sz w:val="18"/>
                            <w:szCs w:val="18"/>
                          </w:rPr>
                          <w:t>成为</w:t>
                        </w:r>
                        <w:r>
                          <w:rPr>
                            <w:rFonts w:ascii="Times New Roman" w:hAnsi="Times New Roman" w:cs="Times New Roman" w:eastAsia="Times New Roman" w:hint="default"/>
                            <w:sz w:val="18"/>
                            <w:szCs w:val="18"/>
                          </w:rPr>
                          <w:t>“</w:t>
                        </w:r>
                        <w:r>
                          <w:rPr>
                            <w:rFonts w:ascii="宋体" w:hAnsi="宋体" w:cs="宋体" w:eastAsia="宋体" w:hint="default"/>
                            <w:sz w:val="18"/>
                            <w:szCs w:val="18"/>
                          </w:rPr>
                          <w:t>江苏联网高速公路</w:t>
                        </w:r>
                        <w:r>
                          <w:rPr>
                            <w:rFonts w:ascii="Times New Roman" w:hAnsi="Times New Roman" w:cs="Times New Roman" w:eastAsia="Times New Roman" w:hint="default"/>
                            <w:sz w:val="18"/>
                            <w:szCs w:val="18"/>
                          </w:rPr>
                          <w:t>ETC</w:t>
                        </w:r>
                        <w:r>
                          <w:rPr>
                            <w:rFonts w:ascii="宋体" w:hAnsi="宋体" w:cs="宋体" w:eastAsia="宋体" w:hint="default"/>
                            <w:sz w:val="18"/>
                            <w:szCs w:val="18"/>
                          </w:rPr>
                          <w:t>门 架系统及车道</w:t>
                        </w:r>
                        <w:r>
                          <w:rPr>
                            <w:rFonts w:ascii="Times New Roman" w:hAnsi="Times New Roman" w:cs="Times New Roman" w:eastAsia="Times New Roman" w:hint="default"/>
                            <w:sz w:val="18"/>
                            <w:szCs w:val="18"/>
                          </w:rPr>
                          <w:t>RSU</w:t>
                        </w:r>
                        <w:r>
                          <w:rPr>
                            <w:rFonts w:ascii="宋体" w:hAnsi="宋体" w:cs="宋体" w:eastAsia="宋体" w:hint="default"/>
                            <w:sz w:val="18"/>
                            <w:szCs w:val="18"/>
                          </w:rPr>
                          <w:t>天线及控制系 统设备采购项目</w:t>
                        </w:r>
                        <w:r>
                          <w:rPr>
                            <w:rFonts w:ascii="Times New Roman" w:hAnsi="Times New Roman" w:cs="Times New Roman" w:eastAsia="Times New Roman" w:hint="default"/>
                            <w:sz w:val="18"/>
                            <w:szCs w:val="18"/>
                          </w:rPr>
                          <w:t>”</w:t>
                        </w:r>
                        <w:r>
                          <w:rPr>
                            <w:rFonts w:ascii="宋体" w:hAnsi="宋体" w:cs="宋体" w:eastAsia="宋体" w:hint="default"/>
                            <w:sz w:val="18"/>
                            <w:szCs w:val="18"/>
                          </w:rPr>
                          <w:t>部分标段中标 单位</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04</w:t>
                        </w:r>
                        <w:r>
                          <w:rPr>
                            <w:rFonts w:ascii="宋体" w:hAnsi="宋体" w:cs="宋体" w:eastAsia="宋体" w:hint="default"/>
                            <w:sz w:val="18"/>
                            <w:szCs w:val="18"/>
                          </w:rPr>
                          <w:t>日</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5"/>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《关于公司拟中标项 目的提示性公告》（公告编号：</w:t>
                        </w:r>
                        <w:r>
                          <w:rPr>
                            <w:rFonts w:ascii="Times New Roman" w:hAnsi="Times New Roman" w:cs="Times New Roman" w:eastAsia="Times New Roman" w:hint="default"/>
                            <w:sz w:val="18"/>
                            <w:szCs w:val="18"/>
                          </w:rPr>
                          <w:t>2019-047</w:t>
                        </w:r>
                        <w:r>
                          <w:rPr>
                            <w:rFonts w:ascii="宋体" w:hAnsi="宋体" w:cs="宋体" w:eastAsia="宋体" w:hint="default"/>
                            <w:sz w:val="18"/>
                            <w:szCs w:val="18"/>
                          </w:rPr>
                          <w:t>）</w:t>
                        </w:r>
                      </w:p>
                    </w:tc>
                  </w:tr>
                  <w:tr>
                    <w:trPr>
                      <w:trHeight w:val="660" w:hRule="exact"/>
                    </w:trPr>
                    <w:tc>
                      <w:tcPr>
                        <w:tcW w:w="2561" w:type="dxa"/>
                        <w:vMerge/>
                        <w:tcBorders>
                          <w:left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84"/>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《关于公司收到</w:t>
                        </w:r>
                        <w:r>
                          <w:rPr>
                            <w:rFonts w:ascii="Times New Roman" w:hAnsi="Times New Roman" w:cs="Times New Roman" w:eastAsia="Times New Roman" w:hint="default"/>
                            <w:sz w:val="18"/>
                            <w:szCs w:val="18"/>
                          </w:rPr>
                          <w:t>&lt;</w:t>
                        </w:r>
                        <w:r>
                          <w:rPr>
                            <w:rFonts w:ascii="宋体" w:hAnsi="宋体" w:cs="宋体" w:eastAsia="宋体" w:hint="default"/>
                            <w:sz w:val="18"/>
                            <w:szCs w:val="18"/>
                          </w:rPr>
                          <w:t>中 标通知书</w:t>
                        </w:r>
                        <w:r>
                          <w:rPr>
                            <w:rFonts w:ascii="Times New Roman" w:hAnsi="Times New Roman" w:cs="Times New Roman" w:eastAsia="Times New Roman" w:hint="default"/>
                            <w:sz w:val="18"/>
                            <w:szCs w:val="18"/>
                          </w:rPr>
                          <w:t>&gt;</w:t>
                        </w:r>
                        <w:r>
                          <w:rPr>
                            <w:rFonts w:ascii="宋体" w:hAnsi="宋体" w:cs="宋体" w:eastAsia="宋体" w:hint="default"/>
                            <w:sz w:val="18"/>
                            <w:szCs w:val="18"/>
                          </w:rPr>
                          <w:t>的公告》（公告编号：</w:t>
                        </w:r>
                        <w:r>
                          <w:rPr>
                            <w:rFonts w:ascii="Times New Roman" w:hAnsi="Times New Roman" w:cs="Times New Roman" w:eastAsia="Times New Roman" w:hint="default"/>
                            <w:sz w:val="18"/>
                            <w:szCs w:val="18"/>
                          </w:rPr>
                          <w:t>2019-049</w:t>
                        </w:r>
                        <w:r>
                          <w:rPr>
                            <w:rFonts w:ascii="宋体" w:hAnsi="宋体" w:cs="宋体" w:eastAsia="宋体" w:hint="default"/>
                            <w:sz w:val="18"/>
                            <w:szCs w:val="18"/>
                          </w:rPr>
                          <w:t>）</w:t>
                        </w:r>
                      </w:p>
                    </w:tc>
                  </w:tr>
                  <w:tr>
                    <w:trPr>
                      <w:trHeight w:val="658" w:hRule="exact"/>
                    </w:trPr>
                    <w:tc>
                      <w:tcPr>
                        <w:tcW w:w="2561" w:type="dxa"/>
                        <w:vMerge/>
                        <w:tcBorders>
                          <w:left w:val="single" w:sz="6" w:space="0" w:color="000000"/>
                          <w:bottom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5"/>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《关于公司已中标项 目签订日常经营合同的进展公告》（公告编号：</w:t>
                        </w:r>
                        <w:r>
                          <w:rPr>
                            <w:rFonts w:ascii="Times New Roman" w:hAnsi="Times New Roman" w:cs="Times New Roman" w:eastAsia="Times New Roman" w:hint="default"/>
                            <w:sz w:val="18"/>
                            <w:szCs w:val="18"/>
                          </w:rPr>
                          <w:t>2019-074</w:t>
                        </w:r>
                        <w:r>
                          <w:rPr>
                            <w:rFonts w:ascii="宋体" w:hAnsi="宋体" w:cs="宋体" w:eastAsia="宋体" w:hint="default"/>
                            <w:sz w:val="18"/>
                            <w:szCs w:val="18"/>
                          </w:rPr>
                          <w:t>）</w:t>
                        </w:r>
                      </w:p>
                    </w:tc>
                  </w:tr>
                  <w:tr>
                    <w:trPr>
                      <w:trHeight w:val="660" w:hRule="exact"/>
                    </w:trPr>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22"/>
                          <w:jc w:val="left"/>
                          <w:rPr>
                            <w:rFonts w:ascii="宋体" w:hAnsi="宋体" w:cs="宋体" w:eastAsia="宋体" w:hint="default"/>
                            <w:sz w:val="18"/>
                            <w:szCs w:val="18"/>
                          </w:rPr>
                        </w:pPr>
                        <w:r>
                          <w:rPr>
                            <w:rFonts w:ascii="宋体" w:hAnsi="宋体" w:cs="宋体" w:eastAsia="宋体" w:hint="default"/>
                            <w:sz w:val="18"/>
                            <w:szCs w:val="18"/>
                          </w:rPr>
                          <w:t>与江苏通行宝智慧交通科技有限 公司签署日常经营重大合同</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5"/>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《关于公司签署日常 经营重大合同的公告》（公告编号：</w:t>
                        </w:r>
                        <w:r>
                          <w:rPr>
                            <w:rFonts w:ascii="Times New Roman" w:hAnsi="Times New Roman" w:cs="Times New Roman" w:eastAsia="Times New Roman" w:hint="default"/>
                            <w:sz w:val="18"/>
                            <w:szCs w:val="18"/>
                          </w:rPr>
                          <w:t>2019-071</w:t>
                        </w:r>
                        <w:r>
                          <w:rPr>
                            <w:rFonts w:ascii="宋体" w:hAnsi="宋体" w:cs="宋体" w:eastAsia="宋体" w:hint="default"/>
                            <w:sz w:val="18"/>
                            <w:szCs w:val="18"/>
                          </w:rPr>
                          <w:t>）</w:t>
                        </w:r>
                      </w:p>
                    </w:tc>
                  </w:tr>
                  <w:tr>
                    <w:trPr>
                      <w:trHeight w:val="658" w:hRule="exact"/>
                    </w:trPr>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22"/>
                          <w:jc w:val="left"/>
                          <w:rPr>
                            <w:rFonts w:ascii="宋体" w:hAnsi="宋体" w:cs="宋体" w:eastAsia="宋体" w:hint="default"/>
                            <w:sz w:val="18"/>
                            <w:szCs w:val="18"/>
                          </w:rPr>
                        </w:pPr>
                        <w:r>
                          <w:rPr>
                            <w:rFonts w:ascii="宋体" w:hAnsi="宋体" w:cs="宋体" w:eastAsia="宋体" w:hint="default"/>
                            <w:sz w:val="18"/>
                            <w:szCs w:val="18"/>
                          </w:rPr>
                          <w:t>与山东高速信联支付有限公司签 署日常经营重大合同</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02</w:t>
                        </w:r>
                        <w:r>
                          <w:rPr>
                            <w:rFonts w:ascii="宋体" w:hAnsi="宋体" w:cs="宋体" w:eastAsia="宋体" w:hint="default"/>
                            <w:sz w:val="18"/>
                            <w:szCs w:val="18"/>
                          </w:rPr>
                          <w:t>日</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5"/>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《关于公司签署日常 经营重大合同的公告》（公告编号：</w:t>
                        </w:r>
                        <w:r>
                          <w:rPr>
                            <w:rFonts w:ascii="Times New Roman" w:hAnsi="Times New Roman" w:cs="Times New Roman" w:eastAsia="Times New Roman" w:hint="default"/>
                            <w:sz w:val="18"/>
                            <w:szCs w:val="18"/>
                          </w:rPr>
                          <w:t>2019-088</w:t>
                        </w:r>
                        <w:r>
                          <w:rPr>
                            <w:rFonts w:ascii="宋体" w:hAnsi="宋体" w:cs="宋体" w:eastAsia="宋体" w:hint="default"/>
                            <w:sz w:val="18"/>
                            <w:szCs w:val="18"/>
                          </w:rPr>
                          <w:t>）</w:t>
                        </w:r>
                      </w:p>
                    </w:tc>
                  </w:tr>
                  <w:tr>
                    <w:trPr>
                      <w:trHeight w:val="972" w:hRule="exact"/>
                    </w:trPr>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2" w:right="22"/>
                          <w:jc w:val="left"/>
                          <w:rPr>
                            <w:rFonts w:ascii="宋体" w:hAnsi="宋体" w:cs="宋体" w:eastAsia="宋体" w:hint="default"/>
                            <w:sz w:val="18"/>
                            <w:szCs w:val="18"/>
                          </w:rPr>
                        </w:pPr>
                        <w:r>
                          <w:rPr>
                            <w:rFonts w:ascii="宋体" w:hAnsi="宋体" w:cs="宋体" w:eastAsia="宋体" w:hint="default"/>
                            <w:sz w:val="18"/>
                            <w:szCs w:val="18"/>
                          </w:rPr>
                          <w:t>与腾讯科技（深圳）有限公司签 署《战略合作框架协议》</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2"/>
                          <w:jc w:val="left"/>
                          <w:rPr>
                            <w:rFonts w:ascii="宋体" w:hAnsi="宋体" w:cs="宋体" w:eastAsia="宋体" w:hint="default"/>
                            <w:sz w:val="18"/>
                            <w:szCs w:val="18"/>
                          </w:rPr>
                        </w:pPr>
                        <w:r>
                          <w:rPr>
                            <w:rFonts w:ascii="宋体" w:hAnsi="宋体" w:cs="宋体" w:eastAsia="宋体" w:hint="default"/>
                            <w:spacing w:val="-2"/>
                            <w:sz w:val="18"/>
                            <w:szCs w:val="18"/>
                          </w:rPr>
                          <w:t>巨潮资讯网（</w:t>
                        </w:r>
                        <w:r>
                          <w:rPr>
                            <w:rFonts w:ascii="Times New Roman" w:hAnsi="Times New Roman" w:cs="Times New Roman" w:eastAsia="Times New Roman" w:hint="default"/>
                            <w:spacing w:val="-2"/>
                            <w:sz w:val="18"/>
                            <w:szCs w:val="18"/>
                          </w:rPr>
                          <w:t>http://www.cninfo.com.cn)</w:t>
                        </w:r>
                        <w:r>
                          <w:rPr>
                            <w:rFonts w:ascii="宋体" w:hAnsi="宋体" w:cs="宋体" w:eastAsia="宋体" w:hint="default"/>
                            <w:spacing w:val="-2"/>
                            <w:sz w:val="18"/>
                            <w:szCs w:val="18"/>
                          </w:rPr>
                          <w:t>《关于与腾讯科技</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深</w:t>
                        </w:r>
                        <w:r>
                          <w:rPr>
                            <w:rFonts w:ascii="宋体" w:hAnsi="宋体" w:cs="宋体" w:eastAsia="宋体" w:hint="default"/>
                            <w:spacing w:val="-74"/>
                            <w:sz w:val="18"/>
                            <w:szCs w:val="18"/>
                          </w:rPr>
                          <w:t> </w:t>
                        </w:r>
                        <w:r>
                          <w:rPr>
                            <w:rFonts w:ascii="宋体" w:hAnsi="宋体" w:cs="宋体" w:eastAsia="宋体" w:hint="default"/>
                            <w:sz w:val="18"/>
                            <w:szCs w:val="18"/>
                          </w:rPr>
                          <w:t>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有限公司签署战略合作框架协议的公告》（公告编号： </w:t>
                        </w:r>
                        <w:r>
                          <w:rPr>
                            <w:rFonts w:ascii="Times New Roman" w:hAnsi="Times New Roman" w:cs="Times New Roman" w:eastAsia="Times New Roman" w:hint="default"/>
                            <w:sz w:val="18"/>
                            <w:szCs w:val="18"/>
                          </w:rPr>
                          <w:t>2019-076</w:t>
                        </w:r>
                        <w:r>
                          <w:rPr>
                            <w:rFonts w:ascii="宋体" w:hAnsi="宋体" w:cs="宋体" w:eastAsia="宋体" w:hint="default"/>
                            <w:sz w:val="18"/>
                            <w:szCs w:val="18"/>
                          </w:rPr>
                          <w:t>）</w:t>
                        </w:r>
                      </w:p>
                    </w:tc>
                  </w:tr>
                </w:tbl>
                <w:p>
                  <w:pPr/>
                </w:p>
              </w:txbxContent>
            </v:textbox>
            <w10:wrap type="none"/>
          </v:shape>
        </w:pict>
      </w:r>
      <w:r>
        <w:rPr/>
        <w:t>》</w:t>
      </w:r>
    </w:p>
    <w:p>
      <w:pPr>
        <w:spacing w:after="0" w:line="240" w:lineRule="auto"/>
        <w:jc w:val="right"/>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6" w:type="dxa"/>
        <w:tblLayout w:type="fixed"/>
        <w:tblCellMar>
          <w:top w:w="0" w:type="dxa"/>
          <w:left w:w="0" w:type="dxa"/>
          <w:bottom w:w="0" w:type="dxa"/>
          <w:right w:w="0" w:type="dxa"/>
        </w:tblCellMar>
        <w:tblLook w:val="01E0"/>
      </w:tblPr>
      <w:tblGrid>
        <w:gridCol w:w="2561"/>
        <w:gridCol w:w="2420"/>
        <w:gridCol w:w="4679"/>
      </w:tblGrid>
      <w:tr>
        <w:trPr>
          <w:trHeight w:val="660" w:hRule="exact"/>
        </w:trPr>
        <w:tc>
          <w:tcPr>
            <w:tcW w:w="2561" w:type="dxa"/>
            <w:vMerge w:val="restart"/>
            <w:tcBorders>
              <w:top w:val="single" w:sz="6" w:space="0" w:color="000000"/>
              <w:left w:val="single" w:sz="6" w:space="0" w:color="000000"/>
              <w:right w:val="single" w:sz="6" w:space="0" w:color="000000"/>
            </w:tcBorders>
          </w:tcPr>
          <w:p>
            <w:pPr>
              <w:pStyle w:val="TableParagraph"/>
              <w:spacing w:line="316" w:lineRule="auto" w:before="18"/>
              <w:ind w:left="2" w:right="2"/>
              <w:jc w:val="both"/>
              <w:rPr>
                <w:rFonts w:ascii="宋体" w:hAnsi="宋体" w:cs="宋体" w:eastAsia="宋体" w:hint="default"/>
                <w:sz w:val="18"/>
                <w:szCs w:val="18"/>
              </w:rPr>
            </w:pPr>
            <w:r>
              <w:rPr>
                <w:rFonts w:ascii="宋体" w:hAnsi="宋体" w:cs="宋体" w:eastAsia="宋体" w:hint="default"/>
                <w:sz w:val="18"/>
                <w:szCs w:val="18"/>
              </w:rPr>
              <w:t>部分董事、监事和高级管理人员</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变动，补选董事会专门委员会委</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员</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8"/>
              <w:ind w:left="2" w:right="5"/>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）《关于部分董事、 监事和高级管理人员辞职的公告》（公告编号：</w:t>
            </w:r>
            <w:r>
              <w:rPr>
                <w:rFonts w:ascii="Times New Roman" w:hAnsi="Times New Roman" w:cs="Times New Roman" w:eastAsia="Times New Roman" w:hint="default"/>
                <w:sz w:val="18"/>
                <w:szCs w:val="18"/>
              </w:rPr>
              <w:t>2019-011</w:t>
            </w:r>
            <w:r>
              <w:rPr>
                <w:rFonts w:ascii="宋体" w:hAnsi="宋体" w:cs="宋体" w:eastAsia="宋体" w:hint="default"/>
                <w:sz w:val="18"/>
                <w:szCs w:val="18"/>
              </w:rPr>
              <w:t>）</w:t>
            </w:r>
          </w:p>
        </w:tc>
      </w:tr>
      <w:tr>
        <w:trPr>
          <w:trHeight w:val="658" w:hRule="exact"/>
        </w:trPr>
        <w:tc>
          <w:tcPr>
            <w:tcW w:w="2561" w:type="dxa"/>
            <w:vMerge/>
            <w:tcBorders>
              <w:left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04</w:t>
            </w:r>
            <w:r>
              <w:rPr>
                <w:rFonts w:ascii="宋体" w:hAnsi="宋体" w:cs="宋体" w:eastAsia="宋体" w:hint="default"/>
                <w:sz w:val="18"/>
                <w:szCs w:val="18"/>
              </w:rPr>
              <w:t>日</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65"/>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color w:val="6C6C6C"/>
                <w:sz w:val="18"/>
                <w:szCs w:val="18"/>
              </w:rPr>
            </w:r>
            <w:hyperlink r:id="rId11">
              <w:r>
                <w:rPr>
                  <w:rFonts w:ascii="Times New Roman" w:hAnsi="Times New Roman" w:cs="Times New Roman" w:eastAsia="Times New Roman" w:hint="default"/>
                  <w:color w:val="6C6C6C"/>
                  <w:sz w:val="18"/>
                  <w:szCs w:val="18"/>
                  <w:u w:val="single" w:color="6C6C6C"/>
                </w:rPr>
                <w:t>http://www.cninfo.com.cn</w:t>
              </w:r>
              <w:r>
                <w:rPr>
                  <w:rFonts w:ascii="Times New Roman" w:hAnsi="Times New Roman" w:cs="Times New Roman" w:eastAsia="Times New Roman" w:hint="default"/>
                  <w:color w:val="6C6C6C"/>
                  <w:sz w:val="18"/>
                  <w:szCs w:val="18"/>
                </w:rPr>
              </w:r>
            </w:hyperlink>
            <w:r>
              <w:rPr>
                <w:rFonts w:ascii="宋体" w:hAnsi="宋体" w:cs="宋体" w:eastAsia="宋体" w:hint="default"/>
                <w:sz w:val="18"/>
                <w:szCs w:val="18"/>
              </w:rPr>
              <w:t>）《第二届董事会第 二十二次会议决议公告》（公告编号：</w:t>
            </w:r>
            <w:r>
              <w:rPr>
                <w:rFonts w:ascii="Times New Roman" w:hAnsi="Times New Roman" w:cs="Times New Roman" w:eastAsia="Times New Roman" w:hint="default"/>
                <w:sz w:val="18"/>
                <w:szCs w:val="18"/>
              </w:rPr>
              <w:t>2019-012</w:t>
            </w:r>
            <w:r>
              <w:rPr>
                <w:rFonts w:ascii="宋体" w:hAnsi="宋体" w:cs="宋体" w:eastAsia="宋体" w:hint="default"/>
                <w:sz w:val="18"/>
                <w:szCs w:val="18"/>
              </w:rPr>
              <w:t>）</w:t>
            </w:r>
          </w:p>
        </w:tc>
      </w:tr>
      <w:tr>
        <w:trPr>
          <w:trHeight w:val="972" w:hRule="exact"/>
        </w:trPr>
        <w:tc>
          <w:tcPr>
            <w:tcW w:w="2561" w:type="dxa"/>
            <w:vMerge/>
            <w:tcBorders>
              <w:left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5"/>
              <w:jc w:val="both"/>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color w:val="6C6C6C"/>
                <w:sz w:val="18"/>
                <w:szCs w:val="18"/>
              </w:rPr>
            </w:r>
            <w:hyperlink r:id="rId11">
              <w:r>
                <w:rPr>
                  <w:rFonts w:ascii="Times New Roman" w:hAnsi="Times New Roman" w:cs="Times New Roman" w:eastAsia="Times New Roman" w:hint="default"/>
                  <w:color w:val="6C6C6C"/>
                  <w:sz w:val="18"/>
                  <w:szCs w:val="18"/>
                  <w:u w:val="single" w:color="6C6C6C"/>
                </w:rPr>
                <w:t>http://www.cninfo.com.cn</w:t>
              </w:r>
              <w:r>
                <w:rPr>
                  <w:rFonts w:ascii="Times New Roman" w:hAnsi="Times New Roman" w:cs="Times New Roman" w:eastAsia="Times New Roman" w:hint="default"/>
                  <w:color w:val="6C6C6C"/>
                  <w:sz w:val="18"/>
                  <w:szCs w:val="18"/>
                </w:rPr>
              </w:r>
            </w:hyperlink>
            <w:r>
              <w:rPr>
                <w:rFonts w:ascii="宋体" w:hAnsi="宋体" w:cs="宋体" w:eastAsia="宋体" w:hint="default"/>
                <w:sz w:val="18"/>
                <w:szCs w:val="18"/>
              </w:rPr>
              <w:t>）《第二届董事会第 二十四次会议决议公告》（公告编号：</w:t>
            </w:r>
            <w:r>
              <w:rPr>
                <w:rFonts w:ascii="Times New Roman" w:hAnsi="Times New Roman" w:cs="Times New Roman" w:eastAsia="Times New Roman" w:hint="default"/>
                <w:sz w:val="18"/>
                <w:szCs w:val="18"/>
              </w:rPr>
              <w:t>2019-023</w:t>
            </w:r>
            <w:r>
              <w:rPr>
                <w:rFonts w:ascii="宋体" w:hAnsi="宋体" w:cs="宋体" w:eastAsia="宋体" w:hint="default"/>
                <w:sz w:val="18"/>
                <w:szCs w:val="18"/>
              </w:rPr>
              <w:t>）和《第二 届监事会第十一次会议决议公告》（公告编号：</w:t>
            </w:r>
            <w:r>
              <w:rPr>
                <w:rFonts w:ascii="Times New Roman" w:hAnsi="Times New Roman" w:cs="Times New Roman" w:eastAsia="Times New Roman" w:hint="default"/>
                <w:sz w:val="18"/>
                <w:szCs w:val="18"/>
              </w:rPr>
              <w:t>2019-024</w:t>
            </w:r>
            <w:r>
              <w:rPr>
                <w:rFonts w:ascii="宋体" w:hAnsi="宋体" w:cs="宋体" w:eastAsia="宋体" w:hint="default"/>
                <w:sz w:val="18"/>
                <w:szCs w:val="18"/>
              </w:rPr>
              <w:t>）</w:t>
            </w:r>
          </w:p>
        </w:tc>
      </w:tr>
      <w:tr>
        <w:trPr>
          <w:trHeight w:val="658" w:hRule="exact"/>
        </w:trPr>
        <w:tc>
          <w:tcPr>
            <w:tcW w:w="2561" w:type="dxa"/>
            <w:vMerge/>
            <w:tcBorders>
              <w:left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6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color w:val="6C6C6C"/>
                <w:sz w:val="18"/>
                <w:szCs w:val="18"/>
              </w:rPr>
            </w:r>
            <w:hyperlink r:id="rId11">
              <w:r>
                <w:rPr>
                  <w:rFonts w:ascii="Times New Roman" w:hAnsi="Times New Roman" w:cs="Times New Roman" w:eastAsia="Times New Roman" w:hint="default"/>
                  <w:color w:val="6C6C6C"/>
                  <w:sz w:val="18"/>
                  <w:szCs w:val="18"/>
                  <w:u w:val="single" w:color="6C6C6C"/>
                </w:rPr>
                <w:t>http://www.cninfo.com.cn</w:t>
              </w:r>
              <w:r>
                <w:rPr>
                  <w:rFonts w:ascii="Times New Roman" w:hAnsi="Times New Roman" w:cs="Times New Roman" w:eastAsia="Times New Roman" w:hint="default"/>
                  <w:color w:val="6C6C6C"/>
                  <w:sz w:val="18"/>
                  <w:szCs w:val="18"/>
                </w:rPr>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年度股东大 会决议公告》（公告编号：</w:t>
            </w:r>
            <w:r>
              <w:rPr>
                <w:rFonts w:ascii="Times New Roman" w:hAnsi="Times New Roman" w:cs="Times New Roman" w:eastAsia="Times New Roman" w:hint="default"/>
                <w:sz w:val="18"/>
                <w:szCs w:val="18"/>
              </w:rPr>
              <w:t>2019-036</w:t>
            </w:r>
            <w:r>
              <w:rPr>
                <w:rFonts w:ascii="宋体" w:hAnsi="宋体" w:cs="宋体" w:eastAsia="宋体" w:hint="default"/>
                <w:sz w:val="18"/>
                <w:szCs w:val="18"/>
              </w:rPr>
              <w:t>）</w:t>
            </w:r>
          </w:p>
        </w:tc>
      </w:tr>
      <w:tr>
        <w:trPr>
          <w:trHeight w:val="661" w:hRule="exact"/>
        </w:trPr>
        <w:tc>
          <w:tcPr>
            <w:tcW w:w="2561" w:type="dxa"/>
            <w:vMerge/>
            <w:tcBorders>
              <w:left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65"/>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color w:val="6C6C6C"/>
                <w:sz w:val="18"/>
                <w:szCs w:val="18"/>
              </w:rPr>
            </w:r>
            <w:hyperlink r:id="rId11">
              <w:r>
                <w:rPr>
                  <w:rFonts w:ascii="Times New Roman" w:hAnsi="Times New Roman" w:cs="Times New Roman" w:eastAsia="Times New Roman" w:hint="default"/>
                  <w:color w:val="6C6C6C"/>
                  <w:sz w:val="18"/>
                  <w:szCs w:val="18"/>
                  <w:u w:val="single" w:color="6C6C6C"/>
                </w:rPr>
                <w:t>http://www.cninfo.com.cn</w:t>
              </w:r>
              <w:r>
                <w:rPr>
                  <w:rFonts w:ascii="Times New Roman" w:hAnsi="Times New Roman" w:cs="Times New Roman" w:eastAsia="Times New Roman" w:hint="default"/>
                  <w:color w:val="6C6C6C"/>
                  <w:sz w:val="18"/>
                  <w:szCs w:val="18"/>
                </w:rPr>
              </w:r>
            </w:hyperlink>
            <w:r>
              <w:rPr>
                <w:rFonts w:ascii="宋体" w:hAnsi="宋体" w:cs="宋体" w:eastAsia="宋体" w:hint="default"/>
                <w:sz w:val="18"/>
                <w:szCs w:val="18"/>
              </w:rPr>
              <w:t>）《第二届董事会第 二十五次会议决议公告》（公告编号：</w:t>
            </w:r>
            <w:r>
              <w:rPr>
                <w:rFonts w:ascii="Times New Roman" w:hAnsi="Times New Roman" w:cs="Times New Roman" w:eastAsia="Times New Roman" w:hint="default"/>
                <w:sz w:val="18"/>
                <w:szCs w:val="18"/>
              </w:rPr>
              <w:t>2019-037</w:t>
            </w:r>
            <w:r>
              <w:rPr>
                <w:rFonts w:ascii="宋体" w:hAnsi="宋体" w:cs="宋体" w:eastAsia="宋体" w:hint="default"/>
                <w:sz w:val="18"/>
                <w:szCs w:val="18"/>
              </w:rPr>
              <w:t>）</w:t>
            </w:r>
          </w:p>
        </w:tc>
      </w:tr>
      <w:tr>
        <w:trPr>
          <w:trHeight w:val="658" w:hRule="exact"/>
        </w:trPr>
        <w:tc>
          <w:tcPr>
            <w:tcW w:w="2561" w:type="dxa"/>
            <w:vMerge/>
            <w:tcBorders>
              <w:left w:val="single" w:sz="6" w:space="0" w:color="000000"/>
              <w:bottom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65"/>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color w:val="6C6C6C"/>
                <w:sz w:val="18"/>
                <w:szCs w:val="18"/>
              </w:rPr>
            </w:r>
            <w:hyperlink r:id="rId11">
              <w:r>
                <w:rPr>
                  <w:rFonts w:ascii="Times New Roman" w:hAnsi="Times New Roman" w:cs="Times New Roman" w:eastAsia="Times New Roman" w:hint="default"/>
                  <w:color w:val="6C6C6C"/>
                  <w:sz w:val="18"/>
                  <w:szCs w:val="18"/>
                  <w:u w:val="single" w:color="6C6C6C"/>
                </w:rPr>
                <w:t>http://www.cninfo.com.cn</w:t>
              </w:r>
              <w:r>
                <w:rPr>
                  <w:rFonts w:ascii="Times New Roman" w:hAnsi="Times New Roman" w:cs="Times New Roman" w:eastAsia="Times New Roman" w:hint="default"/>
                  <w:color w:val="6C6C6C"/>
                  <w:sz w:val="18"/>
                  <w:szCs w:val="18"/>
                </w:rPr>
              </w:r>
            </w:hyperlink>
            <w:r>
              <w:rPr>
                <w:rFonts w:ascii="宋体" w:hAnsi="宋体" w:cs="宋体" w:eastAsia="宋体" w:hint="default"/>
                <w:sz w:val="18"/>
                <w:szCs w:val="18"/>
              </w:rPr>
              <w:t>）《关于部分高级管 理人员职务变动的公告》（公告编号：</w:t>
            </w:r>
            <w:r>
              <w:rPr>
                <w:rFonts w:ascii="Times New Roman" w:hAnsi="Times New Roman" w:cs="Times New Roman" w:eastAsia="Times New Roman" w:hint="default"/>
                <w:sz w:val="18"/>
                <w:szCs w:val="18"/>
              </w:rPr>
              <w:t>2019-103</w:t>
            </w:r>
            <w:r>
              <w:rPr>
                <w:rFonts w:ascii="宋体" w:hAnsi="宋体" w:cs="宋体" w:eastAsia="宋体" w:hint="default"/>
                <w:sz w:val="18"/>
                <w:szCs w:val="18"/>
              </w:rPr>
              <w:t>）</w:t>
            </w:r>
          </w:p>
        </w:tc>
      </w:tr>
      <w:tr>
        <w:trPr>
          <w:trHeight w:val="972" w:hRule="exact"/>
        </w:trPr>
        <w:tc>
          <w:tcPr>
            <w:tcW w:w="2561" w:type="dxa"/>
            <w:vMerge w:val="restart"/>
            <w:tcBorders>
              <w:top w:val="single" w:sz="6" w:space="0" w:color="000000"/>
              <w:left w:val="single" w:sz="6" w:space="0" w:color="000000"/>
              <w:right w:val="single" w:sz="6" w:space="0" w:color="000000"/>
            </w:tcBorders>
          </w:tcPr>
          <w:p>
            <w:pPr>
              <w:pStyle w:val="TableParagraph"/>
              <w:spacing w:line="316" w:lineRule="auto" w:before="20"/>
              <w:ind w:left="2" w:right="22"/>
              <w:jc w:val="both"/>
              <w:rPr>
                <w:rFonts w:ascii="宋体" w:hAnsi="宋体" w:cs="宋体" w:eastAsia="宋体" w:hint="default"/>
                <w:sz w:val="18"/>
                <w:szCs w:val="18"/>
              </w:rPr>
            </w:pPr>
            <w:r>
              <w:rPr>
                <w:rFonts w:ascii="宋体" w:hAnsi="宋体" w:cs="宋体" w:eastAsia="宋体" w:hint="default"/>
                <w:sz w:val="18"/>
                <w:szCs w:val="18"/>
              </w:rPr>
              <w:t>调整独立董事薪酬、外部监事薪 酬及确定新任董事薪酬方案，调 整高级管理人员薪酬标准</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5"/>
              <w:jc w:val="both"/>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color w:val="6C6C6C"/>
                <w:sz w:val="18"/>
                <w:szCs w:val="18"/>
              </w:rPr>
            </w:r>
            <w:hyperlink r:id="rId11">
              <w:r>
                <w:rPr>
                  <w:rFonts w:ascii="Times New Roman" w:hAnsi="Times New Roman" w:cs="Times New Roman" w:eastAsia="Times New Roman" w:hint="default"/>
                  <w:color w:val="6C6C6C"/>
                  <w:sz w:val="18"/>
                  <w:szCs w:val="18"/>
                  <w:u w:val="single" w:color="6C6C6C"/>
                </w:rPr>
                <w:t>http://www.cninfo.com.cn</w:t>
              </w:r>
              <w:r>
                <w:rPr>
                  <w:rFonts w:ascii="Times New Roman" w:hAnsi="Times New Roman" w:cs="Times New Roman" w:eastAsia="Times New Roman" w:hint="default"/>
                  <w:color w:val="6C6C6C"/>
                  <w:sz w:val="18"/>
                  <w:szCs w:val="18"/>
                </w:rPr>
              </w:r>
            </w:hyperlink>
            <w:r>
              <w:rPr>
                <w:rFonts w:ascii="宋体" w:hAnsi="宋体" w:cs="宋体" w:eastAsia="宋体" w:hint="default"/>
                <w:sz w:val="18"/>
                <w:szCs w:val="18"/>
              </w:rPr>
              <w:t>）《第二届董事会第 二十四次会议决议公告》（公告编号：</w:t>
            </w:r>
            <w:r>
              <w:rPr>
                <w:rFonts w:ascii="Times New Roman" w:hAnsi="Times New Roman" w:cs="Times New Roman" w:eastAsia="Times New Roman" w:hint="default"/>
                <w:sz w:val="18"/>
                <w:szCs w:val="18"/>
              </w:rPr>
              <w:t>2019-023</w:t>
            </w:r>
            <w:r>
              <w:rPr>
                <w:rFonts w:ascii="宋体" w:hAnsi="宋体" w:cs="宋体" w:eastAsia="宋体" w:hint="default"/>
                <w:sz w:val="18"/>
                <w:szCs w:val="18"/>
              </w:rPr>
              <w:t>）和《第二 届监事会第十一次会议决议公告》（公告编号：</w:t>
            </w:r>
            <w:r>
              <w:rPr>
                <w:rFonts w:ascii="Times New Roman" w:hAnsi="Times New Roman" w:cs="Times New Roman" w:eastAsia="Times New Roman" w:hint="default"/>
                <w:sz w:val="18"/>
                <w:szCs w:val="18"/>
              </w:rPr>
              <w:t>2019-024</w:t>
            </w:r>
            <w:r>
              <w:rPr>
                <w:rFonts w:ascii="宋体" w:hAnsi="宋体" w:cs="宋体" w:eastAsia="宋体" w:hint="default"/>
                <w:sz w:val="18"/>
                <w:szCs w:val="18"/>
              </w:rPr>
              <w:t>）</w:t>
            </w:r>
          </w:p>
        </w:tc>
      </w:tr>
      <w:tr>
        <w:trPr>
          <w:trHeight w:val="660" w:hRule="exact"/>
        </w:trPr>
        <w:tc>
          <w:tcPr>
            <w:tcW w:w="2561" w:type="dxa"/>
            <w:vMerge/>
            <w:tcBorders>
              <w:left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6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color w:val="6C6C6C"/>
                <w:sz w:val="18"/>
                <w:szCs w:val="18"/>
              </w:rPr>
            </w:r>
            <w:hyperlink r:id="rId11">
              <w:r>
                <w:rPr>
                  <w:rFonts w:ascii="Times New Roman" w:hAnsi="Times New Roman" w:cs="Times New Roman" w:eastAsia="Times New Roman" w:hint="default"/>
                  <w:color w:val="6C6C6C"/>
                  <w:sz w:val="18"/>
                  <w:szCs w:val="18"/>
                  <w:u w:val="single" w:color="6C6C6C"/>
                </w:rPr>
                <w:t>http://www.cninfo.com.cn</w:t>
              </w:r>
              <w:r>
                <w:rPr>
                  <w:rFonts w:ascii="Times New Roman" w:hAnsi="Times New Roman" w:cs="Times New Roman" w:eastAsia="Times New Roman" w:hint="default"/>
                  <w:color w:val="6C6C6C"/>
                  <w:sz w:val="18"/>
                  <w:szCs w:val="18"/>
                </w:rPr>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年度股东大 会决议公告》（公告编号：</w:t>
            </w:r>
            <w:r>
              <w:rPr>
                <w:rFonts w:ascii="Times New Roman" w:hAnsi="Times New Roman" w:cs="Times New Roman" w:eastAsia="Times New Roman" w:hint="default"/>
                <w:sz w:val="18"/>
                <w:szCs w:val="18"/>
              </w:rPr>
              <w:t>2019-036</w:t>
            </w:r>
            <w:r>
              <w:rPr>
                <w:rFonts w:ascii="宋体" w:hAnsi="宋体" w:cs="宋体" w:eastAsia="宋体" w:hint="default"/>
                <w:sz w:val="18"/>
                <w:szCs w:val="18"/>
              </w:rPr>
              <w:t>）</w:t>
            </w:r>
          </w:p>
        </w:tc>
      </w:tr>
      <w:tr>
        <w:trPr>
          <w:trHeight w:val="658" w:hRule="exact"/>
        </w:trPr>
        <w:tc>
          <w:tcPr>
            <w:tcW w:w="2561" w:type="dxa"/>
            <w:vMerge/>
            <w:tcBorders>
              <w:left w:val="single" w:sz="6" w:space="0" w:color="000000"/>
              <w:bottom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65"/>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color w:val="6C6C6C"/>
                <w:sz w:val="18"/>
                <w:szCs w:val="18"/>
              </w:rPr>
            </w:r>
            <w:hyperlink r:id="rId11">
              <w:r>
                <w:rPr>
                  <w:rFonts w:ascii="Times New Roman" w:hAnsi="Times New Roman" w:cs="Times New Roman" w:eastAsia="Times New Roman" w:hint="default"/>
                  <w:color w:val="6C6C6C"/>
                  <w:sz w:val="18"/>
                  <w:szCs w:val="18"/>
                  <w:u w:val="single" w:color="6C6C6C"/>
                </w:rPr>
                <w:t>http://www.cninfo.com.cn</w:t>
              </w:r>
              <w:r>
                <w:rPr>
                  <w:rFonts w:ascii="Times New Roman" w:hAnsi="Times New Roman" w:cs="Times New Roman" w:eastAsia="Times New Roman" w:hint="default"/>
                  <w:color w:val="6C6C6C"/>
                  <w:sz w:val="18"/>
                  <w:szCs w:val="18"/>
                </w:rPr>
              </w:r>
            </w:hyperlink>
            <w:r>
              <w:rPr>
                <w:rFonts w:ascii="宋体" w:hAnsi="宋体" w:cs="宋体" w:eastAsia="宋体" w:hint="default"/>
                <w:sz w:val="18"/>
                <w:szCs w:val="18"/>
              </w:rPr>
              <w:t>）《第二届董事会第 二十七次会议决议公告》（公告编号：</w:t>
            </w:r>
            <w:r>
              <w:rPr>
                <w:rFonts w:ascii="Times New Roman" w:hAnsi="Times New Roman" w:cs="Times New Roman" w:eastAsia="Times New Roman" w:hint="default"/>
                <w:sz w:val="18"/>
                <w:szCs w:val="18"/>
              </w:rPr>
              <w:t>2019-051</w:t>
            </w:r>
            <w:r>
              <w:rPr>
                <w:rFonts w:ascii="宋体" w:hAnsi="宋体" w:cs="宋体" w:eastAsia="宋体" w:hint="default"/>
                <w:sz w:val="18"/>
                <w:szCs w:val="18"/>
              </w:rPr>
              <w:t>）</w:t>
            </w:r>
          </w:p>
        </w:tc>
      </w:tr>
      <w:tr>
        <w:trPr>
          <w:trHeight w:val="660" w:hRule="exact"/>
        </w:trPr>
        <w:tc>
          <w:tcPr>
            <w:tcW w:w="2561" w:type="dxa"/>
            <w:vMerge w:val="restart"/>
            <w:tcBorders>
              <w:top w:val="single" w:sz="6" w:space="0" w:color="000000"/>
              <w:left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实际控制人股东股份质押情况</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05</w:t>
            </w:r>
            <w:r>
              <w:rPr>
                <w:rFonts w:ascii="宋体" w:hAnsi="宋体" w:cs="宋体" w:eastAsia="宋体" w:hint="default"/>
                <w:sz w:val="18"/>
                <w:szCs w:val="18"/>
              </w:rPr>
              <w:t>日</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5"/>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《股东股份解除质押 的公告》（公告编号：</w:t>
            </w:r>
            <w:r>
              <w:rPr>
                <w:rFonts w:ascii="Times New Roman" w:hAnsi="Times New Roman" w:cs="Times New Roman" w:eastAsia="Times New Roman" w:hint="default"/>
                <w:sz w:val="18"/>
                <w:szCs w:val="18"/>
              </w:rPr>
              <w:t>2019-013</w:t>
            </w:r>
            <w:r>
              <w:rPr>
                <w:rFonts w:ascii="宋体" w:hAnsi="宋体" w:cs="宋体" w:eastAsia="宋体" w:hint="default"/>
                <w:sz w:val="18"/>
                <w:szCs w:val="18"/>
              </w:rPr>
              <w:t>）</w:t>
            </w:r>
          </w:p>
        </w:tc>
      </w:tr>
      <w:tr>
        <w:trPr>
          <w:trHeight w:val="658" w:hRule="exact"/>
        </w:trPr>
        <w:tc>
          <w:tcPr>
            <w:tcW w:w="2561" w:type="dxa"/>
            <w:vMerge/>
            <w:tcBorders>
              <w:left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01</w:t>
            </w:r>
            <w:r>
              <w:rPr>
                <w:rFonts w:ascii="宋体" w:hAnsi="宋体" w:cs="宋体" w:eastAsia="宋体" w:hint="default"/>
                <w:sz w:val="18"/>
                <w:szCs w:val="18"/>
              </w:rPr>
              <w:t>日</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5"/>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《股东股份质押的公 告》（公告编号：</w:t>
            </w:r>
            <w:r>
              <w:rPr>
                <w:rFonts w:ascii="Times New Roman" w:hAnsi="Times New Roman" w:cs="Times New Roman" w:eastAsia="Times New Roman" w:hint="default"/>
                <w:sz w:val="18"/>
                <w:szCs w:val="18"/>
              </w:rPr>
              <w:t>2019-019</w:t>
            </w:r>
            <w:r>
              <w:rPr>
                <w:rFonts w:ascii="宋体" w:hAnsi="宋体" w:cs="宋体" w:eastAsia="宋体" w:hint="default"/>
                <w:sz w:val="18"/>
                <w:szCs w:val="18"/>
              </w:rPr>
              <w:t>）</w:t>
            </w:r>
          </w:p>
        </w:tc>
      </w:tr>
      <w:tr>
        <w:trPr>
          <w:trHeight w:val="660" w:hRule="exact"/>
        </w:trPr>
        <w:tc>
          <w:tcPr>
            <w:tcW w:w="2561" w:type="dxa"/>
            <w:vMerge/>
            <w:tcBorders>
              <w:left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5"/>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《股东股份质押的公 告》（公告编号：</w:t>
            </w:r>
            <w:r>
              <w:rPr>
                <w:rFonts w:ascii="Times New Roman" w:hAnsi="Times New Roman" w:cs="Times New Roman" w:eastAsia="Times New Roman" w:hint="default"/>
                <w:sz w:val="18"/>
                <w:szCs w:val="18"/>
              </w:rPr>
              <w:t>2019-021</w:t>
            </w:r>
            <w:r>
              <w:rPr>
                <w:rFonts w:ascii="宋体" w:hAnsi="宋体" w:cs="宋体" w:eastAsia="宋体" w:hint="default"/>
                <w:sz w:val="18"/>
                <w:szCs w:val="18"/>
              </w:rPr>
              <w:t>）</w:t>
            </w:r>
          </w:p>
        </w:tc>
      </w:tr>
      <w:tr>
        <w:trPr>
          <w:trHeight w:val="660" w:hRule="exact"/>
        </w:trPr>
        <w:tc>
          <w:tcPr>
            <w:tcW w:w="2561" w:type="dxa"/>
            <w:vMerge/>
            <w:tcBorders>
              <w:left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03</w:t>
            </w:r>
            <w:r>
              <w:rPr>
                <w:rFonts w:ascii="宋体" w:hAnsi="宋体" w:cs="宋体" w:eastAsia="宋体" w:hint="default"/>
                <w:sz w:val="18"/>
                <w:szCs w:val="18"/>
              </w:rPr>
              <w:t>日</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5"/>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《股东股份解除质押 的公告》（公告编号：</w:t>
            </w:r>
            <w:r>
              <w:rPr>
                <w:rFonts w:ascii="Times New Roman" w:hAnsi="Times New Roman" w:cs="Times New Roman" w:eastAsia="Times New Roman" w:hint="default"/>
                <w:sz w:val="18"/>
                <w:szCs w:val="18"/>
              </w:rPr>
              <w:t>2019-046</w:t>
            </w:r>
            <w:r>
              <w:rPr>
                <w:rFonts w:ascii="宋体" w:hAnsi="宋体" w:cs="宋体" w:eastAsia="宋体" w:hint="default"/>
                <w:sz w:val="18"/>
                <w:szCs w:val="18"/>
              </w:rPr>
              <w:t>）</w:t>
            </w:r>
          </w:p>
        </w:tc>
      </w:tr>
      <w:tr>
        <w:trPr>
          <w:trHeight w:val="658" w:hRule="exact"/>
        </w:trPr>
        <w:tc>
          <w:tcPr>
            <w:tcW w:w="2561" w:type="dxa"/>
            <w:vMerge/>
            <w:tcBorders>
              <w:left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08</w:t>
            </w:r>
            <w:r>
              <w:rPr>
                <w:rFonts w:ascii="宋体" w:hAnsi="宋体" w:cs="宋体" w:eastAsia="宋体" w:hint="default"/>
                <w:sz w:val="18"/>
                <w:szCs w:val="18"/>
              </w:rPr>
              <w:t>日</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5"/>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《股东股份质押的公 告》（公告编号：</w:t>
            </w:r>
            <w:r>
              <w:rPr>
                <w:rFonts w:ascii="Times New Roman" w:hAnsi="Times New Roman" w:cs="Times New Roman" w:eastAsia="Times New Roman" w:hint="default"/>
                <w:sz w:val="18"/>
                <w:szCs w:val="18"/>
              </w:rPr>
              <w:t>2019-048</w:t>
            </w:r>
            <w:r>
              <w:rPr>
                <w:rFonts w:ascii="宋体" w:hAnsi="宋体" w:cs="宋体" w:eastAsia="宋体" w:hint="default"/>
                <w:sz w:val="18"/>
                <w:szCs w:val="18"/>
              </w:rPr>
              <w:t>）</w:t>
            </w:r>
          </w:p>
        </w:tc>
      </w:tr>
      <w:tr>
        <w:trPr>
          <w:trHeight w:val="661" w:hRule="exact"/>
        </w:trPr>
        <w:tc>
          <w:tcPr>
            <w:tcW w:w="2561" w:type="dxa"/>
            <w:vMerge/>
            <w:tcBorders>
              <w:left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5"/>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《股东股份解除质押 的公告》（公告编号：</w:t>
            </w:r>
            <w:r>
              <w:rPr>
                <w:rFonts w:ascii="Times New Roman" w:hAnsi="Times New Roman" w:cs="Times New Roman" w:eastAsia="Times New Roman" w:hint="default"/>
                <w:sz w:val="18"/>
                <w:szCs w:val="18"/>
              </w:rPr>
              <w:t>2019-071</w:t>
            </w:r>
            <w:r>
              <w:rPr>
                <w:rFonts w:ascii="宋体" w:hAnsi="宋体" w:cs="宋体" w:eastAsia="宋体" w:hint="default"/>
                <w:sz w:val="18"/>
                <w:szCs w:val="18"/>
              </w:rPr>
              <w:t>）</w:t>
            </w:r>
          </w:p>
        </w:tc>
      </w:tr>
      <w:tr>
        <w:trPr>
          <w:trHeight w:val="658" w:hRule="exact"/>
        </w:trPr>
        <w:tc>
          <w:tcPr>
            <w:tcW w:w="2561" w:type="dxa"/>
            <w:vMerge/>
            <w:tcBorders>
              <w:left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5"/>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《股东股份质押的公 告》（公告编号：</w:t>
            </w:r>
            <w:r>
              <w:rPr>
                <w:rFonts w:ascii="Times New Roman" w:hAnsi="Times New Roman" w:cs="Times New Roman" w:eastAsia="Times New Roman" w:hint="default"/>
                <w:sz w:val="18"/>
                <w:szCs w:val="18"/>
              </w:rPr>
              <w:t>2019-098</w:t>
            </w:r>
            <w:r>
              <w:rPr>
                <w:rFonts w:ascii="宋体" w:hAnsi="宋体" w:cs="宋体" w:eastAsia="宋体" w:hint="default"/>
                <w:sz w:val="18"/>
                <w:szCs w:val="18"/>
              </w:rPr>
              <w:t>）</w:t>
            </w:r>
          </w:p>
        </w:tc>
      </w:tr>
      <w:tr>
        <w:trPr>
          <w:trHeight w:val="660" w:hRule="exact"/>
        </w:trPr>
        <w:tc>
          <w:tcPr>
            <w:tcW w:w="2561" w:type="dxa"/>
            <w:vMerge/>
            <w:tcBorders>
              <w:left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5"/>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《股东股份质押的公 告》（公告编号：</w:t>
            </w:r>
            <w:r>
              <w:rPr>
                <w:rFonts w:ascii="Times New Roman" w:hAnsi="Times New Roman" w:cs="Times New Roman" w:eastAsia="Times New Roman" w:hint="default"/>
                <w:sz w:val="18"/>
                <w:szCs w:val="18"/>
              </w:rPr>
              <w:t>2019-021</w:t>
            </w:r>
            <w:r>
              <w:rPr>
                <w:rFonts w:ascii="宋体" w:hAnsi="宋体" w:cs="宋体" w:eastAsia="宋体" w:hint="default"/>
                <w:sz w:val="18"/>
                <w:szCs w:val="18"/>
              </w:rPr>
              <w:t>）</w:t>
            </w:r>
          </w:p>
        </w:tc>
      </w:tr>
      <w:tr>
        <w:trPr>
          <w:trHeight w:val="658" w:hRule="exact"/>
        </w:trPr>
        <w:tc>
          <w:tcPr>
            <w:tcW w:w="2561" w:type="dxa"/>
            <w:vMerge/>
            <w:tcBorders>
              <w:left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5"/>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《股东股份质押的公 告》（公告编号：</w:t>
            </w:r>
            <w:r>
              <w:rPr>
                <w:rFonts w:ascii="Times New Roman" w:hAnsi="Times New Roman" w:cs="Times New Roman" w:eastAsia="Times New Roman" w:hint="default"/>
                <w:sz w:val="18"/>
                <w:szCs w:val="18"/>
              </w:rPr>
              <w:t>2019-101</w:t>
            </w:r>
            <w:r>
              <w:rPr>
                <w:rFonts w:ascii="宋体" w:hAnsi="宋体" w:cs="宋体" w:eastAsia="宋体" w:hint="default"/>
                <w:sz w:val="18"/>
                <w:szCs w:val="18"/>
              </w:rPr>
              <w:t>）</w:t>
            </w:r>
          </w:p>
        </w:tc>
      </w:tr>
      <w:tr>
        <w:trPr>
          <w:trHeight w:val="660" w:hRule="exact"/>
        </w:trPr>
        <w:tc>
          <w:tcPr>
            <w:tcW w:w="2561" w:type="dxa"/>
            <w:vMerge/>
            <w:tcBorders>
              <w:left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5"/>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《股东股份解除质押 的公告》（公告编号：</w:t>
            </w:r>
            <w:r>
              <w:rPr>
                <w:rFonts w:ascii="Times New Roman" w:hAnsi="Times New Roman" w:cs="Times New Roman" w:eastAsia="Times New Roman" w:hint="default"/>
                <w:sz w:val="18"/>
                <w:szCs w:val="18"/>
              </w:rPr>
              <w:t>2019-105</w:t>
            </w:r>
            <w:r>
              <w:rPr>
                <w:rFonts w:ascii="宋体" w:hAnsi="宋体" w:cs="宋体" w:eastAsia="宋体" w:hint="default"/>
                <w:sz w:val="18"/>
                <w:szCs w:val="18"/>
              </w:rPr>
              <w:t>）</w:t>
            </w:r>
          </w:p>
        </w:tc>
      </w:tr>
      <w:tr>
        <w:trPr>
          <w:trHeight w:val="660" w:hRule="exact"/>
        </w:trPr>
        <w:tc>
          <w:tcPr>
            <w:tcW w:w="2561" w:type="dxa"/>
            <w:vMerge/>
            <w:tcBorders>
              <w:left w:val="single" w:sz="6" w:space="0" w:color="000000"/>
              <w:bottom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8"/>
              <w:ind w:left="2" w:right="5"/>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《股东股份质押的公 告》（公告编号：</w:t>
            </w:r>
            <w:r>
              <w:rPr>
                <w:rFonts w:ascii="Times New Roman" w:hAnsi="Times New Roman" w:cs="Times New Roman" w:eastAsia="Times New Roman" w:hint="default"/>
                <w:sz w:val="18"/>
                <w:szCs w:val="18"/>
              </w:rPr>
              <w:t>2019-106</w:t>
            </w:r>
            <w:r>
              <w:rPr>
                <w:rFonts w:ascii="宋体" w:hAnsi="宋体" w:cs="宋体" w:eastAsia="宋体" w:hint="default"/>
                <w:sz w:val="18"/>
                <w:szCs w:val="18"/>
              </w:rPr>
              <w:t>）</w:t>
            </w:r>
          </w:p>
        </w:tc>
      </w:tr>
    </w:tbl>
    <w:p>
      <w:pPr>
        <w:spacing w:after="0" w:line="30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6" w:type="dxa"/>
        <w:tblLayout w:type="fixed"/>
        <w:tblCellMar>
          <w:top w:w="0" w:type="dxa"/>
          <w:left w:w="0" w:type="dxa"/>
          <w:bottom w:w="0" w:type="dxa"/>
          <w:right w:w="0" w:type="dxa"/>
        </w:tblCellMar>
        <w:tblLook w:val="01E0"/>
      </w:tblPr>
      <w:tblGrid>
        <w:gridCol w:w="2561"/>
        <w:gridCol w:w="2420"/>
        <w:gridCol w:w="4679"/>
      </w:tblGrid>
      <w:tr>
        <w:trPr>
          <w:trHeight w:val="660" w:hRule="exact"/>
        </w:trPr>
        <w:tc>
          <w:tcPr>
            <w:tcW w:w="2561" w:type="dxa"/>
            <w:tcBorders>
              <w:top w:val="single" w:sz="6" w:space="0" w:color="000000"/>
              <w:left w:val="single" w:sz="6" w:space="0" w:color="000000"/>
              <w:bottom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8"/>
              <w:ind w:left="2" w:right="5"/>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《股东股份质押的公 告》（公告编号：</w:t>
            </w:r>
            <w:r>
              <w:rPr>
                <w:rFonts w:ascii="Times New Roman" w:hAnsi="Times New Roman" w:cs="Times New Roman" w:eastAsia="Times New Roman" w:hint="default"/>
                <w:sz w:val="18"/>
                <w:szCs w:val="18"/>
              </w:rPr>
              <w:t>2019-118</w:t>
            </w:r>
            <w:r>
              <w:rPr>
                <w:rFonts w:ascii="宋体" w:hAnsi="宋体" w:cs="宋体" w:eastAsia="宋体" w:hint="default"/>
                <w:sz w:val="18"/>
                <w:szCs w:val="18"/>
              </w:rPr>
              <w:t>）</w:t>
            </w:r>
          </w:p>
        </w:tc>
      </w:tr>
      <w:tr>
        <w:trPr>
          <w:trHeight w:val="658" w:hRule="exact"/>
        </w:trPr>
        <w:tc>
          <w:tcPr>
            <w:tcW w:w="2561" w:type="dxa"/>
            <w:vMerge w:val="restart"/>
            <w:tcBorders>
              <w:top w:val="single" w:sz="6" w:space="0" w:color="000000"/>
              <w:left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变更会计政策或会计估计</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5"/>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《关于会计估计变更 的公告》（公告编号：</w:t>
            </w:r>
            <w:r>
              <w:rPr>
                <w:rFonts w:ascii="Times New Roman" w:hAnsi="Times New Roman" w:cs="Times New Roman" w:eastAsia="Times New Roman" w:hint="default"/>
                <w:sz w:val="18"/>
                <w:szCs w:val="18"/>
              </w:rPr>
              <w:t>2019-025</w:t>
            </w:r>
            <w:r>
              <w:rPr>
                <w:rFonts w:ascii="宋体" w:hAnsi="宋体" w:cs="宋体" w:eastAsia="宋体" w:hint="default"/>
                <w:sz w:val="18"/>
                <w:szCs w:val="18"/>
              </w:rPr>
              <w:t>）</w:t>
            </w:r>
          </w:p>
        </w:tc>
      </w:tr>
      <w:tr>
        <w:trPr>
          <w:trHeight w:val="660" w:hRule="exact"/>
        </w:trPr>
        <w:tc>
          <w:tcPr>
            <w:tcW w:w="2561" w:type="dxa"/>
            <w:vMerge/>
            <w:tcBorders>
              <w:left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5"/>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《关于会计估计变更 的公告》（公告编号：</w:t>
            </w:r>
            <w:r>
              <w:rPr>
                <w:rFonts w:ascii="Times New Roman" w:hAnsi="Times New Roman" w:cs="Times New Roman" w:eastAsia="Times New Roman" w:hint="default"/>
                <w:sz w:val="18"/>
                <w:szCs w:val="18"/>
              </w:rPr>
              <w:t>2019-081</w:t>
            </w:r>
            <w:r>
              <w:rPr>
                <w:rFonts w:ascii="宋体" w:hAnsi="宋体" w:cs="宋体" w:eastAsia="宋体" w:hint="default"/>
                <w:sz w:val="18"/>
                <w:szCs w:val="18"/>
              </w:rPr>
              <w:t>）</w:t>
            </w:r>
          </w:p>
        </w:tc>
      </w:tr>
      <w:tr>
        <w:trPr>
          <w:trHeight w:val="658" w:hRule="exact"/>
        </w:trPr>
        <w:tc>
          <w:tcPr>
            <w:tcW w:w="2561" w:type="dxa"/>
            <w:vMerge/>
            <w:tcBorders>
              <w:left w:val="single" w:sz="6" w:space="0" w:color="000000"/>
              <w:bottom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5"/>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《关于会计估计变更 的公告》（公告编号：</w:t>
            </w:r>
            <w:r>
              <w:rPr>
                <w:rFonts w:ascii="Times New Roman" w:hAnsi="Times New Roman" w:cs="Times New Roman" w:eastAsia="Times New Roman" w:hint="default"/>
                <w:sz w:val="18"/>
                <w:szCs w:val="18"/>
              </w:rPr>
              <w:t>2019-109</w:t>
            </w:r>
            <w:r>
              <w:rPr>
                <w:rFonts w:ascii="宋体" w:hAnsi="宋体" w:cs="宋体" w:eastAsia="宋体" w:hint="default"/>
                <w:sz w:val="18"/>
                <w:szCs w:val="18"/>
              </w:rPr>
              <w:t>）</w:t>
            </w:r>
          </w:p>
        </w:tc>
      </w:tr>
      <w:tr>
        <w:trPr>
          <w:trHeight w:val="660" w:hRule="exact"/>
        </w:trPr>
        <w:tc>
          <w:tcPr>
            <w:tcW w:w="2561" w:type="dxa"/>
            <w:vMerge w:val="restart"/>
            <w:tcBorders>
              <w:top w:val="single" w:sz="6" w:space="0" w:color="000000"/>
              <w:left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获得政府补助</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5"/>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《关于获得政府补助 的公告》（公告编号：</w:t>
            </w:r>
            <w:r>
              <w:rPr>
                <w:rFonts w:ascii="Times New Roman" w:hAnsi="Times New Roman" w:cs="Times New Roman" w:eastAsia="Times New Roman" w:hint="default"/>
                <w:sz w:val="18"/>
                <w:szCs w:val="18"/>
              </w:rPr>
              <w:t>2019-034</w:t>
            </w:r>
            <w:r>
              <w:rPr>
                <w:rFonts w:ascii="宋体" w:hAnsi="宋体" w:cs="宋体" w:eastAsia="宋体" w:hint="default"/>
                <w:sz w:val="18"/>
                <w:szCs w:val="18"/>
              </w:rPr>
              <w:t>）</w:t>
            </w:r>
          </w:p>
        </w:tc>
      </w:tr>
      <w:tr>
        <w:trPr>
          <w:trHeight w:val="658" w:hRule="exact"/>
        </w:trPr>
        <w:tc>
          <w:tcPr>
            <w:tcW w:w="2561" w:type="dxa"/>
            <w:vMerge/>
            <w:tcBorders>
              <w:left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8"/>
              <w:ind w:left="2" w:right="5"/>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《关于获得政府补助 的公告》（公告编号：</w:t>
            </w:r>
            <w:r>
              <w:rPr>
                <w:rFonts w:ascii="Times New Roman" w:hAnsi="Times New Roman" w:cs="Times New Roman" w:eastAsia="Times New Roman" w:hint="default"/>
                <w:sz w:val="18"/>
                <w:szCs w:val="18"/>
              </w:rPr>
              <w:t>2019-100</w:t>
            </w:r>
            <w:r>
              <w:rPr>
                <w:rFonts w:ascii="宋体" w:hAnsi="宋体" w:cs="宋体" w:eastAsia="宋体" w:hint="default"/>
                <w:sz w:val="18"/>
                <w:szCs w:val="18"/>
              </w:rPr>
              <w:t>）</w:t>
            </w:r>
          </w:p>
        </w:tc>
      </w:tr>
      <w:tr>
        <w:trPr>
          <w:trHeight w:val="660" w:hRule="exact"/>
        </w:trPr>
        <w:tc>
          <w:tcPr>
            <w:tcW w:w="2561" w:type="dxa"/>
            <w:vMerge/>
            <w:tcBorders>
              <w:left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03</w:t>
            </w:r>
            <w:r>
              <w:rPr>
                <w:rFonts w:ascii="宋体" w:hAnsi="宋体" w:cs="宋体" w:eastAsia="宋体" w:hint="default"/>
                <w:sz w:val="18"/>
                <w:szCs w:val="18"/>
              </w:rPr>
              <w:t>日</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5"/>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《关于获得政府补助 的公告》（公告编号：</w:t>
            </w:r>
            <w:r>
              <w:rPr>
                <w:rFonts w:ascii="Times New Roman" w:hAnsi="Times New Roman" w:cs="Times New Roman" w:eastAsia="Times New Roman" w:hint="default"/>
                <w:sz w:val="18"/>
                <w:szCs w:val="18"/>
              </w:rPr>
              <w:t>2019-116</w:t>
            </w:r>
            <w:r>
              <w:rPr>
                <w:rFonts w:ascii="宋体" w:hAnsi="宋体" w:cs="宋体" w:eastAsia="宋体" w:hint="default"/>
                <w:sz w:val="18"/>
                <w:szCs w:val="18"/>
              </w:rPr>
              <w:t>）</w:t>
            </w:r>
          </w:p>
        </w:tc>
      </w:tr>
      <w:tr>
        <w:trPr>
          <w:trHeight w:val="660" w:hRule="exact"/>
        </w:trPr>
        <w:tc>
          <w:tcPr>
            <w:tcW w:w="2561" w:type="dxa"/>
            <w:vMerge/>
            <w:tcBorders>
              <w:left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06</w:t>
            </w:r>
            <w:r>
              <w:rPr>
                <w:rFonts w:ascii="宋体" w:hAnsi="宋体" w:cs="宋体" w:eastAsia="宋体" w:hint="default"/>
                <w:sz w:val="18"/>
                <w:szCs w:val="18"/>
              </w:rPr>
              <w:t>日</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5"/>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《关于获得政府补助 的公告》（公告编号：</w:t>
            </w:r>
            <w:r>
              <w:rPr>
                <w:rFonts w:ascii="Times New Roman" w:hAnsi="Times New Roman" w:cs="Times New Roman" w:eastAsia="Times New Roman" w:hint="default"/>
                <w:sz w:val="18"/>
                <w:szCs w:val="18"/>
              </w:rPr>
              <w:t>2019-117</w:t>
            </w:r>
            <w:r>
              <w:rPr>
                <w:rFonts w:ascii="宋体" w:hAnsi="宋体" w:cs="宋体" w:eastAsia="宋体" w:hint="default"/>
                <w:sz w:val="18"/>
                <w:szCs w:val="18"/>
              </w:rPr>
              <w:t>）</w:t>
            </w:r>
          </w:p>
        </w:tc>
      </w:tr>
      <w:tr>
        <w:trPr>
          <w:trHeight w:val="658" w:hRule="exact"/>
        </w:trPr>
        <w:tc>
          <w:tcPr>
            <w:tcW w:w="2561" w:type="dxa"/>
            <w:vMerge/>
            <w:tcBorders>
              <w:left w:val="single" w:sz="6" w:space="0" w:color="000000"/>
              <w:bottom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5"/>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《关于获得政府补助 的公告》（公告编号：</w:t>
            </w:r>
            <w:r>
              <w:rPr>
                <w:rFonts w:ascii="Times New Roman" w:hAnsi="Times New Roman" w:cs="Times New Roman" w:eastAsia="Times New Roman" w:hint="default"/>
                <w:sz w:val="18"/>
                <w:szCs w:val="18"/>
              </w:rPr>
              <w:t>2019-124</w:t>
            </w:r>
            <w:r>
              <w:rPr>
                <w:rFonts w:ascii="宋体" w:hAnsi="宋体" w:cs="宋体" w:eastAsia="宋体" w:hint="default"/>
                <w:sz w:val="18"/>
                <w:szCs w:val="18"/>
              </w:rPr>
              <w:t>）</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7"/>
          <w:szCs w:val="27"/>
        </w:rPr>
      </w:pPr>
    </w:p>
    <w:p>
      <w:pPr>
        <w:pStyle w:val="Heading2"/>
        <w:spacing w:line="367" w:lineRule="exact"/>
        <w:ind w:right="967"/>
        <w:jc w:val="left"/>
        <w:rPr>
          <w:b w:val="0"/>
          <w:bCs w:val="0"/>
        </w:rPr>
      </w:pPr>
      <w:r>
        <w:rPr/>
        <w:t>二十、公司子公司重大事项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456" w:lineRule="exact"/>
        <w:ind w:left="3045" w:right="967"/>
        <w:jc w:val="left"/>
        <w:rPr>
          <w:b w:val="0"/>
          <w:bCs w:val="0"/>
        </w:rPr>
      </w:pPr>
      <w:bookmarkStart w:name="_TOC_250007" w:id="6"/>
      <w:r>
        <w:rPr/>
        <w:t>第六节股份变动及股东情况</w:t>
      </w:r>
      <w:bookmarkEnd w:id="6"/>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967"/>
        <w:jc w:val="left"/>
        <w:rPr>
          <w:b w:val="0"/>
          <w:bCs w:val="0"/>
        </w:rPr>
      </w:pPr>
      <w:r>
        <w:rPr/>
        <w:t>一、股份变动情况</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4"/>
        <w:spacing w:line="240" w:lineRule="auto"/>
        <w:ind w:right="967"/>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28"/>
        <w:gridCol w:w="824"/>
        <w:gridCol w:w="823"/>
        <w:gridCol w:w="823"/>
        <w:gridCol w:w="821"/>
        <w:gridCol w:w="823"/>
        <w:gridCol w:w="821"/>
        <w:gridCol w:w="824"/>
        <w:gridCol w:w="794"/>
        <w:gridCol w:w="792"/>
      </w:tblGrid>
      <w:tr>
        <w:trPr>
          <w:trHeight w:val="40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353"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60"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794" w:type="dxa"/>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72,798,44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61.80%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2,718,161</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-989,426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1,728,735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74,527,18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61.84%</w:t>
            </w:r>
          </w:p>
        </w:tc>
      </w:tr>
      <w:tr>
        <w:trPr>
          <w:trHeight w:val="394"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72,798,44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61.80%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2,718,161</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-989,426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1,728,735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74,527,18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61.84%</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20.03%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19.58%</w:t>
            </w:r>
          </w:p>
        </w:tc>
      </w:tr>
      <w:tr>
        <w:trPr>
          <w:trHeight w:val="394"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49,198,44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41.76%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2,718,161</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-989,426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1,728,735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50,927,18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42.26%</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45,001,55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38.20%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989,426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989,426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45,990,98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38.16%</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45,001,55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38.20%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989,426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989,426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45,990,98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38.16%</w:t>
            </w:r>
          </w:p>
        </w:tc>
      </w:tr>
      <w:tr>
        <w:trPr>
          <w:trHeight w:val="394"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117,800,0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2,718,161</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2,718,161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120,518,1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61</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4"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967"/>
        <w:jc w:val="left"/>
      </w:pPr>
      <w:r>
        <w:rPr/>
        <w:t>股份变动的原因</w:t>
      </w:r>
    </w:p>
    <w:p>
      <w:pPr>
        <w:pStyle w:val="BodyText"/>
        <w:spacing w:line="240" w:lineRule="auto" w:before="115"/>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9" w:lineRule="auto" w:before="103"/>
        <w:ind w:right="967"/>
        <w:jc w:val="left"/>
      </w:pPr>
      <w:r>
        <w:rPr>
          <w:rFonts w:ascii="Times New Roman" w:hAnsi="Times New Roman" w:cs="Times New Roman" w:eastAsia="Times New Roman" w:hint="default"/>
        </w:rPr>
        <w:t>1</w:t>
      </w:r>
      <w:r>
        <w:rPr/>
        <w:t>、发行新股变动原因： </w:t>
      </w:r>
      <w:r>
        <w:rPr>
          <w:spacing w:val="-2"/>
        </w:rPr>
        <w:t>公司于</w:t>
      </w:r>
      <w:r>
        <w:rPr>
          <w:rFonts w:ascii="宋体" w:hAnsi="宋体" w:cs="宋体" w:eastAsia="宋体" w:hint="default"/>
          <w:spacing w:val="-2"/>
        </w:rPr>
        <w:t>2019</w:t>
      </w:r>
      <w:r>
        <w:rPr>
          <w:spacing w:val="-2"/>
        </w:rPr>
        <w:t>年</w:t>
      </w:r>
      <w:r>
        <w:rPr>
          <w:rFonts w:ascii="宋体" w:hAnsi="宋体" w:cs="宋体" w:eastAsia="宋体" w:hint="default"/>
          <w:spacing w:val="-2"/>
        </w:rPr>
        <w:t>9</w:t>
      </w:r>
      <w:r>
        <w:rPr>
          <w:spacing w:val="-2"/>
        </w:rPr>
        <w:t>月实施</w:t>
      </w:r>
      <w:r>
        <w:rPr>
          <w:rFonts w:ascii="宋体" w:hAnsi="宋体" w:cs="宋体" w:eastAsia="宋体" w:hint="default"/>
          <w:spacing w:val="-2"/>
        </w:rPr>
        <w:t>2019</w:t>
      </w:r>
      <w:r>
        <w:rPr>
          <w:spacing w:val="-2"/>
        </w:rPr>
        <w:t>年限制性股票激励计划，以</w:t>
      </w:r>
      <w:r>
        <w:rPr>
          <w:rFonts w:ascii="宋体" w:hAnsi="宋体" w:cs="宋体" w:eastAsia="宋体" w:hint="default"/>
          <w:spacing w:val="-2"/>
        </w:rPr>
        <w:t>2019</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17</w:t>
      </w:r>
      <w:r>
        <w:rPr>
          <w:spacing w:val="-2"/>
        </w:rPr>
        <w:t>日为授予日，向任职的高级管理人员、核心骨干员工等激</w:t>
      </w:r>
      <w:r>
        <w:rPr>
          <w:spacing w:val="-55"/>
        </w:rPr>
        <w:t> </w:t>
      </w:r>
      <w:r>
        <w:rPr>
          <w:spacing w:val="-55"/>
        </w:rPr>
      </w:r>
      <w:r>
        <w:rPr/>
        <w:t>励对象授予限制性股票。</w:t>
      </w:r>
    </w:p>
    <w:p>
      <w:pPr>
        <w:spacing w:after="0" w:line="309"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4"/>
        <w:ind w:right="1126"/>
        <w:jc w:val="left"/>
      </w:pPr>
      <w:r>
        <w:rPr>
          <w:spacing w:val="-2"/>
        </w:rPr>
        <w:t>公司原注册资本为人民币</w:t>
      </w:r>
      <w:r>
        <w:rPr>
          <w:rFonts w:ascii="宋体" w:hAnsi="宋体" w:cs="宋体" w:eastAsia="宋体" w:hint="default"/>
          <w:spacing w:val="-2"/>
        </w:rPr>
        <w:t>117,800,000.00</w:t>
      </w:r>
      <w:r>
        <w:rPr>
          <w:spacing w:val="-2"/>
        </w:rPr>
        <w:t>元，实收股本为人民币</w:t>
      </w:r>
      <w:r>
        <w:rPr>
          <w:rFonts w:ascii="宋体" w:hAnsi="宋体" w:cs="宋体" w:eastAsia="宋体" w:hint="default"/>
          <w:spacing w:val="-2"/>
        </w:rPr>
        <w:t>117,800,000.00</w:t>
      </w:r>
      <w:r>
        <w:rPr>
          <w:spacing w:val="-2"/>
        </w:rPr>
        <w:t>元。根据公司第二届董事会第三十二次、三</w:t>
      </w:r>
      <w:r>
        <w:rPr>
          <w:spacing w:val="-47"/>
        </w:rPr>
        <w:t> </w:t>
      </w:r>
      <w:r>
        <w:rPr>
          <w:spacing w:val="-47"/>
        </w:rPr>
      </w:r>
      <w:r>
        <w:rPr>
          <w:spacing w:val="-2"/>
        </w:rPr>
        <w:t>十三次会议和</w:t>
      </w:r>
      <w:r>
        <w:rPr>
          <w:rFonts w:ascii="宋体" w:hAnsi="宋体" w:cs="宋体" w:eastAsia="宋体" w:hint="default"/>
          <w:spacing w:val="-2"/>
        </w:rPr>
        <w:t>2019</w:t>
      </w:r>
      <w:r>
        <w:rPr>
          <w:spacing w:val="-2"/>
        </w:rPr>
        <w:t>年第三次临时股东大会决议，公司向任职的高级管理人员、核心骨干员工等激励对象授予限制性股票，授</w:t>
      </w:r>
      <w:r>
        <w:rPr>
          <w:spacing w:val="-61"/>
        </w:rPr>
        <w:t> </w:t>
      </w:r>
      <w:r>
        <w:rPr>
          <w:spacing w:val="-61"/>
        </w:rPr>
      </w:r>
      <w:r>
        <w:rPr>
          <w:spacing w:val="-2"/>
        </w:rPr>
        <w:t>予数量</w:t>
      </w:r>
      <w:r>
        <w:rPr>
          <w:rFonts w:ascii="宋体" w:hAnsi="宋体" w:cs="宋体" w:eastAsia="宋体" w:hint="default"/>
          <w:spacing w:val="-2"/>
        </w:rPr>
        <w:t>3,156,789</w:t>
      </w:r>
      <w:r>
        <w:rPr>
          <w:spacing w:val="-2"/>
        </w:rPr>
        <w:t>股。其中，首次授予限制性股票份额为</w:t>
      </w:r>
      <w:r>
        <w:rPr>
          <w:rFonts w:ascii="宋体" w:hAnsi="宋体" w:cs="宋体" w:eastAsia="宋体" w:hint="default"/>
          <w:spacing w:val="-2"/>
        </w:rPr>
        <w:t>2,718,161</w:t>
      </w:r>
      <w:r>
        <w:rPr>
          <w:spacing w:val="-2"/>
        </w:rPr>
        <w:t>股，预留份额为</w:t>
      </w:r>
      <w:r>
        <w:rPr>
          <w:rFonts w:ascii="宋体" w:hAnsi="宋体" w:cs="宋体" w:eastAsia="宋体" w:hint="default"/>
          <w:spacing w:val="-2"/>
        </w:rPr>
        <w:t>438,628</w:t>
      </w:r>
      <w:r>
        <w:rPr>
          <w:spacing w:val="-2"/>
        </w:rPr>
        <w:t>股。本次实际授予</w:t>
      </w:r>
      <w:r>
        <w:rPr>
          <w:rFonts w:ascii="宋体" w:hAnsi="宋体" w:cs="宋体" w:eastAsia="宋体" w:hint="default"/>
          <w:spacing w:val="-2"/>
        </w:rPr>
        <w:t>201</w:t>
      </w:r>
      <w:r>
        <w:rPr>
          <w:spacing w:val="-2"/>
        </w:rPr>
        <w:t>人，实际授</w:t>
      </w:r>
      <w:r>
        <w:rPr>
          <w:spacing w:val="-44"/>
        </w:rPr>
        <w:t> </w:t>
      </w:r>
      <w:r>
        <w:rPr>
          <w:spacing w:val="-44"/>
        </w:rPr>
      </w:r>
      <w:r>
        <w:rPr/>
        <w:t>予股份</w:t>
      </w:r>
      <w:r>
        <w:rPr>
          <w:rFonts w:ascii="宋体" w:hAnsi="宋体" w:cs="宋体" w:eastAsia="宋体" w:hint="default"/>
        </w:rPr>
        <w:t>2,718,161</w:t>
      </w:r>
      <w:r>
        <w:rPr/>
        <w:t>股</w:t>
      </w:r>
      <w:r>
        <w:rPr>
          <w:rFonts w:ascii="宋体" w:hAnsi="宋体" w:cs="宋体" w:eastAsia="宋体" w:hint="default"/>
        </w:rPr>
        <w:t>, </w:t>
      </w:r>
      <w:r>
        <w:rPr/>
        <w:t>每股面值</w:t>
      </w:r>
      <w:r>
        <w:rPr>
          <w:rFonts w:ascii="宋体" w:hAnsi="宋体" w:cs="宋体" w:eastAsia="宋体" w:hint="default"/>
        </w:rPr>
        <w:t>1</w:t>
      </w:r>
      <w:r>
        <w:rPr/>
        <w:t>元，每股发行价格为人民币</w:t>
      </w:r>
      <w:r>
        <w:rPr>
          <w:rFonts w:ascii="宋体" w:hAnsi="宋体" w:cs="宋体" w:eastAsia="宋体" w:hint="default"/>
        </w:rPr>
        <w:t>21.64</w:t>
      </w:r>
      <w:r>
        <w:rPr/>
        <w:t>元。本次增发人民币普通股（</w:t>
      </w:r>
      <w:r>
        <w:rPr>
          <w:rFonts w:ascii="宋体" w:hAnsi="宋体" w:cs="宋体" w:eastAsia="宋体" w:hint="default"/>
        </w:rPr>
        <w:t>A</w:t>
      </w:r>
      <w:r>
        <w:rPr/>
        <w:t>股</w:t>
      </w:r>
      <w:r>
        <w:rPr>
          <w:rFonts w:ascii="宋体" w:hAnsi="宋体" w:cs="宋体" w:eastAsia="宋体" w:hint="default"/>
        </w:rPr>
        <w:t>)</w:t>
      </w:r>
      <w:r>
        <w:rPr/>
        <w:t>增加注册资本人民币 </w:t>
      </w:r>
      <w:r>
        <w:rPr>
          <w:rFonts w:ascii="宋体" w:hAnsi="宋体" w:cs="宋体" w:eastAsia="宋体" w:hint="default"/>
        </w:rPr>
        <w:t>2,718,161.00</w:t>
      </w:r>
      <w:r>
        <w:rPr/>
        <w:t>元，变更后的注册资本为人民币</w:t>
      </w:r>
      <w:r>
        <w:rPr>
          <w:rFonts w:ascii="宋体" w:hAnsi="宋体" w:cs="宋体" w:eastAsia="宋体" w:hint="default"/>
        </w:rPr>
        <w:t>120,518,161.00</w:t>
      </w:r>
      <w:r>
        <w:rPr/>
        <w:t>元。截至</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11</w:t>
      </w:r>
      <w:r>
        <w:rPr/>
        <w:t>日止，公司已收到激励对象以货币缴纳 的出资款项共</w:t>
      </w:r>
      <w:r>
        <w:rPr>
          <w:rFonts w:ascii="宋体" w:hAnsi="宋体" w:cs="宋体" w:eastAsia="宋体" w:hint="default"/>
        </w:rPr>
        <w:t>58,821,004.04</w:t>
      </w:r>
      <w:r>
        <w:rPr/>
        <w:t>元。</w:t>
      </w:r>
      <w:r>
        <w:rPr>
          <w:spacing w:val="-3"/>
        </w:rPr>
        <w:t> </w:t>
      </w:r>
      <w:r>
        <w:rPr/>
        <w:t>公司于</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24</w:t>
      </w:r>
      <w:r>
        <w:rPr/>
        <w:t>日在中国证券登记结算有限责任公司深圳分公司完成首次授予</w:t>
      </w:r>
      <w:r>
        <w:rPr>
          <w:rFonts w:ascii="宋体" w:hAnsi="宋体" w:cs="宋体" w:eastAsia="宋体" w:hint="default"/>
        </w:rPr>
        <w:t>2,718,161</w:t>
      </w:r>
      <w:r>
        <w:rPr/>
        <w:t>股股份的登记手续。</w:t>
      </w:r>
      <w:r>
        <w:rPr>
          <w:rFonts w:ascii="宋体" w:hAnsi="宋体" w:cs="宋体" w:eastAsia="宋体" w:hint="default"/>
        </w:rPr>
        <w:t>2019</w:t>
      </w:r>
      <w:r>
        <w:rPr/>
        <w:t>年</w:t>
      </w:r>
      <w:r>
        <w:rPr>
          <w:rFonts w:ascii="宋体" w:hAnsi="宋体" w:cs="宋体" w:eastAsia="宋体" w:hint="default"/>
        </w:rPr>
        <w:t>9</w:t>
      </w:r>
      <w:r>
        <w:rPr/>
        <w:t>月 </w:t>
      </w:r>
      <w:r>
        <w:rPr>
          <w:rFonts w:ascii="宋体" w:hAnsi="宋体" w:cs="宋体" w:eastAsia="宋体" w:hint="default"/>
        </w:rPr>
        <w:t>27</w:t>
      </w:r>
      <w:r>
        <w:rPr/>
        <w:t>日首次授予的股份在深圳证券交易所上市。具体内容详见本报告“第五节重要事项</w:t>
      </w:r>
      <w:r>
        <w:rPr>
          <w:rFonts w:ascii="宋体" w:hAnsi="宋体" w:cs="宋体" w:eastAsia="宋体" w:hint="default"/>
        </w:rPr>
        <w:t>-</w:t>
      </w:r>
      <w:r>
        <w:rPr/>
        <w:t>十五、公司股权激励计划、员工持股 计划或其他员工激励措施的实施情况</w:t>
      </w:r>
      <w:r>
        <w:rPr>
          <w:rFonts w:ascii="宋体" w:hAnsi="宋体" w:cs="宋体" w:eastAsia="宋体" w:hint="default"/>
        </w:rPr>
        <w:t>"</w:t>
      </w:r>
      <w:r>
        <w:rPr/>
        <w:t>。</w:t>
      </w:r>
    </w:p>
    <w:p>
      <w:pPr>
        <w:pStyle w:val="BodyText"/>
        <w:spacing w:line="240" w:lineRule="auto" w:before="19"/>
        <w:ind w:right="967"/>
        <w:jc w:val="left"/>
      </w:pPr>
      <w:r>
        <w:rPr>
          <w:rFonts w:ascii="Times New Roman" w:hAnsi="Times New Roman" w:cs="Times New Roman" w:eastAsia="Times New Roman" w:hint="default"/>
        </w:rPr>
        <w:t>2</w:t>
      </w:r>
      <w:r>
        <w:rPr/>
        <w:t>、其他股份变动原因：</w:t>
      </w:r>
    </w:p>
    <w:p>
      <w:pPr>
        <w:pStyle w:val="BodyText"/>
        <w:spacing w:line="300" w:lineRule="auto" w:before="63"/>
        <w:ind w:right="1128"/>
        <w:jc w:val="both"/>
      </w:pPr>
      <w:r>
        <w:rPr/>
        <w:t>（</w:t>
      </w:r>
      <w:r>
        <w:rPr>
          <w:rFonts w:ascii="Times New Roman" w:hAnsi="Times New Roman" w:cs="Times New Roman" w:eastAsia="Times New Roman" w:hint="default"/>
        </w:rPr>
        <w:t>1</w:t>
      </w:r>
      <w:r>
        <w:rPr/>
        <w:t>）公司股东及高级管理人员刘厚军先生已于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日离任财务总监，公司股东及监事钟勇先生已于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 离任职工代表监事，公司股东及监事甘云龙先生已于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日离任监事。根据《公司法》、《证券法》、《深圳证券 </w:t>
      </w:r>
      <w:r>
        <w:rPr>
          <w:spacing w:val="-2"/>
        </w:rPr>
        <w:t>交易所上市公司股东及董事、监事、高级管理人员减持股份实施细则》等相关法律法规的规定，截至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日刘厚军</w:t>
      </w:r>
      <w:r>
        <w:rPr>
          <w:spacing w:val="-58"/>
        </w:rPr>
        <w:t> </w:t>
      </w:r>
      <w:r>
        <w:rPr>
          <w:spacing w:val="-58"/>
        </w:rPr>
      </w:r>
      <w:r>
        <w:rPr/>
        <w:t>先生、钟勇先生、甘云龙先生所持公司股份合计解除股份锁定数量为</w:t>
      </w:r>
      <w:r>
        <w:rPr>
          <w:rFonts w:ascii="Times New Roman" w:hAnsi="Times New Roman" w:cs="Times New Roman" w:eastAsia="Times New Roman" w:hint="default"/>
        </w:rPr>
        <w:t>990,176</w:t>
      </w:r>
      <w:r>
        <w:rPr/>
        <w:t>股。</w:t>
      </w:r>
    </w:p>
    <w:p>
      <w:pPr>
        <w:pStyle w:val="BodyText"/>
        <w:spacing w:line="300" w:lineRule="auto" w:before="13"/>
        <w:ind w:right="1131"/>
        <w:jc w:val="both"/>
      </w:pPr>
      <w:r>
        <w:rPr>
          <w:spacing w:val="-1"/>
        </w:rPr>
        <w:t>（</w:t>
      </w:r>
      <w:r>
        <w:rPr>
          <w:rFonts w:ascii="Times New Roman" w:hAnsi="Times New Roman" w:cs="Times New Roman" w:eastAsia="Times New Roman" w:hint="default"/>
          <w:spacing w:val="-1"/>
        </w:rPr>
        <w:t>2</w:t>
      </w:r>
      <w:r>
        <w:rPr>
          <w:spacing w:val="-1"/>
        </w:rPr>
        <w:t>）翁小雄女士已于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16</w:t>
      </w:r>
      <w:r>
        <w:rPr>
          <w:spacing w:val="-1"/>
        </w:rPr>
        <w:t>日离任公司第二届董事会独立董事。</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月翁小雄女士买入公司股票</w:t>
      </w:r>
      <w:r>
        <w:rPr>
          <w:rFonts w:ascii="Times New Roman" w:hAnsi="Times New Roman" w:cs="Times New Roman" w:eastAsia="Times New Roman" w:hint="default"/>
          <w:spacing w:val="-1"/>
        </w:rPr>
        <w:t>1,000</w:t>
      </w:r>
      <w:r>
        <w:rPr>
          <w:spacing w:val="-1"/>
        </w:rPr>
        <w:t>股，根据相</w:t>
      </w:r>
      <w:r>
        <w:rPr>
          <w:spacing w:val="-76"/>
        </w:rPr>
        <w:t> </w:t>
      </w:r>
      <w:r>
        <w:rPr>
          <w:spacing w:val="-76"/>
        </w:rPr>
      </w:r>
      <w:r>
        <w:rPr>
          <w:spacing w:val="-1"/>
        </w:rPr>
        <w:t>关法律法规，其在任期届满前离职的，应当在其就任时确定的任期内和任期届满后六个月内，继续遵守下列限制性规定：</w:t>
      </w:r>
      <w:r>
        <w:rPr>
          <w:rFonts w:ascii="Times New Roman" w:hAnsi="Times New Roman" w:cs="Times New Roman" w:eastAsia="Times New Roman" w:hint="default"/>
          <w:spacing w:val="-1"/>
        </w:rPr>
        <w:t>a.</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t>每年转让的股份不得超过其所持有本公司股份总数的百分之二十五；</w:t>
      </w:r>
      <w:r>
        <w:rPr>
          <w:rFonts w:ascii="Times New Roman" w:hAnsi="Times New Roman" w:cs="Times New Roman" w:eastAsia="Times New Roman" w:hint="default"/>
        </w:rPr>
        <w:t>b. </w:t>
      </w:r>
      <w:r>
        <w:rPr>
          <w:spacing w:val="-4"/>
        </w:rPr>
        <w:t>离职后半年内，不得转让其所持本公司股份；</w:t>
      </w:r>
      <w:r>
        <w:rPr>
          <w:rFonts w:ascii="Times New Roman" w:hAnsi="Times New Roman" w:cs="Times New Roman" w:eastAsia="Times New Roman" w:hint="default"/>
          <w:spacing w:val="-4"/>
        </w:rPr>
        <w:t>c.</w:t>
      </w:r>
      <w:r>
        <w:rPr>
          <w:rFonts w:ascii="Times New Roman" w:hAnsi="Times New Roman" w:cs="Times New Roman" w:eastAsia="Times New Roman" w:hint="default"/>
          <w:spacing w:val="15"/>
        </w:rPr>
        <w:t> </w:t>
      </w:r>
      <w:r>
        <w:rPr/>
        <w:t>《公 司法》对董监高股份转让的其他规定。截至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日翁小雄女士股份锁定数量为</w:t>
      </w:r>
      <w:r>
        <w:rPr>
          <w:rFonts w:ascii="Times New Roman" w:hAnsi="Times New Roman" w:cs="Times New Roman" w:eastAsia="Times New Roman" w:hint="default"/>
        </w:rPr>
        <w:t>750</w:t>
      </w:r>
      <w:r>
        <w:rPr/>
        <w:t>股。</w:t>
      </w:r>
    </w:p>
    <w:p>
      <w:pPr>
        <w:pStyle w:val="BodyText"/>
        <w:spacing w:line="340" w:lineRule="auto" w:before="13"/>
        <w:ind w:right="2654"/>
        <w:jc w:val="left"/>
      </w:pPr>
      <w:r>
        <w:rPr/>
        <w:t>（</w:t>
      </w:r>
      <w:r>
        <w:rPr>
          <w:rFonts w:ascii="Times New Roman" w:hAnsi="Times New Roman" w:cs="Times New Roman" w:eastAsia="Times New Roman" w:hint="default"/>
        </w:rPr>
        <w:t>3</w:t>
      </w:r>
      <w:r>
        <w:rPr/>
        <w:t>）综上，</w:t>
      </w:r>
      <w:r>
        <w:rPr>
          <w:rFonts w:ascii="Times New Roman" w:hAnsi="Times New Roman" w:cs="Times New Roman" w:eastAsia="Times New Roman" w:hint="default"/>
        </w:rPr>
        <w:t>2019</w:t>
      </w:r>
      <w:r>
        <w:rPr/>
        <w:t>年期末公司有限售条件股份合计减少</w:t>
      </w:r>
      <w:r>
        <w:rPr>
          <w:rFonts w:ascii="Times New Roman" w:hAnsi="Times New Roman" w:cs="Times New Roman" w:eastAsia="Times New Roman" w:hint="default"/>
        </w:rPr>
        <w:t>989,426</w:t>
      </w:r>
      <w:r>
        <w:rPr/>
        <w:t>股，无限售条件股份合计增加</w:t>
      </w:r>
      <w:r>
        <w:rPr>
          <w:rFonts w:ascii="Times New Roman" w:hAnsi="Times New Roman" w:cs="Times New Roman" w:eastAsia="Times New Roman" w:hint="default"/>
        </w:rPr>
        <w:t>989,426</w:t>
      </w:r>
      <w:r>
        <w:rPr/>
        <w:t>股。 股份变动的批准情况</w:t>
      </w:r>
    </w:p>
    <w:p>
      <w:pPr>
        <w:pStyle w:val="BodyText"/>
        <w:spacing w:line="340" w:lineRule="auto" w:before="39"/>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公司第二届董事会第二十六次会议和第二届监事会第十三次会议及</w:t>
      </w:r>
      <w:r>
        <w:rPr>
          <w:rFonts w:ascii="Times New Roman" w:hAnsi="Times New Roman" w:cs="Times New Roman" w:eastAsia="Times New Roman" w:hint="default"/>
        </w:rPr>
        <w:t>2019</w:t>
      </w:r>
      <w:r>
        <w:rPr/>
        <w:t>年第三次临时股东大会，审议通过了《关于公司</w:t>
      </w:r>
    </w:p>
    <w:p>
      <w:pPr>
        <w:pStyle w:val="BodyText"/>
        <w:spacing w:line="228" w:lineRule="exact"/>
        <w:ind w:right="967"/>
        <w:jc w:val="left"/>
      </w:pPr>
      <w:r>
        <w:rPr>
          <w:rFonts w:ascii="Times New Roman" w:hAnsi="Times New Roman" w:cs="Times New Roman" w:eastAsia="Times New Roman" w:hint="default"/>
        </w:rPr>
        <w:t>&lt;2019</w:t>
      </w:r>
      <w:r>
        <w:rPr/>
        <w:t>年限制性股票激励计划（草案）</w:t>
      </w:r>
      <w:r>
        <w:rPr>
          <w:rFonts w:ascii="Times New Roman" w:hAnsi="Times New Roman" w:cs="Times New Roman" w:eastAsia="Times New Roman" w:hint="default"/>
        </w:rPr>
        <w:t>&gt;</w:t>
      </w:r>
      <w:r>
        <w:rPr/>
        <w:t>及摘要的议案》及其相关事项的议案。监事会对激励对象名单进行了核查并发表了</w:t>
      </w:r>
    </w:p>
    <w:p>
      <w:pPr>
        <w:pStyle w:val="BodyText"/>
        <w:spacing w:line="309" w:lineRule="auto" w:before="63"/>
        <w:ind w:right="1128"/>
        <w:jc w:val="both"/>
      </w:pPr>
      <w:r>
        <w:rPr>
          <w:spacing w:val="-2"/>
        </w:rPr>
        <w:t>核查意见。公司第二届董事会第三十三次会议和第二届监事会第十七次会议，审议通过了《关于调整</w:t>
      </w:r>
      <w:r>
        <w:rPr>
          <w:rFonts w:ascii="Times New Roman" w:hAnsi="Times New Roman" w:cs="Times New Roman" w:eastAsia="Times New Roman" w:hint="default"/>
          <w:spacing w:val="-2"/>
        </w:rPr>
        <w:t>2019</w:t>
      </w:r>
      <w:r>
        <w:rPr>
          <w:spacing w:val="-2"/>
        </w:rPr>
        <w:t>年限制性股票激励</w:t>
      </w:r>
      <w:r>
        <w:rPr>
          <w:spacing w:val="-59"/>
        </w:rPr>
        <w:t> </w:t>
      </w:r>
      <w:r>
        <w:rPr>
          <w:spacing w:val="-59"/>
        </w:rPr>
      </w:r>
      <w:r>
        <w:rPr>
          <w:spacing w:val="-2"/>
        </w:rPr>
        <w:t>计划激励对象名单及授予数量的议案》和《关于向激励对象首次授予限制性股票的议案》，确定公司限制性股票的首次授予</w:t>
      </w:r>
      <w:r>
        <w:rPr>
          <w:spacing w:val="-64"/>
        </w:rPr>
        <w:t> </w:t>
      </w:r>
      <w:r>
        <w:rPr>
          <w:spacing w:val="-64"/>
        </w:rPr>
      </w:r>
      <w:r>
        <w:rPr/>
        <w:t>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17</w:t>
      </w:r>
      <w:r>
        <w:rPr/>
        <w:t>日，向</w:t>
      </w:r>
      <w:r>
        <w:rPr>
          <w:rFonts w:ascii="Times New Roman" w:hAnsi="Times New Roman" w:cs="Times New Roman" w:eastAsia="Times New Roman" w:hint="default"/>
        </w:rPr>
        <w:t>201</w:t>
      </w:r>
      <w:r>
        <w:rPr/>
        <w:t>名激励对象首次授予</w:t>
      </w:r>
      <w:r>
        <w:rPr>
          <w:rFonts w:ascii="Times New Roman" w:hAnsi="Times New Roman" w:cs="Times New Roman" w:eastAsia="Times New Roman" w:hint="default"/>
        </w:rPr>
        <w:t>2,718,161</w:t>
      </w:r>
      <w:r>
        <w:rPr/>
        <w:t>股限制性股票。</w:t>
      </w:r>
    </w:p>
    <w:p>
      <w:pPr>
        <w:pStyle w:val="BodyText"/>
        <w:spacing w:line="240" w:lineRule="auto" w:before="46"/>
        <w:ind w:right="967"/>
        <w:jc w:val="left"/>
      </w:pPr>
      <w:r>
        <w:rPr/>
        <w:t>股份变动的过户情况</w:t>
      </w:r>
    </w:p>
    <w:p>
      <w:pPr>
        <w:pStyle w:val="BodyText"/>
        <w:spacing w:line="319" w:lineRule="auto" w:before="115"/>
        <w:ind w:right="12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日在中国证券登记结算有限责任公司深圳分公司完成了相关股份授予登记手续并于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日发布 了《关于</w:t>
      </w:r>
      <w:r>
        <w:rPr>
          <w:rFonts w:ascii="Times New Roman" w:hAnsi="Times New Roman" w:cs="Times New Roman" w:eastAsia="Times New Roman" w:hint="default"/>
        </w:rPr>
        <w:t>2019</w:t>
      </w:r>
      <w:r>
        <w:rPr/>
        <w:t>年限制性股票激励计划首次授予完成的公告》（公告编号：</w:t>
      </w:r>
      <w:r>
        <w:rPr>
          <w:rFonts w:ascii="Times New Roman" w:hAnsi="Times New Roman" w:cs="Times New Roman" w:eastAsia="Times New Roman" w:hint="default"/>
        </w:rPr>
        <w:t>2019-097</w:t>
      </w:r>
      <w:r>
        <w:rPr/>
        <w:t>）。</w:t>
      </w:r>
    </w:p>
    <w:p>
      <w:pPr>
        <w:pStyle w:val="BodyText"/>
        <w:spacing w:line="240" w:lineRule="auto" w:before="38"/>
        <w:ind w:right="967"/>
        <w:jc w:val="left"/>
      </w:pPr>
      <w:r>
        <w:rPr/>
        <w:t>股份回购的实施进展情况</w:t>
      </w:r>
    </w:p>
    <w:p>
      <w:pPr>
        <w:pStyle w:val="BodyText"/>
        <w:spacing w:line="340" w:lineRule="auto" w:before="115"/>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采用集中竞价方式减持回购股份的实施进展情况</w:t>
      </w:r>
    </w:p>
    <w:p>
      <w:pPr>
        <w:pStyle w:val="BodyText"/>
        <w:spacing w:line="338" w:lineRule="auto" w:before="41"/>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19" w:lineRule="auto" w:before="43"/>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报告期公司</w:t>
      </w:r>
      <w:r>
        <w:rPr>
          <w:rFonts w:ascii="Times New Roman" w:hAnsi="Times New Roman" w:cs="Times New Roman" w:eastAsia="Times New Roman" w:hint="default"/>
          <w:spacing w:val="-2"/>
        </w:rPr>
        <w:t>2019</w:t>
      </w:r>
      <w:r>
        <w:rPr>
          <w:spacing w:val="-2"/>
        </w:rPr>
        <w:t>年限制性股票激励计划首次授予股票发行完成后，公司总股本由</w:t>
      </w:r>
      <w:r>
        <w:rPr>
          <w:rFonts w:ascii="Times New Roman" w:hAnsi="Times New Roman" w:cs="Times New Roman" w:eastAsia="Times New Roman" w:hint="default"/>
          <w:spacing w:val="-2"/>
        </w:rPr>
        <w:t>117,800,000</w:t>
      </w:r>
      <w:r>
        <w:rPr>
          <w:spacing w:val="-2"/>
        </w:rPr>
        <w:t>股增加至</w:t>
      </w:r>
      <w:r>
        <w:rPr>
          <w:rFonts w:ascii="Times New Roman" w:hAnsi="Times New Roman" w:cs="Times New Roman" w:eastAsia="Times New Roman" w:hint="default"/>
          <w:spacing w:val="-2"/>
        </w:rPr>
        <w:t>120,518,161</w:t>
      </w:r>
      <w:r>
        <w:rPr>
          <w:spacing w:val="-2"/>
        </w:rPr>
        <w:t>股。股份变</w:t>
      </w:r>
      <w:r>
        <w:rPr>
          <w:spacing w:val="-49"/>
        </w:rPr>
        <w:t> </w:t>
      </w:r>
      <w:r>
        <w:rPr>
          <w:spacing w:val="-49"/>
        </w:rPr>
      </w:r>
      <w:r>
        <w:rPr>
          <w:spacing w:val="-5"/>
        </w:rPr>
        <w:t>动后，报告期基本每股收益为</w:t>
      </w:r>
      <w:r>
        <w:rPr>
          <w:rFonts w:ascii="Times New Roman" w:hAnsi="Times New Roman" w:cs="Times New Roman" w:eastAsia="Times New Roman" w:hint="default"/>
          <w:spacing w:val="-5"/>
        </w:rPr>
        <w:t>7.43</w:t>
      </w:r>
      <w:r>
        <w:rPr>
          <w:spacing w:val="-5"/>
        </w:rPr>
        <w:t>元，较上年同期的</w:t>
      </w:r>
      <w:r>
        <w:rPr>
          <w:rFonts w:ascii="Times New Roman" w:hAnsi="Times New Roman" w:cs="Times New Roman" w:eastAsia="Times New Roman" w:hint="default"/>
          <w:spacing w:val="-5"/>
        </w:rPr>
        <w:t>0.18</w:t>
      </w:r>
      <w:r>
        <w:rPr>
          <w:spacing w:val="-5"/>
        </w:rPr>
        <w:t>元增长</w:t>
      </w:r>
      <w:r>
        <w:rPr>
          <w:rFonts w:ascii="Times New Roman" w:hAnsi="Times New Roman" w:cs="Times New Roman" w:eastAsia="Times New Roman" w:hint="default"/>
          <w:spacing w:val="-5"/>
        </w:rPr>
        <w:t>4,027.78%</w:t>
      </w:r>
      <w:r>
        <w:rPr>
          <w:spacing w:val="-5"/>
        </w:rPr>
        <w:t>，稀释每股收益为</w:t>
      </w:r>
      <w:r>
        <w:rPr>
          <w:rFonts w:ascii="Times New Roman" w:hAnsi="Times New Roman" w:cs="Times New Roman" w:eastAsia="Times New Roman" w:hint="default"/>
          <w:spacing w:val="-5"/>
        </w:rPr>
        <w:t>7.43</w:t>
      </w:r>
      <w:r>
        <w:rPr>
          <w:spacing w:val="-5"/>
        </w:rPr>
        <w:t>元，较上年同期增长</w:t>
      </w:r>
      <w:r>
        <w:rPr>
          <w:rFonts w:ascii="Times New Roman" w:hAnsi="Times New Roman" w:cs="Times New Roman" w:eastAsia="Times New Roman" w:hint="default"/>
          <w:spacing w:val="-5"/>
        </w:rPr>
        <w:t>4,027.78%</w:t>
      </w:r>
      <w:r>
        <w:rPr>
          <w:spacing w:val="-5"/>
        </w:rPr>
        <w:t>，</w:t>
      </w:r>
    </w:p>
    <w:p>
      <w:pPr>
        <w:pStyle w:val="BodyText"/>
        <w:spacing w:line="338" w:lineRule="auto"/>
        <w:ind w:right="3359"/>
        <w:jc w:val="left"/>
      </w:pPr>
      <w:r>
        <w:rPr/>
        <w:t>报告期末归属于公司普通股股东的每股净资产为</w:t>
      </w:r>
      <w:r>
        <w:rPr>
          <w:rFonts w:ascii="Times New Roman" w:hAnsi="Times New Roman" w:cs="Times New Roman" w:eastAsia="Times New Roman" w:hint="default"/>
        </w:rPr>
        <w:t>15.79</w:t>
      </w:r>
      <w:r>
        <w:rPr/>
        <w:t>元，较上年同期末的</w:t>
      </w:r>
      <w:r>
        <w:rPr>
          <w:rFonts w:ascii="Times New Roman" w:hAnsi="Times New Roman" w:cs="Times New Roman" w:eastAsia="Times New Roman" w:hint="default"/>
        </w:rPr>
        <w:t>8.56</w:t>
      </w:r>
      <w:r>
        <w:rPr/>
        <w:t>元增长</w:t>
      </w:r>
      <w:r>
        <w:rPr>
          <w:rFonts w:ascii="Times New Roman" w:hAnsi="Times New Roman" w:cs="Times New Roman" w:eastAsia="Times New Roman" w:hint="default"/>
        </w:rPr>
        <w:t>84.32%</w:t>
      </w:r>
      <w:r>
        <w:rPr/>
        <w:t>。 公司认为必要或证券监管机构要求披露的其他内容</w:t>
      </w:r>
    </w:p>
    <w:p>
      <w:pPr>
        <w:pStyle w:val="BodyText"/>
        <w:spacing w:line="240" w:lineRule="auto" w:before="44"/>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79" w:top="1100" w:bottom="1160" w:left="980" w:right="0"/>
        </w:sectPr>
      </w:pPr>
    </w:p>
    <w:p>
      <w:pPr>
        <w:pStyle w:val="Heading4"/>
        <w:spacing w:line="352" w:lineRule="exact"/>
        <w:ind w:left="140" w:right="0"/>
        <w:jc w:val="left"/>
        <w:rPr>
          <w:b w:val="0"/>
          <w:bCs w:val="0"/>
        </w:rPr>
      </w:pPr>
      <w:r>
        <w:rPr/>
        <w:pict>
          <v:group style="position:absolute;margin-left:70.559998pt;margin-top:2.202064pt;width:700.95pt;height:.1pt;mso-position-horizontal-relative:page;mso-position-vertical-relative:paragraph;z-index:-1531312" coordorigin="1411,44" coordsize="14019,2">
            <v:shape style="position:absolute;left:1411;top:44;width:14019;height:2" coordorigin="1411,44" coordsize="14019,0" path="m1411,44l15430,44e" filled="false" stroked="true" strokeweight=".72pt" strokecolor="#000000">
              <v:path arrowok="t"/>
            </v:shape>
            <w10:wrap type="none"/>
          </v:group>
        </w:pict>
      </w:r>
      <w:r>
        <w:rPr>
          <w:rFonts w:ascii="Times New Roman" w:hAnsi="Times New Roman" w:cs="Times New Roman" w:eastAsia="Times New Roman" w:hint="default"/>
        </w:rPr>
        <w:t>2</w:t>
      </w:r>
      <w:r>
        <w:rPr/>
        <w:t>、限售股份变动情况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7"/>
        <w:jc w:val="right"/>
      </w:pPr>
      <w:r>
        <w:rPr/>
        <w:t>单位：股</w:t>
      </w:r>
    </w:p>
    <w:p>
      <w:pPr>
        <w:spacing w:line="240" w:lineRule="auto" w:before="3"/>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164"/>
        <w:gridCol w:w="1843"/>
        <w:gridCol w:w="1841"/>
        <w:gridCol w:w="1843"/>
        <w:gridCol w:w="1841"/>
        <w:gridCol w:w="1846"/>
        <w:gridCol w:w="3639"/>
      </w:tblGrid>
      <w:tr>
        <w:trPr>
          <w:trHeight w:val="402" w:hRule="exact"/>
        </w:trPr>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6"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4" w:right="0"/>
              <w:jc w:val="left"/>
              <w:rPr>
                <w:rFonts w:ascii="宋体" w:hAnsi="宋体" w:cs="宋体" w:eastAsia="宋体" w:hint="default"/>
                <w:sz w:val="18"/>
                <w:szCs w:val="18"/>
              </w:rPr>
            </w:pPr>
            <w:r>
              <w:rPr>
                <w:rFonts w:ascii="宋体" w:hAnsi="宋体" w:cs="宋体" w:eastAsia="宋体" w:hint="default"/>
                <w:sz w:val="18"/>
                <w:szCs w:val="18"/>
              </w:rPr>
              <w:t>本期增加限售股数</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6" w:right="0"/>
              <w:jc w:val="left"/>
              <w:rPr>
                <w:rFonts w:ascii="宋体" w:hAnsi="宋体" w:cs="宋体" w:eastAsia="宋体" w:hint="default"/>
                <w:sz w:val="18"/>
                <w:szCs w:val="18"/>
              </w:rPr>
            </w:pPr>
            <w:r>
              <w:rPr>
                <w:rFonts w:ascii="宋体" w:hAnsi="宋体" w:cs="宋体" w:eastAsia="宋体" w:hint="default"/>
                <w:sz w:val="18"/>
                <w:szCs w:val="18"/>
              </w:rPr>
              <w:t>本期解除限售股数</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7"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6"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3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深圳市敏行电 子有限公司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23,600,000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23,600,000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3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首发前限售股份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23,600,000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日解限。</w:t>
            </w:r>
          </w:p>
        </w:tc>
      </w:tr>
      <w:tr>
        <w:trPr>
          <w:trHeight w:val="362" w:hRule="exact"/>
        </w:trPr>
        <w:tc>
          <w:tcPr>
            <w:tcW w:w="1164"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
        </w:tc>
        <w:tc>
          <w:tcPr>
            <w:tcW w:w="1841"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
        </w:tc>
        <w:tc>
          <w:tcPr>
            <w:tcW w:w="1841" w:type="dxa"/>
            <w:tcBorders>
              <w:top w:val="single" w:sz="4" w:space="0" w:color="000000"/>
              <w:left w:val="single" w:sz="4" w:space="0" w:color="000000"/>
              <w:bottom w:val="nil" w:sz="6" w:space="0" w:color="auto"/>
              <w:right w:val="single" w:sz="4" w:space="0" w:color="000000"/>
            </w:tcBorders>
          </w:tcPr>
          <w:p>
            <w:pPr/>
          </w:p>
        </w:tc>
        <w:tc>
          <w:tcPr>
            <w:tcW w:w="1846" w:type="dxa"/>
            <w:tcBorders>
              <w:top w:val="single" w:sz="4" w:space="0" w:color="000000"/>
              <w:left w:val="single" w:sz="4" w:space="0" w:color="000000"/>
              <w:bottom w:val="nil" w:sz="6" w:space="0" w:color="auto"/>
              <w:right w:val="single" w:sz="4" w:space="0" w:color="000000"/>
            </w:tcBorders>
          </w:tcPr>
          <w:p>
            <w:pPr/>
          </w:p>
        </w:tc>
        <w:tc>
          <w:tcPr>
            <w:tcW w:w="36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首发前限售股份</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9,600,000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15</w:t>
            </w:r>
          </w:p>
        </w:tc>
      </w:tr>
      <w:tr>
        <w:trPr>
          <w:trHeight w:val="312" w:hRule="exact"/>
        </w:trPr>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刘咏平</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9,600,000</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9,600,000</w:t>
            </w:r>
          </w:p>
        </w:tc>
        <w:tc>
          <w:tcPr>
            <w:tcW w:w="184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363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1" w:right="0"/>
              <w:jc w:val="left"/>
              <w:rPr>
                <w:rFonts w:ascii="宋体" w:hAnsi="宋体" w:cs="宋体" w:eastAsia="宋体" w:hint="default"/>
                <w:sz w:val="18"/>
                <w:szCs w:val="18"/>
              </w:rPr>
            </w:pPr>
            <w:r>
              <w:rPr>
                <w:rFonts w:ascii="宋体" w:hAnsi="宋体" w:cs="宋体" w:eastAsia="宋体" w:hint="default"/>
                <w:sz w:val="18"/>
                <w:szCs w:val="18"/>
              </w:rPr>
              <w:t>日解限，并根据本人董监高任职情况分期解</w:t>
            </w:r>
          </w:p>
        </w:tc>
      </w:tr>
      <w:tr>
        <w:trPr>
          <w:trHeight w:val="354" w:hRule="exact"/>
        </w:trPr>
        <w:tc>
          <w:tcPr>
            <w:tcW w:w="1164"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4" w:space="0" w:color="000000"/>
              <w:right w:val="single" w:sz="4" w:space="0" w:color="000000"/>
            </w:tcBorders>
          </w:tcPr>
          <w:p>
            <w:pPr/>
          </w:p>
        </w:tc>
        <w:tc>
          <w:tcPr>
            <w:tcW w:w="1846" w:type="dxa"/>
            <w:tcBorders>
              <w:top w:val="nil" w:sz="6" w:space="0" w:color="auto"/>
              <w:left w:val="single" w:sz="4" w:space="0" w:color="000000"/>
              <w:bottom w:val="single" w:sz="4" w:space="0" w:color="000000"/>
              <w:right w:val="single" w:sz="4" w:space="0" w:color="000000"/>
            </w:tcBorders>
          </w:tcPr>
          <w:p>
            <w:pPr/>
          </w:p>
        </w:tc>
        <w:tc>
          <w:tcPr>
            <w:tcW w:w="36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18"/>
                <w:szCs w:val="18"/>
              </w:rPr>
            </w:pPr>
            <w:r>
              <w:rPr>
                <w:rFonts w:ascii="宋体" w:hAnsi="宋体" w:cs="宋体" w:eastAsia="宋体" w:hint="default"/>
                <w:sz w:val="18"/>
                <w:szCs w:val="18"/>
              </w:rPr>
              <w:t>锁。</w:t>
            </w:r>
          </w:p>
        </w:tc>
      </w:tr>
      <w:tr>
        <w:trPr>
          <w:trHeight w:val="360" w:hRule="exact"/>
        </w:trPr>
        <w:tc>
          <w:tcPr>
            <w:tcW w:w="1164"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
        </w:tc>
        <w:tc>
          <w:tcPr>
            <w:tcW w:w="1841"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
        </w:tc>
        <w:tc>
          <w:tcPr>
            <w:tcW w:w="1841" w:type="dxa"/>
            <w:tcBorders>
              <w:top w:val="single" w:sz="4" w:space="0" w:color="000000"/>
              <w:left w:val="single" w:sz="4" w:space="0" w:color="000000"/>
              <w:bottom w:val="nil" w:sz="6" w:space="0" w:color="auto"/>
              <w:right w:val="single" w:sz="4" w:space="0" w:color="000000"/>
            </w:tcBorders>
          </w:tcPr>
          <w:p>
            <w:pPr/>
          </w:p>
        </w:tc>
        <w:tc>
          <w:tcPr>
            <w:tcW w:w="1846" w:type="dxa"/>
            <w:tcBorders>
              <w:top w:val="single" w:sz="4" w:space="0" w:color="000000"/>
              <w:left w:val="single" w:sz="4" w:space="0" w:color="000000"/>
              <w:bottom w:val="nil" w:sz="6" w:space="0" w:color="auto"/>
              <w:right w:val="single" w:sz="4" w:space="0" w:color="000000"/>
            </w:tcBorders>
          </w:tcPr>
          <w:p>
            <w:pPr/>
          </w:p>
        </w:tc>
        <w:tc>
          <w:tcPr>
            <w:tcW w:w="36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首发前限售股份</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8,000,000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15</w:t>
            </w:r>
          </w:p>
        </w:tc>
      </w:tr>
      <w:tr>
        <w:trPr>
          <w:trHeight w:val="312" w:hRule="exact"/>
        </w:trPr>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8,000,000</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18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363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日解限，并根据本人董监高任职情况分期解</w:t>
            </w:r>
          </w:p>
        </w:tc>
      </w:tr>
      <w:tr>
        <w:trPr>
          <w:trHeight w:val="353" w:hRule="exact"/>
        </w:trPr>
        <w:tc>
          <w:tcPr>
            <w:tcW w:w="1164"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4" w:space="0" w:color="000000"/>
              <w:right w:val="single" w:sz="4" w:space="0" w:color="000000"/>
            </w:tcBorders>
          </w:tcPr>
          <w:p>
            <w:pPr/>
          </w:p>
        </w:tc>
        <w:tc>
          <w:tcPr>
            <w:tcW w:w="1846" w:type="dxa"/>
            <w:tcBorders>
              <w:top w:val="nil" w:sz="6" w:space="0" w:color="auto"/>
              <w:left w:val="single" w:sz="4" w:space="0" w:color="000000"/>
              <w:bottom w:val="single" w:sz="4" w:space="0" w:color="000000"/>
              <w:right w:val="single" w:sz="4" w:space="0" w:color="000000"/>
            </w:tcBorders>
          </w:tcPr>
          <w:p>
            <w:pPr/>
          </w:p>
        </w:tc>
        <w:tc>
          <w:tcPr>
            <w:tcW w:w="36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锁。</w:t>
            </w:r>
          </w:p>
        </w:tc>
      </w:tr>
      <w:tr>
        <w:trPr>
          <w:trHeight w:val="361" w:hRule="exact"/>
        </w:trPr>
        <w:tc>
          <w:tcPr>
            <w:tcW w:w="1164"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
        </w:tc>
        <w:tc>
          <w:tcPr>
            <w:tcW w:w="1841"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
        </w:tc>
        <w:tc>
          <w:tcPr>
            <w:tcW w:w="1841" w:type="dxa"/>
            <w:tcBorders>
              <w:top w:val="single" w:sz="4" w:space="0" w:color="000000"/>
              <w:left w:val="single" w:sz="4" w:space="0" w:color="000000"/>
              <w:bottom w:val="nil" w:sz="6" w:space="0" w:color="auto"/>
              <w:right w:val="single" w:sz="4" w:space="0" w:color="000000"/>
            </w:tcBorders>
          </w:tcPr>
          <w:p>
            <w:pPr/>
          </w:p>
        </w:tc>
        <w:tc>
          <w:tcPr>
            <w:tcW w:w="1846" w:type="dxa"/>
            <w:tcBorders>
              <w:top w:val="single" w:sz="4" w:space="0" w:color="000000"/>
              <w:left w:val="single" w:sz="4" w:space="0" w:color="000000"/>
              <w:bottom w:val="nil" w:sz="6" w:space="0" w:color="auto"/>
              <w:right w:val="single" w:sz="4" w:space="0" w:color="000000"/>
            </w:tcBorders>
          </w:tcPr>
          <w:p>
            <w:pPr/>
          </w:p>
        </w:tc>
        <w:tc>
          <w:tcPr>
            <w:tcW w:w="36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首发前限售股份</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6,600,000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15</w:t>
            </w:r>
          </w:p>
        </w:tc>
      </w:tr>
      <w:tr>
        <w:trPr>
          <w:trHeight w:val="312" w:hRule="exact"/>
        </w:trPr>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罗瑞发</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6,600,000</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6,600,000</w:t>
            </w:r>
          </w:p>
        </w:tc>
        <w:tc>
          <w:tcPr>
            <w:tcW w:w="184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363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1" w:right="0"/>
              <w:jc w:val="left"/>
              <w:rPr>
                <w:rFonts w:ascii="宋体" w:hAnsi="宋体" w:cs="宋体" w:eastAsia="宋体" w:hint="default"/>
                <w:sz w:val="18"/>
                <w:szCs w:val="18"/>
              </w:rPr>
            </w:pPr>
            <w:r>
              <w:rPr>
                <w:rFonts w:ascii="宋体" w:hAnsi="宋体" w:cs="宋体" w:eastAsia="宋体" w:hint="default"/>
                <w:sz w:val="18"/>
                <w:szCs w:val="18"/>
              </w:rPr>
              <w:t>日解限，并根据本人董监高任职情况分期解</w:t>
            </w:r>
          </w:p>
        </w:tc>
      </w:tr>
      <w:tr>
        <w:trPr>
          <w:trHeight w:val="354" w:hRule="exact"/>
        </w:trPr>
        <w:tc>
          <w:tcPr>
            <w:tcW w:w="1164"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4" w:space="0" w:color="000000"/>
              <w:right w:val="single" w:sz="4" w:space="0" w:color="000000"/>
            </w:tcBorders>
          </w:tcPr>
          <w:p>
            <w:pPr/>
          </w:p>
        </w:tc>
        <w:tc>
          <w:tcPr>
            <w:tcW w:w="1846" w:type="dxa"/>
            <w:tcBorders>
              <w:top w:val="nil" w:sz="6" w:space="0" w:color="auto"/>
              <w:left w:val="single" w:sz="4" w:space="0" w:color="000000"/>
              <w:bottom w:val="single" w:sz="4" w:space="0" w:color="000000"/>
              <w:right w:val="single" w:sz="4" w:space="0" w:color="000000"/>
            </w:tcBorders>
          </w:tcPr>
          <w:p>
            <w:pPr/>
          </w:p>
        </w:tc>
        <w:tc>
          <w:tcPr>
            <w:tcW w:w="36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18"/>
                <w:szCs w:val="18"/>
              </w:rPr>
            </w:pPr>
            <w:r>
              <w:rPr>
                <w:rFonts w:ascii="宋体" w:hAnsi="宋体" w:cs="宋体" w:eastAsia="宋体" w:hint="default"/>
                <w:sz w:val="18"/>
                <w:szCs w:val="18"/>
              </w:rPr>
              <w:t>锁。</w:t>
            </w:r>
          </w:p>
        </w:tc>
      </w:tr>
      <w:tr>
        <w:trPr>
          <w:trHeight w:val="71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王丽娟</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6,600,000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3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首发前限售股份</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6,600,000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日解限。</w:t>
            </w:r>
          </w:p>
        </w:tc>
      </w:tr>
      <w:tr>
        <w:trPr>
          <w:trHeight w:val="361" w:hRule="exact"/>
        </w:trPr>
        <w:tc>
          <w:tcPr>
            <w:tcW w:w="1164"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
        </w:tc>
        <w:tc>
          <w:tcPr>
            <w:tcW w:w="1841"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
        </w:tc>
        <w:tc>
          <w:tcPr>
            <w:tcW w:w="1841" w:type="dxa"/>
            <w:tcBorders>
              <w:top w:val="single" w:sz="4" w:space="0" w:color="000000"/>
              <w:left w:val="single" w:sz="4" w:space="0" w:color="000000"/>
              <w:bottom w:val="nil" w:sz="6" w:space="0" w:color="auto"/>
              <w:right w:val="single" w:sz="4" w:space="0" w:color="000000"/>
            </w:tcBorders>
          </w:tcPr>
          <w:p>
            <w:pPr/>
          </w:p>
        </w:tc>
        <w:tc>
          <w:tcPr>
            <w:tcW w:w="1846" w:type="dxa"/>
            <w:tcBorders>
              <w:top w:val="single" w:sz="4" w:space="0" w:color="000000"/>
              <w:left w:val="single" w:sz="4" w:space="0" w:color="000000"/>
              <w:bottom w:val="nil" w:sz="6" w:space="0" w:color="auto"/>
              <w:right w:val="single" w:sz="4" w:space="0" w:color="000000"/>
            </w:tcBorders>
          </w:tcPr>
          <w:p>
            <w:pPr/>
          </w:p>
        </w:tc>
        <w:tc>
          <w:tcPr>
            <w:tcW w:w="36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首发前限售股份</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6,000,000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15</w:t>
            </w:r>
          </w:p>
        </w:tc>
      </w:tr>
      <w:tr>
        <w:trPr>
          <w:trHeight w:val="312" w:hRule="exact"/>
        </w:trPr>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王明宽</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6,000,000</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84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363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1" w:right="0"/>
              <w:jc w:val="left"/>
              <w:rPr>
                <w:rFonts w:ascii="宋体" w:hAnsi="宋体" w:cs="宋体" w:eastAsia="宋体" w:hint="default"/>
                <w:sz w:val="18"/>
                <w:szCs w:val="18"/>
              </w:rPr>
            </w:pPr>
            <w:r>
              <w:rPr>
                <w:rFonts w:ascii="宋体" w:hAnsi="宋体" w:cs="宋体" w:eastAsia="宋体" w:hint="default"/>
                <w:sz w:val="18"/>
                <w:szCs w:val="18"/>
              </w:rPr>
              <w:t>日解限，并根据本人董监高任职情况分期解</w:t>
            </w:r>
          </w:p>
        </w:tc>
      </w:tr>
      <w:tr>
        <w:trPr>
          <w:trHeight w:val="354" w:hRule="exact"/>
        </w:trPr>
        <w:tc>
          <w:tcPr>
            <w:tcW w:w="1164"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4" w:space="0" w:color="000000"/>
              <w:right w:val="single" w:sz="4" w:space="0" w:color="000000"/>
            </w:tcBorders>
          </w:tcPr>
          <w:p>
            <w:pPr/>
          </w:p>
        </w:tc>
        <w:tc>
          <w:tcPr>
            <w:tcW w:w="1846" w:type="dxa"/>
            <w:tcBorders>
              <w:top w:val="nil" w:sz="6" w:space="0" w:color="auto"/>
              <w:left w:val="single" w:sz="4" w:space="0" w:color="000000"/>
              <w:bottom w:val="single" w:sz="4" w:space="0" w:color="000000"/>
              <w:right w:val="single" w:sz="4" w:space="0" w:color="000000"/>
            </w:tcBorders>
          </w:tcPr>
          <w:p>
            <w:pPr/>
          </w:p>
        </w:tc>
        <w:tc>
          <w:tcPr>
            <w:tcW w:w="36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18"/>
                <w:szCs w:val="18"/>
              </w:rPr>
            </w:pPr>
            <w:r>
              <w:rPr>
                <w:rFonts w:ascii="宋体" w:hAnsi="宋体" w:cs="宋体" w:eastAsia="宋体" w:hint="default"/>
                <w:sz w:val="18"/>
                <w:szCs w:val="18"/>
              </w:rPr>
              <w:t>锁。</w:t>
            </w:r>
          </w:p>
        </w:tc>
      </w:tr>
      <w:tr>
        <w:trPr>
          <w:trHeight w:val="71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李娜</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5,600,000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3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首发前限售股份</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5,600,000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日解限。</w:t>
            </w:r>
          </w:p>
        </w:tc>
      </w:tr>
      <w:tr>
        <w:trPr>
          <w:trHeight w:val="361" w:hRule="exact"/>
        </w:trPr>
        <w:tc>
          <w:tcPr>
            <w:tcW w:w="1164"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
        </w:tc>
        <w:tc>
          <w:tcPr>
            <w:tcW w:w="1841"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
        </w:tc>
        <w:tc>
          <w:tcPr>
            <w:tcW w:w="1841" w:type="dxa"/>
            <w:tcBorders>
              <w:top w:val="single" w:sz="4" w:space="0" w:color="000000"/>
              <w:left w:val="single" w:sz="4" w:space="0" w:color="000000"/>
              <w:bottom w:val="nil" w:sz="6" w:space="0" w:color="auto"/>
              <w:right w:val="single" w:sz="4" w:space="0" w:color="000000"/>
            </w:tcBorders>
          </w:tcPr>
          <w:p>
            <w:pPr/>
          </w:p>
        </w:tc>
        <w:tc>
          <w:tcPr>
            <w:tcW w:w="1846" w:type="dxa"/>
            <w:tcBorders>
              <w:top w:val="single" w:sz="4" w:space="0" w:color="000000"/>
              <w:left w:val="single" w:sz="4" w:space="0" w:color="000000"/>
              <w:bottom w:val="nil" w:sz="6" w:space="0" w:color="auto"/>
              <w:right w:val="single" w:sz="4" w:space="0" w:color="000000"/>
            </w:tcBorders>
          </w:tcPr>
          <w:p>
            <w:pPr/>
          </w:p>
        </w:tc>
        <w:tc>
          <w:tcPr>
            <w:tcW w:w="36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首发前限售股份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800,000 </w:t>
            </w:r>
            <w:r>
              <w:rPr>
                <w:rFonts w:ascii="宋体" w:hAnsi="宋体" w:cs="宋体" w:eastAsia="宋体" w:hint="default"/>
                <w:sz w:val="18"/>
                <w:szCs w:val="18"/>
              </w:rPr>
              <w:t>股于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tc>
      </w:tr>
      <w:tr>
        <w:trPr>
          <w:trHeight w:val="312" w:hRule="exact"/>
        </w:trPr>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李朝莉</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800,000</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800,000</w:t>
            </w:r>
          </w:p>
        </w:tc>
        <w:tc>
          <w:tcPr>
            <w:tcW w:w="184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363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1" w:right="0"/>
              <w:jc w:val="left"/>
              <w:rPr>
                <w:rFonts w:ascii="宋体" w:hAnsi="宋体" w:cs="宋体" w:eastAsia="宋体" w:hint="default"/>
                <w:sz w:val="18"/>
                <w:szCs w:val="18"/>
              </w:rPr>
            </w:pPr>
            <w:r>
              <w:rPr>
                <w:rFonts w:ascii="宋体" w:hAnsi="宋体" w:cs="宋体" w:eastAsia="宋体" w:hint="default"/>
                <w:sz w:val="18"/>
                <w:szCs w:val="18"/>
              </w:rPr>
              <w:t>日解限，并根据本人董监高任职情况分期解</w:t>
            </w:r>
          </w:p>
        </w:tc>
      </w:tr>
      <w:tr>
        <w:trPr>
          <w:trHeight w:val="354" w:hRule="exact"/>
        </w:trPr>
        <w:tc>
          <w:tcPr>
            <w:tcW w:w="1164"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4" w:space="0" w:color="000000"/>
              <w:right w:val="single" w:sz="4" w:space="0" w:color="000000"/>
            </w:tcBorders>
          </w:tcPr>
          <w:p>
            <w:pPr/>
          </w:p>
        </w:tc>
        <w:tc>
          <w:tcPr>
            <w:tcW w:w="1846" w:type="dxa"/>
            <w:tcBorders>
              <w:top w:val="nil" w:sz="6" w:space="0" w:color="auto"/>
              <w:left w:val="single" w:sz="4" w:space="0" w:color="000000"/>
              <w:bottom w:val="single" w:sz="4" w:space="0" w:color="000000"/>
              <w:right w:val="single" w:sz="4" w:space="0" w:color="000000"/>
            </w:tcBorders>
          </w:tcPr>
          <w:p>
            <w:pPr/>
          </w:p>
        </w:tc>
        <w:tc>
          <w:tcPr>
            <w:tcW w:w="36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18"/>
                <w:szCs w:val="18"/>
              </w:rPr>
            </w:pPr>
            <w:r>
              <w:rPr>
                <w:rFonts w:ascii="宋体" w:hAnsi="宋体" w:cs="宋体" w:eastAsia="宋体" w:hint="default"/>
                <w:sz w:val="18"/>
                <w:szCs w:val="18"/>
              </w:rPr>
              <w:t>锁。</w:t>
            </w:r>
          </w:p>
        </w:tc>
      </w:tr>
    </w:tbl>
    <w:p>
      <w:pPr>
        <w:spacing w:after="0" w:line="240" w:lineRule="auto"/>
        <w:jc w:val="left"/>
        <w:rPr>
          <w:rFonts w:ascii="宋体" w:hAnsi="宋体" w:cs="宋体" w:eastAsia="宋体" w:hint="default"/>
          <w:sz w:val="18"/>
          <w:szCs w:val="18"/>
        </w:rPr>
        <w:sectPr>
          <w:headerReference w:type="default" r:id="rId29"/>
          <w:footerReference w:type="default" r:id="rId30"/>
          <w:pgSz w:w="16840" w:h="11910" w:orient="landscape"/>
          <w:pgMar w:header="867" w:footer="980" w:top="1060" w:bottom="1160" w:left="1300" w:right="1280"/>
          <w:pgNumType w:start="91"/>
        </w:sectPr>
      </w:pPr>
    </w:p>
    <w:p>
      <w:pPr>
        <w:spacing w:line="240" w:lineRule="auto" w:before="13"/>
        <w:rPr>
          <w:rFonts w:ascii="宋体" w:hAnsi="宋体" w:cs="宋体" w:eastAsia="宋体" w:hint="default"/>
          <w:sz w:val="29"/>
          <w:szCs w:val="29"/>
        </w:rPr>
      </w:pPr>
    </w:p>
    <w:p>
      <w:pPr>
        <w:pStyle w:val="BodyText"/>
        <w:spacing w:line="240" w:lineRule="auto" w:before="44"/>
        <w:ind w:left="0" w:right="104"/>
        <w:jc w:val="right"/>
      </w:pPr>
      <w:r>
        <w:rPr/>
        <w:pict>
          <v:shape style="position:absolute;margin-left:70.320pt;margin-top:-17.788286pt;width:701.65pt;height:394.55pt;mso-position-horizontal-relative:page;mso-position-vertical-relative:paragraph;z-index:2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64"/>
                    <w:gridCol w:w="1843"/>
                    <w:gridCol w:w="1841"/>
                    <w:gridCol w:w="1843"/>
                    <w:gridCol w:w="1841"/>
                    <w:gridCol w:w="1846"/>
                    <w:gridCol w:w="3639"/>
                  </w:tblGrid>
                  <w:tr>
                    <w:trPr>
                      <w:trHeight w:val="376" w:hRule="exact"/>
                    </w:trPr>
                    <w:tc>
                      <w:tcPr>
                        <w:tcW w:w="1164" w:type="dxa"/>
                        <w:tcBorders>
                          <w:top w:val="single" w:sz="15" w:space="0" w:color="000000"/>
                          <w:left w:val="single" w:sz="4" w:space="0" w:color="000000"/>
                          <w:bottom w:val="nil" w:sz="6" w:space="0" w:color="auto"/>
                          <w:right w:val="single" w:sz="4" w:space="0" w:color="000000"/>
                        </w:tcBorders>
                      </w:tcPr>
                      <w:p>
                        <w:pPr/>
                      </w:p>
                    </w:tc>
                    <w:tc>
                      <w:tcPr>
                        <w:tcW w:w="1843" w:type="dxa"/>
                        <w:tcBorders>
                          <w:top w:val="single" w:sz="15" w:space="0" w:color="000000"/>
                          <w:left w:val="single" w:sz="4" w:space="0" w:color="000000"/>
                          <w:bottom w:val="nil" w:sz="6" w:space="0" w:color="auto"/>
                          <w:right w:val="single" w:sz="4" w:space="0" w:color="000000"/>
                        </w:tcBorders>
                      </w:tcPr>
                      <w:p>
                        <w:pPr/>
                      </w:p>
                    </w:tc>
                    <w:tc>
                      <w:tcPr>
                        <w:tcW w:w="1841" w:type="dxa"/>
                        <w:tcBorders>
                          <w:top w:val="single" w:sz="15" w:space="0" w:color="000000"/>
                          <w:left w:val="single" w:sz="4" w:space="0" w:color="000000"/>
                          <w:bottom w:val="nil" w:sz="6" w:space="0" w:color="auto"/>
                          <w:right w:val="single" w:sz="4" w:space="0" w:color="000000"/>
                        </w:tcBorders>
                      </w:tcPr>
                      <w:p>
                        <w:pPr/>
                      </w:p>
                    </w:tc>
                    <w:tc>
                      <w:tcPr>
                        <w:tcW w:w="1843" w:type="dxa"/>
                        <w:tcBorders>
                          <w:top w:val="single" w:sz="15" w:space="0" w:color="000000"/>
                          <w:left w:val="single" w:sz="4" w:space="0" w:color="000000"/>
                          <w:bottom w:val="nil" w:sz="6" w:space="0" w:color="auto"/>
                          <w:right w:val="single" w:sz="4" w:space="0" w:color="000000"/>
                        </w:tcBorders>
                      </w:tcPr>
                      <w:p>
                        <w:pPr/>
                      </w:p>
                    </w:tc>
                    <w:tc>
                      <w:tcPr>
                        <w:tcW w:w="1841" w:type="dxa"/>
                        <w:tcBorders>
                          <w:top w:val="single" w:sz="15" w:space="0" w:color="000000"/>
                          <w:left w:val="single" w:sz="4" w:space="0" w:color="000000"/>
                          <w:bottom w:val="nil" w:sz="6" w:space="0" w:color="auto"/>
                          <w:right w:val="single" w:sz="4" w:space="0" w:color="000000"/>
                        </w:tcBorders>
                      </w:tcPr>
                      <w:p>
                        <w:pPr/>
                      </w:p>
                    </w:tc>
                    <w:tc>
                      <w:tcPr>
                        <w:tcW w:w="1846" w:type="dxa"/>
                        <w:tcBorders>
                          <w:top w:val="single" w:sz="15" w:space="0" w:color="000000"/>
                          <w:left w:val="single" w:sz="4" w:space="0" w:color="000000"/>
                          <w:bottom w:val="nil" w:sz="6" w:space="0" w:color="auto"/>
                          <w:right w:val="single" w:sz="4" w:space="0" w:color="000000"/>
                        </w:tcBorders>
                      </w:tcPr>
                      <w:p>
                        <w:pPr/>
                      </w:p>
                    </w:tc>
                    <w:tc>
                      <w:tcPr>
                        <w:tcW w:w="363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、首发前限售股份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r>
                  <w:tr>
                    <w:trPr>
                      <w:trHeight w:val="311" w:hRule="exact"/>
                    </w:trPr>
                    <w:tc>
                      <w:tcPr>
                        <w:tcW w:w="1164"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846" w:type="dxa"/>
                        <w:tcBorders>
                          <w:top w:val="nil" w:sz="6" w:space="0" w:color="auto"/>
                          <w:left w:val="single" w:sz="4" w:space="0" w:color="000000"/>
                          <w:bottom w:val="nil" w:sz="6" w:space="0" w:color="auto"/>
                          <w:right w:val="single" w:sz="4" w:space="0" w:color="000000"/>
                        </w:tcBorders>
                      </w:tcPr>
                      <w:p>
                        <w:pPr/>
                      </w:p>
                    </w:tc>
                    <w:tc>
                      <w:tcPr>
                        <w:tcW w:w="363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w:t>
                        </w:r>
                        <w:r>
                          <w:rPr>
                            <w:rFonts w:ascii="宋体" w:hAnsi="宋体" w:cs="宋体" w:eastAsia="宋体" w:hint="default"/>
                            <w:spacing w:val="-20"/>
                            <w:sz w:val="18"/>
                            <w:szCs w:val="18"/>
                          </w:rPr>
                          <w:t>限</w:t>
                        </w:r>
                        <w:r>
                          <w:rPr>
                            <w:rFonts w:ascii="宋体" w:hAnsi="宋体" w:cs="宋体" w:eastAsia="宋体" w:hint="default"/>
                            <w:sz w:val="18"/>
                            <w:szCs w:val="18"/>
                          </w:rPr>
                          <w:t>（其中高管锁</w:t>
                        </w:r>
                        <w:r>
                          <w:rPr>
                            <w:rFonts w:ascii="宋体" w:hAnsi="宋体" w:cs="宋体" w:eastAsia="宋体" w:hint="default"/>
                            <w:spacing w:val="-3"/>
                            <w:sz w:val="18"/>
                            <w:szCs w:val="18"/>
                          </w:rPr>
                          <w:t>定</w:t>
                        </w:r>
                        <w:r>
                          <w:rPr>
                            <w:rFonts w:ascii="宋体" w:hAnsi="宋体" w:cs="宋体" w:eastAsia="宋体" w:hint="default"/>
                            <w:sz w:val="18"/>
                            <w:szCs w:val="18"/>
                          </w:rPr>
                          <w:t>股</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r>
                          <w:rPr>
                            <w:rFonts w:ascii="宋体" w:hAnsi="宋体" w:cs="宋体" w:eastAsia="宋体" w:hint="default"/>
                            <w:spacing w:val="-92"/>
                            <w:sz w:val="18"/>
                            <w:szCs w:val="18"/>
                          </w:rPr>
                          <w:t>）</w:t>
                        </w:r>
                        <w:r>
                          <w:rPr>
                            <w:rFonts w:ascii="宋体" w:hAnsi="宋体" w:cs="宋体" w:eastAsia="宋体" w:hint="default"/>
                            <w:sz w:val="18"/>
                            <w:szCs w:val="18"/>
                          </w:rPr>
                        </w:r>
                      </w:p>
                    </w:tc>
                  </w:tr>
                  <w:tr>
                    <w:trPr>
                      <w:trHeight w:val="312" w:hRule="exact"/>
                    </w:trPr>
                    <w:tc>
                      <w:tcPr>
                        <w:tcW w:w="1164"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846" w:type="dxa"/>
                        <w:tcBorders>
                          <w:top w:val="nil" w:sz="6" w:space="0" w:color="auto"/>
                          <w:left w:val="single" w:sz="4" w:space="0" w:color="000000"/>
                          <w:bottom w:val="nil" w:sz="6" w:space="0" w:color="auto"/>
                          <w:right w:val="single" w:sz="4" w:space="0" w:color="000000"/>
                        </w:tcBorders>
                      </w:tcPr>
                      <w:p>
                        <w:pPr/>
                      </w:p>
                    </w:tc>
                    <w:tc>
                      <w:tcPr>
                        <w:tcW w:w="363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并根据本人董监高任职分期解锁或锁定。</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624" w:hRule="exact"/>
                    </w:trPr>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甘云龙</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2,400,000</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486,994</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-964,971</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1,922,023</w:t>
                        </w:r>
                      </w:p>
                    </w:tc>
                    <w:tc>
                      <w:tcPr>
                        <w:tcW w:w="184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363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本报告期内甘云龙先生所持高管锁定股于</w:t>
                        </w:r>
                      </w:p>
                      <w:p>
                        <w:pPr>
                          <w:pStyle w:val="TableParagraph"/>
                          <w:spacing w:line="240" w:lineRule="auto" w:before="76"/>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月解除锁定</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324,296</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股；因其于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p>
                    </w:tc>
                  </w:tr>
                  <w:tr>
                    <w:trPr>
                      <w:trHeight w:val="312" w:hRule="exact"/>
                    </w:trPr>
                    <w:tc>
                      <w:tcPr>
                        <w:tcW w:w="1164"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846" w:type="dxa"/>
                        <w:tcBorders>
                          <w:top w:val="nil" w:sz="6" w:space="0" w:color="auto"/>
                          <w:left w:val="single" w:sz="4" w:space="0" w:color="000000"/>
                          <w:bottom w:val="nil" w:sz="6" w:space="0" w:color="auto"/>
                          <w:right w:val="single" w:sz="4" w:space="0" w:color="000000"/>
                        </w:tcBorders>
                      </w:tcPr>
                      <w:p>
                        <w:pPr/>
                      </w:p>
                    </w:tc>
                    <w:tc>
                      <w:tcPr>
                        <w:tcW w:w="363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日离任监事，新增锁定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486,994 </w:t>
                        </w:r>
                        <w:r>
                          <w:rPr>
                            <w:rFonts w:ascii="宋体" w:hAnsi="宋体" w:cs="宋体" w:eastAsia="宋体" w:hint="default"/>
                            <w:sz w:val="18"/>
                            <w:szCs w:val="18"/>
                          </w:rPr>
                          <w:t>股</w:t>
                        </w:r>
                      </w:p>
                    </w:tc>
                  </w:tr>
                  <w:tr>
                    <w:trPr>
                      <w:trHeight w:val="312" w:hRule="exact"/>
                    </w:trPr>
                    <w:tc>
                      <w:tcPr>
                        <w:tcW w:w="1164"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846" w:type="dxa"/>
                        <w:tcBorders>
                          <w:top w:val="nil" w:sz="6" w:space="0" w:color="auto"/>
                          <w:left w:val="single" w:sz="4" w:space="0" w:color="000000"/>
                          <w:bottom w:val="nil" w:sz="6" w:space="0" w:color="auto"/>
                          <w:right w:val="single" w:sz="4" w:space="0" w:color="000000"/>
                        </w:tcBorders>
                      </w:tcPr>
                      <w:p>
                        <w:pPr/>
                      </w:p>
                    </w:tc>
                    <w:tc>
                      <w:tcPr>
                        <w:tcW w:w="363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月离任已满半年，解除锁定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640,675</w:t>
                        </w:r>
                      </w:p>
                    </w:tc>
                  </w:tr>
                  <w:tr>
                    <w:trPr>
                      <w:trHeight w:val="355" w:hRule="exact"/>
                    </w:trPr>
                    <w:tc>
                      <w:tcPr>
                        <w:tcW w:w="1164"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4" w:space="0" w:color="000000"/>
                          <w:right w:val="single" w:sz="4" w:space="0" w:color="000000"/>
                        </w:tcBorders>
                      </w:tcPr>
                      <w:p>
                        <w:pPr/>
                      </w:p>
                    </w:tc>
                    <w:tc>
                      <w:tcPr>
                        <w:tcW w:w="1846" w:type="dxa"/>
                        <w:tcBorders>
                          <w:top w:val="nil" w:sz="6" w:space="0" w:color="auto"/>
                          <w:left w:val="single" w:sz="4" w:space="0" w:color="000000"/>
                          <w:bottom w:val="single" w:sz="4" w:space="0" w:color="000000"/>
                          <w:right w:val="single" w:sz="4" w:space="0" w:color="000000"/>
                        </w:tcBorders>
                      </w:tcPr>
                      <w:p>
                        <w:pPr/>
                      </w:p>
                    </w:tc>
                    <w:tc>
                      <w:tcPr>
                        <w:tcW w:w="36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361" w:hRule="exact"/>
                    </w:trPr>
                    <w:tc>
                      <w:tcPr>
                        <w:tcW w:w="1164"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
                    </w:tc>
                    <w:tc>
                      <w:tcPr>
                        <w:tcW w:w="1841"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
                    </w:tc>
                    <w:tc>
                      <w:tcPr>
                        <w:tcW w:w="1841" w:type="dxa"/>
                        <w:tcBorders>
                          <w:top w:val="single" w:sz="4" w:space="0" w:color="000000"/>
                          <w:left w:val="single" w:sz="4" w:space="0" w:color="000000"/>
                          <w:bottom w:val="nil" w:sz="6" w:space="0" w:color="auto"/>
                          <w:right w:val="single" w:sz="4" w:space="0" w:color="000000"/>
                        </w:tcBorders>
                      </w:tcPr>
                      <w:p>
                        <w:pPr/>
                      </w:p>
                    </w:tc>
                    <w:tc>
                      <w:tcPr>
                        <w:tcW w:w="1846" w:type="dxa"/>
                        <w:tcBorders>
                          <w:top w:val="single" w:sz="4" w:space="0" w:color="000000"/>
                          <w:left w:val="single" w:sz="4" w:space="0" w:color="000000"/>
                          <w:bottom w:val="nil" w:sz="6" w:space="0" w:color="auto"/>
                          <w:right w:val="single" w:sz="4" w:space="0" w:color="000000"/>
                        </w:tcBorders>
                      </w:tcPr>
                      <w:p>
                        <w:pPr/>
                      </w:p>
                    </w:tc>
                    <w:tc>
                      <w:tcPr>
                        <w:tcW w:w="36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首发前限售股份</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2,066,200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15</w:t>
                        </w:r>
                      </w:p>
                    </w:tc>
                  </w:tr>
                  <w:tr>
                    <w:trPr>
                      <w:trHeight w:val="312" w:hRule="exact"/>
                    </w:trPr>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蔡福春</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1,549,650</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1,549,650</w:t>
                        </w:r>
                      </w:p>
                    </w:tc>
                    <w:tc>
                      <w:tcPr>
                        <w:tcW w:w="18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363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日解</w:t>
                        </w:r>
                        <w:r>
                          <w:rPr>
                            <w:rFonts w:ascii="宋体" w:hAnsi="宋体" w:cs="宋体" w:eastAsia="宋体" w:hint="default"/>
                            <w:spacing w:val="-10"/>
                            <w:sz w:val="18"/>
                            <w:szCs w:val="18"/>
                          </w:rPr>
                          <w:t>限</w:t>
                        </w:r>
                        <w:r>
                          <w:rPr>
                            <w:rFonts w:ascii="宋体" w:hAnsi="宋体" w:cs="宋体" w:eastAsia="宋体" w:hint="default"/>
                            <w:sz w:val="18"/>
                            <w:szCs w:val="18"/>
                          </w:rPr>
                          <w:t>（其中高管锁定股</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并根</w:t>
                        </w:r>
                      </w:p>
                    </w:tc>
                  </w:tr>
                  <w:tr>
                    <w:trPr>
                      <w:trHeight w:val="353" w:hRule="exact"/>
                    </w:trPr>
                    <w:tc>
                      <w:tcPr>
                        <w:tcW w:w="1164"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4" w:space="0" w:color="000000"/>
                          <w:right w:val="single" w:sz="4" w:space="0" w:color="000000"/>
                        </w:tcBorders>
                      </w:tcPr>
                      <w:p>
                        <w:pPr/>
                      </w:p>
                    </w:tc>
                    <w:tc>
                      <w:tcPr>
                        <w:tcW w:w="1846" w:type="dxa"/>
                        <w:tcBorders>
                          <w:top w:val="nil" w:sz="6" w:space="0" w:color="auto"/>
                          <w:left w:val="single" w:sz="4" w:space="0" w:color="000000"/>
                          <w:bottom w:val="single" w:sz="4" w:space="0" w:color="000000"/>
                          <w:right w:val="single" w:sz="4" w:space="0" w:color="000000"/>
                        </w:tcBorders>
                      </w:tcPr>
                      <w:p>
                        <w:pPr/>
                      </w:p>
                    </w:tc>
                    <w:tc>
                      <w:tcPr>
                        <w:tcW w:w="36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据本人董监高任职情况分期解锁。</w:t>
                        </w:r>
                      </w:p>
                    </w:tc>
                  </w:tr>
                  <w:tr>
                    <w:trPr>
                      <w:trHeight w:val="361" w:hRule="exact"/>
                    </w:trPr>
                    <w:tc>
                      <w:tcPr>
                        <w:tcW w:w="1164"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
                    </w:tc>
                    <w:tc>
                      <w:tcPr>
                        <w:tcW w:w="1841"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
                    </w:tc>
                    <w:tc>
                      <w:tcPr>
                        <w:tcW w:w="1841" w:type="dxa"/>
                        <w:tcBorders>
                          <w:top w:val="single" w:sz="4" w:space="0" w:color="000000"/>
                          <w:left w:val="single" w:sz="4" w:space="0" w:color="000000"/>
                          <w:bottom w:val="nil" w:sz="6" w:space="0" w:color="auto"/>
                          <w:right w:val="single" w:sz="4" w:space="0" w:color="000000"/>
                        </w:tcBorders>
                      </w:tcPr>
                      <w:p>
                        <w:pPr/>
                      </w:p>
                    </w:tc>
                    <w:tc>
                      <w:tcPr>
                        <w:tcW w:w="1846" w:type="dxa"/>
                        <w:tcBorders>
                          <w:top w:val="single" w:sz="4" w:space="0" w:color="000000"/>
                          <w:left w:val="single" w:sz="4" w:space="0" w:color="000000"/>
                          <w:bottom w:val="nil" w:sz="6" w:space="0" w:color="auto"/>
                          <w:right w:val="single" w:sz="4" w:space="0" w:color="000000"/>
                        </w:tcBorders>
                      </w:tcPr>
                      <w:p>
                        <w:pPr/>
                      </w:p>
                    </w:tc>
                    <w:tc>
                      <w:tcPr>
                        <w:tcW w:w="36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、首发前限售股份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r>
                  <w:tr>
                    <w:trPr>
                      <w:trHeight w:val="311" w:hRule="exact"/>
                    </w:trPr>
                    <w:tc>
                      <w:tcPr>
                        <w:tcW w:w="1164"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846" w:type="dxa"/>
                        <w:tcBorders>
                          <w:top w:val="nil" w:sz="6" w:space="0" w:color="auto"/>
                          <w:left w:val="single" w:sz="4" w:space="0" w:color="000000"/>
                          <w:bottom w:val="nil" w:sz="6" w:space="0" w:color="auto"/>
                          <w:right w:val="single" w:sz="4" w:space="0" w:color="000000"/>
                        </w:tcBorders>
                      </w:tcPr>
                      <w:p>
                        <w:pPr/>
                      </w:p>
                    </w:tc>
                    <w:tc>
                      <w:tcPr>
                        <w:tcW w:w="363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w:t>
                        </w:r>
                        <w:r>
                          <w:rPr>
                            <w:rFonts w:ascii="宋体" w:hAnsi="宋体" w:cs="宋体" w:eastAsia="宋体" w:hint="default"/>
                            <w:spacing w:val="-20"/>
                            <w:sz w:val="18"/>
                            <w:szCs w:val="18"/>
                          </w:rPr>
                          <w:t>限</w:t>
                        </w:r>
                        <w:r>
                          <w:rPr>
                            <w:rFonts w:ascii="宋体" w:hAnsi="宋体" w:cs="宋体" w:eastAsia="宋体" w:hint="default"/>
                            <w:sz w:val="18"/>
                            <w:szCs w:val="18"/>
                          </w:rPr>
                          <w:t>（其中高管锁</w:t>
                        </w:r>
                        <w:r>
                          <w:rPr>
                            <w:rFonts w:ascii="宋体" w:hAnsi="宋体" w:cs="宋体" w:eastAsia="宋体" w:hint="default"/>
                            <w:spacing w:val="-3"/>
                            <w:sz w:val="18"/>
                            <w:szCs w:val="18"/>
                          </w:rPr>
                          <w:t>定</w:t>
                        </w:r>
                        <w:r>
                          <w:rPr>
                            <w:rFonts w:ascii="宋体" w:hAnsi="宋体" w:cs="宋体" w:eastAsia="宋体" w:hint="default"/>
                            <w:sz w:val="18"/>
                            <w:szCs w:val="18"/>
                          </w:rPr>
                          <w:t>股</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r>
                          <w:rPr>
                            <w:rFonts w:ascii="宋体" w:hAnsi="宋体" w:cs="宋体" w:eastAsia="宋体" w:hint="default"/>
                            <w:spacing w:val="-92"/>
                            <w:sz w:val="18"/>
                            <w:szCs w:val="18"/>
                          </w:rPr>
                          <w:t>）</w:t>
                        </w:r>
                        <w:r>
                          <w:rPr>
                            <w:rFonts w:ascii="宋体" w:hAnsi="宋体" w:cs="宋体" w:eastAsia="宋体" w:hint="default"/>
                            <w:sz w:val="18"/>
                            <w:szCs w:val="18"/>
                          </w:rPr>
                        </w:r>
                      </w:p>
                    </w:tc>
                  </w:tr>
                  <w:tr>
                    <w:trPr>
                      <w:trHeight w:val="307" w:hRule="exact"/>
                    </w:trPr>
                    <w:tc>
                      <w:tcPr>
                        <w:tcW w:w="1164"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846" w:type="dxa"/>
                        <w:tcBorders>
                          <w:top w:val="nil" w:sz="6" w:space="0" w:color="auto"/>
                          <w:left w:val="single" w:sz="4" w:space="0" w:color="000000"/>
                          <w:bottom w:val="nil" w:sz="6" w:space="0" w:color="auto"/>
                          <w:right w:val="single" w:sz="4" w:space="0" w:color="000000"/>
                        </w:tcBorders>
                      </w:tcPr>
                      <w:p>
                        <w:pPr/>
                      </w:p>
                    </w:tc>
                    <w:tc>
                      <w:tcPr>
                        <w:tcW w:w="363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并根据本人董监高任职情况分期解锁或锁定。</w:t>
                        </w:r>
                      </w:p>
                    </w:tc>
                  </w:tr>
                  <w:tr>
                    <w:trPr>
                      <w:trHeight w:val="318" w:hRule="exact"/>
                    </w:trPr>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钟勇</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pacing w:val="-1"/>
                            <w:sz w:val="18"/>
                          </w:rPr>
                          <w:t>1,600,000</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3"/>
                          <w:jc w:val="right"/>
                          <w:rPr>
                            <w:rFonts w:ascii="Times New Roman" w:hAnsi="Times New Roman" w:cs="Times New Roman" w:eastAsia="Times New Roman" w:hint="default"/>
                            <w:sz w:val="18"/>
                            <w:szCs w:val="18"/>
                          </w:rPr>
                        </w:pPr>
                        <w:r>
                          <w:rPr>
                            <w:rFonts w:ascii="Times New Roman"/>
                            <w:sz w:val="18"/>
                          </w:rPr>
                          <w:t>0</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9"/>
                          <w:jc w:val="right"/>
                          <w:rPr>
                            <w:rFonts w:ascii="Times New Roman" w:hAnsi="Times New Roman" w:cs="Times New Roman" w:eastAsia="Times New Roman" w:hint="default"/>
                            <w:sz w:val="18"/>
                            <w:szCs w:val="18"/>
                          </w:rPr>
                        </w:pPr>
                        <w:r>
                          <w:rPr>
                            <w:rFonts w:ascii="Times New Roman"/>
                            <w:spacing w:val="-1"/>
                            <w:sz w:val="18"/>
                          </w:rPr>
                          <w:t>-400,000</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9"/>
                          <w:jc w:val="right"/>
                          <w:rPr>
                            <w:rFonts w:ascii="Times New Roman" w:hAnsi="Times New Roman" w:cs="Times New Roman" w:eastAsia="Times New Roman" w:hint="default"/>
                            <w:sz w:val="18"/>
                            <w:szCs w:val="18"/>
                          </w:rPr>
                        </w:pPr>
                        <w:r>
                          <w:rPr>
                            <w:rFonts w:ascii="Times New Roman"/>
                            <w:spacing w:val="-1"/>
                            <w:sz w:val="18"/>
                          </w:rPr>
                          <w:t>1,200,000</w:t>
                        </w:r>
                      </w:p>
                    </w:tc>
                    <w:tc>
                      <w:tcPr>
                        <w:tcW w:w="18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363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、钟勇先生于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日离任公司职</w:t>
                        </w:r>
                      </w:p>
                    </w:tc>
                  </w:tr>
                  <w:tr>
                    <w:trPr>
                      <w:trHeight w:val="306" w:hRule="exact"/>
                    </w:trPr>
                    <w:tc>
                      <w:tcPr>
                        <w:tcW w:w="1164"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846" w:type="dxa"/>
                        <w:tcBorders>
                          <w:top w:val="nil" w:sz="6" w:space="0" w:color="auto"/>
                          <w:left w:val="single" w:sz="4" w:space="0" w:color="000000"/>
                          <w:bottom w:val="nil" w:sz="6" w:space="0" w:color="auto"/>
                          <w:right w:val="single" w:sz="4" w:space="0" w:color="000000"/>
                        </w:tcBorders>
                      </w:tcPr>
                      <w:p>
                        <w:pPr/>
                      </w:p>
                    </w:tc>
                    <w:tc>
                      <w:tcPr>
                        <w:tcW w:w="363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1" w:right="0"/>
                          <w:jc w:val="left"/>
                          <w:rPr>
                            <w:rFonts w:ascii="宋体" w:hAnsi="宋体" w:cs="宋体" w:eastAsia="宋体" w:hint="default"/>
                            <w:sz w:val="18"/>
                            <w:szCs w:val="18"/>
                          </w:rPr>
                        </w:pPr>
                        <w:r>
                          <w:rPr>
                            <w:rFonts w:ascii="宋体" w:hAnsi="宋体" w:cs="宋体" w:eastAsia="宋体" w:hint="default"/>
                            <w:sz w:val="18"/>
                            <w:szCs w:val="18"/>
                          </w:rPr>
                          <w:t>工代表监事，本报告期内钟勇先生所持高管锁</w:t>
                        </w:r>
                      </w:p>
                    </w:tc>
                  </w:tr>
                  <w:tr>
                    <w:trPr>
                      <w:trHeight w:val="317" w:hRule="exact"/>
                    </w:trPr>
                    <w:tc>
                      <w:tcPr>
                        <w:tcW w:w="1164"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846" w:type="dxa"/>
                        <w:tcBorders>
                          <w:top w:val="nil" w:sz="6" w:space="0" w:color="auto"/>
                          <w:left w:val="single" w:sz="4" w:space="0" w:color="000000"/>
                          <w:bottom w:val="nil" w:sz="6" w:space="0" w:color="auto"/>
                          <w:right w:val="single" w:sz="4" w:space="0" w:color="000000"/>
                        </w:tcBorders>
                      </w:tcPr>
                      <w:p>
                        <w:pPr/>
                      </w:p>
                    </w:tc>
                    <w:tc>
                      <w:tcPr>
                        <w:tcW w:w="363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定股因离任已满半年于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月解除锁定</w:t>
                        </w:r>
                      </w:p>
                    </w:tc>
                  </w:tr>
                  <w:tr>
                    <w:trPr>
                      <w:trHeight w:val="355" w:hRule="exact"/>
                    </w:trPr>
                    <w:tc>
                      <w:tcPr>
                        <w:tcW w:w="1164"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4" w:space="0" w:color="000000"/>
                          <w:right w:val="single" w:sz="4" w:space="0" w:color="000000"/>
                        </w:tcBorders>
                      </w:tcPr>
                      <w:p>
                        <w:pPr/>
                      </w:p>
                    </w:tc>
                    <w:tc>
                      <w:tcPr>
                        <w:tcW w:w="1846" w:type="dxa"/>
                        <w:tcBorders>
                          <w:top w:val="nil" w:sz="6" w:space="0" w:color="auto"/>
                          <w:left w:val="single" w:sz="4" w:space="0" w:color="000000"/>
                          <w:bottom w:val="single" w:sz="4" w:space="0" w:color="000000"/>
                          <w:right w:val="single" w:sz="4" w:space="0" w:color="000000"/>
                        </w:tcBorders>
                      </w:tcPr>
                      <w:p>
                        <w:pPr/>
                      </w:p>
                    </w:tc>
                    <w:tc>
                      <w:tcPr>
                        <w:tcW w:w="36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360" w:hRule="exact"/>
                    </w:trPr>
                    <w:tc>
                      <w:tcPr>
                        <w:tcW w:w="1164"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
                    </w:tc>
                    <w:tc>
                      <w:tcPr>
                        <w:tcW w:w="1841"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
                    </w:tc>
                    <w:tc>
                      <w:tcPr>
                        <w:tcW w:w="1841" w:type="dxa"/>
                        <w:tcBorders>
                          <w:top w:val="single" w:sz="4" w:space="0" w:color="000000"/>
                          <w:left w:val="single" w:sz="4" w:space="0" w:color="000000"/>
                          <w:bottom w:val="nil" w:sz="6" w:space="0" w:color="auto"/>
                          <w:right w:val="single" w:sz="4" w:space="0" w:color="000000"/>
                        </w:tcBorders>
                      </w:tcPr>
                      <w:p>
                        <w:pPr/>
                      </w:p>
                    </w:tc>
                    <w:tc>
                      <w:tcPr>
                        <w:tcW w:w="1846" w:type="dxa"/>
                        <w:tcBorders>
                          <w:top w:val="single" w:sz="4" w:space="0" w:color="000000"/>
                          <w:left w:val="single" w:sz="4" w:space="0" w:color="000000"/>
                          <w:bottom w:val="nil" w:sz="6" w:space="0" w:color="auto"/>
                          <w:right w:val="single" w:sz="4" w:space="0" w:color="000000"/>
                        </w:tcBorders>
                      </w:tcPr>
                      <w:p>
                        <w:pPr/>
                      </w:p>
                    </w:tc>
                    <w:tc>
                      <w:tcPr>
                        <w:tcW w:w="36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、首发前限售股份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528,096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p>
                    </w:tc>
                  </w:tr>
                  <w:tr>
                    <w:trPr>
                      <w:trHeight w:val="312" w:hRule="exact"/>
                    </w:trPr>
                    <w:tc>
                      <w:tcPr>
                        <w:tcW w:w="1164"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846" w:type="dxa"/>
                        <w:tcBorders>
                          <w:top w:val="nil" w:sz="6" w:space="0" w:color="auto"/>
                          <w:left w:val="single" w:sz="4" w:space="0" w:color="000000"/>
                          <w:bottom w:val="nil" w:sz="6" w:space="0" w:color="auto"/>
                          <w:right w:val="single" w:sz="4" w:space="0" w:color="000000"/>
                        </w:tcBorders>
                      </w:tcPr>
                      <w:p>
                        <w:pPr/>
                      </w:p>
                    </w:tc>
                    <w:tc>
                      <w:tcPr>
                        <w:tcW w:w="363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日解限（其中高管锁定股</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宋体" w:hAnsi="宋体" w:cs="宋体" w:eastAsia="宋体" w:hint="default"/>
                            <w:spacing w:val="-92"/>
                            <w:sz w:val="18"/>
                            <w:szCs w:val="18"/>
                          </w:rPr>
                          <w:t>）</w:t>
                        </w:r>
                        <w:r>
                          <w:rPr>
                            <w:rFonts w:ascii="宋体" w:hAnsi="宋体" w:cs="宋体" w:eastAsia="宋体" w:hint="default"/>
                            <w:sz w:val="18"/>
                            <w:szCs w:val="18"/>
                          </w:rPr>
                          <w:t>，并</w:t>
                        </w:r>
                      </w:p>
                    </w:tc>
                  </w:tr>
                  <w:tr>
                    <w:trPr>
                      <w:trHeight w:val="624" w:hRule="exact"/>
                    </w:trPr>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刘厚军</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448,796</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5"/>
                            <w:sz w:val="18"/>
                          </w:rPr>
                          <w:t>-112,199</w:t>
                        </w:r>
                        <w:r>
                          <w:rPr>
                            <w:rFonts w:ascii="Times New Roman"/>
                            <w:spacing w:val="-1"/>
                            <w:sz w:val="18"/>
                          </w:rPr>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336,597</w:t>
                        </w:r>
                      </w:p>
                    </w:tc>
                    <w:tc>
                      <w:tcPr>
                        <w:tcW w:w="1846"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3639"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1" w:right="22"/>
                          <w:jc w:val="left"/>
                          <w:rPr>
                            <w:rFonts w:ascii="宋体" w:hAnsi="宋体" w:cs="宋体" w:eastAsia="宋体" w:hint="default"/>
                            <w:sz w:val="18"/>
                            <w:szCs w:val="18"/>
                          </w:rPr>
                        </w:pPr>
                        <w:r>
                          <w:rPr>
                            <w:rFonts w:ascii="宋体" w:hAnsi="宋体" w:cs="宋体" w:eastAsia="宋体" w:hint="default"/>
                            <w:sz w:val="18"/>
                            <w:szCs w:val="18"/>
                          </w:rPr>
                          <w:t>根据本人董监高任职情况分期解锁。</w:t>
                        </w:r>
                        <w:r>
                          <w:rPr>
                            <w:rFonts w:ascii="Times New Roman" w:hAnsi="Times New Roman" w:cs="Times New Roman" w:eastAsia="Times New Roman" w:hint="default"/>
                            <w:sz w:val="18"/>
                            <w:szCs w:val="18"/>
                          </w:rPr>
                          <w:t>2</w:t>
                        </w:r>
                        <w:r>
                          <w:rPr>
                            <w:rFonts w:ascii="宋体" w:hAnsi="宋体" w:cs="宋体" w:eastAsia="宋体" w:hint="default"/>
                            <w:sz w:val="18"/>
                            <w:szCs w:val="18"/>
                          </w:rPr>
                          <w:t>、刘厚 军先生于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日离任财务总监，本</w:t>
                        </w:r>
                      </w:p>
                    </w:tc>
                  </w:tr>
                  <w:tr>
                    <w:trPr>
                      <w:trHeight w:val="307" w:hRule="exact"/>
                    </w:trPr>
                    <w:tc>
                      <w:tcPr>
                        <w:tcW w:w="1164"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846" w:type="dxa"/>
                        <w:tcBorders>
                          <w:top w:val="nil" w:sz="6" w:space="0" w:color="auto"/>
                          <w:left w:val="single" w:sz="4" w:space="0" w:color="000000"/>
                          <w:bottom w:val="nil" w:sz="6" w:space="0" w:color="auto"/>
                          <w:right w:val="single" w:sz="4" w:space="0" w:color="000000"/>
                        </w:tcBorders>
                      </w:tcPr>
                      <w:p>
                        <w:pPr/>
                      </w:p>
                    </w:tc>
                    <w:tc>
                      <w:tcPr>
                        <w:tcW w:w="363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报告期内刘厚军先生所持高管锁定股因离任</w:t>
                        </w:r>
                      </w:p>
                    </w:tc>
                  </w:tr>
                  <w:tr>
                    <w:trPr>
                      <w:trHeight w:val="360" w:hRule="exact"/>
                    </w:trPr>
                    <w:tc>
                      <w:tcPr>
                        <w:tcW w:w="1164"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4" w:space="0" w:color="000000"/>
                          <w:right w:val="single" w:sz="4" w:space="0" w:color="000000"/>
                        </w:tcBorders>
                      </w:tcPr>
                      <w:p>
                        <w:pPr/>
                      </w:p>
                    </w:tc>
                    <w:tc>
                      <w:tcPr>
                        <w:tcW w:w="1846" w:type="dxa"/>
                        <w:tcBorders>
                          <w:top w:val="nil" w:sz="6" w:space="0" w:color="auto"/>
                          <w:left w:val="single" w:sz="4" w:space="0" w:color="000000"/>
                          <w:bottom w:val="single" w:sz="4" w:space="0" w:color="000000"/>
                          <w:right w:val="single" w:sz="4" w:space="0" w:color="000000"/>
                        </w:tcBorders>
                      </w:tcPr>
                      <w:p>
                        <w:pPr/>
                      </w:p>
                    </w:tc>
                    <w:tc>
                      <w:tcPr>
                        <w:tcW w:w="36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34"/>
                          <w:jc w:val="left"/>
                          <w:rPr>
                            <w:rFonts w:ascii="宋体" w:hAnsi="宋体" w:cs="宋体" w:eastAsia="宋体" w:hint="default"/>
                            <w:sz w:val="18"/>
                            <w:szCs w:val="18"/>
                          </w:rPr>
                        </w:pPr>
                        <w:r>
                          <w:rPr>
                            <w:rFonts w:ascii="宋体" w:hAnsi="宋体" w:cs="宋体" w:eastAsia="宋体" w:hint="default"/>
                            <w:sz w:val="18"/>
                            <w:szCs w:val="18"/>
                          </w:rPr>
                          <w:t>已满半年于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月解除锁定</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112,199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40" w:lineRule="auto" w:before="44"/>
        <w:ind w:left="0" w:right="13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before="44"/>
        <w:ind w:left="0" w:right="104"/>
        <w:jc w:val="right"/>
      </w:pPr>
      <w:r>
        <w:rPr/>
        <w:t>，</w:t>
      </w:r>
    </w:p>
    <w:p>
      <w:pPr>
        <w:spacing w:after="0" w:line="240" w:lineRule="auto"/>
        <w:jc w:val="right"/>
        <w:sectPr>
          <w:pgSz w:w="16840" w:h="11910" w:orient="landscape"/>
          <w:pgMar w:header="867" w:footer="980" w:top="1060" w:bottom="1160" w:left="1300" w:right="124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164"/>
        <w:gridCol w:w="1843"/>
        <w:gridCol w:w="1841"/>
        <w:gridCol w:w="1843"/>
        <w:gridCol w:w="1841"/>
        <w:gridCol w:w="1846"/>
        <w:gridCol w:w="3639"/>
      </w:tblGrid>
      <w:tr>
        <w:trPr>
          <w:trHeight w:val="376" w:hRule="exact"/>
        </w:trPr>
        <w:tc>
          <w:tcPr>
            <w:tcW w:w="1164" w:type="dxa"/>
            <w:tcBorders>
              <w:top w:val="single" w:sz="15" w:space="0" w:color="000000"/>
              <w:left w:val="single" w:sz="4" w:space="0" w:color="000000"/>
              <w:bottom w:val="nil" w:sz="6" w:space="0" w:color="auto"/>
              <w:right w:val="single" w:sz="4" w:space="0" w:color="000000"/>
            </w:tcBorders>
          </w:tcPr>
          <w:p>
            <w:pPr/>
          </w:p>
        </w:tc>
        <w:tc>
          <w:tcPr>
            <w:tcW w:w="1843" w:type="dxa"/>
            <w:tcBorders>
              <w:top w:val="single" w:sz="15" w:space="0" w:color="000000"/>
              <w:left w:val="single" w:sz="4" w:space="0" w:color="000000"/>
              <w:bottom w:val="nil" w:sz="6" w:space="0" w:color="auto"/>
              <w:right w:val="single" w:sz="4" w:space="0" w:color="000000"/>
            </w:tcBorders>
          </w:tcPr>
          <w:p>
            <w:pPr/>
          </w:p>
        </w:tc>
        <w:tc>
          <w:tcPr>
            <w:tcW w:w="1841" w:type="dxa"/>
            <w:tcBorders>
              <w:top w:val="single" w:sz="15" w:space="0" w:color="000000"/>
              <w:left w:val="single" w:sz="4" w:space="0" w:color="000000"/>
              <w:bottom w:val="nil" w:sz="6" w:space="0" w:color="auto"/>
              <w:right w:val="single" w:sz="4" w:space="0" w:color="000000"/>
            </w:tcBorders>
          </w:tcPr>
          <w:p>
            <w:pPr/>
          </w:p>
        </w:tc>
        <w:tc>
          <w:tcPr>
            <w:tcW w:w="1843" w:type="dxa"/>
            <w:vMerge w:val="restart"/>
            <w:tcBorders>
              <w:top w:val="single" w:sz="15" w:space="0" w:color="000000"/>
              <w:left w:val="single" w:sz="4" w:space="0" w:color="000000"/>
              <w:right w:val="single" w:sz="4" w:space="0" w:color="000000"/>
            </w:tcBorders>
          </w:tcPr>
          <w:p>
            <w:pPr/>
          </w:p>
        </w:tc>
        <w:tc>
          <w:tcPr>
            <w:tcW w:w="1841" w:type="dxa"/>
            <w:tcBorders>
              <w:top w:val="single" w:sz="15" w:space="0" w:color="000000"/>
              <w:left w:val="single" w:sz="4" w:space="0" w:color="000000"/>
              <w:bottom w:val="nil" w:sz="6" w:space="0" w:color="auto"/>
              <w:right w:val="single" w:sz="4" w:space="0" w:color="000000"/>
            </w:tcBorders>
          </w:tcPr>
          <w:p>
            <w:pPr/>
          </w:p>
        </w:tc>
        <w:tc>
          <w:tcPr>
            <w:tcW w:w="1846" w:type="dxa"/>
            <w:tcBorders>
              <w:top w:val="single" w:sz="15" w:space="0" w:color="000000"/>
              <w:left w:val="single" w:sz="4" w:space="0" w:color="000000"/>
              <w:bottom w:val="nil" w:sz="6" w:space="0" w:color="auto"/>
              <w:right w:val="single" w:sz="4" w:space="0" w:color="000000"/>
            </w:tcBorders>
          </w:tcPr>
          <w:p>
            <w:pPr/>
          </w:p>
        </w:tc>
        <w:tc>
          <w:tcPr>
            <w:tcW w:w="363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、翁小雄女士于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日离任第二</w:t>
            </w:r>
          </w:p>
        </w:tc>
      </w:tr>
      <w:tr>
        <w:trPr>
          <w:trHeight w:val="306" w:hRule="exact"/>
        </w:trPr>
        <w:tc>
          <w:tcPr>
            <w:tcW w:w="1164"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843" w:type="dxa"/>
            <w:vMerge/>
            <w:tcBorders>
              <w:left w:val="single" w:sz="4" w:space="0" w:color="000000"/>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846" w:type="dxa"/>
            <w:tcBorders>
              <w:top w:val="nil" w:sz="6" w:space="0" w:color="auto"/>
              <w:left w:val="single" w:sz="4" w:space="0" w:color="000000"/>
              <w:bottom w:val="nil" w:sz="6" w:space="0" w:color="auto"/>
              <w:right w:val="single" w:sz="4" w:space="0" w:color="000000"/>
            </w:tcBorders>
          </w:tcPr>
          <w:p>
            <w:pPr/>
          </w:p>
        </w:tc>
        <w:tc>
          <w:tcPr>
            <w:tcW w:w="363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1" w:right="0"/>
              <w:jc w:val="left"/>
              <w:rPr>
                <w:rFonts w:ascii="宋体" w:hAnsi="宋体" w:cs="宋体" w:eastAsia="宋体" w:hint="default"/>
                <w:sz w:val="18"/>
                <w:szCs w:val="18"/>
              </w:rPr>
            </w:pPr>
            <w:r>
              <w:rPr>
                <w:rFonts w:ascii="宋体" w:hAnsi="宋体" w:cs="宋体" w:eastAsia="宋体" w:hint="default"/>
                <w:sz w:val="18"/>
                <w:szCs w:val="18"/>
              </w:rPr>
              <w:t>届董事会独立董事，根据法律规定，其在公司</w:t>
            </w:r>
          </w:p>
        </w:tc>
      </w:tr>
      <w:tr>
        <w:trPr>
          <w:trHeight w:val="312" w:hRule="exact"/>
        </w:trPr>
        <w:tc>
          <w:tcPr>
            <w:tcW w:w="1164"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843" w:type="dxa"/>
            <w:vMerge/>
            <w:tcBorders>
              <w:left w:val="single" w:sz="4" w:space="0" w:color="000000"/>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846" w:type="dxa"/>
            <w:tcBorders>
              <w:top w:val="nil" w:sz="6" w:space="0" w:color="auto"/>
              <w:left w:val="single" w:sz="4" w:space="0" w:color="000000"/>
              <w:bottom w:val="nil" w:sz="6" w:space="0" w:color="auto"/>
              <w:right w:val="single" w:sz="4" w:space="0" w:color="000000"/>
            </w:tcBorders>
          </w:tcPr>
          <w:p>
            <w:pPr/>
          </w:p>
        </w:tc>
        <w:tc>
          <w:tcPr>
            <w:tcW w:w="363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第二届董事会任期届满前应继续遵守上市公</w:t>
            </w:r>
          </w:p>
        </w:tc>
      </w:tr>
      <w:tr>
        <w:trPr>
          <w:trHeight w:val="318" w:hRule="exact"/>
        </w:trPr>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翁小雄</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3"/>
              <w:jc w:val="right"/>
              <w:rPr>
                <w:rFonts w:ascii="Times New Roman" w:hAnsi="Times New Roman" w:cs="Times New Roman" w:eastAsia="Times New Roman" w:hint="default"/>
                <w:sz w:val="18"/>
                <w:szCs w:val="18"/>
              </w:rPr>
            </w:pPr>
            <w:r>
              <w:rPr>
                <w:rFonts w:ascii="Times New Roman"/>
                <w:sz w:val="18"/>
              </w:rPr>
              <w:t>0</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9"/>
              <w:jc w:val="right"/>
              <w:rPr>
                <w:rFonts w:ascii="Times New Roman" w:hAnsi="Times New Roman" w:cs="Times New Roman" w:eastAsia="Times New Roman" w:hint="default"/>
                <w:sz w:val="18"/>
                <w:szCs w:val="18"/>
              </w:rPr>
            </w:pPr>
            <w:r>
              <w:rPr>
                <w:rFonts w:ascii="Times New Roman"/>
                <w:sz w:val="18"/>
              </w:rPr>
              <w:t>750</w:t>
            </w:r>
          </w:p>
        </w:tc>
        <w:tc>
          <w:tcPr>
            <w:tcW w:w="1843" w:type="dxa"/>
            <w:vMerge/>
            <w:tcBorders>
              <w:left w:val="single" w:sz="4" w:space="0" w:color="000000"/>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7"/>
              <w:jc w:val="right"/>
              <w:rPr>
                <w:rFonts w:ascii="Times New Roman" w:hAnsi="Times New Roman" w:cs="Times New Roman" w:eastAsia="Times New Roman" w:hint="default"/>
                <w:sz w:val="18"/>
                <w:szCs w:val="18"/>
              </w:rPr>
            </w:pPr>
            <w:r>
              <w:rPr>
                <w:rFonts w:ascii="Times New Roman"/>
                <w:sz w:val="18"/>
              </w:rPr>
              <w:t>750</w:t>
            </w:r>
          </w:p>
        </w:tc>
        <w:tc>
          <w:tcPr>
            <w:tcW w:w="18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363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司股东及董监高减持股份的相关限制性规定。</w:t>
            </w:r>
          </w:p>
        </w:tc>
      </w:tr>
      <w:tr>
        <w:trPr>
          <w:trHeight w:val="311" w:hRule="exact"/>
        </w:trPr>
        <w:tc>
          <w:tcPr>
            <w:tcW w:w="1164"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843" w:type="dxa"/>
            <w:vMerge/>
            <w:tcBorders>
              <w:left w:val="single" w:sz="4" w:space="0" w:color="000000"/>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846" w:type="dxa"/>
            <w:tcBorders>
              <w:top w:val="nil" w:sz="6" w:space="0" w:color="auto"/>
              <w:left w:val="single" w:sz="4" w:space="0" w:color="000000"/>
              <w:bottom w:val="nil" w:sz="6" w:space="0" w:color="auto"/>
              <w:right w:val="single" w:sz="4" w:space="0" w:color="000000"/>
            </w:tcBorders>
          </w:tcPr>
          <w:p>
            <w:pPr/>
          </w:p>
        </w:tc>
        <w:tc>
          <w:tcPr>
            <w:tcW w:w="363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、本报告期内，翁小雄女士因于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r>
      <w:tr>
        <w:trPr>
          <w:trHeight w:val="312" w:hRule="exact"/>
        </w:trPr>
        <w:tc>
          <w:tcPr>
            <w:tcW w:w="1164"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843" w:type="dxa"/>
            <w:vMerge/>
            <w:tcBorders>
              <w:left w:val="single" w:sz="4" w:space="0" w:color="000000"/>
              <w:right w:val="single" w:sz="4" w:space="0" w:color="000000"/>
            </w:tcBorders>
          </w:tcPr>
          <w:p>
            <w:pPr/>
          </w:p>
        </w:tc>
        <w:tc>
          <w:tcPr>
            <w:tcW w:w="1841" w:type="dxa"/>
            <w:tcBorders>
              <w:top w:val="nil" w:sz="6" w:space="0" w:color="auto"/>
              <w:left w:val="single" w:sz="4" w:space="0" w:color="000000"/>
              <w:bottom w:val="nil" w:sz="6" w:space="0" w:color="auto"/>
              <w:right w:val="single" w:sz="4" w:space="0" w:color="000000"/>
            </w:tcBorders>
          </w:tcPr>
          <w:p>
            <w:pPr/>
          </w:p>
        </w:tc>
        <w:tc>
          <w:tcPr>
            <w:tcW w:w="1846" w:type="dxa"/>
            <w:tcBorders>
              <w:top w:val="nil" w:sz="6" w:space="0" w:color="auto"/>
              <w:left w:val="single" w:sz="4" w:space="0" w:color="000000"/>
              <w:bottom w:val="nil" w:sz="6" w:space="0" w:color="auto"/>
              <w:right w:val="single" w:sz="4" w:space="0" w:color="000000"/>
            </w:tcBorders>
          </w:tcPr>
          <w:p>
            <w:pPr/>
          </w:p>
        </w:tc>
        <w:tc>
          <w:tcPr>
            <w:tcW w:w="363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买入公司股票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股，新增高管锁定股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750</w:t>
            </w:r>
          </w:p>
        </w:tc>
      </w:tr>
      <w:tr>
        <w:trPr>
          <w:trHeight w:val="355" w:hRule="exact"/>
        </w:trPr>
        <w:tc>
          <w:tcPr>
            <w:tcW w:w="1164"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4" w:space="0" w:color="000000"/>
              <w:right w:val="single" w:sz="4" w:space="0" w:color="000000"/>
            </w:tcBorders>
          </w:tcPr>
          <w:p>
            <w:pPr/>
          </w:p>
        </w:tc>
        <w:tc>
          <w:tcPr>
            <w:tcW w:w="1843" w:type="dxa"/>
            <w:vMerge/>
            <w:tcBorders>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4" w:space="0" w:color="000000"/>
              <w:right w:val="single" w:sz="4" w:space="0" w:color="000000"/>
            </w:tcBorders>
          </w:tcPr>
          <w:p>
            <w:pPr/>
          </w:p>
        </w:tc>
        <w:tc>
          <w:tcPr>
            <w:tcW w:w="1846" w:type="dxa"/>
            <w:tcBorders>
              <w:top w:val="nil" w:sz="6" w:space="0" w:color="auto"/>
              <w:left w:val="single" w:sz="4" w:space="0" w:color="000000"/>
              <w:bottom w:val="single" w:sz="4" w:space="0" w:color="000000"/>
              <w:right w:val="single" w:sz="4" w:space="0" w:color="000000"/>
            </w:tcBorders>
          </w:tcPr>
          <w:p>
            <w:pPr/>
          </w:p>
        </w:tc>
        <w:tc>
          <w:tcPr>
            <w:tcW w:w="36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361" w:hRule="exact"/>
        </w:trPr>
        <w:tc>
          <w:tcPr>
            <w:tcW w:w="11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年限制性</w:t>
            </w:r>
          </w:p>
        </w:tc>
        <w:tc>
          <w:tcPr>
            <w:tcW w:w="1843" w:type="dxa"/>
            <w:tcBorders>
              <w:top w:val="single" w:sz="4" w:space="0" w:color="000000"/>
              <w:left w:val="single" w:sz="4" w:space="0" w:color="000000"/>
              <w:bottom w:val="nil" w:sz="6" w:space="0" w:color="auto"/>
              <w:right w:val="single" w:sz="4" w:space="0" w:color="000000"/>
            </w:tcBorders>
          </w:tcPr>
          <w:p>
            <w:pPr/>
          </w:p>
        </w:tc>
        <w:tc>
          <w:tcPr>
            <w:tcW w:w="1841"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
        </w:tc>
        <w:tc>
          <w:tcPr>
            <w:tcW w:w="1841" w:type="dxa"/>
            <w:tcBorders>
              <w:top w:val="single" w:sz="4" w:space="0" w:color="000000"/>
              <w:left w:val="single" w:sz="4" w:space="0" w:color="000000"/>
              <w:bottom w:val="nil" w:sz="6" w:space="0" w:color="auto"/>
              <w:right w:val="single" w:sz="4" w:space="0" w:color="000000"/>
            </w:tcBorders>
          </w:tcPr>
          <w:p>
            <w:pPr/>
          </w:p>
        </w:tc>
        <w:tc>
          <w:tcPr>
            <w:tcW w:w="1846" w:type="dxa"/>
            <w:tcBorders>
              <w:top w:val="single" w:sz="4" w:space="0" w:color="000000"/>
              <w:left w:val="single" w:sz="4" w:space="0" w:color="000000"/>
              <w:bottom w:val="nil" w:sz="6" w:space="0" w:color="auto"/>
              <w:right w:val="single" w:sz="4" w:space="0" w:color="000000"/>
            </w:tcBorders>
          </w:tcPr>
          <w:p>
            <w:pPr/>
          </w:p>
        </w:tc>
        <w:tc>
          <w:tcPr>
            <w:tcW w:w="3639" w:type="dxa"/>
            <w:tcBorders>
              <w:top w:val="single" w:sz="4" w:space="0" w:color="000000"/>
              <w:left w:val="single" w:sz="4" w:space="0" w:color="000000"/>
              <w:bottom w:val="nil" w:sz="6" w:space="0" w:color="auto"/>
              <w:right w:val="single" w:sz="4" w:space="0" w:color="000000"/>
            </w:tcBorders>
          </w:tcPr>
          <w:p>
            <w:pPr/>
          </w:p>
        </w:tc>
      </w:tr>
      <w:tr>
        <w:trPr>
          <w:trHeight w:val="619" w:hRule="exact"/>
        </w:trPr>
        <w:tc>
          <w:tcPr>
            <w:tcW w:w="1164"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3" w:right="48"/>
              <w:jc w:val="left"/>
              <w:rPr>
                <w:rFonts w:ascii="宋体" w:hAnsi="宋体" w:cs="宋体" w:eastAsia="宋体" w:hint="default"/>
                <w:sz w:val="18"/>
                <w:szCs w:val="18"/>
              </w:rPr>
            </w:pPr>
            <w:r>
              <w:rPr>
                <w:rFonts w:ascii="宋体" w:hAnsi="宋体" w:cs="宋体" w:eastAsia="宋体" w:hint="default"/>
                <w:sz w:val="18"/>
                <w:szCs w:val="18"/>
              </w:rPr>
              <w:t>股票计划首次 授予激励对象</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2,718,161</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2,718,161</w:t>
            </w:r>
          </w:p>
        </w:tc>
        <w:tc>
          <w:tcPr>
            <w:tcW w:w="1846"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3639"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1" w:right="185"/>
              <w:jc w:val="left"/>
              <w:rPr>
                <w:rFonts w:ascii="宋体" w:hAnsi="宋体" w:cs="宋体" w:eastAsia="宋体" w:hint="default"/>
                <w:sz w:val="18"/>
                <w:szCs w:val="18"/>
              </w:rPr>
            </w:pPr>
            <w:r>
              <w:rPr>
                <w:rFonts w:ascii="宋体" w:hAnsi="宋体" w:cs="宋体" w:eastAsia="宋体" w:hint="default"/>
                <w:sz w:val="18"/>
                <w:szCs w:val="18"/>
              </w:rPr>
              <w:t>股权激励限售股解锁安排根据公司限制性股 票激励计划相关规定执行</w:t>
            </w:r>
          </w:p>
        </w:tc>
      </w:tr>
      <w:tr>
        <w:trPr>
          <w:trHeight w:val="357" w:hRule="exact"/>
        </w:trPr>
        <w:tc>
          <w:tcPr>
            <w:tcW w:w="11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 </w:t>
            </w:r>
            <w:r>
              <w:rPr>
                <w:rFonts w:ascii="宋体" w:hAnsi="宋体" w:cs="宋体" w:eastAsia="宋体" w:hint="default"/>
                <w:sz w:val="18"/>
                <w:szCs w:val="18"/>
              </w:rPr>
              <w:t>人</w:t>
            </w:r>
          </w:p>
        </w:tc>
        <w:tc>
          <w:tcPr>
            <w:tcW w:w="1843" w:type="dxa"/>
            <w:tcBorders>
              <w:top w:val="nil" w:sz="6" w:space="0" w:color="auto"/>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4" w:space="0" w:color="000000"/>
              <w:right w:val="single" w:sz="4" w:space="0" w:color="000000"/>
            </w:tcBorders>
          </w:tcPr>
          <w:p>
            <w:pPr/>
          </w:p>
        </w:tc>
        <w:tc>
          <w:tcPr>
            <w:tcW w:w="1846" w:type="dxa"/>
            <w:tcBorders>
              <w:top w:val="nil" w:sz="6" w:space="0" w:color="auto"/>
              <w:left w:val="single" w:sz="4" w:space="0" w:color="000000"/>
              <w:bottom w:val="single" w:sz="4" w:space="0" w:color="000000"/>
              <w:right w:val="single" w:sz="4" w:space="0" w:color="000000"/>
            </w:tcBorders>
          </w:tcPr>
          <w:p>
            <w:pPr/>
          </w:p>
        </w:tc>
        <w:tc>
          <w:tcPr>
            <w:tcW w:w="3639"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72,798,446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3,205,905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-1,477,170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74,527,181</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3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6840" w:h="11910" w:orient="landscape"/>
          <w:pgMar w:header="867" w:footer="980" w:top="1060" w:bottom="1160" w:left="1300" w:right="1280"/>
        </w:sectPr>
      </w:pPr>
    </w:p>
    <w:p>
      <w:pPr>
        <w:spacing w:line="240" w:lineRule="auto" w:before="5"/>
        <w:rPr>
          <w:rFonts w:ascii="Times New Roman" w:hAnsi="Times New Roman" w:cs="Times New Roman" w:eastAsia="Times New Roman" w:hint="default"/>
          <w:sz w:val="22"/>
          <w:szCs w:val="22"/>
        </w:rPr>
      </w:pPr>
    </w:p>
    <w:p>
      <w:pPr>
        <w:pStyle w:val="Heading2"/>
        <w:spacing w:line="367" w:lineRule="exact"/>
        <w:ind w:right="967"/>
        <w:jc w:val="left"/>
        <w:rPr>
          <w:b w:val="0"/>
          <w:bCs w:val="0"/>
        </w:rPr>
      </w:pPr>
      <w:r>
        <w:rPr/>
        <w:t>二、证券发行与上市情况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967"/>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2"/>
        <w:gridCol w:w="1294"/>
        <w:gridCol w:w="1296"/>
        <w:gridCol w:w="1294"/>
        <w:gridCol w:w="1296"/>
        <w:gridCol w:w="1297"/>
        <w:gridCol w:w="1682"/>
      </w:tblGrid>
      <w:tr>
        <w:trPr>
          <w:trHeight w:val="713"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69"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3" w:right="23"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3" w:right="101"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3"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9"/>
              <w:jc w:val="left"/>
              <w:rPr>
                <w:rFonts w:ascii="宋体" w:hAnsi="宋体" w:cs="宋体" w:eastAsia="宋体" w:hint="default"/>
                <w:sz w:val="18"/>
                <w:szCs w:val="18"/>
              </w:rPr>
            </w:pPr>
            <w:r>
              <w:rPr>
                <w:rFonts w:ascii="宋体" w:hAnsi="宋体" w:cs="宋体" w:eastAsia="宋体" w:hint="default"/>
                <w:spacing w:val="-3"/>
                <w:sz w:val="18"/>
                <w:szCs w:val="18"/>
              </w:rPr>
              <w:t>人民币普通股（</w:t>
            </w:r>
            <w:r>
              <w:rPr>
                <w:rFonts w:ascii="Times New Roman" w:hAnsi="Times New Roman" w:cs="Times New Roman" w:eastAsia="Times New Roman" w:hint="default"/>
                <w:spacing w:val="-3"/>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21.64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2,718,161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2,718,161</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240" w:lineRule="auto" w:before="49"/>
        <w:ind w:right="0"/>
        <w:jc w:val="both"/>
      </w:pPr>
      <w:r>
        <w:rPr/>
        <w:t>报告期内证券发行（不含优先股）情况的说明</w:t>
      </w:r>
    </w:p>
    <w:p>
      <w:pPr>
        <w:pStyle w:val="BodyText"/>
        <w:spacing w:line="300" w:lineRule="auto" w:before="117"/>
        <w:ind w:right="1129"/>
        <w:jc w:val="both"/>
      </w:pP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月实施</w:t>
      </w:r>
      <w:r>
        <w:rPr>
          <w:rFonts w:ascii="Times New Roman" w:hAnsi="Times New Roman" w:cs="Times New Roman" w:eastAsia="Times New Roman" w:hint="default"/>
          <w:spacing w:val="-2"/>
        </w:rPr>
        <w:t>2019</w:t>
      </w:r>
      <w:r>
        <w:rPr>
          <w:spacing w:val="-2"/>
        </w:rPr>
        <w:t>年限制性股票激励计划，以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17</w:t>
      </w:r>
      <w:r>
        <w:rPr>
          <w:spacing w:val="-2"/>
        </w:rPr>
        <w:t>日为授予日，向任职的高级管理人员、核心骨干员工等激</w:t>
      </w:r>
      <w:r>
        <w:rPr>
          <w:spacing w:val="-55"/>
        </w:rPr>
        <w:t> </w:t>
      </w:r>
      <w:r>
        <w:rPr>
          <w:spacing w:val="-55"/>
        </w:rPr>
      </w:r>
      <w:r>
        <w:rPr/>
        <w:t>励对象授予限制性股票首次授予</w:t>
      </w:r>
      <w:r>
        <w:rPr>
          <w:rFonts w:ascii="Times New Roman" w:hAnsi="Times New Roman" w:cs="Times New Roman" w:eastAsia="Times New Roman" w:hint="default"/>
        </w:rPr>
        <w:t>2,718,161</w:t>
      </w:r>
      <w:r>
        <w:rPr/>
        <w:t>股。具体情况同本节“一、股份变动情况</w:t>
      </w:r>
      <w:r>
        <w:rPr>
          <w:rFonts w:ascii="宋体" w:hAnsi="宋体" w:cs="宋体" w:eastAsia="宋体" w:hint="default"/>
        </w:rPr>
        <w:t>-1</w:t>
      </w:r>
      <w:r>
        <w:rPr/>
        <w:t>、股份变动情况</w:t>
      </w:r>
      <w:r>
        <w:rPr>
          <w:rFonts w:ascii="宋体" w:hAnsi="宋体" w:cs="宋体" w:eastAsia="宋体" w:hint="default"/>
        </w:rPr>
        <w:t>-</w:t>
      </w:r>
      <w:r>
        <w:rPr/>
        <w:t>股份变动的原因”之 “</w:t>
      </w:r>
      <w:r>
        <w:rPr>
          <w:rFonts w:ascii="宋体" w:hAnsi="宋体" w:cs="宋体" w:eastAsia="宋体" w:hint="default"/>
        </w:rPr>
        <w:t>1</w:t>
      </w:r>
      <w:r>
        <w:rPr/>
        <w:t>、发行新股变动原因”。</w:t>
      </w:r>
    </w:p>
    <w:p>
      <w:pPr>
        <w:spacing w:line="240" w:lineRule="auto" w:before="8"/>
        <w:rPr>
          <w:rFonts w:ascii="宋体" w:hAnsi="宋体" w:cs="宋体" w:eastAsia="宋体" w:hint="default"/>
          <w:sz w:val="18"/>
          <w:szCs w:val="18"/>
        </w:rPr>
      </w:pPr>
    </w:p>
    <w:p>
      <w:pPr>
        <w:pStyle w:val="Heading4"/>
        <w:spacing w:line="240" w:lineRule="auto"/>
        <w:ind w:right="0"/>
        <w:jc w:val="both"/>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9" w:lineRule="auto"/>
        <w:ind w:right="11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22</w:t>
      </w:r>
      <w:r>
        <w:rPr>
          <w:spacing w:val="-1"/>
        </w:rPr>
        <w:t>日，公司召开</w:t>
      </w:r>
      <w:r>
        <w:rPr>
          <w:rFonts w:ascii="Times New Roman" w:hAnsi="Times New Roman" w:cs="Times New Roman" w:eastAsia="Times New Roman" w:hint="default"/>
          <w:spacing w:val="-1"/>
        </w:rPr>
        <w:t>2019</w:t>
      </w:r>
      <w:r>
        <w:rPr>
          <w:spacing w:val="-1"/>
        </w:rPr>
        <w:t>年第三次临时股东大会，审议通过了《关于公司</w:t>
      </w:r>
      <w:r>
        <w:rPr>
          <w:rFonts w:ascii="Times New Roman" w:hAnsi="Times New Roman" w:cs="Times New Roman" w:eastAsia="Times New Roman" w:hint="default"/>
          <w:spacing w:val="-1"/>
        </w:rPr>
        <w:t>&lt;2019</w:t>
      </w:r>
      <w:r>
        <w:rPr>
          <w:spacing w:val="-1"/>
        </w:rPr>
        <w:t>年限制性股票激励计划（草案）</w:t>
      </w:r>
      <w:r>
        <w:rPr>
          <w:rFonts w:ascii="Times New Roman" w:hAnsi="Times New Roman" w:cs="Times New Roman" w:eastAsia="Times New Roman" w:hint="default"/>
          <w:spacing w:val="-1"/>
        </w:rPr>
        <w:t>&gt;</w:t>
      </w:r>
      <w:r>
        <w:rPr>
          <w:spacing w:val="-1"/>
        </w:rPr>
        <w:t>及摘</w:t>
      </w:r>
      <w:r>
        <w:rPr>
          <w:spacing w:val="-54"/>
        </w:rPr>
        <w:t> </w:t>
      </w:r>
      <w:r>
        <w:rPr/>
        <w:t>要的议案》等议案。公司</w:t>
      </w:r>
      <w:r>
        <w:rPr>
          <w:rFonts w:ascii="Times New Roman" w:hAnsi="Times New Roman" w:cs="Times New Roman" w:eastAsia="Times New Roman" w:hint="default"/>
        </w:rPr>
        <w:t>2019</w:t>
      </w:r>
      <w:r>
        <w:rPr/>
        <w:t>年限制性股票激励计划首次授予激励对象的人数为</w:t>
      </w:r>
      <w:r>
        <w:rPr>
          <w:rFonts w:ascii="Times New Roman" w:hAnsi="Times New Roman" w:cs="Times New Roman" w:eastAsia="Times New Roman" w:hint="default"/>
        </w:rPr>
        <w:t>201</w:t>
      </w:r>
      <w:r>
        <w:rPr/>
        <w:t>人，首次授予登记数量为</w:t>
      </w:r>
      <w:r>
        <w:rPr>
          <w:rFonts w:ascii="Times New Roman" w:hAnsi="Times New Roman" w:cs="Times New Roman" w:eastAsia="Times New Roman" w:hint="default"/>
        </w:rPr>
        <w:t>2,718,161</w:t>
      </w:r>
      <w:r>
        <w:rPr/>
        <w:t>股，</w:t>
      </w:r>
    </w:p>
    <w:p>
      <w:pPr>
        <w:pStyle w:val="BodyText"/>
        <w:spacing w:line="300" w:lineRule="auto"/>
        <w:ind w:right="1130"/>
        <w:jc w:val="both"/>
      </w:pPr>
      <w:r>
        <w:rPr/>
        <w:t>占授予前公司总股本（</w:t>
      </w:r>
      <w:r>
        <w:rPr>
          <w:rFonts w:ascii="Times New Roman" w:hAnsi="Times New Roman" w:cs="Times New Roman" w:eastAsia="Times New Roman" w:hint="default"/>
        </w:rPr>
        <w:t>117,800,000</w:t>
      </w:r>
      <w:r>
        <w:rPr/>
        <w:t>股）的</w:t>
      </w:r>
      <w:r>
        <w:rPr>
          <w:rFonts w:ascii="Times New Roman" w:hAnsi="Times New Roman" w:cs="Times New Roman" w:eastAsia="Times New Roman" w:hint="default"/>
        </w:rPr>
        <w:t>2.31%</w:t>
      </w:r>
      <w:r>
        <w:rPr/>
        <w:t>。</w:t>
      </w:r>
      <w:r>
        <w:rPr>
          <w:spacing w:val="-22"/>
        </w:rPr>
        <w:t> </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日在中国证券登记结算有限责任公司深圳分公司完成 了相关股份授予登记手续，</w:t>
      </w:r>
      <w:r>
        <w:rPr>
          <w:spacing w:val="-42"/>
        </w:rPr>
        <w:t> </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27</w:t>
      </w:r>
      <w:r>
        <w:rPr>
          <w:spacing w:val="-1"/>
        </w:rPr>
        <w:t>日首次授予的股份在深圳证券交易所上市，授予完成后公司股份总数由</w:t>
      </w:r>
      <w:r>
        <w:rPr>
          <w:rFonts w:ascii="Times New Roman" w:hAnsi="Times New Roman" w:cs="Times New Roman" w:eastAsia="Times New Roman" w:hint="default"/>
          <w:spacing w:val="-1"/>
        </w:rPr>
        <w:t>117,800,000</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股增加为</w:t>
      </w:r>
      <w:r>
        <w:rPr>
          <w:rFonts w:ascii="Times New Roman" w:hAnsi="Times New Roman" w:cs="Times New Roman" w:eastAsia="Times New Roman" w:hint="default"/>
        </w:rPr>
        <w:t>120,518,161</w:t>
      </w:r>
      <w:r>
        <w:rPr/>
        <w:t>股。</w:t>
      </w:r>
    </w:p>
    <w:p>
      <w:pPr>
        <w:pStyle w:val="BodyText"/>
        <w:spacing w:line="300" w:lineRule="auto" w:before="13"/>
        <w:ind w:right="1174"/>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日止，公司已收到激励对象以货币缴纳的出资款项共</w:t>
      </w:r>
      <w:r>
        <w:rPr>
          <w:rFonts w:ascii="Times New Roman" w:hAnsi="Times New Roman" w:cs="Times New Roman" w:eastAsia="Times New Roman" w:hint="default"/>
        </w:rPr>
        <w:t>58,821,004.04 </w:t>
      </w:r>
      <w:r>
        <w:rPr/>
        <w:t>元，其中计入股本</w:t>
      </w:r>
      <w:r>
        <w:rPr>
          <w:spacing w:val="-3"/>
        </w:rPr>
        <w:t> </w:t>
      </w:r>
      <w:r>
        <w:rPr>
          <w:rFonts w:ascii="Times New Roman" w:hAnsi="Times New Roman" w:cs="Times New Roman" w:eastAsia="Times New Roman" w:hint="default"/>
        </w:rPr>
        <w:t>2,718,161.00</w:t>
      </w:r>
      <w:r>
        <w:rPr/>
        <w:t>元，发 行溢价</w:t>
      </w:r>
      <w:r>
        <w:rPr>
          <w:rFonts w:ascii="Times New Roman" w:hAnsi="Times New Roman" w:cs="Times New Roman" w:eastAsia="Times New Roman" w:hint="default"/>
        </w:rPr>
        <w:t>56,102,843.04</w:t>
      </w:r>
      <w:r>
        <w:rPr/>
        <w:t>元计入资本公积</w:t>
      </w:r>
      <w:r>
        <w:rPr>
          <w:rFonts w:ascii="Times New Roman" w:hAnsi="Times New Roman" w:cs="Times New Roman" w:eastAsia="Times New Roman" w:hint="default"/>
        </w:rPr>
        <w:t>-</w:t>
      </w:r>
      <w:r>
        <w:rPr/>
        <w:t>股本溢价。</w:t>
      </w:r>
    </w:p>
    <w:p>
      <w:pPr>
        <w:spacing w:line="240" w:lineRule="auto" w:before="3"/>
        <w:rPr>
          <w:rFonts w:ascii="宋体" w:hAnsi="宋体" w:cs="宋体" w:eastAsia="宋体" w:hint="default"/>
          <w:sz w:val="17"/>
          <w:szCs w:val="17"/>
        </w:rPr>
      </w:pPr>
    </w:p>
    <w:p>
      <w:pPr>
        <w:pStyle w:val="Heading4"/>
        <w:spacing w:line="240" w:lineRule="auto"/>
        <w:ind w:right="0"/>
        <w:jc w:val="both"/>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both"/>
        <w:rPr>
          <w:b w:val="0"/>
          <w:bCs w:val="0"/>
        </w:rPr>
      </w:pPr>
      <w:r>
        <w:rPr/>
        <w:t>三、股东和实际控制人情况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0"/>
        <w:jc w:val="both"/>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单位：股</w:t>
      </w:r>
    </w:p>
    <w:p>
      <w:pPr>
        <w:spacing w:after="0" w:line="240" w:lineRule="auto"/>
        <w:jc w:val="right"/>
        <w:sectPr>
          <w:headerReference w:type="default" r:id="rId31"/>
          <w:footerReference w:type="default" r:id="rId32"/>
          <w:pgSz w:w="11910" w:h="16840"/>
          <w:pgMar w:header="877" w:footer="979" w:top="1100" w:bottom="1160" w:left="980" w:right="0"/>
          <w:pgNumType w:start="94"/>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196"/>
        <w:gridCol w:w="274"/>
        <w:gridCol w:w="923"/>
        <w:gridCol w:w="489"/>
        <w:gridCol w:w="749"/>
        <w:gridCol w:w="826"/>
        <w:gridCol w:w="329"/>
        <w:gridCol w:w="461"/>
        <w:gridCol w:w="761"/>
        <w:gridCol w:w="866"/>
        <w:gridCol w:w="306"/>
        <w:gridCol w:w="1043"/>
        <w:gridCol w:w="151"/>
        <w:gridCol w:w="1198"/>
      </w:tblGrid>
      <w:tr>
        <w:trPr>
          <w:trHeight w:val="1968"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69" w:right="0"/>
              <w:jc w:val="left"/>
              <w:rPr>
                <w:rFonts w:ascii="Times New Roman" w:hAnsi="Times New Roman" w:cs="Times New Roman" w:eastAsia="Times New Roman" w:hint="default"/>
                <w:sz w:val="18"/>
                <w:szCs w:val="18"/>
              </w:rPr>
            </w:pPr>
            <w:r>
              <w:rPr>
                <w:rFonts w:ascii="Times New Roman"/>
                <w:sz w:val="18"/>
              </w:rPr>
              <w:t>17,070</w:t>
            </w:r>
          </w:p>
        </w:tc>
        <w:tc>
          <w:tcPr>
            <w:tcW w:w="12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123"/>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1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28" w:right="0"/>
              <w:jc w:val="left"/>
              <w:rPr>
                <w:rFonts w:ascii="Times New Roman" w:hAnsi="Times New Roman" w:cs="Times New Roman" w:eastAsia="Times New Roman" w:hint="default"/>
                <w:sz w:val="18"/>
                <w:szCs w:val="18"/>
              </w:rPr>
            </w:pPr>
            <w:r>
              <w:rPr>
                <w:rFonts w:ascii="Times New Roman"/>
                <w:sz w:val="18"/>
              </w:rPr>
              <w:t>16,464</w:t>
            </w:r>
          </w:p>
        </w:tc>
        <w:tc>
          <w:tcPr>
            <w:tcW w:w="12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106"/>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6" w:lineRule="auto" w:before="19"/>
              <w:ind w:left="23" w:right="48"/>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w:t>
            </w:r>
          </w:p>
        </w:tc>
        <w:tc>
          <w:tcPr>
            <w:tcW w:w="11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71"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1" w:right="-13"/>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69" w:right="24"/>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 w:right="0"/>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1"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3"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49" w:type="dxa"/>
            <w:vMerge/>
            <w:tcBorders>
              <w:left w:val="single" w:sz="4" w:space="0" w:color="000000"/>
              <w:bottom w:val="single" w:sz="4" w:space="0" w:color="000000"/>
              <w:right w:val="single" w:sz="4" w:space="0" w:color="000000"/>
            </w:tcBorders>
            <w:shd w:val="clear" w:color="auto" w:fill="D2D2D2"/>
          </w:tcPr>
          <w:p>
            <w:pPr/>
          </w:p>
        </w:tc>
        <w:tc>
          <w:tcPr>
            <w:tcW w:w="826" w:type="dxa"/>
            <w:vMerge/>
            <w:tcBorders>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761" w:type="dxa"/>
            <w:vMerge/>
            <w:tcBorders>
              <w:left w:val="single" w:sz="4" w:space="0" w:color="000000"/>
              <w:bottom w:val="single" w:sz="4" w:space="0" w:color="000000"/>
              <w:right w:val="single" w:sz="4" w:space="0" w:color="000000"/>
            </w:tcBorders>
            <w:shd w:val="clear" w:color="auto" w:fill="D2D2D2"/>
          </w:tcPr>
          <w:p>
            <w:pPr/>
          </w:p>
        </w:tc>
        <w:tc>
          <w:tcPr>
            <w:tcW w:w="866" w:type="dxa"/>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173"/>
              <w:jc w:val="left"/>
              <w:rPr>
                <w:rFonts w:ascii="宋体" w:hAnsi="宋体" w:cs="宋体" w:eastAsia="宋体" w:hint="default"/>
                <w:sz w:val="18"/>
                <w:szCs w:val="18"/>
              </w:rPr>
            </w:pPr>
            <w:r>
              <w:rPr>
                <w:rFonts w:ascii="宋体" w:hAnsi="宋体" w:cs="宋体" w:eastAsia="宋体" w:hint="default"/>
                <w:sz w:val="18"/>
                <w:szCs w:val="18"/>
              </w:rPr>
              <w:t>深圳市敏行电子 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19.58%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23,600,00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6"/>
              <w:jc w:val="right"/>
              <w:rPr>
                <w:rFonts w:ascii="Times New Roman" w:hAnsi="Times New Roman" w:cs="Times New Roman" w:eastAsia="Times New Roman" w:hint="default"/>
                <w:sz w:val="18"/>
                <w:szCs w:val="18"/>
              </w:rPr>
            </w:pPr>
            <w:r>
              <w:rPr>
                <w:rFonts w:ascii="Times New Roman"/>
                <w:spacing w:val="-1"/>
                <w:sz w:val="18"/>
              </w:rPr>
              <w:t>23,600,00</w:t>
            </w:r>
          </w:p>
          <w:p>
            <w:pPr>
              <w:pStyle w:val="TableParagraph"/>
              <w:spacing w:line="240" w:lineRule="auto" w:before="102"/>
              <w:ind w:right="-4"/>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5,750,000</w:t>
            </w: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刘咏平</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7.97%</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9,600,000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9,600,000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4,100,000</w:t>
            </w: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6.64%</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pacing w:val="-1"/>
                <w:sz w:val="18"/>
              </w:rPr>
              <w:t>8,000,000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罗瑞发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6,600,000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6,600,000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3,850,000</w:t>
            </w: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王丽娟</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5.48%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6,600,000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pacing w:val="-1"/>
                <w:sz w:val="18"/>
              </w:rPr>
              <w:t>6,600,000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9" w:right="0"/>
              <w:jc w:val="left"/>
              <w:rPr>
                <w:rFonts w:ascii="Times New Roman" w:hAnsi="Times New Roman" w:cs="Times New Roman" w:eastAsia="Times New Roman" w:hint="default"/>
                <w:sz w:val="18"/>
                <w:szCs w:val="18"/>
              </w:rPr>
            </w:pPr>
            <w:r>
              <w:rPr>
                <w:rFonts w:ascii="Times New Roman"/>
                <w:sz w:val="18"/>
              </w:rPr>
              <w:t>860,000</w:t>
            </w: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王明宽</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6,000,000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4,800,000</w:t>
            </w: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李娜</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4.65%</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5,600,000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pacing w:val="-1"/>
                <w:sz w:val="18"/>
              </w:rPr>
              <w:t>5,600,000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5" w:right="0"/>
              <w:jc w:val="left"/>
              <w:rPr>
                <w:rFonts w:ascii="Times New Roman" w:hAnsi="Times New Roman" w:cs="Times New Roman" w:eastAsia="Times New Roman" w:hint="default"/>
                <w:sz w:val="18"/>
                <w:szCs w:val="18"/>
              </w:rPr>
            </w:pPr>
            <w:r>
              <w:rPr>
                <w:rFonts w:ascii="Times New Roman"/>
                <w:sz w:val="18"/>
              </w:rPr>
              <w:t>4,480,000</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深圳至为投资企 业（有限合伙）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3.22%</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3,879,724</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-1,173,10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3,879,724</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甘云龙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1.59%</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1,922,023</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-845,582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pacing w:val="-1"/>
                <w:sz w:val="18"/>
              </w:rPr>
              <w:t>1,922,023</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5"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蔡福春</w:t>
            </w:r>
          </w:p>
        </w:tc>
        <w:tc>
          <w:tcPr>
            <w:tcW w:w="1412" w:type="dxa"/>
            <w:gridSpan w:val="2"/>
            <w:tcBorders>
              <w:top w:val="single" w:sz="4" w:space="0" w:color="000000"/>
              <w:left w:val="single" w:sz="4" w:space="0" w:color="000000"/>
              <w:bottom w:val="single" w:sz="5"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1,716,200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1,549,650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166,550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8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2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90"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2881"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690" w:type="dxa"/>
            <w:gridSpan w:val="10"/>
            <w:vMerge w:val="restart"/>
            <w:tcBorders>
              <w:top w:val="single" w:sz="4" w:space="0" w:color="000000"/>
              <w:left w:val="single" w:sz="4" w:space="0" w:color="000000"/>
              <w:right w:val="single" w:sz="4" w:space="0" w:color="000000"/>
            </w:tcBorders>
          </w:tcPr>
          <w:p>
            <w:pPr>
              <w:pStyle w:val="TableParagraph"/>
              <w:spacing w:line="309" w:lineRule="auto" w:before="49"/>
              <w:ind w:left="26" w:right="-21"/>
              <w:jc w:val="both"/>
              <w:rPr>
                <w:rFonts w:ascii="宋体" w:hAnsi="宋体" w:cs="宋体" w:eastAsia="宋体" w:hint="default"/>
                <w:sz w:val="18"/>
                <w:szCs w:val="18"/>
              </w:rPr>
            </w:pPr>
            <w:r>
              <w:rPr>
                <w:rFonts w:ascii="宋体" w:hAnsi="宋体" w:cs="宋体" w:eastAsia="宋体" w:hint="default"/>
                <w:sz w:val="18"/>
                <w:szCs w:val="18"/>
              </w:rPr>
              <w:t>股东罗瑞发为股东深圳市敏行电子有限公司的控股股东、法定代表人，持有深圳市敏 行电子有限公司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94%</w:t>
            </w:r>
            <w:r>
              <w:rPr>
                <w:rFonts w:ascii="宋体" w:hAnsi="宋体" w:cs="宋体" w:eastAsia="宋体" w:hint="default"/>
                <w:sz w:val="18"/>
                <w:szCs w:val="18"/>
              </w:rPr>
              <w:t>的股份；股东王明宽与李娜系夫妻关系；股东罗瑞发、刘咏平、 杨成、王明宽、李娜属于一致行动人。</w:t>
            </w:r>
          </w:p>
        </w:tc>
      </w:tr>
      <w:tr>
        <w:trPr>
          <w:trHeight w:val="703" w:hRule="exact"/>
        </w:trPr>
        <w:tc>
          <w:tcPr>
            <w:tcW w:w="2881"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0" w:type="dxa"/>
            <w:gridSpan w:val="10"/>
            <w:vMerge/>
            <w:tcBorders>
              <w:left w:val="single" w:sz="4" w:space="0" w:color="000000"/>
              <w:right w:val="single" w:sz="4" w:space="0" w:color="000000"/>
            </w:tcBorders>
          </w:tcPr>
          <w:p>
            <w:pPr/>
          </w:p>
        </w:tc>
      </w:tr>
      <w:tr>
        <w:trPr>
          <w:trHeight w:val="163" w:hRule="exact"/>
        </w:trPr>
        <w:tc>
          <w:tcPr>
            <w:tcW w:w="2881"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690" w:type="dxa"/>
            <w:gridSpan w:val="10"/>
            <w:vMerge/>
            <w:tcBorders>
              <w:left w:val="single" w:sz="4" w:space="0" w:color="000000"/>
              <w:bottom w:val="single" w:sz="4" w:space="0" w:color="000000"/>
              <w:right w:val="single" w:sz="4" w:space="0" w:color="000000"/>
            </w:tcBorders>
          </w:tcPr>
          <w:p>
            <w:pPr/>
          </w:p>
        </w:tc>
      </w:tr>
      <w:tr>
        <w:trPr>
          <w:trHeight w:val="402" w:hRule="exact"/>
        </w:trPr>
        <w:tc>
          <w:tcPr>
            <w:tcW w:w="9571"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1"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3992" w:type="dxa"/>
            <w:gridSpan w:val="6"/>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6" w:hRule="exact"/>
        </w:trPr>
        <w:tc>
          <w:tcPr>
            <w:tcW w:w="2881"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2" w:type="dxa"/>
            <w:gridSpan w:val="6"/>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4"/>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881" w:type="dxa"/>
            <w:gridSpan w:val="4"/>
            <w:vMerge/>
            <w:tcBorders>
              <w:left w:val="single" w:sz="4" w:space="0" w:color="000000"/>
              <w:bottom w:val="nil" w:sz="6" w:space="0" w:color="auto"/>
              <w:right w:val="single" w:sz="4" w:space="0" w:color="000000"/>
            </w:tcBorders>
            <w:shd w:val="clear" w:color="auto" w:fill="D2D2D2"/>
          </w:tcPr>
          <w:p>
            <w:pPr/>
          </w:p>
        </w:tc>
        <w:tc>
          <w:tcPr>
            <w:tcW w:w="3992" w:type="dxa"/>
            <w:gridSpan w:val="6"/>
            <w:vMerge/>
            <w:tcBorders>
              <w:left w:val="single" w:sz="4" w:space="0" w:color="000000"/>
              <w:bottom w:val="nil" w:sz="6" w:space="0" w:color="auto"/>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1"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3992" w:type="dxa"/>
            <w:gridSpan w:val="6"/>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深圳至为投资企业（有限合伙）</w:t>
            </w:r>
          </w:p>
        </w:tc>
        <w:tc>
          <w:tcPr>
            <w:tcW w:w="399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3,879,724</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3,879,724</w:t>
            </w:r>
          </w:p>
        </w:tc>
      </w:tr>
      <w:tr>
        <w:trPr>
          <w:trHeight w:val="403" w:hRule="exact"/>
        </w:trPr>
        <w:tc>
          <w:tcPr>
            <w:tcW w:w="28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深圳致璞投资企业（有限合伙）</w:t>
            </w:r>
          </w:p>
        </w:tc>
        <w:tc>
          <w:tcPr>
            <w:tcW w:w="399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1,134,580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5" w:right="0"/>
              <w:jc w:val="left"/>
              <w:rPr>
                <w:rFonts w:ascii="Times New Roman" w:hAnsi="Times New Roman" w:cs="Times New Roman" w:eastAsia="Times New Roman" w:hint="default"/>
                <w:sz w:val="18"/>
                <w:szCs w:val="18"/>
              </w:rPr>
            </w:pPr>
            <w:r>
              <w:rPr>
                <w:rFonts w:ascii="Times New Roman"/>
                <w:sz w:val="18"/>
              </w:rPr>
              <w:t>1,134,580</w:t>
            </w:r>
          </w:p>
        </w:tc>
      </w:tr>
      <w:tr>
        <w:trPr>
          <w:trHeight w:val="1025" w:hRule="exact"/>
        </w:trPr>
        <w:tc>
          <w:tcPr>
            <w:tcW w:w="2881" w:type="dxa"/>
            <w:gridSpan w:val="4"/>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44"/>
              <w:jc w:val="both"/>
              <w:rPr>
                <w:rFonts w:ascii="宋体" w:hAnsi="宋体" w:cs="宋体" w:eastAsia="宋体" w:hint="default"/>
                <w:sz w:val="18"/>
                <w:szCs w:val="18"/>
              </w:rPr>
            </w:pPr>
            <w:r>
              <w:rPr>
                <w:rFonts w:ascii="宋体" w:hAnsi="宋体" w:cs="宋体" w:eastAsia="宋体" w:hint="default"/>
                <w:sz w:val="18"/>
                <w:szCs w:val="18"/>
              </w:rPr>
              <w:t>博时基金－国新投资有限公司－博 时基金－国新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号单一资产管理计 划</w:t>
            </w:r>
          </w:p>
        </w:tc>
        <w:tc>
          <w:tcPr>
            <w:tcW w:w="399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744,000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29" w:right="0"/>
              <w:jc w:val="left"/>
              <w:rPr>
                <w:rFonts w:ascii="Times New Roman" w:hAnsi="Times New Roman" w:cs="Times New Roman" w:eastAsia="Times New Roman" w:hint="default"/>
                <w:sz w:val="18"/>
                <w:szCs w:val="18"/>
              </w:rPr>
            </w:pPr>
            <w:r>
              <w:rPr>
                <w:rFonts w:ascii="Times New Roman"/>
                <w:sz w:val="18"/>
              </w:rPr>
              <w:t>744,000</w:t>
            </w:r>
          </w:p>
        </w:tc>
      </w:tr>
      <w:tr>
        <w:trPr>
          <w:trHeight w:val="404" w:hRule="exact"/>
        </w:trPr>
        <w:tc>
          <w:tcPr>
            <w:tcW w:w="28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李兴锐</w:t>
            </w:r>
          </w:p>
        </w:tc>
        <w:tc>
          <w:tcPr>
            <w:tcW w:w="399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570,000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29" w:right="0"/>
              <w:jc w:val="left"/>
              <w:rPr>
                <w:rFonts w:ascii="Times New Roman" w:hAnsi="Times New Roman" w:cs="Times New Roman" w:eastAsia="Times New Roman" w:hint="default"/>
                <w:sz w:val="18"/>
                <w:szCs w:val="18"/>
              </w:rPr>
            </w:pPr>
            <w:r>
              <w:rPr>
                <w:rFonts w:ascii="Times New Roman"/>
                <w:sz w:val="18"/>
              </w:rPr>
              <w:t>570,000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881"/>
        <w:gridCol w:w="3992"/>
        <w:gridCol w:w="1349"/>
        <w:gridCol w:w="1349"/>
      </w:tblGrid>
      <w:tr>
        <w:trPr>
          <w:trHeight w:val="1025"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60"/>
              <w:jc w:val="left"/>
              <w:rPr>
                <w:rFonts w:ascii="宋体" w:hAnsi="宋体" w:cs="宋体" w:eastAsia="宋体" w:hint="default"/>
                <w:sz w:val="18"/>
                <w:szCs w:val="18"/>
              </w:rPr>
            </w:pPr>
            <w:r>
              <w:rPr>
                <w:rFonts w:ascii="宋体" w:hAnsi="宋体" w:cs="宋体" w:eastAsia="宋体" w:hint="default"/>
                <w:sz w:val="18"/>
                <w:szCs w:val="18"/>
              </w:rPr>
              <w:t>中国银行股份有限公司－华夏中证 </w:t>
            </w:r>
            <w:r>
              <w:rPr>
                <w:rFonts w:ascii="Times New Roman" w:hAnsi="Times New Roman" w:cs="Times New Roman" w:eastAsia="Times New Roman" w:hint="default"/>
                <w:sz w:val="18"/>
                <w:szCs w:val="18"/>
              </w:rPr>
              <w:t>5G</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通信主题交易型开放式指数证券 投资基金</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547,000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547,000</w:t>
            </w:r>
          </w:p>
        </w:tc>
      </w:tr>
      <w:tr>
        <w:trPr>
          <w:trHeight w:val="715"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5"/>
              <w:jc w:val="left"/>
              <w:rPr>
                <w:rFonts w:ascii="宋体" w:hAnsi="宋体" w:cs="宋体" w:eastAsia="宋体" w:hint="default"/>
                <w:sz w:val="18"/>
                <w:szCs w:val="18"/>
              </w:rPr>
            </w:pPr>
            <w:r>
              <w:rPr>
                <w:rFonts w:ascii="宋体" w:hAnsi="宋体" w:cs="宋体" w:eastAsia="宋体" w:hint="default"/>
                <w:sz w:val="18"/>
                <w:szCs w:val="18"/>
              </w:rPr>
              <w:t>中国建设银行股份有限公司－博时 回报灵活配置混合型证券投资基金</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536,000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536,000</w:t>
            </w:r>
          </w:p>
        </w:tc>
      </w:tr>
      <w:tr>
        <w:trPr>
          <w:trHeight w:val="71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中国工商银行股份有限公司－嘉实 事件驱动股票型证券投资基金</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499,900</w:t>
            </w:r>
          </w:p>
        </w:tc>
      </w:tr>
      <w:tr>
        <w:trPr>
          <w:trHeight w:val="1028"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中信建投证券股份有限公司－富国 中证科技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 </w:t>
            </w:r>
            <w:r>
              <w:rPr>
                <w:rFonts w:ascii="宋体" w:hAnsi="宋体" w:cs="宋体" w:eastAsia="宋体" w:hint="default"/>
                <w:sz w:val="18"/>
                <w:szCs w:val="18"/>
              </w:rPr>
              <w:t>策略交易型开放式指数 证券投资基金</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484,805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484,805</w:t>
            </w:r>
          </w:p>
        </w:tc>
      </w:tr>
      <w:tr>
        <w:trPr>
          <w:trHeight w:val="71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中国工商银行股份有限公司－南方 大数据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指数证券投资基金</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402,000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402,000</w:t>
            </w:r>
          </w:p>
        </w:tc>
      </w:tr>
      <w:tr>
        <w:trPr>
          <w:trHeight w:val="715"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5"/>
              <w:jc w:val="left"/>
              <w:rPr>
                <w:rFonts w:ascii="宋体" w:hAnsi="宋体" w:cs="宋体" w:eastAsia="宋体" w:hint="default"/>
                <w:sz w:val="18"/>
                <w:szCs w:val="18"/>
              </w:rPr>
            </w:pPr>
            <w:r>
              <w:rPr>
                <w:rFonts w:ascii="宋体" w:hAnsi="宋体" w:cs="宋体" w:eastAsia="宋体" w:hint="default"/>
                <w:sz w:val="18"/>
                <w:szCs w:val="18"/>
              </w:rPr>
              <w:t>中国建设银行股份有限公司－博时 特许价值混合型证券投资基金</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322,700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322,700</w:t>
            </w:r>
          </w:p>
        </w:tc>
      </w:tr>
      <w:tr>
        <w:trPr>
          <w:trHeight w:val="1337"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除上述前</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名普通股股东提及的情况外，公司前</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名无限售条件普通股股东中公司</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无法判断前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名无限售条件普通股股东之间，以及前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名无限售普通股股东和前</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名普通股股东之间是否存在关联关系，也无法判断他们是否属于一致行动人。</w:t>
            </w:r>
          </w:p>
        </w:tc>
      </w:tr>
      <w:tr>
        <w:trPr>
          <w:trHeight w:val="716"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 </w:t>
            </w:r>
            <w:r>
              <w:rPr>
                <w:rFonts w:ascii="宋体" w:hAnsi="宋体" w:cs="宋体" w:eastAsia="宋体" w:hint="default"/>
                <w:spacing w:val="-8"/>
                <w:sz w:val="18"/>
                <w:szCs w:val="18"/>
              </w:rPr>
              <w:t>务情况说明（如有）（参见注</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967"/>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96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967"/>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
        <w:rPr>
          <w:rFonts w:ascii="宋体" w:hAnsi="宋体" w:cs="宋体" w:eastAsia="宋体" w:hint="default"/>
          <w:sz w:val="21"/>
          <w:szCs w:val="21"/>
        </w:rPr>
      </w:pPr>
    </w:p>
    <w:p>
      <w:pPr>
        <w:pStyle w:val="Heading4"/>
        <w:spacing w:line="240" w:lineRule="auto"/>
        <w:ind w:right="967"/>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8234"/>
        <w:jc w:val="left"/>
      </w:pPr>
      <w:r>
        <w:rPr/>
        <w:t>控股股东性质：无控股主体 控股股东类型：不存在 公司不存在控股股东情况的说明</w:t>
      </w:r>
    </w:p>
    <w:p>
      <w:pPr>
        <w:pStyle w:val="BodyText"/>
        <w:spacing w:line="300" w:lineRule="auto" w:before="29"/>
        <w:ind w:right="967" w:firstLine="360"/>
        <w:jc w:val="left"/>
      </w:pPr>
      <w:r>
        <w:rPr>
          <w:spacing w:val="-3"/>
        </w:rPr>
        <w:t>公司无控股股东。公司第一大股东为深圳市敏行电子有限公司（简称</w:t>
      </w:r>
      <w:r>
        <w:rPr>
          <w:rFonts w:ascii="Times New Roman" w:hAnsi="Times New Roman" w:cs="Times New Roman" w:eastAsia="Times New Roman" w:hint="default"/>
          <w:spacing w:val="-3"/>
        </w:rPr>
        <w:t>“</w:t>
      </w:r>
      <w:r>
        <w:rPr>
          <w:spacing w:val="-3"/>
        </w:rPr>
        <w:t>敏行电子</w:t>
      </w:r>
      <w:r>
        <w:rPr>
          <w:rFonts w:ascii="Times New Roman" w:hAnsi="Times New Roman" w:cs="Times New Roman" w:eastAsia="Times New Roman" w:hint="default"/>
          <w:spacing w:val="-3"/>
        </w:rPr>
        <w:t>"</w:t>
      </w:r>
      <w:r>
        <w:rPr>
          <w:spacing w:val="-3"/>
        </w:rPr>
        <w:t>），公司实际控制人为罗瑞发、刘咏平、</w:t>
      </w:r>
      <w:r>
        <w:rPr/>
        <w:t> 杨成、王明宽、李娜和李朝莉。</w:t>
      </w:r>
    </w:p>
    <w:p>
      <w:pPr>
        <w:pStyle w:val="Heading5"/>
        <w:spacing w:line="287" w:lineRule="exact"/>
        <w:ind w:right="967"/>
        <w:jc w:val="left"/>
        <w:rPr>
          <w:b w:val="0"/>
          <w:bCs w:val="0"/>
        </w:rPr>
      </w:pPr>
      <w:r>
        <w:rPr/>
        <w:t>（</w:t>
      </w:r>
      <w:r>
        <w:rPr>
          <w:rFonts w:ascii="Times New Roman" w:hAnsi="Times New Roman" w:cs="Times New Roman" w:eastAsia="Times New Roman" w:hint="default"/>
        </w:rPr>
        <w:t>1</w:t>
      </w:r>
      <w:r>
        <w:rPr/>
        <w:t>）公司第一大股东</w:t>
      </w:r>
      <w:r>
        <w:rPr>
          <w:b w:val="0"/>
          <w:bCs w:val="0"/>
        </w:rPr>
      </w:r>
    </w:p>
    <w:p>
      <w:pPr>
        <w:pStyle w:val="BodyText"/>
        <w:spacing w:line="300" w:lineRule="auto" w:before="56"/>
        <w:ind w:right="1170" w:firstLine="360"/>
        <w:jc w:val="both"/>
      </w:pPr>
      <w:r>
        <w:rPr/>
        <w:t>敏行电子持有公司股份</w:t>
      </w:r>
      <w:r>
        <w:rPr>
          <w:rFonts w:ascii="Times New Roman" w:hAnsi="Times New Roman" w:cs="Times New Roman" w:eastAsia="Times New Roman" w:hint="default"/>
        </w:rPr>
        <w:t>2,360</w:t>
      </w:r>
      <w:r>
        <w:rPr/>
        <w:t>万股，占公司总股本</w:t>
      </w:r>
      <w:r>
        <w:rPr>
          <w:rFonts w:ascii="Times New Roman" w:hAnsi="Times New Roman" w:cs="Times New Roman" w:eastAsia="Times New Roman" w:hint="default"/>
        </w:rPr>
        <w:t>19.58%</w:t>
      </w:r>
      <w:r>
        <w:rPr/>
        <w:t>，为公司第一大股东。公司董事长罗瑞发持有敏行电子</w:t>
      </w:r>
      <w:r>
        <w:rPr>
          <w:rFonts w:ascii="Times New Roman" w:hAnsi="Times New Roman" w:cs="Times New Roman" w:eastAsia="Times New Roman" w:hint="default"/>
        </w:rPr>
        <w:t>94%</w:t>
      </w:r>
      <w:r>
        <w:rPr/>
        <w:t>的 股权，公司董事、董事会秘书郑映虹持有敏行电子</w:t>
      </w:r>
      <w:r>
        <w:rPr>
          <w:rFonts w:ascii="Times New Roman" w:hAnsi="Times New Roman" w:cs="Times New Roman" w:eastAsia="Times New Roman" w:hint="default"/>
        </w:rPr>
        <w:t>6%</w:t>
      </w:r>
      <w:r>
        <w:rPr/>
        <w:t>的股权。敏行电子的主营业务为对外股权投资，无实体经营。目前， 敏行电子除持有公司的股份外，再无其他资产和投资。</w:t>
      </w:r>
    </w:p>
    <w:p>
      <w:pPr>
        <w:pStyle w:val="Heading5"/>
        <w:spacing w:line="287" w:lineRule="exact"/>
        <w:ind w:right="967"/>
        <w:jc w:val="left"/>
        <w:rPr>
          <w:b w:val="0"/>
          <w:bCs w:val="0"/>
        </w:rPr>
      </w:pPr>
      <w:r>
        <w:rPr/>
        <w:t>（</w:t>
      </w:r>
      <w:r>
        <w:rPr>
          <w:rFonts w:ascii="Times New Roman" w:hAnsi="Times New Roman" w:cs="Times New Roman" w:eastAsia="Times New Roman" w:hint="default"/>
        </w:rPr>
        <w:t>2</w:t>
      </w:r>
      <w:r>
        <w:rPr/>
        <w:t>）公司实际控制人</w:t>
      </w:r>
      <w:r>
        <w:rPr>
          <w:b w:val="0"/>
          <w:bCs w:val="0"/>
        </w:rPr>
      </w:r>
    </w:p>
    <w:p>
      <w:pPr>
        <w:pStyle w:val="BodyText"/>
        <w:spacing w:line="297" w:lineRule="auto" w:before="96"/>
        <w:ind w:right="967" w:firstLine="288"/>
        <w:jc w:val="left"/>
      </w:pPr>
      <w:r>
        <w:rPr>
          <w:spacing w:val="2"/>
        </w:rPr>
        <w:t>公司实际控制人为罗瑞发、刘咏平、杨成、王明宽、李娜和李朝莉，报告期内上述实际控制人合计控制公司股份</w:t>
      </w:r>
      <w:r>
        <w:rPr>
          <w:rFonts w:ascii="Times New Roman" w:hAnsi="Times New Roman" w:cs="Times New Roman" w:eastAsia="Times New Roman" w:hint="default"/>
          <w:spacing w:val="2"/>
        </w:rPr>
        <w:t>6,020</w:t>
      </w:r>
      <w:r>
        <w:rPr>
          <w:rFonts w:ascii="Times New Roman" w:hAnsi="Times New Roman" w:cs="Times New Roman" w:eastAsia="Times New Roman" w:hint="default"/>
        </w:rPr>
        <w:t> </w:t>
      </w:r>
      <w:r>
        <w:rPr/>
        <w:t>万股，占公司总股本</w:t>
      </w:r>
      <w:r>
        <w:rPr>
          <w:rFonts w:ascii="Times New Roman" w:hAnsi="Times New Roman" w:cs="Times New Roman" w:eastAsia="Times New Roman" w:hint="default"/>
        </w:rPr>
        <w:t>49.95%</w:t>
      </w:r>
      <w:r>
        <w:rPr/>
        <w:t>。</w:t>
      </w:r>
    </w:p>
    <w:p>
      <w:pPr>
        <w:pStyle w:val="BodyText"/>
        <w:spacing w:line="240" w:lineRule="auto" w:before="55"/>
        <w:ind w:right="967"/>
        <w:jc w:val="left"/>
      </w:pPr>
      <w:r>
        <w:rPr/>
        <w:t>控股股东报告期内变更</w:t>
      </w:r>
    </w:p>
    <w:p>
      <w:pPr>
        <w:pStyle w:val="BodyText"/>
        <w:spacing w:line="338" w:lineRule="auto" w:before="117"/>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after="0" w:line="338"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335" w:lineRule="exact"/>
        <w:ind w:right="967"/>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8414"/>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罗瑞发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刘咏平</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王明宽</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李娜</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李朝莉</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1" w:hRule="exact"/>
        </w:trPr>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8" w:type="dxa"/>
            <w:gridSpan w:val="3"/>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、罗瑞发，男，</w:t>
            </w:r>
            <w:r>
              <w:rPr>
                <w:rFonts w:ascii="Times New Roman" w:hAnsi="Times New Roman" w:cs="Times New Roman" w:eastAsia="Times New Roman" w:hint="default"/>
                <w:spacing w:val="-2"/>
                <w:sz w:val="18"/>
                <w:szCs w:val="18"/>
              </w:rPr>
              <w:t>1976</w:t>
            </w:r>
            <w:r>
              <w:rPr>
                <w:rFonts w:ascii="Times New Roman" w:hAnsi="Times New Roman" w:cs="Times New Roman" w:eastAsia="Times New Roman" w:hint="default"/>
                <w:spacing w:val="16"/>
                <w:sz w:val="18"/>
                <w:szCs w:val="18"/>
              </w:rPr>
              <w:t> </w:t>
            </w:r>
            <w:r>
              <w:rPr>
                <w:rFonts w:ascii="宋体" w:hAnsi="宋体" w:cs="宋体" w:eastAsia="宋体" w:hint="default"/>
                <w:spacing w:val="-1"/>
                <w:sz w:val="18"/>
                <w:szCs w:val="18"/>
              </w:rPr>
              <w:t>年出生，中国国籍，无境外永久居留权，硕士研究生学历，高级工程</w:t>
            </w:r>
          </w:p>
        </w:tc>
      </w:tr>
      <w:tr>
        <w:trPr>
          <w:trHeight w:val="306" w:hRule="exact"/>
        </w:trPr>
        <w:tc>
          <w:tcPr>
            <w:tcW w:w="2392" w:type="dxa"/>
            <w:tcBorders>
              <w:top w:val="nil" w:sz="6" w:space="0" w:color="auto"/>
              <w:left w:val="single" w:sz="4" w:space="0" w:color="000000"/>
              <w:bottom w:val="nil" w:sz="6" w:space="0" w:color="auto"/>
              <w:right w:val="single" w:sz="4" w:space="0" w:color="000000"/>
            </w:tcBorders>
            <w:shd w:val="clear" w:color="auto" w:fill="D2D2D2"/>
          </w:tcPr>
          <w:p>
            <w:pPr/>
          </w:p>
        </w:tc>
        <w:tc>
          <w:tcPr>
            <w:tcW w:w="7178"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pacing w:val="-3"/>
                <w:sz w:val="18"/>
                <w:szCs w:val="18"/>
              </w:rPr>
              <w:t>师职称。现任公司董事长、深圳立尊执行董事、敏行电子执行董事、广州市华瑞腾科技有限</w:t>
            </w:r>
          </w:p>
        </w:tc>
      </w:tr>
      <w:tr>
        <w:trPr>
          <w:trHeight w:val="332" w:hRule="exact"/>
        </w:trPr>
        <w:tc>
          <w:tcPr>
            <w:tcW w:w="2392" w:type="dxa"/>
            <w:tcBorders>
              <w:top w:val="nil" w:sz="6" w:space="0" w:color="auto"/>
              <w:left w:val="single" w:sz="4" w:space="0" w:color="000000"/>
              <w:bottom w:val="nil" w:sz="6" w:space="0" w:color="auto"/>
              <w:right w:val="single" w:sz="4" w:space="0" w:color="000000"/>
            </w:tcBorders>
            <w:shd w:val="clear" w:color="auto" w:fill="D2D2D2"/>
          </w:tcPr>
          <w:p>
            <w:pPr/>
          </w:p>
        </w:tc>
        <w:tc>
          <w:tcPr>
            <w:tcW w:w="7178"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公司执行董事兼总经理。</w:t>
            </w:r>
          </w:p>
        </w:tc>
      </w:tr>
      <w:tr>
        <w:trPr>
          <w:trHeight w:val="337" w:hRule="exact"/>
        </w:trPr>
        <w:tc>
          <w:tcPr>
            <w:tcW w:w="2392" w:type="dxa"/>
            <w:tcBorders>
              <w:top w:val="nil" w:sz="6" w:space="0" w:color="auto"/>
              <w:left w:val="single" w:sz="4" w:space="0" w:color="000000"/>
              <w:bottom w:val="nil" w:sz="6" w:space="0" w:color="auto"/>
              <w:right w:val="single" w:sz="4" w:space="0" w:color="000000"/>
            </w:tcBorders>
            <w:shd w:val="clear" w:color="auto" w:fill="D2D2D2"/>
          </w:tcPr>
          <w:p>
            <w:pPr/>
          </w:p>
        </w:tc>
        <w:tc>
          <w:tcPr>
            <w:tcW w:w="7178"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、刘咏平，男，</w:t>
            </w:r>
            <w:r>
              <w:rPr>
                <w:rFonts w:ascii="Times New Roman" w:hAnsi="Times New Roman" w:cs="Times New Roman" w:eastAsia="Times New Roman" w:hint="default"/>
                <w:spacing w:val="-2"/>
                <w:sz w:val="18"/>
                <w:szCs w:val="18"/>
              </w:rPr>
              <w:t>1974</w:t>
            </w:r>
            <w:r>
              <w:rPr>
                <w:rFonts w:ascii="Times New Roman" w:hAnsi="Times New Roman" w:cs="Times New Roman" w:eastAsia="Times New Roman" w:hint="default"/>
                <w:spacing w:val="15"/>
                <w:sz w:val="18"/>
                <w:szCs w:val="18"/>
              </w:rPr>
              <w:t> </w:t>
            </w:r>
            <w:r>
              <w:rPr>
                <w:rFonts w:ascii="宋体" w:hAnsi="宋体" w:cs="宋体" w:eastAsia="宋体" w:hint="default"/>
                <w:spacing w:val="-1"/>
                <w:sz w:val="18"/>
                <w:szCs w:val="18"/>
              </w:rPr>
              <w:t>年出生，中国国籍，无境外永久居留权，高级工程师，博士研究生学</w:t>
            </w:r>
          </w:p>
        </w:tc>
      </w:tr>
      <w:tr>
        <w:trPr>
          <w:trHeight w:val="307" w:hRule="exact"/>
        </w:trPr>
        <w:tc>
          <w:tcPr>
            <w:tcW w:w="2392" w:type="dxa"/>
            <w:tcBorders>
              <w:top w:val="nil" w:sz="6" w:space="0" w:color="auto"/>
              <w:left w:val="single" w:sz="4" w:space="0" w:color="000000"/>
              <w:bottom w:val="nil" w:sz="6" w:space="0" w:color="auto"/>
              <w:right w:val="single" w:sz="4" w:space="0" w:color="000000"/>
            </w:tcBorders>
            <w:shd w:val="clear" w:color="auto" w:fill="D2D2D2"/>
          </w:tcPr>
          <w:p>
            <w:pPr/>
          </w:p>
        </w:tc>
        <w:tc>
          <w:tcPr>
            <w:tcW w:w="7178"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历。现任公司副董事长、副总经理、长安大学信息工程学院工程硕士导师、深圳市钜湾科技</w:t>
            </w:r>
          </w:p>
        </w:tc>
      </w:tr>
      <w:tr>
        <w:trPr>
          <w:trHeight w:val="332" w:hRule="exact"/>
        </w:trPr>
        <w:tc>
          <w:tcPr>
            <w:tcW w:w="2392" w:type="dxa"/>
            <w:tcBorders>
              <w:top w:val="nil" w:sz="6" w:space="0" w:color="auto"/>
              <w:left w:val="single" w:sz="4" w:space="0" w:color="000000"/>
              <w:bottom w:val="nil" w:sz="6" w:space="0" w:color="auto"/>
              <w:right w:val="single" w:sz="4" w:space="0" w:color="000000"/>
            </w:tcBorders>
            <w:shd w:val="clear" w:color="auto" w:fill="D2D2D2"/>
          </w:tcPr>
          <w:p>
            <w:pPr/>
          </w:p>
        </w:tc>
        <w:tc>
          <w:tcPr>
            <w:tcW w:w="7178"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有限公司监事、深圳宝溢交通科技有限公司董事。</w:t>
            </w:r>
          </w:p>
        </w:tc>
      </w:tr>
      <w:tr>
        <w:trPr>
          <w:trHeight w:val="338" w:hRule="exact"/>
        </w:trPr>
        <w:tc>
          <w:tcPr>
            <w:tcW w:w="2392" w:type="dxa"/>
            <w:tcBorders>
              <w:top w:val="nil" w:sz="6" w:space="0" w:color="auto"/>
              <w:left w:val="single" w:sz="4" w:space="0" w:color="000000"/>
              <w:bottom w:val="nil" w:sz="6" w:space="0" w:color="auto"/>
              <w:right w:val="single" w:sz="4" w:space="0" w:color="000000"/>
            </w:tcBorders>
            <w:shd w:val="clear" w:color="auto" w:fill="D2D2D2"/>
          </w:tcPr>
          <w:p>
            <w:pPr/>
          </w:p>
        </w:tc>
        <w:tc>
          <w:tcPr>
            <w:tcW w:w="7178"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、杨成，男，</w:t>
            </w:r>
            <w:r>
              <w:rPr>
                <w:rFonts w:ascii="Times New Roman" w:hAnsi="Times New Roman" w:cs="Times New Roman" w:eastAsia="Times New Roman" w:hint="default"/>
                <w:spacing w:val="-2"/>
                <w:sz w:val="18"/>
                <w:szCs w:val="18"/>
              </w:rPr>
              <w:t>1977</w:t>
            </w:r>
            <w:r>
              <w:rPr>
                <w:rFonts w:ascii="Times New Roman" w:hAnsi="Times New Roman" w:cs="Times New Roman" w:eastAsia="Times New Roman" w:hint="default"/>
                <w:spacing w:val="16"/>
                <w:sz w:val="18"/>
                <w:szCs w:val="18"/>
              </w:rPr>
              <w:t> </w:t>
            </w:r>
            <w:r>
              <w:rPr>
                <w:rFonts w:ascii="宋体" w:hAnsi="宋体" w:cs="宋体" w:eastAsia="宋体" w:hint="default"/>
                <w:spacing w:val="-1"/>
                <w:sz w:val="18"/>
                <w:szCs w:val="18"/>
              </w:rPr>
              <w:t>年出生，中国国籍，无境外永久居留权，硕士研究生学历，高级工程师</w:t>
            </w:r>
          </w:p>
        </w:tc>
      </w:tr>
      <w:tr>
        <w:trPr>
          <w:trHeight w:val="307" w:hRule="exact"/>
        </w:trPr>
        <w:tc>
          <w:tcPr>
            <w:tcW w:w="2392" w:type="dxa"/>
            <w:tcBorders>
              <w:top w:val="nil" w:sz="6" w:space="0" w:color="auto"/>
              <w:left w:val="single" w:sz="4" w:space="0" w:color="000000"/>
              <w:bottom w:val="nil" w:sz="6" w:space="0" w:color="auto"/>
              <w:right w:val="single" w:sz="4" w:space="0" w:color="000000"/>
            </w:tcBorders>
            <w:shd w:val="clear" w:color="auto" w:fill="D2D2D2"/>
          </w:tcPr>
          <w:p>
            <w:pPr/>
          </w:p>
        </w:tc>
        <w:tc>
          <w:tcPr>
            <w:tcW w:w="7178"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职称。现任公司董事、常务副总经理、广州市铂金科技合伙企业（有限合伙）执行事务合伙</w:t>
            </w:r>
          </w:p>
        </w:tc>
      </w:tr>
      <w:tr>
        <w:trPr>
          <w:trHeight w:val="667" w:hRule="exact"/>
        </w:trPr>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人、广州市精联时空科技有限公司监事。</w:t>
            </w:r>
          </w:p>
          <w:p>
            <w:pPr>
              <w:pStyle w:val="TableParagraph"/>
              <w:spacing w:line="240" w:lineRule="auto" w:before="11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3"/>
                <w:sz w:val="18"/>
                <w:szCs w:val="18"/>
              </w:rPr>
              <w:t>4</w:t>
            </w:r>
            <w:r>
              <w:rPr>
                <w:rFonts w:ascii="宋体" w:hAnsi="宋体" w:cs="宋体" w:eastAsia="宋体" w:hint="default"/>
                <w:spacing w:val="-13"/>
                <w:sz w:val="18"/>
                <w:szCs w:val="18"/>
              </w:rPr>
              <w:t>、王明宽，男，</w:t>
            </w:r>
            <w:r>
              <w:rPr>
                <w:rFonts w:ascii="Times New Roman" w:hAnsi="Times New Roman" w:cs="Times New Roman" w:eastAsia="Times New Roman" w:hint="default"/>
                <w:spacing w:val="-13"/>
                <w:sz w:val="18"/>
                <w:szCs w:val="18"/>
              </w:rPr>
              <w:t>1970 </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年出生，中国国籍，无境外永久居留权，大专学历。曾任公司董事（</w:t>
            </w:r>
            <w:r>
              <w:rPr>
                <w:rFonts w:ascii="Times New Roman" w:hAnsi="Times New Roman" w:cs="Times New Roman" w:eastAsia="Times New Roman" w:hint="default"/>
                <w:spacing w:val="-8"/>
                <w:sz w:val="18"/>
                <w:szCs w:val="18"/>
              </w:rPr>
              <w:t>2019</w:t>
            </w:r>
            <w:r>
              <w:rPr>
                <w:rFonts w:ascii="Times New Roman" w:hAnsi="Times New Roman" w:cs="Times New Roman" w:eastAsia="Times New Roman" w:hint="default"/>
                <w:sz w:val="18"/>
                <w:szCs w:val="18"/>
              </w:rPr>
            </w:r>
          </w:p>
        </w:tc>
      </w:tr>
      <w:tr>
        <w:trPr>
          <w:trHeight w:val="312" w:hRule="exact"/>
        </w:trPr>
        <w:tc>
          <w:tcPr>
            <w:tcW w:w="2392" w:type="dxa"/>
            <w:tcBorders>
              <w:top w:val="nil" w:sz="6" w:space="0" w:color="auto"/>
              <w:left w:val="single" w:sz="4" w:space="0" w:color="000000"/>
              <w:bottom w:val="nil" w:sz="6" w:space="0" w:color="auto"/>
              <w:right w:val="single" w:sz="4" w:space="0" w:color="000000"/>
            </w:tcBorders>
            <w:shd w:val="clear" w:color="auto" w:fill="D2D2D2"/>
          </w:tcPr>
          <w:p>
            <w:pPr/>
          </w:p>
        </w:tc>
        <w:tc>
          <w:tcPr>
            <w:tcW w:w="7178"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日离任</w:t>
            </w:r>
            <w:r>
              <w:rPr>
                <w:rFonts w:ascii="宋体" w:hAnsi="宋体" w:cs="宋体" w:eastAsia="宋体" w:hint="default"/>
                <w:spacing w:val="-92"/>
                <w:sz w:val="18"/>
                <w:szCs w:val="18"/>
              </w:rPr>
              <w:t>）</w:t>
            </w:r>
            <w:r>
              <w:rPr>
                <w:rFonts w:ascii="宋体" w:hAnsi="宋体" w:cs="宋体" w:eastAsia="宋体" w:hint="default"/>
                <w:sz w:val="18"/>
                <w:szCs w:val="18"/>
              </w:rPr>
              <w:t>、总经理（</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日离任</w:t>
            </w:r>
            <w:r>
              <w:rPr>
                <w:rFonts w:ascii="宋体" w:hAnsi="宋体" w:cs="宋体" w:eastAsia="宋体" w:hint="default"/>
                <w:spacing w:val="-92"/>
                <w:sz w:val="18"/>
                <w:szCs w:val="18"/>
              </w:rPr>
              <w:t>）</w:t>
            </w:r>
            <w:r>
              <w:rPr>
                <w:rFonts w:ascii="宋体" w:hAnsi="宋体" w:cs="宋体" w:eastAsia="宋体" w:hint="default"/>
                <w:sz w:val="18"/>
                <w:szCs w:val="18"/>
              </w:rPr>
              <w:t>，现任深圳智而行投资合伙企业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w:t>
            </w:r>
          </w:p>
        </w:tc>
      </w:tr>
      <w:tr>
        <w:trPr>
          <w:trHeight w:val="332" w:hRule="exact"/>
        </w:trPr>
        <w:tc>
          <w:tcPr>
            <w:tcW w:w="2392" w:type="dxa"/>
            <w:tcBorders>
              <w:top w:val="nil" w:sz="6" w:space="0" w:color="auto"/>
              <w:left w:val="single" w:sz="4" w:space="0" w:color="000000"/>
              <w:bottom w:val="nil" w:sz="6" w:space="0" w:color="auto"/>
              <w:right w:val="single" w:sz="4" w:space="0" w:color="000000"/>
            </w:tcBorders>
            <w:shd w:val="clear" w:color="auto" w:fill="D2D2D2"/>
          </w:tcPr>
          <w:p>
            <w:pPr/>
          </w:p>
        </w:tc>
        <w:tc>
          <w:tcPr>
            <w:tcW w:w="7178"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执行事务合伙人。</w:t>
            </w:r>
          </w:p>
        </w:tc>
      </w:tr>
      <w:tr>
        <w:trPr>
          <w:trHeight w:val="332" w:hRule="exact"/>
        </w:trPr>
        <w:tc>
          <w:tcPr>
            <w:tcW w:w="2392" w:type="dxa"/>
            <w:tcBorders>
              <w:top w:val="nil" w:sz="6" w:space="0" w:color="auto"/>
              <w:left w:val="single" w:sz="4" w:space="0" w:color="000000"/>
              <w:bottom w:val="nil" w:sz="6" w:space="0" w:color="auto"/>
              <w:right w:val="single" w:sz="4" w:space="0" w:color="000000"/>
            </w:tcBorders>
            <w:shd w:val="clear" w:color="auto" w:fill="D2D2D2"/>
          </w:tcPr>
          <w:p>
            <w:pPr/>
          </w:p>
        </w:tc>
        <w:tc>
          <w:tcPr>
            <w:tcW w:w="7178"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、李娜，女，</w:t>
            </w:r>
            <w:r>
              <w:rPr>
                <w:rFonts w:ascii="Times New Roman" w:hAnsi="Times New Roman" w:cs="Times New Roman" w:eastAsia="Times New Roman" w:hint="default"/>
                <w:spacing w:val="-2"/>
                <w:sz w:val="18"/>
                <w:szCs w:val="18"/>
              </w:rPr>
              <w:t>1978</w:t>
            </w:r>
            <w:r>
              <w:rPr>
                <w:rFonts w:ascii="Times New Roman" w:hAnsi="Times New Roman" w:cs="Times New Roman" w:eastAsia="Times New Roman" w:hint="default"/>
                <w:spacing w:val="15"/>
                <w:sz w:val="18"/>
                <w:szCs w:val="18"/>
              </w:rPr>
              <w:t> </w:t>
            </w:r>
            <w:r>
              <w:rPr>
                <w:rFonts w:ascii="宋体" w:hAnsi="宋体" w:cs="宋体" w:eastAsia="宋体" w:hint="default"/>
                <w:spacing w:val="-1"/>
                <w:sz w:val="18"/>
                <w:szCs w:val="18"/>
              </w:rPr>
              <w:t>年出生，中国国籍，无境外永久居留权，大专学历。为实际控制人之一</w:t>
            </w:r>
          </w:p>
        </w:tc>
      </w:tr>
      <w:tr>
        <w:trPr>
          <w:trHeight w:val="312" w:hRule="exact"/>
        </w:trPr>
        <w:tc>
          <w:tcPr>
            <w:tcW w:w="2392" w:type="dxa"/>
            <w:tcBorders>
              <w:top w:val="nil" w:sz="6" w:space="0" w:color="auto"/>
              <w:left w:val="single" w:sz="4" w:space="0" w:color="000000"/>
              <w:bottom w:val="nil" w:sz="6" w:space="0" w:color="auto"/>
              <w:right w:val="single" w:sz="4" w:space="0" w:color="000000"/>
            </w:tcBorders>
            <w:shd w:val="clear" w:color="auto" w:fill="D2D2D2"/>
          </w:tcPr>
          <w:p>
            <w:pPr/>
          </w:p>
        </w:tc>
        <w:tc>
          <w:tcPr>
            <w:tcW w:w="7178"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王明宽的配偶，公司实际控制人之一、原董事李朝莉（</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日离任）之女，未在</w:t>
            </w:r>
          </w:p>
        </w:tc>
      </w:tr>
      <w:tr>
        <w:trPr>
          <w:trHeight w:val="327" w:hRule="exact"/>
        </w:trPr>
        <w:tc>
          <w:tcPr>
            <w:tcW w:w="2392" w:type="dxa"/>
            <w:tcBorders>
              <w:top w:val="nil" w:sz="6" w:space="0" w:color="auto"/>
              <w:left w:val="single" w:sz="4" w:space="0" w:color="000000"/>
              <w:bottom w:val="nil" w:sz="6" w:space="0" w:color="auto"/>
              <w:right w:val="single" w:sz="4" w:space="0" w:color="000000"/>
            </w:tcBorders>
            <w:shd w:val="clear" w:color="auto" w:fill="D2D2D2"/>
          </w:tcPr>
          <w:p>
            <w:pPr/>
          </w:p>
        </w:tc>
        <w:tc>
          <w:tcPr>
            <w:tcW w:w="7178"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公司担任任何职位，自由职业。</w:t>
            </w:r>
          </w:p>
        </w:tc>
      </w:tr>
      <w:tr>
        <w:trPr>
          <w:trHeight w:val="337" w:hRule="exact"/>
        </w:trPr>
        <w:tc>
          <w:tcPr>
            <w:tcW w:w="2392" w:type="dxa"/>
            <w:tcBorders>
              <w:top w:val="nil" w:sz="6" w:space="0" w:color="auto"/>
              <w:left w:val="single" w:sz="4" w:space="0" w:color="000000"/>
              <w:bottom w:val="nil" w:sz="6" w:space="0" w:color="auto"/>
              <w:right w:val="single" w:sz="4" w:space="0" w:color="000000"/>
            </w:tcBorders>
            <w:shd w:val="clear" w:color="auto" w:fill="D2D2D2"/>
          </w:tcPr>
          <w:p>
            <w:pPr/>
          </w:p>
        </w:tc>
        <w:tc>
          <w:tcPr>
            <w:tcW w:w="7178"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、李朝莉，女，</w:t>
            </w:r>
            <w:r>
              <w:rPr>
                <w:rFonts w:ascii="Times New Roman" w:hAnsi="Times New Roman" w:cs="Times New Roman" w:eastAsia="Times New Roman" w:hint="default"/>
                <w:spacing w:val="-2"/>
                <w:sz w:val="18"/>
                <w:szCs w:val="18"/>
              </w:rPr>
              <w:t>1955</w:t>
            </w:r>
            <w:r>
              <w:rPr>
                <w:rFonts w:ascii="Times New Roman" w:hAnsi="Times New Roman" w:cs="Times New Roman" w:eastAsia="Times New Roman" w:hint="default"/>
                <w:spacing w:val="16"/>
                <w:sz w:val="18"/>
                <w:szCs w:val="18"/>
              </w:rPr>
              <w:t> </w:t>
            </w:r>
            <w:r>
              <w:rPr>
                <w:rFonts w:ascii="宋体" w:hAnsi="宋体" w:cs="宋体" w:eastAsia="宋体" w:hint="default"/>
                <w:spacing w:val="-1"/>
                <w:sz w:val="18"/>
                <w:szCs w:val="18"/>
              </w:rPr>
              <w:t>年出生，中国国籍，无境外永久居留权，初中学历。曾任公司前身深</w:t>
            </w:r>
          </w:p>
        </w:tc>
      </w:tr>
      <w:tr>
        <w:trPr>
          <w:trHeight w:val="312" w:hRule="exact"/>
        </w:trPr>
        <w:tc>
          <w:tcPr>
            <w:tcW w:w="2392" w:type="dxa"/>
            <w:tcBorders>
              <w:top w:val="nil" w:sz="6" w:space="0" w:color="auto"/>
              <w:left w:val="single" w:sz="4" w:space="0" w:color="000000"/>
              <w:bottom w:val="nil" w:sz="6" w:space="0" w:color="auto"/>
              <w:right w:val="single" w:sz="4" w:space="0" w:color="000000"/>
            </w:tcBorders>
            <w:shd w:val="clear" w:color="auto" w:fill="D2D2D2"/>
          </w:tcPr>
          <w:p>
            <w:pPr/>
          </w:p>
        </w:tc>
        <w:tc>
          <w:tcPr>
            <w:tcW w:w="7178"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圳市金溢科技有限公司执行董事，金溢科技董事</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日离任</w:t>
            </w:r>
            <w:r>
              <w:rPr>
                <w:rFonts w:ascii="宋体" w:hAnsi="宋体" w:cs="宋体" w:eastAsia="宋体" w:hint="default"/>
                <w:spacing w:val="-92"/>
                <w:sz w:val="18"/>
                <w:szCs w:val="18"/>
              </w:rPr>
              <w:t>）</w:t>
            </w:r>
            <w:r>
              <w:rPr>
                <w:rFonts w:ascii="宋体" w:hAnsi="宋体" w:cs="宋体" w:eastAsia="宋体" w:hint="default"/>
                <w:sz w:val="18"/>
                <w:szCs w:val="18"/>
              </w:rPr>
              <w:t>；现任金溢实业</w:t>
            </w:r>
          </w:p>
        </w:tc>
      </w:tr>
      <w:tr>
        <w:trPr>
          <w:trHeight w:val="353" w:hRule="exact"/>
        </w:trPr>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178" w:type="dxa"/>
            <w:gridSpan w:val="3"/>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执行董事兼经理，深圳立尊经理。</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70"/>
        <w:ind w:right="967"/>
        <w:jc w:val="left"/>
      </w:pPr>
      <w:r>
        <w:rPr/>
        <w:t>实际控制人报告期内变更</w:t>
      </w:r>
    </w:p>
    <w:p>
      <w:pPr>
        <w:pStyle w:val="BodyText"/>
        <w:spacing w:line="348"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after="0" w:line="348" w:lineRule="auto"/>
        <w:jc w:val="left"/>
        <w:sectPr>
          <w:pgSz w:w="11910" w:h="16840"/>
          <w:pgMar w:header="877" w:footer="979" w:top="1100" w:bottom="1160" w:left="980" w:right="0"/>
        </w:sectPr>
      </w:pPr>
    </w:p>
    <w:p>
      <w:pPr>
        <w:spacing w:line="240" w:lineRule="auto" w:before="9"/>
        <w:rPr>
          <w:rFonts w:ascii="宋体" w:hAnsi="宋体" w:cs="宋体" w:eastAsia="宋体" w:hint="default"/>
          <w:sz w:val="27"/>
          <w:szCs w:val="27"/>
        </w:rPr>
      </w:pPr>
    </w:p>
    <w:p>
      <w:pPr>
        <w:spacing w:line="2100" w:lineRule="exact"/>
        <w:ind w:left="1355" w:right="0" w:firstLine="0"/>
        <w:rPr>
          <w:rFonts w:ascii="宋体" w:hAnsi="宋体" w:cs="宋体" w:eastAsia="宋体" w:hint="default"/>
          <w:sz w:val="20"/>
          <w:szCs w:val="20"/>
        </w:rPr>
      </w:pPr>
      <w:r>
        <w:rPr>
          <w:rFonts w:ascii="宋体" w:hAnsi="宋体" w:cs="宋体" w:eastAsia="宋体" w:hint="default"/>
          <w:position w:val="-41"/>
          <w:sz w:val="20"/>
          <w:szCs w:val="20"/>
        </w:rPr>
        <w:drawing>
          <wp:inline distT="0" distB="0" distL="0" distR="0">
            <wp:extent cx="4591685" cy="1333500"/>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33" cstate="print"/>
                    <a:stretch>
                      <a:fillRect/>
                    </a:stretch>
                  </pic:blipFill>
                  <pic:spPr>
                    <a:xfrm>
                      <a:off x="0" y="0"/>
                      <a:ext cx="4591685" cy="1333500"/>
                    </a:xfrm>
                    <a:prstGeom prst="rect">
                      <a:avLst/>
                    </a:prstGeom>
                  </pic:spPr>
                </pic:pic>
              </a:graphicData>
            </a:graphic>
          </wp:inline>
        </w:drawing>
      </w:r>
      <w:r>
        <w:rPr>
          <w:rFonts w:ascii="宋体" w:hAnsi="宋体" w:cs="宋体" w:eastAsia="宋体" w:hint="default"/>
          <w:position w:val="-41"/>
          <w:sz w:val="20"/>
          <w:szCs w:val="20"/>
        </w:rPr>
      </w:r>
    </w:p>
    <w:p>
      <w:pPr>
        <w:spacing w:line="240" w:lineRule="auto" w:before="9"/>
        <w:rPr>
          <w:rFonts w:ascii="宋体" w:hAnsi="宋体" w:cs="宋体" w:eastAsia="宋体" w:hint="default"/>
          <w:sz w:val="13"/>
          <w:szCs w:val="13"/>
        </w:rPr>
      </w:pPr>
    </w:p>
    <w:p>
      <w:pPr>
        <w:pStyle w:val="Heading3"/>
        <w:spacing w:line="240" w:lineRule="auto" w:before="26"/>
        <w:ind w:left="152" w:right="967"/>
        <w:jc w:val="left"/>
      </w:pPr>
      <w:r>
        <w:rPr/>
        <w:t>实际控制人通过信托或其他资产管理方式控制公司</w:t>
      </w:r>
    </w:p>
    <w:p>
      <w:pPr>
        <w:spacing w:line="240" w:lineRule="auto" w:before="10"/>
        <w:rPr>
          <w:rFonts w:ascii="宋体" w:hAnsi="宋体" w:cs="宋体" w:eastAsia="宋体" w:hint="default"/>
          <w:sz w:val="18"/>
          <w:szCs w:val="18"/>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2"/>
        <w:rPr>
          <w:rFonts w:ascii="宋体" w:hAnsi="宋体" w:cs="宋体" w:eastAsia="宋体" w:hint="default"/>
          <w:sz w:val="20"/>
          <w:szCs w:val="20"/>
        </w:rPr>
      </w:pPr>
    </w:p>
    <w:p>
      <w:pPr>
        <w:pStyle w:val="Heading4"/>
        <w:spacing w:line="240" w:lineRule="auto"/>
        <w:ind w:right="967"/>
        <w:jc w:val="left"/>
        <w:rPr>
          <w:b w:val="0"/>
          <w:bCs w:val="0"/>
        </w:rPr>
      </w:pPr>
      <w:r>
        <w:rPr>
          <w:rFonts w:ascii="Times New Roman" w:hAnsi="Times New Roman" w:cs="Times New Roman" w:eastAsia="Times New Roman" w:hint="default"/>
        </w:rPr>
        <w:t>4</w:t>
      </w:r>
      <w:r>
        <w:rPr/>
        <w:t>、其他持股在</w:t>
      </w:r>
      <w:r>
        <w:rPr>
          <w:spacing w:val="12"/>
        </w:rPr>
        <w:t> </w:t>
      </w:r>
      <w:r>
        <w:rPr>
          <w:rFonts w:ascii="Times New Roman" w:hAnsi="Times New Roman" w:cs="Times New Roman" w:eastAsia="Times New Roman" w:hint="default"/>
        </w:rPr>
        <w:t>10%</w:t>
      </w:r>
      <w:r>
        <w:rPr/>
        <w:t>以上的法人股东</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4"/>
        <w:spacing w:line="240" w:lineRule="auto"/>
        <w:ind w:right="967"/>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456" w:lineRule="exact"/>
        <w:ind w:left="3365" w:right="967"/>
        <w:jc w:val="left"/>
        <w:rPr>
          <w:b w:val="0"/>
          <w:bCs w:val="0"/>
        </w:rPr>
      </w:pPr>
      <w:bookmarkStart w:name="_TOC_250006" w:id="7"/>
      <w:r>
        <w:rPr/>
        <w:t>第七节优先股相关情况</w:t>
      </w:r>
      <w:bookmarkEnd w:id="7"/>
      <w:r>
        <w:rPr>
          <w:b w:val="0"/>
          <w:bCs w:val="0"/>
        </w:rPr>
      </w:r>
    </w:p>
    <w:p>
      <w:pPr>
        <w:spacing w:line="240" w:lineRule="auto" w:before="8"/>
        <w:rPr>
          <w:rFonts w:ascii="Microsoft JhengHei" w:hAnsi="Microsoft JhengHei" w:cs="Microsoft JhengHei" w:eastAsia="Microsoft JhengHei" w:hint="default"/>
          <w:b/>
          <w:bCs/>
          <w:sz w:val="27"/>
          <w:szCs w:val="27"/>
        </w:rPr>
      </w:pPr>
    </w:p>
    <w:p>
      <w:pPr>
        <w:pStyle w:val="BodyText"/>
        <w:spacing w:line="338"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456" w:lineRule="exact"/>
        <w:ind w:left="2723" w:right="967"/>
        <w:jc w:val="left"/>
        <w:rPr>
          <w:b w:val="0"/>
          <w:bCs w:val="0"/>
        </w:rPr>
      </w:pPr>
      <w:bookmarkStart w:name="_TOC_250005" w:id="8"/>
      <w:r>
        <w:rPr/>
        <w:t>第八节可转换公司债券相关情况</w:t>
      </w:r>
      <w:bookmarkEnd w:id="8"/>
      <w:r>
        <w:rPr>
          <w:b w:val="0"/>
          <w:bCs w:val="0"/>
        </w:rPr>
      </w:r>
    </w:p>
    <w:p>
      <w:pPr>
        <w:spacing w:line="240" w:lineRule="auto" w:before="17"/>
        <w:rPr>
          <w:rFonts w:ascii="Microsoft JhengHei" w:hAnsi="Microsoft JhengHei" w:cs="Microsoft JhengHei" w:eastAsia="Microsoft JhengHei" w:hint="default"/>
          <w:b/>
          <w:bCs/>
          <w:sz w:val="29"/>
          <w:szCs w:val="29"/>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报告期公司不存在可转换公司债券。</w:t>
      </w:r>
    </w:p>
    <w:p>
      <w:pPr>
        <w:spacing w:after="0" w:line="338" w:lineRule="auto"/>
        <w:jc w:val="left"/>
        <w:sectPr>
          <w:footerReference w:type="default" r:id="rId34"/>
          <w:pgSz w:w="11910" w:h="16840"/>
          <w:pgMar w:footer="979" w:header="877"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456" w:lineRule="exact"/>
        <w:ind w:left="1758" w:right="967"/>
        <w:jc w:val="left"/>
        <w:rPr>
          <w:b w:val="0"/>
          <w:bCs w:val="0"/>
        </w:rPr>
      </w:pPr>
      <w:bookmarkStart w:name="_TOC_250004" w:id="9"/>
      <w:r>
        <w:rPr/>
        <w:t>第九节董事、监事、高级管理人员和员工情况</w:t>
      </w:r>
      <w:bookmarkEnd w:id="9"/>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967"/>
        <w:jc w:val="left"/>
        <w:rPr>
          <w:b w:val="0"/>
          <w:bCs w:val="0"/>
        </w:rPr>
      </w:pPr>
      <w:r>
        <w:rPr/>
        <w:pict>
          <v:shape style="position:absolute;margin-left:471.583008pt;margin-top:36.793621pt;width:63.6pt;height:50.9pt;mso-position-horizontal-relative:page;mso-position-vertical-relative:paragraph;z-index:-1531264" type="#_x0000_t202" filled="false" stroked="false">
            <v:textbox inset="0,0,0,0">
              <w:txbxContent>
                <w:p>
                  <w:pPr>
                    <w:spacing w:line="240" w:lineRule="auto" w:before="0"/>
                    <w:rPr>
                      <w:rFonts w:ascii="Microsoft JhengHei" w:hAnsi="Microsoft JhengHei" w:cs="Microsoft JhengHei" w:eastAsia="Microsoft JhengHei" w:hint="default"/>
                      <w:b/>
                      <w:bCs/>
                      <w:sz w:val="18"/>
                      <w:szCs w:val="18"/>
                    </w:rPr>
                  </w:pPr>
                </w:p>
                <w:p>
                  <w:pPr>
                    <w:spacing w:line="240" w:lineRule="auto" w:before="12"/>
                    <w:rPr>
                      <w:rFonts w:ascii="Microsoft JhengHei" w:hAnsi="Microsoft JhengHei" w:cs="Microsoft JhengHei" w:eastAsia="Microsoft JhengHei" w:hint="default"/>
                      <w:b/>
                      <w:bCs/>
                      <w:sz w:val="11"/>
                      <w:szCs w:val="11"/>
                    </w:rPr>
                  </w:pPr>
                </w:p>
                <w:p>
                  <w:pPr>
                    <w:pStyle w:val="BodyText"/>
                    <w:spacing w:line="240" w:lineRule="auto"/>
                    <w:ind w:left="0" w:right="0"/>
                    <w:jc w:val="left"/>
                  </w:pPr>
                  <w:r>
                    <w:rPr/>
                    <w:t>（股）</w:t>
                  </w:r>
                </w:p>
              </w:txbxContent>
            </v:textbox>
            <w10:wrap type="none"/>
          </v:shape>
        </w:pict>
      </w:r>
      <w:r>
        <w:rPr/>
        <w:t>一、董事、监事和高级管理人员持股变动</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35" w:firstLine="9"/>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359"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4" w:right="0"/>
              <w:jc w:val="left"/>
              <w:rPr>
                <w:rFonts w:ascii="宋体" w:hAnsi="宋体" w:cs="宋体" w:eastAsia="宋体" w:hint="default"/>
                <w:sz w:val="18"/>
                <w:szCs w:val="18"/>
              </w:rPr>
            </w:pPr>
            <w:r>
              <w:rPr>
                <w:rFonts w:ascii="宋体" w:hAnsi="宋体" w:cs="宋体" w:eastAsia="宋体" w:hint="default"/>
                <w:sz w:val="18"/>
                <w:szCs w:val="18"/>
              </w:rPr>
              <w:t>罗瑞发</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6,600,000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6,600,000</w:t>
            </w:r>
          </w:p>
        </w:tc>
      </w:tr>
      <w:tr>
        <w:trPr>
          <w:trHeight w:val="354"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副董事</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刘咏平</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长、副总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pacing w:val="-1"/>
                <w:sz w:val="18"/>
              </w:rPr>
              <w:t>9,600,000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9,600,000</w:t>
            </w:r>
          </w:p>
        </w:tc>
      </w:tr>
      <w:tr>
        <w:trPr>
          <w:trHeight w:val="355"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董事、常</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务副总经</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8,000,000</w:t>
            </w:r>
          </w:p>
        </w:tc>
      </w:tr>
      <w:tr>
        <w:trPr>
          <w:trHeight w:val="354"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理</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郑映虹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9"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董事、董 事会秘书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59"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关志超</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r>
      <w:tr>
        <w:trPr>
          <w:trHeight w:val="354"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于海洋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r>
      <w:tr>
        <w:trPr>
          <w:trHeight w:val="355"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陈君柱</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r>
      <w:tr>
        <w:trPr>
          <w:trHeight w:val="354"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向吉英</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r>
      <w:tr>
        <w:trPr>
          <w:trHeight w:val="355"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李夏</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r>
      <w:tr>
        <w:trPr>
          <w:trHeight w:val="354"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周海荣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footerReference w:type="default" r:id="rId35"/>
          <w:pgSz w:w="11910" w:h="16840"/>
          <w:pgMar w:footer="979" w:header="877" w:top="1100" w:bottom="1160" w:left="980" w:right="0"/>
          <w:pgNumType w:start="101"/>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361"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倪传宝</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r>
      <w:tr>
        <w:trPr>
          <w:trHeight w:val="353"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朱卫国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王明宽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362"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4" w:right="0"/>
              <w:jc w:val="left"/>
              <w:rPr>
                <w:rFonts w:ascii="宋体" w:hAnsi="宋体" w:cs="宋体" w:eastAsia="宋体" w:hint="default"/>
                <w:sz w:val="18"/>
                <w:szCs w:val="18"/>
              </w:rPr>
            </w:pPr>
            <w:r>
              <w:rPr>
                <w:rFonts w:ascii="宋体" w:hAnsi="宋体" w:cs="宋体" w:eastAsia="宋体" w:hint="default"/>
                <w:sz w:val="18"/>
                <w:szCs w:val="18"/>
              </w:rPr>
              <w:t>黄然婷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r>
      <w:tr>
        <w:trPr>
          <w:trHeight w:val="354"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李朝莉</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800,000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800,000</w:t>
            </w:r>
          </w:p>
        </w:tc>
      </w:tr>
      <w:tr>
        <w:trPr>
          <w:trHeight w:val="353"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许岳明</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08</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r>
      <w:tr>
        <w:trPr>
          <w:trHeight w:val="354"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甘云龙</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2,767,605</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-845,582</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1,922,023</w:t>
            </w:r>
          </w:p>
        </w:tc>
      </w:tr>
      <w:tr>
        <w:trPr>
          <w:trHeight w:val="353"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蔡福春</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2,066,200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-350,000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1,716,200</w:t>
            </w:r>
          </w:p>
        </w:tc>
      </w:tr>
      <w:tr>
        <w:trPr>
          <w:trHeight w:val="354"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何宁</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100,000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100,000</w:t>
            </w:r>
          </w:p>
        </w:tc>
      </w:tr>
      <w:tr>
        <w:trPr>
          <w:trHeight w:val="353"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吴国庆</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r>
      <w:tr>
        <w:trPr>
          <w:trHeight w:val="354"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聂磊</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r>
      <w:tr>
        <w:trPr>
          <w:trHeight w:val="353" w:hRule="exact"/>
        </w:trPr>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35,833,80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-1,195,58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34,738,22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967"/>
        <w:jc w:val="left"/>
        <w:rPr>
          <w:b w:val="0"/>
          <w:bCs w:val="0"/>
        </w:rPr>
      </w:pPr>
      <w:r>
        <w:rPr/>
        <w:t>二、公司董事、监事、高级管理人员变动情况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29"/>
        <w:gridCol w:w="1330"/>
        <w:gridCol w:w="1333"/>
        <w:gridCol w:w="1330"/>
        <w:gridCol w:w="4246"/>
      </w:tblGrid>
      <w:tr>
        <w:trPr>
          <w:trHeight w:val="403" w:hRule="exact"/>
        </w:trPr>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r>
        <w:rPr/>
        <w:pict>
          <v:shape style="position:absolute;margin-left:56.400002pt;margin-top:71.999985pt;width:479.15pt;height:680.8pt;mso-position-horizontal-relative:page;mso-position-vertical-relative:page;z-index:25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0"/>
                    <w:gridCol w:w="1330"/>
                    <w:gridCol w:w="1333"/>
                    <w:gridCol w:w="1330"/>
                    <w:gridCol w:w="4246"/>
                  </w:tblGrid>
                  <w:tr>
                    <w:trPr>
                      <w:trHeight w:val="361" w:hRule="exact"/>
                    </w:trPr>
                    <w:tc>
                      <w:tcPr>
                        <w:tcW w:w="1330" w:type="dxa"/>
                        <w:tcBorders>
                          <w:top w:val="single" w:sz="4" w:space="0" w:color="000000"/>
                          <w:left w:val="single" w:sz="4" w:space="0" w:color="000000"/>
                          <w:bottom w:val="nil" w:sz="6" w:space="0" w:color="auto"/>
                          <w:right w:val="single" w:sz="4" w:space="0" w:color="000000"/>
                        </w:tcBorders>
                      </w:tcPr>
                      <w:p>
                        <w:pPr/>
                      </w:p>
                    </w:tc>
                    <w:tc>
                      <w:tcPr>
                        <w:tcW w:w="1330" w:type="dxa"/>
                        <w:tcBorders>
                          <w:top w:val="single" w:sz="4" w:space="0" w:color="000000"/>
                          <w:left w:val="single" w:sz="4" w:space="0" w:color="000000"/>
                          <w:bottom w:val="nil" w:sz="6" w:space="0" w:color="auto"/>
                          <w:right w:val="single" w:sz="4" w:space="0" w:color="000000"/>
                        </w:tcBorders>
                      </w:tcPr>
                      <w:p>
                        <w:pPr/>
                      </w:p>
                    </w:tc>
                    <w:tc>
                      <w:tcPr>
                        <w:tcW w:w="1333" w:type="dxa"/>
                        <w:tcBorders>
                          <w:top w:val="single" w:sz="4" w:space="0" w:color="000000"/>
                          <w:left w:val="single" w:sz="4" w:space="0" w:color="000000"/>
                          <w:bottom w:val="nil" w:sz="6" w:space="0" w:color="auto"/>
                          <w:right w:val="single" w:sz="4" w:space="0" w:color="000000"/>
                        </w:tcBorders>
                      </w:tcPr>
                      <w:p>
                        <w:pPr/>
                      </w:p>
                    </w:tc>
                    <w:tc>
                      <w:tcPr>
                        <w:tcW w:w="1330" w:type="dxa"/>
                        <w:tcBorders>
                          <w:top w:val="single" w:sz="4" w:space="0" w:color="000000"/>
                          <w:left w:val="single" w:sz="4" w:space="0" w:color="000000"/>
                          <w:bottom w:val="nil" w:sz="6" w:space="0" w:color="auto"/>
                          <w:right w:val="single" w:sz="4" w:space="0" w:color="000000"/>
                        </w:tcBorders>
                      </w:tcPr>
                      <w:p>
                        <w:pPr/>
                      </w:p>
                    </w:tc>
                    <w:tc>
                      <w:tcPr>
                        <w:tcW w:w="42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日，李朝莉女士因个人原因，申请辞去</w:t>
                        </w:r>
                      </w:p>
                    </w:tc>
                  </w:tr>
                  <w:tr>
                    <w:trPr>
                      <w:trHeight w:val="931" w:hRule="exact"/>
                    </w:trPr>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李朝莉</w:t>
                        </w: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3"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70"/>
                          <w:jc w:val="both"/>
                          <w:rPr>
                            <w:rFonts w:ascii="宋体" w:hAnsi="宋体" w:cs="宋体" w:eastAsia="宋体" w:hint="default"/>
                            <w:sz w:val="18"/>
                            <w:szCs w:val="18"/>
                          </w:rPr>
                        </w:pPr>
                        <w:r>
                          <w:rPr>
                            <w:rFonts w:ascii="宋体" w:hAnsi="宋体" w:cs="宋体" w:eastAsia="宋体" w:hint="default"/>
                            <w:sz w:val="18"/>
                            <w:szCs w:val="18"/>
                          </w:rPr>
                          <w:t>公司第二届董事会非独立董事职务，同时一并辞去董 事会战略发展及投资审查委员会委员职务。辞职后， 李朝莉女士不再担任公司任何职务。李朝莉女士的辞</w:t>
                        </w:r>
                      </w:p>
                    </w:tc>
                  </w:tr>
                  <w:tr>
                    <w:trPr>
                      <w:trHeight w:val="357" w:hRule="exact"/>
                    </w:trPr>
                    <w:tc>
                      <w:tcPr>
                        <w:tcW w:w="1330" w:type="dxa"/>
                        <w:tcBorders>
                          <w:top w:val="nil" w:sz="6" w:space="0" w:color="auto"/>
                          <w:left w:val="single" w:sz="4" w:space="0" w:color="000000"/>
                          <w:bottom w:val="single" w:sz="4" w:space="0" w:color="000000"/>
                          <w:right w:val="single" w:sz="4" w:space="0" w:color="000000"/>
                        </w:tcBorders>
                      </w:tcPr>
                      <w:p>
                        <w:pPr/>
                      </w:p>
                    </w:tc>
                    <w:tc>
                      <w:tcPr>
                        <w:tcW w:w="1330" w:type="dxa"/>
                        <w:tcBorders>
                          <w:top w:val="nil" w:sz="6" w:space="0" w:color="auto"/>
                          <w:left w:val="single" w:sz="4" w:space="0" w:color="000000"/>
                          <w:bottom w:val="single" w:sz="4" w:space="0" w:color="000000"/>
                          <w:right w:val="single" w:sz="4" w:space="0" w:color="000000"/>
                        </w:tcBorders>
                      </w:tcPr>
                      <w:p>
                        <w:pPr/>
                      </w:p>
                    </w:tc>
                    <w:tc>
                      <w:tcPr>
                        <w:tcW w:w="1333" w:type="dxa"/>
                        <w:tcBorders>
                          <w:top w:val="nil" w:sz="6" w:space="0" w:color="auto"/>
                          <w:left w:val="single" w:sz="4" w:space="0" w:color="000000"/>
                          <w:bottom w:val="single" w:sz="4" w:space="0" w:color="000000"/>
                          <w:right w:val="single" w:sz="4" w:space="0" w:color="000000"/>
                        </w:tcBorders>
                      </w:tcPr>
                      <w:p>
                        <w:pPr/>
                      </w:p>
                    </w:tc>
                    <w:tc>
                      <w:tcPr>
                        <w:tcW w:w="1330" w:type="dxa"/>
                        <w:tcBorders>
                          <w:top w:val="nil" w:sz="6" w:space="0" w:color="auto"/>
                          <w:left w:val="single" w:sz="4" w:space="0" w:color="000000"/>
                          <w:bottom w:val="single" w:sz="4" w:space="0" w:color="000000"/>
                          <w:right w:val="single" w:sz="4" w:space="0" w:color="000000"/>
                        </w:tcBorders>
                      </w:tcPr>
                      <w:p>
                        <w:pPr/>
                      </w:p>
                    </w:tc>
                    <w:tc>
                      <w:tcPr>
                        <w:tcW w:w="42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职自送达董事会之日（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日）起生效。</w:t>
                        </w:r>
                      </w:p>
                    </w:tc>
                  </w:tr>
                  <w:tr>
                    <w:trPr>
                      <w:trHeight w:val="361" w:hRule="exact"/>
                    </w:trPr>
                    <w:tc>
                      <w:tcPr>
                        <w:tcW w:w="1330" w:type="dxa"/>
                        <w:tcBorders>
                          <w:top w:val="single" w:sz="4" w:space="0" w:color="000000"/>
                          <w:left w:val="single" w:sz="4" w:space="0" w:color="000000"/>
                          <w:bottom w:val="nil" w:sz="6" w:space="0" w:color="auto"/>
                          <w:right w:val="single" w:sz="4" w:space="0" w:color="000000"/>
                        </w:tcBorders>
                      </w:tcPr>
                      <w:p>
                        <w:pPr/>
                      </w:p>
                    </w:tc>
                    <w:tc>
                      <w:tcPr>
                        <w:tcW w:w="1330" w:type="dxa"/>
                        <w:tcBorders>
                          <w:top w:val="single" w:sz="4" w:space="0" w:color="000000"/>
                          <w:left w:val="single" w:sz="4" w:space="0" w:color="000000"/>
                          <w:bottom w:val="nil" w:sz="6" w:space="0" w:color="auto"/>
                          <w:right w:val="single" w:sz="4" w:space="0" w:color="000000"/>
                        </w:tcBorders>
                      </w:tcPr>
                      <w:p>
                        <w:pPr/>
                      </w:p>
                    </w:tc>
                    <w:tc>
                      <w:tcPr>
                        <w:tcW w:w="1333" w:type="dxa"/>
                        <w:tcBorders>
                          <w:top w:val="single" w:sz="4" w:space="0" w:color="000000"/>
                          <w:left w:val="single" w:sz="4" w:space="0" w:color="000000"/>
                          <w:bottom w:val="nil" w:sz="6" w:space="0" w:color="auto"/>
                          <w:right w:val="single" w:sz="4" w:space="0" w:color="000000"/>
                        </w:tcBorders>
                      </w:tcPr>
                      <w:p>
                        <w:pPr/>
                      </w:p>
                    </w:tc>
                    <w:tc>
                      <w:tcPr>
                        <w:tcW w:w="1330" w:type="dxa"/>
                        <w:tcBorders>
                          <w:top w:val="single" w:sz="4" w:space="0" w:color="000000"/>
                          <w:left w:val="single" w:sz="4" w:space="0" w:color="000000"/>
                          <w:bottom w:val="nil" w:sz="6" w:space="0" w:color="auto"/>
                          <w:right w:val="single" w:sz="4" w:space="0" w:color="000000"/>
                        </w:tcBorders>
                      </w:tcPr>
                      <w:p>
                        <w:pPr/>
                      </w:p>
                    </w:tc>
                    <w:tc>
                      <w:tcPr>
                        <w:tcW w:w="42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日，罗瑞发先生因工作调整，申请辞去</w:t>
                        </w:r>
                      </w:p>
                    </w:tc>
                  </w:tr>
                  <w:tr>
                    <w:trPr>
                      <w:trHeight w:val="306" w:hRule="exact"/>
                    </w:trPr>
                    <w:tc>
                      <w:tcPr>
                        <w:tcW w:w="1330"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333"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424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公司总经理职务。辞职后，罗瑞发先生将继续担任公</w:t>
                        </w:r>
                      </w:p>
                    </w:tc>
                  </w:tr>
                  <w:tr>
                    <w:trPr>
                      <w:trHeight w:val="941" w:hRule="exact"/>
                    </w:trPr>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罗瑞发</w:t>
                        </w: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3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7"/>
                          <w:jc w:val="both"/>
                          <w:rPr>
                            <w:rFonts w:ascii="宋体" w:hAnsi="宋体" w:cs="宋体" w:eastAsia="宋体" w:hint="default"/>
                            <w:sz w:val="18"/>
                            <w:szCs w:val="18"/>
                          </w:rPr>
                        </w:pPr>
                        <w:r>
                          <w:rPr>
                            <w:rFonts w:ascii="宋体" w:hAnsi="宋体" w:cs="宋体" w:eastAsia="宋体" w:hint="default"/>
                            <w:sz w:val="18"/>
                            <w:szCs w:val="18"/>
                          </w:rPr>
                          <w:t>司董事长、董事会战略发展及投资审查委员会召集人 及委员、董事会审计及预算审核委员会委员职务。罗 瑞发先生的辞职自</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日公司第二届董事会</w:t>
                        </w:r>
                      </w:p>
                    </w:tc>
                  </w:tr>
                  <w:tr>
                    <w:trPr>
                      <w:trHeight w:val="307" w:hRule="exact"/>
                    </w:trPr>
                    <w:tc>
                      <w:tcPr>
                        <w:tcW w:w="1330"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333"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424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第二十二次会议聘任王明宽先生为新任总经理之日起</w:t>
                        </w:r>
                      </w:p>
                    </w:tc>
                  </w:tr>
                  <w:tr>
                    <w:trPr>
                      <w:trHeight w:val="360" w:hRule="exact"/>
                    </w:trPr>
                    <w:tc>
                      <w:tcPr>
                        <w:tcW w:w="1330" w:type="dxa"/>
                        <w:tcBorders>
                          <w:top w:val="nil" w:sz="6" w:space="0" w:color="auto"/>
                          <w:left w:val="single" w:sz="4" w:space="0" w:color="000000"/>
                          <w:bottom w:val="single" w:sz="4" w:space="0" w:color="000000"/>
                          <w:right w:val="single" w:sz="4" w:space="0" w:color="000000"/>
                        </w:tcBorders>
                      </w:tcPr>
                      <w:p>
                        <w:pPr/>
                      </w:p>
                    </w:tc>
                    <w:tc>
                      <w:tcPr>
                        <w:tcW w:w="1330" w:type="dxa"/>
                        <w:tcBorders>
                          <w:top w:val="nil" w:sz="6" w:space="0" w:color="auto"/>
                          <w:left w:val="single" w:sz="4" w:space="0" w:color="000000"/>
                          <w:bottom w:val="single" w:sz="4" w:space="0" w:color="000000"/>
                          <w:right w:val="single" w:sz="4" w:space="0" w:color="000000"/>
                        </w:tcBorders>
                      </w:tcPr>
                      <w:p>
                        <w:pPr/>
                      </w:p>
                    </w:tc>
                    <w:tc>
                      <w:tcPr>
                        <w:tcW w:w="1333" w:type="dxa"/>
                        <w:tcBorders>
                          <w:top w:val="nil" w:sz="6" w:space="0" w:color="auto"/>
                          <w:left w:val="single" w:sz="4" w:space="0" w:color="000000"/>
                          <w:bottom w:val="single" w:sz="4" w:space="0" w:color="000000"/>
                          <w:right w:val="single" w:sz="4" w:space="0" w:color="000000"/>
                        </w:tcBorders>
                      </w:tcPr>
                      <w:p>
                        <w:pPr/>
                      </w:p>
                    </w:tc>
                    <w:tc>
                      <w:tcPr>
                        <w:tcW w:w="1330" w:type="dxa"/>
                        <w:tcBorders>
                          <w:top w:val="nil" w:sz="6" w:space="0" w:color="auto"/>
                          <w:left w:val="single" w:sz="4" w:space="0" w:color="000000"/>
                          <w:bottom w:val="single" w:sz="4" w:space="0" w:color="000000"/>
                          <w:right w:val="single" w:sz="4" w:space="0" w:color="000000"/>
                        </w:tcBorders>
                      </w:tcPr>
                      <w:p>
                        <w:pPr/>
                      </w:p>
                    </w:tc>
                    <w:tc>
                      <w:tcPr>
                        <w:tcW w:w="42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生效。</w:t>
                        </w:r>
                      </w:p>
                    </w:tc>
                  </w:tr>
                  <w:tr>
                    <w:trPr>
                      <w:trHeight w:val="360" w:hRule="exact"/>
                    </w:trPr>
                    <w:tc>
                      <w:tcPr>
                        <w:tcW w:w="1330" w:type="dxa"/>
                        <w:tcBorders>
                          <w:top w:val="single" w:sz="4" w:space="0" w:color="000000"/>
                          <w:left w:val="single" w:sz="4" w:space="0" w:color="000000"/>
                          <w:bottom w:val="nil" w:sz="6" w:space="0" w:color="auto"/>
                          <w:right w:val="single" w:sz="4" w:space="0" w:color="000000"/>
                        </w:tcBorders>
                      </w:tcPr>
                      <w:p>
                        <w:pPr/>
                      </w:p>
                    </w:tc>
                    <w:tc>
                      <w:tcPr>
                        <w:tcW w:w="1330" w:type="dxa"/>
                        <w:tcBorders>
                          <w:top w:val="single" w:sz="4" w:space="0" w:color="000000"/>
                          <w:left w:val="single" w:sz="4" w:space="0" w:color="000000"/>
                          <w:bottom w:val="nil" w:sz="6" w:space="0" w:color="auto"/>
                          <w:right w:val="single" w:sz="4" w:space="0" w:color="000000"/>
                        </w:tcBorders>
                      </w:tcPr>
                      <w:p>
                        <w:pPr/>
                      </w:p>
                    </w:tc>
                    <w:tc>
                      <w:tcPr>
                        <w:tcW w:w="1333" w:type="dxa"/>
                        <w:tcBorders>
                          <w:top w:val="single" w:sz="4" w:space="0" w:color="000000"/>
                          <w:left w:val="single" w:sz="4" w:space="0" w:color="000000"/>
                          <w:bottom w:val="nil" w:sz="6" w:space="0" w:color="auto"/>
                          <w:right w:val="single" w:sz="4" w:space="0" w:color="000000"/>
                        </w:tcBorders>
                      </w:tcPr>
                      <w:p>
                        <w:pPr/>
                      </w:p>
                    </w:tc>
                    <w:tc>
                      <w:tcPr>
                        <w:tcW w:w="1330" w:type="dxa"/>
                        <w:tcBorders>
                          <w:top w:val="single" w:sz="4" w:space="0" w:color="000000"/>
                          <w:left w:val="single" w:sz="4" w:space="0" w:color="000000"/>
                          <w:bottom w:val="nil" w:sz="6" w:space="0" w:color="auto"/>
                          <w:right w:val="single" w:sz="4" w:space="0" w:color="000000"/>
                        </w:tcBorders>
                      </w:tcPr>
                      <w:p>
                        <w:pPr/>
                      </w:p>
                    </w:tc>
                    <w:tc>
                      <w:tcPr>
                        <w:tcW w:w="42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日，甘云龙先生因个人原因，申请辞去</w:t>
                        </w:r>
                      </w:p>
                    </w:tc>
                  </w:tr>
                  <w:tr>
                    <w:trPr>
                      <w:trHeight w:val="307" w:hRule="exact"/>
                    </w:trPr>
                    <w:tc>
                      <w:tcPr>
                        <w:tcW w:w="1330"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333"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42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公司监事职务。辞职后，甘云龙先生将继续在公司任</w:t>
                        </w:r>
                      </w:p>
                    </w:tc>
                  </w:tr>
                  <w:tr>
                    <w:trPr>
                      <w:trHeight w:val="936" w:hRule="exact"/>
                    </w:trPr>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甘云龙</w:t>
                        </w: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70"/>
                          <w:jc w:val="both"/>
                          <w:rPr>
                            <w:rFonts w:ascii="宋体" w:hAnsi="宋体" w:cs="宋体" w:eastAsia="宋体" w:hint="default"/>
                            <w:sz w:val="18"/>
                            <w:szCs w:val="18"/>
                          </w:rPr>
                        </w:pPr>
                        <w:r>
                          <w:rPr>
                            <w:rFonts w:ascii="宋体" w:hAnsi="宋体" w:cs="宋体" w:eastAsia="宋体" w:hint="default"/>
                            <w:sz w:val="18"/>
                            <w:szCs w:val="18"/>
                          </w:rPr>
                          <w:t>职。鉴于甘云龙先生的辞职，将导致公司监事人数少 </w:t>
                        </w:r>
                        <w:r>
                          <w:rPr>
                            <w:rFonts w:ascii="宋体" w:hAnsi="宋体" w:cs="宋体" w:eastAsia="宋体" w:hint="default"/>
                            <w:spacing w:val="-8"/>
                            <w:sz w:val="18"/>
                            <w:szCs w:val="18"/>
                          </w:rPr>
                          <w:t>于法定最低人数，根据《公司法》、《深圳证券交易所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上市公司规范运作指引》和《公司章程》等有关规定</w:t>
                        </w:r>
                      </w:p>
                    </w:tc>
                  </w:tr>
                  <w:tr>
                    <w:trPr>
                      <w:trHeight w:val="317" w:hRule="exact"/>
                    </w:trPr>
                    <w:tc>
                      <w:tcPr>
                        <w:tcW w:w="1330"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333"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42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甘云龙先生的辞职在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r>
                      </w:p>
                    </w:tc>
                  </w:tr>
                  <w:tr>
                    <w:trPr>
                      <w:trHeight w:val="353" w:hRule="exact"/>
                    </w:trPr>
                    <w:tc>
                      <w:tcPr>
                        <w:tcW w:w="1330" w:type="dxa"/>
                        <w:tcBorders>
                          <w:top w:val="nil" w:sz="6" w:space="0" w:color="auto"/>
                          <w:left w:val="single" w:sz="4" w:space="0" w:color="000000"/>
                          <w:bottom w:val="single" w:sz="4" w:space="0" w:color="000000"/>
                          <w:right w:val="single" w:sz="4" w:space="0" w:color="000000"/>
                        </w:tcBorders>
                      </w:tcPr>
                      <w:p>
                        <w:pPr/>
                      </w:p>
                    </w:tc>
                    <w:tc>
                      <w:tcPr>
                        <w:tcW w:w="1330" w:type="dxa"/>
                        <w:tcBorders>
                          <w:top w:val="nil" w:sz="6" w:space="0" w:color="auto"/>
                          <w:left w:val="single" w:sz="4" w:space="0" w:color="000000"/>
                          <w:bottom w:val="single" w:sz="4" w:space="0" w:color="000000"/>
                          <w:right w:val="single" w:sz="4" w:space="0" w:color="000000"/>
                        </w:tcBorders>
                      </w:tcPr>
                      <w:p>
                        <w:pPr/>
                      </w:p>
                    </w:tc>
                    <w:tc>
                      <w:tcPr>
                        <w:tcW w:w="1333" w:type="dxa"/>
                        <w:tcBorders>
                          <w:top w:val="nil" w:sz="6" w:space="0" w:color="auto"/>
                          <w:left w:val="single" w:sz="4" w:space="0" w:color="000000"/>
                          <w:bottom w:val="single" w:sz="4" w:space="0" w:color="000000"/>
                          <w:right w:val="single" w:sz="4" w:space="0" w:color="000000"/>
                        </w:tcBorders>
                      </w:tcPr>
                      <w:p>
                        <w:pPr/>
                      </w:p>
                    </w:tc>
                    <w:tc>
                      <w:tcPr>
                        <w:tcW w:w="1330" w:type="dxa"/>
                        <w:tcBorders>
                          <w:top w:val="nil" w:sz="6" w:space="0" w:color="auto"/>
                          <w:left w:val="single" w:sz="4" w:space="0" w:color="000000"/>
                          <w:bottom w:val="single" w:sz="4" w:space="0" w:color="000000"/>
                          <w:right w:val="single" w:sz="4" w:space="0" w:color="000000"/>
                        </w:tcBorders>
                      </w:tcPr>
                      <w:p>
                        <w:pPr/>
                      </w:p>
                    </w:tc>
                    <w:tc>
                      <w:tcPr>
                        <w:tcW w:w="42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股东大会选举产生新任监事后生效。</w:t>
                        </w:r>
                      </w:p>
                    </w:tc>
                  </w:tr>
                  <w:tr>
                    <w:trPr>
                      <w:trHeight w:val="362" w:hRule="exact"/>
                    </w:trPr>
                    <w:tc>
                      <w:tcPr>
                        <w:tcW w:w="1330" w:type="dxa"/>
                        <w:tcBorders>
                          <w:top w:val="single" w:sz="4" w:space="0" w:color="000000"/>
                          <w:left w:val="single" w:sz="4" w:space="0" w:color="000000"/>
                          <w:bottom w:val="nil" w:sz="6" w:space="0" w:color="auto"/>
                          <w:right w:val="single" w:sz="4" w:space="0" w:color="000000"/>
                        </w:tcBorders>
                      </w:tcPr>
                      <w:p>
                        <w:pPr/>
                      </w:p>
                    </w:tc>
                    <w:tc>
                      <w:tcPr>
                        <w:tcW w:w="1330" w:type="dxa"/>
                        <w:tcBorders>
                          <w:top w:val="single" w:sz="4" w:space="0" w:color="000000"/>
                          <w:left w:val="single" w:sz="4" w:space="0" w:color="000000"/>
                          <w:bottom w:val="nil" w:sz="6" w:space="0" w:color="auto"/>
                          <w:right w:val="single" w:sz="4" w:space="0" w:color="000000"/>
                        </w:tcBorders>
                      </w:tcPr>
                      <w:p>
                        <w:pPr/>
                      </w:p>
                    </w:tc>
                    <w:tc>
                      <w:tcPr>
                        <w:tcW w:w="1333" w:type="dxa"/>
                        <w:tcBorders>
                          <w:top w:val="single" w:sz="4" w:space="0" w:color="000000"/>
                          <w:left w:val="single" w:sz="4" w:space="0" w:color="000000"/>
                          <w:bottom w:val="nil" w:sz="6" w:space="0" w:color="auto"/>
                          <w:right w:val="single" w:sz="4" w:space="0" w:color="000000"/>
                        </w:tcBorders>
                      </w:tcPr>
                      <w:p>
                        <w:pPr/>
                      </w:p>
                    </w:tc>
                    <w:tc>
                      <w:tcPr>
                        <w:tcW w:w="1330" w:type="dxa"/>
                        <w:tcBorders>
                          <w:top w:val="single" w:sz="4" w:space="0" w:color="000000"/>
                          <w:left w:val="single" w:sz="4" w:space="0" w:color="000000"/>
                          <w:bottom w:val="nil" w:sz="6" w:space="0" w:color="auto"/>
                          <w:right w:val="single" w:sz="4" w:space="0" w:color="000000"/>
                        </w:tcBorders>
                      </w:tcPr>
                      <w:p>
                        <w:pPr/>
                      </w:p>
                    </w:tc>
                    <w:tc>
                      <w:tcPr>
                        <w:tcW w:w="42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11 </w:t>
                        </w:r>
                        <w:r>
                          <w:rPr>
                            <w:rFonts w:ascii="宋体" w:hAnsi="宋体" w:cs="宋体" w:eastAsia="宋体" w:hint="default"/>
                            <w:sz w:val="18"/>
                            <w:szCs w:val="18"/>
                          </w:rPr>
                          <w:t>日召开第二届董事会第三十四</w:t>
                        </w:r>
                      </w:p>
                    </w:tc>
                  </w:tr>
                  <w:tr>
                    <w:trPr>
                      <w:trHeight w:val="618" w:hRule="exact"/>
                    </w:trPr>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王明宽</w:t>
                        </w: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3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nil" w:sz="6" w:space="0" w:color="auto"/>
                          <w:left w:val="single" w:sz="4" w:space="0" w:color="000000"/>
                          <w:bottom w:val="nil" w:sz="6" w:space="0" w:color="auto"/>
                          <w:right w:val="single" w:sz="4" w:space="0" w:color="000000"/>
                        </w:tcBorders>
                      </w:tcPr>
                      <w:p>
                        <w:pPr>
                          <w:pStyle w:val="TableParagraph"/>
                          <w:spacing w:line="316" w:lineRule="auto" w:before="4"/>
                          <w:ind w:left="23" w:right="71"/>
                          <w:jc w:val="left"/>
                          <w:rPr>
                            <w:rFonts w:ascii="宋体" w:hAnsi="宋体" w:cs="宋体" w:eastAsia="宋体" w:hint="default"/>
                            <w:sz w:val="18"/>
                            <w:szCs w:val="18"/>
                          </w:rPr>
                        </w:pPr>
                        <w:r>
                          <w:rPr>
                            <w:rFonts w:ascii="宋体" w:hAnsi="宋体" w:cs="宋体" w:eastAsia="宋体" w:hint="default"/>
                            <w:sz w:val="18"/>
                            <w:szCs w:val="18"/>
                          </w:rPr>
                          <w:t>次会议，根据工作需要，董事会决定对部分高级管理 </w:t>
                        </w:r>
                        <w:r>
                          <w:rPr>
                            <w:rFonts w:ascii="宋体" w:hAnsi="宋体" w:cs="宋体" w:eastAsia="宋体" w:hint="default"/>
                            <w:spacing w:val="-2"/>
                            <w:sz w:val="18"/>
                            <w:szCs w:val="18"/>
                          </w:rPr>
                          <w:t>人员职务做出调整，王明宽先生不再担任总经理职务</w:t>
                        </w:r>
                      </w:p>
                    </w:tc>
                  </w:tr>
                  <w:tr>
                    <w:trPr>
                      <w:trHeight w:val="360" w:hRule="exact"/>
                    </w:trPr>
                    <w:tc>
                      <w:tcPr>
                        <w:tcW w:w="1330" w:type="dxa"/>
                        <w:tcBorders>
                          <w:top w:val="nil" w:sz="6" w:space="0" w:color="auto"/>
                          <w:left w:val="single" w:sz="4" w:space="0" w:color="000000"/>
                          <w:bottom w:val="single" w:sz="4" w:space="0" w:color="000000"/>
                          <w:right w:val="single" w:sz="4" w:space="0" w:color="000000"/>
                        </w:tcBorders>
                      </w:tcPr>
                      <w:p>
                        <w:pPr/>
                      </w:p>
                    </w:tc>
                    <w:tc>
                      <w:tcPr>
                        <w:tcW w:w="1330" w:type="dxa"/>
                        <w:tcBorders>
                          <w:top w:val="nil" w:sz="6" w:space="0" w:color="auto"/>
                          <w:left w:val="single" w:sz="4" w:space="0" w:color="000000"/>
                          <w:bottom w:val="single" w:sz="4" w:space="0" w:color="000000"/>
                          <w:right w:val="single" w:sz="4" w:space="0" w:color="000000"/>
                        </w:tcBorders>
                      </w:tcPr>
                      <w:p>
                        <w:pPr/>
                      </w:p>
                    </w:tc>
                    <w:tc>
                      <w:tcPr>
                        <w:tcW w:w="1333" w:type="dxa"/>
                        <w:tcBorders>
                          <w:top w:val="nil" w:sz="6" w:space="0" w:color="auto"/>
                          <w:left w:val="single" w:sz="4" w:space="0" w:color="000000"/>
                          <w:bottom w:val="single" w:sz="4" w:space="0" w:color="000000"/>
                          <w:right w:val="single" w:sz="4" w:space="0" w:color="000000"/>
                        </w:tcBorders>
                      </w:tcPr>
                      <w:p>
                        <w:pPr/>
                      </w:p>
                    </w:tc>
                    <w:tc>
                      <w:tcPr>
                        <w:tcW w:w="1330" w:type="dxa"/>
                        <w:tcBorders>
                          <w:top w:val="nil" w:sz="6" w:space="0" w:color="auto"/>
                          <w:left w:val="single" w:sz="4" w:space="0" w:color="000000"/>
                          <w:bottom w:val="single" w:sz="4" w:space="0" w:color="000000"/>
                          <w:right w:val="single" w:sz="4" w:space="0" w:color="000000"/>
                        </w:tcBorders>
                      </w:tcPr>
                      <w:p>
                        <w:pPr/>
                      </w:p>
                    </w:tc>
                    <w:tc>
                      <w:tcPr>
                        <w:tcW w:w="42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其职务变动自董事会审议通过之日起生效。</w:t>
                        </w:r>
                      </w:p>
                    </w:tc>
                  </w:tr>
                  <w:tr>
                    <w:trPr>
                      <w:trHeight w:val="360" w:hRule="exact"/>
                    </w:trPr>
                    <w:tc>
                      <w:tcPr>
                        <w:tcW w:w="1330" w:type="dxa"/>
                        <w:tcBorders>
                          <w:top w:val="single" w:sz="4" w:space="0" w:color="000000"/>
                          <w:left w:val="single" w:sz="4" w:space="0" w:color="000000"/>
                          <w:bottom w:val="nil" w:sz="6" w:space="0" w:color="auto"/>
                          <w:right w:val="single" w:sz="4" w:space="0" w:color="000000"/>
                        </w:tcBorders>
                      </w:tcPr>
                      <w:p>
                        <w:pPr/>
                      </w:p>
                    </w:tc>
                    <w:tc>
                      <w:tcPr>
                        <w:tcW w:w="1330" w:type="dxa"/>
                        <w:tcBorders>
                          <w:top w:val="single" w:sz="4" w:space="0" w:color="000000"/>
                          <w:left w:val="single" w:sz="4" w:space="0" w:color="000000"/>
                          <w:bottom w:val="nil" w:sz="6" w:space="0" w:color="auto"/>
                          <w:right w:val="single" w:sz="4" w:space="0" w:color="000000"/>
                        </w:tcBorders>
                      </w:tcPr>
                      <w:p>
                        <w:pPr/>
                      </w:p>
                    </w:tc>
                    <w:tc>
                      <w:tcPr>
                        <w:tcW w:w="1333" w:type="dxa"/>
                        <w:tcBorders>
                          <w:top w:val="single" w:sz="4" w:space="0" w:color="000000"/>
                          <w:left w:val="single" w:sz="4" w:space="0" w:color="000000"/>
                          <w:bottom w:val="nil" w:sz="6" w:space="0" w:color="auto"/>
                          <w:right w:val="single" w:sz="4" w:space="0" w:color="000000"/>
                        </w:tcBorders>
                      </w:tcPr>
                      <w:p>
                        <w:pPr/>
                      </w:p>
                    </w:tc>
                    <w:tc>
                      <w:tcPr>
                        <w:tcW w:w="1330" w:type="dxa"/>
                        <w:tcBorders>
                          <w:top w:val="single" w:sz="4" w:space="0" w:color="000000"/>
                          <w:left w:val="single" w:sz="4" w:space="0" w:color="000000"/>
                          <w:bottom w:val="nil" w:sz="6" w:space="0" w:color="auto"/>
                          <w:right w:val="single" w:sz="4" w:space="0" w:color="000000"/>
                        </w:tcBorders>
                      </w:tcPr>
                      <w:p>
                        <w:pPr/>
                      </w:p>
                    </w:tc>
                    <w:tc>
                      <w:tcPr>
                        <w:tcW w:w="42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日，王明宽先生因个人原因，申请辞</w:t>
                        </w:r>
                      </w:p>
                    </w:tc>
                  </w:tr>
                  <w:tr>
                    <w:trPr>
                      <w:trHeight w:val="619" w:hRule="exact"/>
                    </w:trPr>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4" w:right="0"/>
                          <w:jc w:val="left"/>
                          <w:rPr>
                            <w:rFonts w:ascii="宋体" w:hAnsi="宋体" w:cs="宋体" w:eastAsia="宋体" w:hint="default"/>
                            <w:sz w:val="18"/>
                            <w:szCs w:val="18"/>
                          </w:rPr>
                        </w:pPr>
                        <w:r>
                          <w:rPr>
                            <w:rFonts w:ascii="宋体" w:hAnsi="宋体" w:cs="宋体" w:eastAsia="宋体" w:hint="default"/>
                            <w:sz w:val="18"/>
                            <w:szCs w:val="18"/>
                          </w:rPr>
                          <w:t>王明宽</w:t>
                        </w: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3"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70"/>
                          <w:jc w:val="left"/>
                          <w:rPr>
                            <w:rFonts w:ascii="宋体" w:hAnsi="宋体" w:cs="宋体" w:eastAsia="宋体" w:hint="default"/>
                            <w:sz w:val="18"/>
                            <w:szCs w:val="18"/>
                          </w:rPr>
                        </w:pPr>
                        <w:r>
                          <w:rPr>
                            <w:rFonts w:ascii="宋体" w:hAnsi="宋体" w:cs="宋体" w:eastAsia="宋体" w:hint="default"/>
                            <w:sz w:val="18"/>
                            <w:szCs w:val="18"/>
                          </w:rPr>
                          <w:t>去公司第二届董事会非独立董事职务，同时一并辞去 </w:t>
                        </w:r>
                        <w:r>
                          <w:rPr>
                            <w:rFonts w:ascii="宋体" w:hAnsi="宋体" w:cs="宋体" w:eastAsia="宋体" w:hint="default"/>
                            <w:spacing w:val="-2"/>
                            <w:sz w:val="18"/>
                            <w:szCs w:val="18"/>
                          </w:rPr>
                          <w:t>董事会战略发展及投资审查委员会委员职务。辞职后</w:t>
                        </w:r>
                      </w:p>
                    </w:tc>
                  </w:tr>
                  <w:tr>
                    <w:trPr>
                      <w:trHeight w:val="357" w:hRule="exact"/>
                    </w:trPr>
                    <w:tc>
                      <w:tcPr>
                        <w:tcW w:w="1330" w:type="dxa"/>
                        <w:tcBorders>
                          <w:top w:val="nil" w:sz="6" w:space="0" w:color="auto"/>
                          <w:left w:val="single" w:sz="4" w:space="0" w:color="000000"/>
                          <w:bottom w:val="single" w:sz="4" w:space="0" w:color="000000"/>
                          <w:right w:val="single" w:sz="4" w:space="0" w:color="000000"/>
                        </w:tcBorders>
                      </w:tcPr>
                      <w:p>
                        <w:pPr/>
                      </w:p>
                    </w:tc>
                    <w:tc>
                      <w:tcPr>
                        <w:tcW w:w="1330" w:type="dxa"/>
                        <w:tcBorders>
                          <w:top w:val="nil" w:sz="6" w:space="0" w:color="auto"/>
                          <w:left w:val="single" w:sz="4" w:space="0" w:color="000000"/>
                          <w:bottom w:val="single" w:sz="4" w:space="0" w:color="000000"/>
                          <w:right w:val="single" w:sz="4" w:space="0" w:color="000000"/>
                        </w:tcBorders>
                      </w:tcPr>
                      <w:p>
                        <w:pPr/>
                      </w:p>
                    </w:tc>
                    <w:tc>
                      <w:tcPr>
                        <w:tcW w:w="1333" w:type="dxa"/>
                        <w:tcBorders>
                          <w:top w:val="nil" w:sz="6" w:space="0" w:color="auto"/>
                          <w:left w:val="single" w:sz="4" w:space="0" w:color="000000"/>
                          <w:bottom w:val="single" w:sz="4" w:space="0" w:color="000000"/>
                          <w:right w:val="single" w:sz="4" w:space="0" w:color="000000"/>
                        </w:tcBorders>
                      </w:tcPr>
                      <w:p>
                        <w:pPr/>
                      </w:p>
                    </w:tc>
                    <w:tc>
                      <w:tcPr>
                        <w:tcW w:w="1330" w:type="dxa"/>
                        <w:tcBorders>
                          <w:top w:val="nil" w:sz="6" w:space="0" w:color="auto"/>
                          <w:left w:val="single" w:sz="4" w:space="0" w:color="000000"/>
                          <w:bottom w:val="single" w:sz="4" w:space="0" w:color="000000"/>
                          <w:right w:val="single" w:sz="4" w:space="0" w:color="000000"/>
                        </w:tcBorders>
                      </w:tcPr>
                      <w:p>
                        <w:pPr/>
                      </w:p>
                    </w:tc>
                    <w:tc>
                      <w:tcPr>
                        <w:tcW w:w="42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王明宽先生不再担任公司任何职务。</w:t>
                        </w:r>
                      </w:p>
                    </w:tc>
                  </w:tr>
                  <w:tr>
                    <w:trPr>
                      <w:trHeight w:val="1027"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35"/>
                          <w:jc w:val="left"/>
                          <w:rPr>
                            <w:rFonts w:ascii="宋体" w:hAnsi="宋体" w:cs="宋体" w:eastAsia="宋体" w:hint="default"/>
                            <w:sz w:val="18"/>
                            <w:szCs w:val="18"/>
                          </w:rPr>
                        </w:pPr>
                        <w:r>
                          <w:rPr>
                            <w:rFonts w:ascii="宋体" w:hAnsi="宋体" w:cs="宋体" w:eastAsia="宋体" w:hint="default"/>
                            <w:sz w:val="18"/>
                            <w:szCs w:val="18"/>
                          </w:rPr>
                          <w:t>董事、常务副总 经理</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70"/>
                          <w:jc w:val="both"/>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日公司召开第三届董事会第一次会议 选举刘咏平先生为第三届董事会副董事长，杨成先生 不再担任副董事长职务。</w:t>
                        </w:r>
                      </w:p>
                    </w:tc>
                  </w:tr>
                  <w:tr>
                    <w:trPr>
                      <w:trHeight w:val="102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黄然婷</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日公司召开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 会，选举产生第三届董事会成员。黄然婷女士任期届 满离任。</w:t>
                        </w:r>
                      </w:p>
                    </w:tc>
                  </w:tr>
                  <w:tr>
                    <w:trPr>
                      <w:trHeight w:val="1027"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许岳明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日公司召开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 会，选举产生第三届董事会成员。许岳明先生任期届 满离任。</w:t>
                        </w:r>
                      </w:p>
                    </w:tc>
                  </w:tr>
                  <w:tr>
                    <w:trPr>
                      <w:trHeight w:val="360" w:hRule="exact"/>
                    </w:trPr>
                    <w:tc>
                      <w:tcPr>
                        <w:tcW w:w="1330" w:type="dxa"/>
                        <w:tcBorders>
                          <w:top w:val="single" w:sz="4" w:space="0" w:color="000000"/>
                          <w:left w:val="single" w:sz="4" w:space="0" w:color="000000"/>
                          <w:bottom w:val="nil" w:sz="6" w:space="0" w:color="auto"/>
                          <w:right w:val="single" w:sz="4" w:space="0" w:color="000000"/>
                        </w:tcBorders>
                      </w:tcPr>
                      <w:p>
                        <w:pPr/>
                      </w:p>
                    </w:tc>
                    <w:tc>
                      <w:tcPr>
                        <w:tcW w:w="1330" w:type="dxa"/>
                        <w:tcBorders>
                          <w:top w:val="single" w:sz="4" w:space="0" w:color="000000"/>
                          <w:left w:val="single" w:sz="4" w:space="0" w:color="000000"/>
                          <w:bottom w:val="nil" w:sz="6" w:space="0" w:color="auto"/>
                          <w:right w:val="single" w:sz="4" w:space="0" w:color="000000"/>
                        </w:tcBorders>
                      </w:tcPr>
                      <w:p>
                        <w:pPr/>
                      </w:p>
                    </w:tc>
                    <w:tc>
                      <w:tcPr>
                        <w:tcW w:w="1333" w:type="dxa"/>
                        <w:tcBorders>
                          <w:top w:val="single" w:sz="4" w:space="0" w:color="000000"/>
                          <w:left w:val="single" w:sz="4" w:space="0" w:color="000000"/>
                          <w:bottom w:val="nil" w:sz="6" w:space="0" w:color="auto"/>
                          <w:right w:val="single" w:sz="4" w:space="0" w:color="000000"/>
                        </w:tcBorders>
                      </w:tcPr>
                      <w:p>
                        <w:pPr/>
                      </w:p>
                    </w:tc>
                    <w:tc>
                      <w:tcPr>
                        <w:tcW w:w="1330" w:type="dxa"/>
                        <w:tcBorders>
                          <w:top w:val="single" w:sz="4" w:space="0" w:color="000000"/>
                          <w:left w:val="single" w:sz="4" w:space="0" w:color="000000"/>
                          <w:bottom w:val="nil" w:sz="6" w:space="0" w:color="auto"/>
                          <w:right w:val="single" w:sz="4" w:space="0" w:color="000000"/>
                        </w:tcBorders>
                      </w:tcPr>
                      <w:p>
                        <w:pPr/>
                      </w:p>
                    </w:tc>
                    <w:tc>
                      <w:tcPr>
                        <w:tcW w:w="42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报告期内，刘咏平先生任公司副总经理。</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931" w:hRule="exact"/>
                    </w:trPr>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刘咏平</w:t>
                        </w: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3" w:right="35"/>
                          <w:jc w:val="left"/>
                          <w:rPr>
                            <w:rFonts w:ascii="宋体" w:hAnsi="宋体" w:cs="宋体" w:eastAsia="宋体" w:hint="default"/>
                            <w:sz w:val="18"/>
                            <w:szCs w:val="18"/>
                          </w:rPr>
                        </w:pPr>
                        <w:r>
                          <w:rPr>
                            <w:rFonts w:ascii="宋体" w:hAnsi="宋体" w:cs="宋体" w:eastAsia="宋体" w:hint="default"/>
                            <w:sz w:val="18"/>
                            <w:szCs w:val="18"/>
                          </w:rPr>
                          <w:t>副董事长、副总 经理</w:t>
                        </w:r>
                      </w:p>
                    </w:tc>
                    <w:tc>
                      <w:tcPr>
                        <w:tcW w:w="1333"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日公司召开</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年第一次临时股东大会，选举刘咏</w:t>
                        </w:r>
                        <w:r>
                          <w:rPr>
                            <w:rFonts w:ascii="宋体" w:hAnsi="宋体" w:cs="宋体" w:eastAsia="宋体" w:hint="default"/>
                            <w:sz w:val="18"/>
                            <w:szCs w:val="18"/>
                          </w:rPr>
                          <w:t> 平先生为第三届董事会非独立董事。同日召开第三届 董事会第一次会议，选举刘咏平先生为第三届董事会</w:t>
                        </w:r>
                      </w:p>
                    </w:tc>
                  </w:tr>
                  <w:tr>
                    <w:trPr>
                      <w:trHeight w:val="360" w:hRule="exact"/>
                    </w:trPr>
                    <w:tc>
                      <w:tcPr>
                        <w:tcW w:w="1330" w:type="dxa"/>
                        <w:tcBorders>
                          <w:top w:val="nil" w:sz="6" w:space="0" w:color="auto"/>
                          <w:left w:val="single" w:sz="4" w:space="0" w:color="000000"/>
                          <w:bottom w:val="single" w:sz="4" w:space="0" w:color="000000"/>
                          <w:right w:val="single" w:sz="4" w:space="0" w:color="000000"/>
                        </w:tcBorders>
                      </w:tcPr>
                      <w:p>
                        <w:pPr/>
                      </w:p>
                    </w:tc>
                    <w:tc>
                      <w:tcPr>
                        <w:tcW w:w="1330" w:type="dxa"/>
                        <w:tcBorders>
                          <w:top w:val="nil" w:sz="6" w:space="0" w:color="auto"/>
                          <w:left w:val="single" w:sz="4" w:space="0" w:color="000000"/>
                          <w:bottom w:val="single" w:sz="4" w:space="0" w:color="000000"/>
                          <w:right w:val="single" w:sz="4" w:space="0" w:color="000000"/>
                        </w:tcBorders>
                      </w:tcPr>
                      <w:p>
                        <w:pPr/>
                      </w:p>
                    </w:tc>
                    <w:tc>
                      <w:tcPr>
                        <w:tcW w:w="1333" w:type="dxa"/>
                        <w:tcBorders>
                          <w:top w:val="nil" w:sz="6" w:space="0" w:color="auto"/>
                          <w:left w:val="single" w:sz="4" w:space="0" w:color="000000"/>
                          <w:bottom w:val="single" w:sz="4" w:space="0" w:color="000000"/>
                          <w:right w:val="single" w:sz="4" w:space="0" w:color="000000"/>
                        </w:tcBorders>
                      </w:tcPr>
                      <w:p>
                        <w:pPr/>
                      </w:p>
                    </w:tc>
                    <w:tc>
                      <w:tcPr>
                        <w:tcW w:w="1330" w:type="dxa"/>
                        <w:tcBorders>
                          <w:top w:val="nil" w:sz="6" w:space="0" w:color="auto"/>
                          <w:left w:val="single" w:sz="4" w:space="0" w:color="000000"/>
                          <w:bottom w:val="single" w:sz="4" w:space="0" w:color="000000"/>
                          <w:right w:val="single" w:sz="4" w:space="0" w:color="000000"/>
                        </w:tcBorders>
                      </w:tcPr>
                      <w:p>
                        <w:pPr/>
                      </w:p>
                    </w:tc>
                    <w:tc>
                      <w:tcPr>
                        <w:tcW w:w="42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BodyText"/>
        <w:spacing w:line="240" w:lineRule="auto" w:before="44"/>
        <w:ind w:left="0" w:right="113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BodyText"/>
        <w:spacing w:line="240" w:lineRule="auto" w:before="44"/>
        <w:ind w:left="0" w:right="113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before="44"/>
        <w:ind w:left="0" w:right="1138"/>
        <w:jc w:val="right"/>
      </w:pPr>
      <w:r>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left="0" w:right="1146"/>
        <w:jc w:val="right"/>
      </w:pPr>
      <w:r>
        <w:rPr/>
        <w:t>，</w:t>
      </w:r>
    </w:p>
    <w:p>
      <w:pPr>
        <w:spacing w:after="0" w:line="240" w:lineRule="auto"/>
        <w:jc w:val="right"/>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3"/>
        <w:gridCol w:w="1330"/>
        <w:gridCol w:w="4246"/>
      </w:tblGrid>
      <w:tr>
        <w:trPr>
          <w:trHeight w:val="361" w:hRule="exact"/>
        </w:trPr>
        <w:tc>
          <w:tcPr>
            <w:tcW w:w="1330" w:type="dxa"/>
            <w:tcBorders>
              <w:top w:val="single" w:sz="4" w:space="0" w:color="000000"/>
              <w:left w:val="single" w:sz="4" w:space="0" w:color="000000"/>
              <w:bottom w:val="nil" w:sz="6" w:space="0" w:color="auto"/>
              <w:right w:val="single" w:sz="4" w:space="0" w:color="000000"/>
            </w:tcBorders>
          </w:tcPr>
          <w:p>
            <w:pPr/>
          </w:p>
        </w:tc>
        <w:tc>
          <w:tcPr>
            <w:tcW w:w="1330" w:type="dxa"/>
            <w:tcBorders>
              <w:top w:val="single" w:sz="4" w:space="0" w:color="000000"/>
              <w:left w:val="single" w:sz="4" w:space="0" w:color="000000"/>
              <w:bottom w:val="nil" w:sz="6" w:space="0" w:color="auto"/>
              <w:right w:val="single" w:sz="4" w:space="0" w:color="000000"/>
            </w:tcBorders>
          </w:tcPr>
          <w:p>
            <w:pPr/>
          </w:p>
        </w:tc>
        <w:tc>
          <w:tcPr>
            <w:tcW w:w="1333" w:type="dxa"/>
            <w:tcBorders>
              <w:top w:val="single" w:sz="4" w:space="0" w:color="000000"/>
              <w:left w:val="single" w:sz="4" w:space="0" w:color="000000"/>
              <w:bottom w:val="nil" w:sz="6" w:space="0" w:color="auto"/>
              <w:right w:val="single" w:sz="4" w:space="0" w:color="000000"/>
            </w:tcBorders>
          </w:tcPr>
          <w:p>
            <w:pPr/>
          </w:p>
        </w:tc>
        <w:tc>
          <w:tcPr>
            <w:tcW w:w="1330" w:type="dxa"/>
            <w:tcBorders>
              <w:top w:val="single" w:sz="4" w:space="0" w:color="000000"/>
              <w:left w:val="single" w:sz="4" w:space="0" w:color="000000"/>
              <w:bottom w:val="nil" w:sz="6" w:space="0" w:color="auto"/>
              <w:right w:val="single" w:sz="4" w:space="0" w:color="000000"/>
            </w:tcBorders>
          </w:tcPr>
          <w:p>
            <w:pPr/>
          </w:p>
        </w:tc>
        <w:tc>
          <w:tcPr>
            <w:tcW w:w="42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报告期内，关志超先生任公司独立董事。</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619" w:hRule="exact"/>
        </w:trPr>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4" w:right="0"/>
              <w:jc w:val="left"/>
              <w:rPr>
                <w:rFonts w:ascii="宋体" w:hAnsi="宋体" w:cs="宋体" w:eastAsia="宋体" w:hint="default"/>
                <w:sz w:val="18"/>
                <w:szCs w:val="18"/>
              </w:rPr>
            </w:pPr>
            <w:r>
              <w:rPr>
                <w:rFonts w:ascii="宋体" w:hAnsi="宋体" w:cs="宋体" w:eastAsia="宋体" w:hint="default"/>
                <w:sz w:val="18"/>
                <w:szCs w:val="18"/>
              </w:rPr>
              <w:t>关志超</w:t>
            </w: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3"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日公司召开</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年第一次临时股东大会，选举产生</w:t>
            </w:r>
            <w:r>
              <w:rPr>
                <w:rFonts w:ascii="宋体" w:hAnsi="宋体" w:cs="宋体" w:eastAsia="宋体" w:hint="default"/>
                <w:sz w:val="18"/>
                <w:szCs w:val="18"/>
              </w:rPr>
              <w:t> 第三届董事会成员。关志超先生独立董事职务任期届</w:t>
            </w:r>
          </w:p>
        </w:tc>
      </w:tr>
      <w:tr>
        <w:trPr>
          <w:trHeight w:val="360" w:hRule="exact"/>
        </w:trPr>
        <w:tc>
          <w:tcPr>
            <w:tcW w:w="1330" w:type="dxa"/>
            <w:tcBorders>
              <w:top w:val="nil" w:sz="6" w:space="0" w:color="auto"/>
              <w:left w:val="single" w:sz="4" w:space="0" w:color="000000"/>
              <w:bottom w:val="single" w:sz="4" w:space="0" w:color="000000"/>
              <w:right w:val="single" w:sz="4" w:space="0" w:color="000000"/>
            </w:tcBorders>
          </w:tcPr>
          <w:p>
            <w:pPr/>
          </w:p>
        </w:tc>
        <w:tc>
          <w:tcPr>
            <w:tcW w:w="1330" w:type="dxa"/>
            <w:tcBorders>
              <w:top w:val="nil" w:sz="6" w:space="0" w:color="auto"/>
              <w:left w:val="single" w:sz="4" w:space="0" w:color="000000"/>
              <w:bottom w:val="single" w:sz="4" w:space="0" w:color="000000"/>
              <w:right w:val="single" w:sz="4" w:space="0" w:color="000000"/>
            </w:tcBorders>
          </w:tcPr>
          <w:p>
            <w:pPr/>
          </w:p>
        </w:tc>
        <w:tc>
          <w:tcPr>
            <w:tcW w:w="1333" w:type="dxa"/>
            <w:tcBorders>
              <w:top w:val="nil" w:sz="6" w:space="0" w:color="auto"/>
              <w:left w:val="single" w:sz="4" w:space="0" w:color="000000"/>
              <w:bottom w:val="single" w:sz="4" w:space="0" w:color="000000"/>
              <w:right w:val="single" w:sz="4" w:space="0" w:color="000000"/>
            </w:tcBorders>
          </w:tcPr>
          <w:p>
            <w:pPr/>
          </w:p>
        </w:tc>
        <w:tc>
          <w:tcPr>
            <w:tcW w:w="1330" w:type="dxa"/>
            <w:tcBorders>
              <w:top w:val="nil" w:sz="6" w:space="0" w:color="auto"/>
              <w:left w:val="single" w:sz="4" w:space="0" w:color="000000"/>
              <w:bottom w:val="single" w:sz="4" w:space="0" w:color="000000"/>
              <w:right w:val="single" w:sz="4" w:space="0" w:color="000000"/>
            </w:tcBorders>
          </w:tcPr>
          <w:p>
            <w:pPr/>
          </w:p>
        </w:tc>
        <w:tc>
          <w:tcPr>
            <w:tcW w:w="42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满离任，改任为第三届董事会非独立董事。</w:t>
            </w:r>
          </w:p>
        </w:tc>
      </w:tr>
    </w:tbl>
    <w:p>
      <w:pPr>
        <w:spacing w:line="240" w:lineRule="auto" w:before="1"/>
        <w:rPr>
          <w:rFonts w:ascii="宋体" w:hAnsi="宋体" w:cs="宋体" w:eastAsia="宋体" w:hint="default"/>
          <w:sz w:val="18"/>
          <w:szCs w:val="18"/>
        </w:rPr>
      </w:pPr>
    </w:p>
    <w:p>
      <w:pPr>
        <w:pStyle w:val="Heading2"/>
        <w:spacing w:line="367" w:lineRule="exact"/>
        <w:ind w:right="967"/>
        <w:jc w:val="left"/>
        <w:rPr>
          <w:b w:val="0"/>
          <w:bCs w:val="0"/>
        </w:rPr>
      </w:pPr>
      <w:r>
        <w:rPr/>
        <w:t>三、任职情况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967"/>
        <w:jc w:val="left"/>
      </w:pPr>
      <w:r>
        <w:rPr/>
        <w:t>公司现任董事、监事、高级管理人员专业背景、主要工作经历以及目前在公司的主要职责</w:t>
      </w:r>
    </w:p>
    <w:p>
      <w:pPr>
        <w:pStyle w:val="BodyText"/>
        <w:spacing w:line="240" w:lineRule="auto" w:before="117"/>
        <w:ind w:right="967"/>
        <w:jc w:val="left"/>
      </w:pPr>
      <w:r>
        <w:rPr>
          <w:rFonts w:ascii="Times New Roman" w:hAnsi="Times New Roman" w:cs="Times New Roman" w:eastAsia="Times New Roman" w:hint="default"/>
        </w:rPr>
        <w:t>1</w:t>
      </w:r>
      <w:r>
        <w:rPr/>
        <w:t>、董事会成员</w:t>
      </w:r>
    </w:p>
    <w:p>
      <w:pPr>
        <w:spacing w:line="244" w:lineRule="auto" w:before="63"/>
        <w:ind w:left="513" w:right="7333" w:firstLine="0"/>
        <w:jc w:val="left"/>
        <w:rPr>
          <w:rFonts w:ascii="Microsoft JhengHei" w:hAnsi="Microsoft JhengHei" w:cs="Microsoft JhengHei" w:eastAsia="Microsoft JhengHei" w:hint="default"/>
          <w:sz w:val="18"/>
          <w:szCs w:val="18"/>
        </w:rPr>
      </w:pPr>
      <w:r>
        <w:rPr>
          <w:rFonts w:ascii="宋体" w:hAnsi="宋体" w:cs="宋体" w:eastAsia="宋体" w:hint="default"/>
          <w:sz w:val="18"/>
          <w:szCs w:val="18"/>
        </w:rPr>
        <w:t>公司现任董事</w:t>
      </w:r>
      <w:r>
        <w:rPr>
          <w:rFonts w:ascii="Times New Roman" w:hAnsi="Times New Roman" w:cs="Times New Roman" w:eastAsia="Times New Roman" w:hint="default"/>
          <w:sz w:val="18"/>
          <w:szCs w:val="18"/>
        </w:rPr>
        <w:t>9</w:t>
      </w:r>
      <w:r>
        <w:rPr>
          <w:rFonts w:ascii="宋体" w:hAnsi="宋体" w:cs="宋体" w:eastAsia="宋体" w:hint="default"/>
          <w:sz w:val="18"/>
          <w:szCs w:val="18"/>
        </w:rPr>
        <w:t>名，其中独立董事</w:t>
      </w:r>
      <w:r>
        <w:rPr>
          <w:rFonts w:ascii="Times New Roman" w:hAnsi="Times New Roman" w:cs="Times New Roman" w:eastAsia="Times New Roman" w:hint="default"/>
          <w:sz w:val="18"/>
          <w:szCs w:val="18"/>
        </w:rPr>
        <w:t>3</w:t>
      </w:r>
      <w:r>
        <w:rPr>
          <w:rFonts w:ascii="宋体" w:hAnsi="宋体" w:cs="宋体" w:eastAsia="宋体" w:hint="default"/>
          <w:sz w:val="18"/>
          <w:szCs w:val="18"/>
        </w:rPr>
        <w:t>名。 </w:t>
      </w:r>
      <w:r>
        <w:rPr>
          <w:rFonts w:ascii="Microsoft JhengHei" w:hAnsi="Microsoft JhengHei" w:cs="Microsoft JhengHei" w:eastAsia="Microsoft JhengHei" w:hint="default"/>
          <w:b/>
          <w:bCs/>
          <w:sz w:val="18"/>
          <w:szCs w:val="18"/>
        </w:rPr>
        <w:t>非独立董事：</w:t>
      </w:r>
      <w:r>
        <w:rPr>
          <w:rFonts w:ascii="Microsoft JhengHei" w:hAnsi="Microsoft JhengHei" w:cs="Microsoft JhengHei" w:eastAsia="Microsoft JhengHei" w:hint="default"/>
          <w:sz w:val="18"/>
          <w:szCs w:val="18"/>
        </w:rPr>
      </w:r>
    </w:p>
    <w:p>
      <w:pPr>
        <w:pStyle w:val="BodyText"/>
        <w:spacing w:line="300" w:lineRule="auto" w:before="51"/>
        <w:ind w:right="1130" w:firstLine="360"/>
        <w:jc w:val="both"/>
      </w:pPr>
      <w:r>
        <w:rPr>
          <w:spacing w:val="-2"/>
        </w:rPr>
        <w:t>罗瑞发，男，</w:t>
      </w:r>
      <w:r>
        <w:rPr>
          <w:rFonts w:ascii="Times New Roman" w:hAnsi="Times New Roman" w:cs="Times New Roman" w:eastAsia="Times New Roman" w:hint="default"/>
          <w:spacing w:val="-2"/>
        </w:rPr>
        <w:t>1976</w:t>
      </w:r>
      <w:r>
        <w:rPr>
          <w:spacing w:val="-2"/>
        </w:rPr>
        <w:t>年出生，中国国籍，无境外永久居留权，硕士研究生学历，高级工程师职称。本科毕业于华南理工大</w:t>
      </w:r>
      <w:r>
        <w:rPr/>
        <w:t> </w:t>
      </w:r>
      <w:r>
        <w:rPr>
          <w:spacing w:val="-2"/>
        </w:rPr>
        <w:t>学，交通控制专业；硕士研究生毕业于中山大学，</w:t>
      </w:r>
      <w:r>
        <w:rPr>
          <w:rFonts w:ascii="Times New Roman" w:hAnsi="Times New Roman" w:cs="Times New Roman" w:eastAsia="Times New Roman" w:hint="default"/>
          <w:spacing w:val="-2"/>
        </w:rPr>
        <w:t>EMBA</w:t>
      </w:r>
      <w:r>
        <w:rPr>
          <w:spacing w:val="-2"/>
        </w:rPr>
        <w:t>专业。曾任广州市埃特斯通讯设备有限公司部门经理（总经理助理</w:t>
      </w:r>
      <w:r>
        <w:rPr>
          <w:spacing w:val="-43"/>
        </w:rPr>
        <w:t> </w:t>
      </w:r>
      <w:r>
        <w:rPr>
          <w:spacing w:val="-43"/>
        </w:rPr>
      </w:r>
      <w:r>
        <w:rPr>
          <w:spacing w:val="-2"/>
        </w:rPr>
        <w:t>级）、深圳市金溢科技有限公司（以下简称</w:t>
      </w:r>
      <w:r>
        <w:rPr>
          <w:rFonts w:ascii="Times New Roman" w:hAnsi="Times New Roman" w:cs="Times New Roman" w:eastAsia="Times New Roman" w:hint="default"/>
          <w:spacing w:val="-2"/>
        </w:rPr>
        <w:t>“</w:t>
      </w:r>
      <w:r>
        <w:rPr>
          <w:spacing w:val="-2"/>
        </w:rPr>
        <w:t>金溢有限</w:t>
      </w:r>
      <w:r>
        <w:rPr>
          <w:rFonts w:ascii="Times New Roman" w:hAnsi="Times New Roman" w:cs="Times New Roman" w:eastAsia="Times New Roman" w:hint="default"/>
          <w:spacing w:val="-2"/>
        </w:rPr>
        <w:t>”</w:t>
      </w:r>
      <w:r>
        <w:rPr>
          <w:spacing w:val="-2"/>
        </w:rPr>
        <w:t>）总经理；现任公司董事长、深圳立尊科技有限公司执行董事、深圳</w:t>
      </w:r>
      <w:r>
        <w:rPr>
          <w:spacing w:val="-45"/>
        </w:rPr>
        <w:t> </w:t>
      </w:r>
      <w:r>
        <w:rPr>
          <w:spacing w:val="-45"/>
        </w:rPr>
      </w:r>
      <w:r>
        <w:rPr/>
        <w:t>市敏行电子有限公司（以下简称</w:t>
      </w:r>
      <w:r>
        <w:rPr>
          <w:rFonts w:ascii="Times New Roman" w:hAnsi="Times New Roman" w:cs="Times New Roman" w:eastAsia="Times New Roman" w:hint="default"/>
        </w:rPr>
        <w:t>“</w:t>
      </w:r>
      <w:r>
        <w:rPr/>
        <w:t>敏行电子</w:t>
      </w:r>
      <w:r>
        <w:rPr>
          <w:rFonts w:ascii="Times New Roman" w:hAnsi="Times New Roman" w:cs="Times New Roman" w:eastAsia="Times New Roman" w:hint="default"/>
        </w:rPr>
        <w:t>”</w:t>
      </w:r>
      <w:r>
        <w:rPr/>
        <w:t>）执行董事、广州市华瑞腾科技有限公司执行董事兼总经理。</w:t>
      </w:r>
    </w:p>
    <w:p>
      <w:pPr>
        <w:pStyle w:val="BodyText"/>
        <w:spacing w:line="309" w:lineRule="auto" w:before="13"/>
        <w:ind w:right="1034" w:firstLine="360"/>
        <w:jc w:val="left"/>
      </w:pPr>
      <w:r>
        <w:rPr>
          <w:spacing w:val="-2"/>
        </w:rPr>
        <w:t>刘咏平，男，</w:t>
      </w:r>
      <w:r>
        <w:rPr>
          <w:rFonts w:ascii="Times New Roman" w:hAnsi="Times New Roman" w:cs="Times New Roman" w:eastAsia="Times New Roman" w:hint="default"/>
          <w:spacing w:val="-2"/>
        </w:rPr>
        <w:t>1974</w:t>
      </w:r>
      <w:r>
        <w:rPr>
          <w:spacing w:val="-2"/>
        </w:rPr>
        <w:t>年出生，中国国籍，无境外永久居留权，高级工程师，博士研究生学历。曾任广东新粤交通投资有限</w:t>
      </w:r>
      <w:r>
        <w:rPr/>
        <w:t> 公司高级技术经理，金溢有限部门经理、总工程师，现任公司副董事长、副总经理、长安大学信息工程学院工程硕士导师、 深圳市钜湾科技有限公司监事、深圳宝溢交通科技有限公司董事。</w:t>
      </w:r>
    </w:p>
    <w:p>
      <w:pPr>
        <w:pStyle w:val="BodyText"/>
        <w:spacing w:line="312" w:lineRule="auto" w:before="24"/>
        <w:ind w:right="1129" w:firstLine="360"/>
        <w:jc w:val="both"/>
      </w:pPr>
      <w:r>
        <w:rPr>
          <w:spacing w:val="-2"/>
        </w:rPr>
        <w:t>杨成，男，</w:t>
      </w:r>
      <w:r>
        <w:rPr>
          <w:rFonts w:ascii="Times New Roman" w:hAnsi="Times New Roman" w:cs="Times New Roman" w:eastAsia="Times New Roman" w:hint="default"/>
          <w:spacing w:val="-2"/>
        </w:rPr>
        <w:t>1977</w:t>
      </w:r>
      <w:r>
        <w:rPr>
          <w:spacing w:val="-2"/>
        </w:rPr>
        <w:t>年出生，中国国籍，无境外永久居留权，硕士研究生学历，高级工程师职称。本科毕业于浙江大学，应</w:t>
      </w:r>
      <w:r>
        <w:rPr/>
        <w:t> </w:t>
      </w:r>
      <w:r>
        <w:rPr>
          <w:spacing w:val="-2"/>
        </w:rPr>
        <w:t>用电子技术专业；硕士研究生毕业于清华大学，电子与通信工程专业。曾任广州市埃特斯通讯设备有限公司技术经理、金溢</w:t>
      </w:r>
      <w:r>
        <w:rPr>
          <w:spacing w:val="-65"/>
        </w:rPr>
        <w:t> </w:t>
      </w:r>
      <w:r>
        <w:rPr>
          <w:spacing w:val="-65"/>
        </w:rPr>
      </w:r>
      <w:r>
        <w:rPr>
          <w:spacing w:val="-2"/>
        </w:rPr>
        <w:t>有限常务副总经理；现任公司董事、常务副总经理、广州市铂金科技合伙企业（有限合伙）执行事务合伙人、广州市精联时</w:t>
      </w:r>
      <w:r>
        <w:rPr>
          <w:spacing w:val="-67"/>
        </w:rPr>
        <w:t> </w:t>
      </w:r>
      <w:r>
        <w:rPr>
          <w:spacing w:val="-67"/>
        </w:rPr>
      </w:r>
      <w:r>
        <w:rPr/>
        <w:t>空科技有限公司监事。</w:t>
      </w:r>
    </w:p>
    <w:p>
      <w:pPr>
        <w:pStyle w:val="BodyText"/>
        <w:spacing w:line="309" w:lineRule="auto" w:before="22"/>
        <w:ind w:right="1051" w:firstLine="360"/>
        <w:jc w:val="both"/>
      </w:pPr>
      <w:r>
        <w:rPr>
          <w:spacing w:val="-2"/>
        </w:rPr>
        <w:t>郑映虹，女，</w:t>
      </w:r>
      <w:r>
        <w:rPr>
          <w:rFonts w:ascii="Times New Roman" w:hAnsi="Times New Roman" w:cs="Times New Roman" w:eastAsia="Times New Roman" w:hint="default"/>
          <w:spacing w:val="-2"/>
        </w:rPr>
        <w:t>1977</w:t>
      </w:r>
      <w:r>
        <w:rPr>
          <w:spacing w:val="-2"/>
        </w:rPr>
        <w:t>年出生，中国国籍，无境外永久居留权，本科学历。毕业于中山大学，法学专业。曾任广东卓信律师</w:t>
      </w:r>
      <w:r>
        <w:rPr/>
        <w:t> </w:t>
      </w:r>
      <w:r>
        <w:rPr>
          <w:spacing w:val="-2"/>
        </w:rPr>
        <w:t>事务所律师、广东安华理达律师事务所律师、金溢有限董事会秘书；现任公司董事、董事会秘书，紫荆花民俗文化基金会有</w:t>
      </w:r>
      <w:r>
        <w:rPr>
          <w:spacing w:val="-67"/>
        </w:rPr>
        <w:t> </w:t>
      </w:r>
      <w:r>
        <w:rPr>
          <w:spacing w:val="-67"/>
        </w:rPr>
      </w:r>
      <w:r>
        <w:rPr/>
        <w:t>限公司董事，深圳市敏行至达科技有限公司执行董事，广州唯艾科技有限公司执行董事，唯艾科技（香港）有限公司董事。</w:t>
      </w:r>
    </w:p>
    <w:p>
      <w:pPr>
        <w:pStyle w:val="BodyText"/>
        <w:spacing w:line="309" w:lineRule="auto" w:before="24"/>
        <w:ind w:right="1129" w:firstLine="360"/>
        <w:jc w:val="both"/>
      </w:pPr>
      <w:r>
        <w:rPr>
          <w:spacing w:val="-2"/>
        </w:rPr>
        <w:t>于海洋，男，</w:t>
      </w:r>
      <w:r>
        <w:rPr>
          <w:rFonts w:ascii="Times New Roman" w:hAnsi="Times New Roman" w:cs="Times New Roman" w:eastAsia="Times New Roman" w:hint="default"/>
          <w:spacing w:val="-2"/>
        </w:rPr>
        <w:t>1978</w:t>
      </w:r>
      <w:r>
        <w:rPr>
          <w:spacing w:val="-2"/>
        </w:rPr>
        <w:t>年出生，中国国籍，无境外永久居留权，硕士研究生学历，毕业于香港理工大学，工商管理专业。曾</w:t>
      </w:r>
      <w:r>
        <w:rPr/>
        <w:t> </w:t>
      </w:r>
      <w:r>
        <w:rPr>
          <w:spacing w:val="-2"/>
        </w:rPr>
        <w:t>任华测检测技术股份有限公司投资总监、深圳前海复星瑞哲资产管理有限公司投资总监、上海星景股权投资管理有限公司投</w:t>
      </w:r>
      <w:r>
        <w:rPr>
          <w:spacing w:val="-62"/>
        </w:rPr>
        <w:t> </w:t>
      </w:r>
      <w:r>
        <w:rPr>
          <w:spacing w:val="-62"/>
        </w:rPr>
      </w:r>
      <w:r>
        <w:rPr/>
        <w:t>资高级总监，现任深圳市天地（集团）股份有限公司副总经理、公司董事。</w:t>
      </w:r>
    </w:p>
    <w:p>
      <w:pPr>
        <w:pStyle w:val="BodyText"/>
        <w:spacing w:line="312" w:lineRule="auto" w:before="24"/>
        <w:ind w:right="967" w:firstLine="360"/>
        <w:jc w:val="left"/>
      </w:pPr>
      <w:r>
        <w:rPr>
          <w:spacing w:val="-2"/>
        </w:rPr>
        <w:t>关志超，男，</w:t>
      </w:r>
      <w:r>
        <w:rPr>
          <w:rFonts w:ascii="Times New Roman" w:hAnsi="Times New Roman" w:cs="Times New Roman" w:eastAsia="Times New Roman" w:hint="default"/>
          <w:spacing w:val="-2"/>
        </w:rPr>
        <w:t>1959</w:t>
      </w:r>
      <w:r>
        <w:rPr>
          <w:spacing w:val="-2"/>
        </w:rPr>
        <w:t>年出生，中国国籍，无境外永久居留权，博士研究生学历。曾任中科院长春物理所</w:t>
      </w:r>
      <w:r>
        <w:rPr>
          <w:rFonts w:ascii="Times New Roman" w:hAnsi="Times New Roman" w:cs="Times New Roman" w:eastAsia="Times New Roman" w:hint="default"/>
          <w:spacing w:val="-2"/>
        </w:rPr>
        <w:t>202</w:t>
      </w:r>
      <w:r>
        <w:rPr>
          <w:spacing w:val="-2"/>
        </w:rPr>
        <w:t>室技术副主任，</w:t>
      </w:r>
      <w:r>
        <w:rPr/>
        <w:t> </w:t>
      </w:r>
      <w:r>
        <w:rPr>
          <w:spacing w:val="-2"/>
        </w:rPr>
        <w:t>深圳市先科企业集团与中国人民保险公司合资公司董事总经理、（香港）航天科技电子实业公司副总经理、深圳市中兴通讯</w:t>
      </w:r>
      <w:r>
        <w:rPr>
          <w:spacing w:val="-66"/>
        </w:rPr>
        <w:t> </w:t>
      </w:r>
      <w:r>
        <w:rPr>
          <w:spacing w:val="-66"/>
        </w:rPr>
      </w:r>
      <w:r>
        <w:rPr>
          <w:spacing w:val="-2"/>
        </w:rPr>
        <w:t>股份有限公司智能化负责人、中国电信深圳公司通信网络分公司技术总监、深圳市城市交通规划研究中心副总工程师、深圳</w:t>
      </w:r>
      <w:r>
        <w:rPr>
          <w:spacing w:val="-63"/>
        </w:rPr>
        <w:t> </w:t>
      </w:r>
      <w:r>
        <w:rPr>
          <w:spacing w:val="-63"/>
        </w:rPr>
      </w:r>
      <w:r>
        <w:rPr/>
        <w:t>市易行网交通科技有限公司董事、总经理；现任深圳市综合交通运行指挥中心总工程师、公司董事。</w:t>
      </w:r>
    </w:p>
    <w:p>
      <w:pPr>
        <w:pStyle w:val="Heading5"/>
        <w:spacing w:line="278" w:lineRule="exact"/>
        <w:ind w:right="967"/>
        <w:jc w:val="left"/>
        <w:rPr>
          <w:b w:val="0"/>
          <w:bCs w:val="0"/>
        </w:rPr>
      </w:pPr>
      <w:r>
        <w:rPr/>
        <w:t>独立董事：</w:t>
      </w:r>
      <w:r>
        <w:rPr>
          <w:b w:val="0"/>
          <w:bCs w:val="0"/>
        </w:rPr>
      </w:r>
    </w:p>
    <w:p>
      <w:pPr>
        <w:pStyle w:val="BodyText"/>
        <w:spacing w:line="307" w:lineRule="auto" w:before="56"/>
        <w:ind w:right="1133" w:firstLine="360"/>
        <w:jc w:val="both"/>
      </w:pPr>
      <w:r>
        <w:rPr/>
        <w:t>陈君柱，男，</w:t>
      </w:r>
      <w:r>
        <w:rPr>
          <w:rFonts w:ascii="Times New Roman" w:hAnsi="Times New Roman" w:cs="Times New Roman" w:eastAsia="Times New Roman" w:hint="default"/>
        </w:rPr>
        <w:t>1975</w:t>
      </w:r>
      <w:r>
        <w:rPr/>
        <w:t>年出生，中国国籍，无境外永久居留权，本科学历，中国注册会计师、特许公认会计师</w:t>
      </w:r>
      <w:r>
        <w:rPr>
          <w:rFonts w:ascii="Times New Roman" w:hAnsi="Times New Roman" w:cs="Times New Roman" w:eastAsia="Times New Roman" w:hint="default"/>
        </w:rPr>
        <w:t>(ACCA)</w:t>
      </w:r>
      <w:r>
        <w:rPr/>
        <w:t>。曾 </w:t>
      </w:r>
      <w:r>
        <w:rPr>
          <w:spacing w:val="-2"/>
        </w:rPr>
        <w:t>任暨南大学法学院助教，德勤华永会计师事务所高级审计师，沃尔玛（中国）投资有限公司内审部经理，安永华明会计师事</w:t>
      </w:r>
      <w:r>
        <w:rPr>
          <w:spacing w:val="-65"/>
        </w:rPr>
        <w:t> </w:t>
      </w:r>
      <w:r>
        <w:rPr>
          <w:spacing w:val="-65"/>
        </w:rPr>
      </w:r>
      <w:r>
        <w:rPr/>
        <w:t>务所并购交易部经理，现任广东正源会计师事务所合伙人</w:t>
      </w:r>
      <w:r>
        <w:rPr>
          <w:rFonts w:ascii="Times New Roman" w:hAnsi="Times New Roman" w:cs="Times New Roman" w:eastAsia="Times New Roman" w:hint="default"/>
        </w:rPr>
        <w:t>/</w:t>
      </w:r>
      <w:r>
        <w:rPr/>
        <w:t>副主任会计师、胜利油气管道控股有限公司独立董事、广州沛兴</w:t>
      </w:r>
      <w:r>
        <w:rPr>
          <w:spacing w:val="-48"/>
        </w:rPr>
        <w:t> </w:t>
      </w:r>
      <w:r>
        <w:rPr>
          <w:spacing w:val="-48"/>
        </w:rPr>
      </w:r>
      <w:r>
        <w:rPr/>
        <w:t>科技有限责任公司执行董事、深圳帕克斯智能科技有限公司董事、广州齐天下体育发展有限公司董事、公司独立董事。</w:t>
      </w:r>
    </w:p>
    <w:p>
      <w:pPr>
        <w:pStyle w:val="BodyText"/>
        <w:spacing w:line="309" w:lineRule="auto" w:before="26"/>
        <w:ind w:right="1130" w:firstLine="360"/>
        <w:jc w:val="both"/>
      </w:pPr>
      <w:r>
        <w:rPr>
          <w:spacing w:val="-2"/>
        </w:rPr>
        <w:t>向吉英，男，</w:t>
      </w:r>
      <w:r>
        <w:rPr>
          <w:rFonts w:ascii="Times New Roman" w:hAnsi="Times New Roman" w:cs="Times New Roman" w:eastAsia="Times New Roman" w:hint="default"/>
          <w:spacing w:val="-2"/>
        </w:rPr>
        <w:t>1965</w:t>
      </w:r>
      <w:r>
        <w:rPr>
          <w:spacing w:val="-2"/>
        </w:rPr>
        <w:t>年出生，中国国籍，无境外永久居留权，博士研究生学历。曾任湖南省龙山电力公司技术员、湖南省</w:t>
      </w:r>
      <w:r>
        <w:rPr/>
        <w:t> </w:t>
      </w:r>
      <w:r>
        <w:rPr>
          <w:spacing w:val="-2"/>
        </w:rPr>
        <w:t>社会科学院助理研究员、招商局蛇口工业区有限公司高级经理、招商局集团有限公司重大项目办公室高级经理、招商局集团</w:t>
      </w:r>
      <w:r>
        <w:rPr>
          <w:spacing w:val="-63"/>
        </w:rPr>
        <w:t> </w:t>
      </w:r>
      <w:r>
        <w:rPr>
          <w:spacing w:val="-63"/>
        </w:rPr>
      </w:r>
      <w:r>
        <w:rPr/>
        <w:t>驻越南办事处高级经理；现任深圳职业技术学院教授、公司独立董事。</w:t>
      </w:r>
    </w:p>
    <w:p>
      <w:pPr>
        <w:pStyle w:val="BodyText"/>
        <w:spacing w:line="309" w:lineRule="auto" w:before="24"/>
        <w:ind w:right="967" w:firstLine="360"/>
        <w:jc w:val="left"/>
      </w:pPr>
      <w:r>
        <w:rPr>
          <w:spacing w:val="-4"/>
        </w:rPr>
        <w:t>李夏，男，</w:t>
      </w:r>
      <w:r>
        <w:rPr>
          <w:rFonts w:ascii="Times New Roman" w:hAnsi="Times New Roman" w:cs="Times New Roman" w:eastAsia="Times New Roman" w:hint="default"/>
          <w:spacing w:val="-4"/>
        </w:rPr>
        <w:t>1962</w:t>
      </w:r>
      <w:r>
        <w:rPr>
          <w:spacing w:val="-4"/>
        </w:rPr>
        <w:t>年出生，中国国籍，无境外永久居留权，本科学历。曾任武汉工业大学（现武汉理工大学）分团委书记、</w:t>
      </w:r>
      <w:r>
        <w:rPr/>
        <w:t> </w:t>
      </w:r>
      <w:r>
        <w:rPr>
          <w:spacing w:val="-2"/>
        </w:rPr>
        <w:t>生产经营科长、教学科研管理办公室主任，深圳英特集团首席执行官，深圳市明海通电子有限公司总经理，深圳市智能交通</w:t>
      </w:r>
      <w:r>
        <w:rPr>
          <w:spacing w:val="-65"/>
        </w:rPr>
        <w:t> </w:t>
      </w:r>
      <w:r>
        <w:rPr>
          <w:spacing w:val="-65"/>
        </w:rPr>
      </w:r>
      <w:r>
        <w:rPr/>
        <w:t>行业协会常务副会长兼秘书长，现任深圳市宝安区智慧宝安产业促进会秘书长、公司独立董事。</w:t>
      </w:r>
    </w:p>
    <w:p>
      <w:pPr>
        <w:spacing w:after="0" w:line="309"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0"/>
        <w:jc w:val="both"/>
      </w:pPr>
      <w:r>
        <w:rPr>
          <w:rFonts w:ascii="Times New Roman" w:hAnsi="Times New Roman" w:cs="Times New Roman" w:eastAsia="Times New Roman" w:hint="default"/>
        </w:rPr>
        <w:t>2</w:t>
      </w:r>
      <w:r>
        <w:rPr/>
        <w:t>、监事会成员</w:t>
      </w:r>
    </w:p>
    <w:p>
      <w:pPr>
        <w:pStyle w:val="BodyText"/>
        <w:spacing w:line="300" w:lineRule="auto" w:before="63"/>
        <w:ind w:left="513" w:right="967"/>
        <w:jc w:val="left"/>
      </w:pPr>
      <w:r>
        <w:rPr/>
        <w:t>公司现任监事</w:t>
      </w:r>
      <w:r>
        <w:rPr>
          <w:rFonts w:ascii="Times New Roman" w:hAnsi="Times New Roman" w:cs="Times New Roman" w:eastAsia="Times New Roman" w:hint="default"/>
        </w:rPr>
        <w:t>3</w:t>
      </w:r>
      <w:r>
        <w:rPr/>
        <w:t>名，其中职工代表监事</w:t>
      </w:r>
      <w:r>
        <w:rPr>
          <w:rFonts w:ascii="Times New Roman" w:hAnsi="Times New Roman" w:cs="Times New Roman" w:eastAsia="Times New Roman" w:hint="default"/>
        </w:rPr>
        <w:t>1</w:t>
      </w:r>
      <w:r>
        <w:rPr/>
        <w:t>名。 </w:t>
      </w:r>
      <w:r>
        <w:rPr>
          <w:spacing w:val="-2"/>
        </w:rPr>
        <w:t>周海荣，男，</w:t>
      </w:r>
      <w:r>
        <w:rPr>
          <w:rFonts w:ascii="Times New Roman" w:hAnsi="Times New Roman" w:cs="Times New Roman" w:eastAsia="Times New Roman" w:hint="default"/>
          <w:spacing w:val="-2"/>
        </w:rPr>
        <w:t>1963</w:t>
      </w:r>
      <w:r>
        <w:rPr>
          <w:spacing w:val="-2"/>
        </w:rPr>
        <w:t>年出生，中国国籍，无境外永久居留权，博士研究生学历。毕业于武汉大学，国际私法专业。曾任深</w:t>
      </w:r>
    </w:p>
    <w:p>
      <w:pPr>
        <w:pStyle w:val="BodyText"/>
        <w:spacing w:line="316" w:lineRule="auto" w:before="13"/>
        <w:ind w:right="1131"/>
        <w:jc w:val="both"/>
      </w:pPr>
      <w:r>
        <w:rPr>
          <w:spacing w:val="-2"/>
        </w:rPr>
        <w:t>圳市深华集团公司审计监察部副部长、法律部部长、深圳华业律师事务所合伙人律师、主任；现任广东晟典律师事务所高级</w:t>
      </w:r>
      <w:r>
        <w:rPr>
          <w:spacing w:val="-64"/>
        </w:rPr>
        <w:t> </w:t>
      </w:r>
      <w:r>
        <w:rPr>
          <w:spacing w:val="-64"/>
        </w:rPr>
      </w:r>
      <w:r>
        <w:rPr/>
        <w:t>合伙人、公司监事会主席。</w:t>
      </w:r>
    </w:p>
    <w:p>
      <w:pPr>
        <w:pStyle w:val="BodyText"/>
        <w:spacing w:line="309" w:lineRule="auto" w:before="19"/>
        <w:ind w:right="1129" w:firstLine="360"/>
        <w:jc w:val="both"/>
      </w:pPr>
      <w:r>
        <w:rPr>
          <w:spacing w:val="-2"/>
        </w:rPr>
        <w:t>倪传宝，男，</w:t>
      </w:r>
      <w:r>
        <w:rPr>
          <w:rFonts w:ascii="Times New Roman" w:hAnsi="Times New Roman" w:cs="Times New Roman" w:eastAsia="Times New Roman" w:hint="default"/>
          <w:spacing w:val="-2"/>
        </w:rPr>
        <w:t>1963</w:t>
      </w:r>
      <w:r>
        <w:rPr>
          <w:spacing w:val="-2"/>
        </w:rPr>
        <w:t>年出生，中国国籍，无境外永久居留权。本科学历，毕业于北京大学，法律学专业。曾任江苏省司法</w:t>
      </w:r>
      <w:r>
        <w:rPr/>
        <w:t> </w:t>
      </w:r>
      <w:r>
        <w:rPr>
          <w:spacing w:val="-2"/>
        </w:rPr>
        <w:t>厅科员、深圳市鹏基物业发展有限公司法律部部长、广东中安律师事务所专职律师，现任广东万乘律师事务所专职律师、公</w:t>
      </w:r>
      <w:r>
        <w:rPr>
          <w:spacing w:val="-64"/>
        </w:rPr>
        <w:t> </w:t>
      </w:r>
      <w:r>
        <w:rPr>
          <w:spacing w:val="-64"/>
        </w:rPr>
      </w:r>
      <w:r>
        <w:rPr/>
        <w:t>司监事。</w:t>
      </w:r>
    </w:p>
    <w:p>
      <w:pPr>
        <w:pStyle w:val="BodyText"/>
        <w:spacing w:line="307" w:lineRule="auto" w:before="24"/>
        <w:ind w:right="1129" w:firstLine="360"/>
        <w:jc w:val="both"/>
      </w:pPr>
      <w:r>
        <w:rPr>
          <w:spacing w:val="-2"/>
        </w:rPr>
        <w:t>朱卫国，男，</w:t>
      </w:r>
      <w:r>
        <w:rPr>
          <w:rFonts w:ascii="Times New Roman" w:hAnsi="Times New Roman" w:cs="Times New Roman" w:eastAsia="Times New Roman" w:hint="default"/>
          <w:spacing w:val="-2"/>
        </w:rPr>
        <w:t>1985</w:t>
      </w:r>
      <w:r>
        <w:rPr>
          <w:spacing w:val="-2"/>
        </w:rPr>
        <w:t>年出生，中国国籍，无境外永久居留权，本科学历。财务管理专业，中级审计师职称，国际注册内审</w:t>
      </w:r>
      <w:r>
        <w:rPr/>
        <w:t> </w:t>
      </w:r>
      <w:r>
        <w:rPr>
          <w:spacing w:val="-2"/>
        </w:rPr>
        <w:t>师。曾任联合信用管理有限公司江西分公司信用评估专员、广州新中南会计师事务所审计员、中审亚太会计师事务所广东分</w:t>
      </w:r>
      <w:r>
        <w:rPr>
          <w:spacing w:val="-63"/>
        </w:rPr>
        <w:t> </w:t>
      </w:r>
      <w:r>
        <w:rPr>
          <w:spacing w:val="-63"/>
        </w:rPr>
      </w:r>
      <w:r>
        <w:rPr>
          <w:spacing w:val="-2"/>
        </w:rPr>
        <w:t>所审计员、深圳统信电路电子有限公司审计专员，</w:t>
      </w:r>
      <w:r>
        <w:rPr>
          <w:rFonts w:ascii="Times New Roman" w:hAnsi="Times New Roman" w:cs="Times New Roman" w:eastAsia="Times New Roman" w:hint="default"/>
          <w:spacing w:val="-2"/>
        </w:rPr>
        <w:t>2014</w:t>
      </w:r>
      <w:r>
        <w:rPr>
          <w:spacing w:val="-2"/>
        </w:rPr>
        <w:t>年加入深圳市金溢科技股份有限公司任高级审计专员，现任公司内部</w:t>
      </w:r>
      <w:r>
        <w:rPr>
          <w:spacing w:val="-60"/>
        </w:rPr>
        <w:t> </w:t>
      </w:r>
      <w:r>
        <w:rPr>
          <w:spacing w:val="-60"/>
        </w:rPr>
      </w:r>
      <w:r>
        <w:rPr/>
        <w:t>审计部门负责人、职工代表监事。</w:t>
      </w:r>
    </w:p>
    <w:p>
      <w:pPr>
        <w:spacing w:line="240" w:lineRule="auto" w:before="11"/>
        <w:rPr>
          <w:rFonts w:ascii="宋体" w:hAnsi="宋体" w:cs="宋体" w:eastAsia="宋体" w:hint="default"/>
          <w:sz w:val="25"/>
          <w:szCs w:val="25"/>
        </w:rPr>
      </w:pPr>
    </w:p>
    <w:p>
      <w:pPr>
        <w:pStyle w:val="BodyText"/>
        <w:spacing w:line="300" w:lineRule="auto"/>
        <w:ind w:left="513" w:right="1123" w:hanging="361"/>
        <w:jc w:val="left"/>
      </w:pPr>
      <w:r>
        <w:rPr>
          <w:rFonts w:ascii="Times New Roman" w:hAnsi="Times New Roman" w:cs="Times New Roman" w:eastAsia="Times New Roman" w:hint="default"/>
        </w:rPr>
        <w:t>3</w:t>
      </w:r>
      <w:r>
        <w:rPr/>
        <w:t>、高级管理人员 鉴于公司高级管理人员的提名工作尚需时间，为保证公司相关工作的连续性，公司于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日召开第三届董事会</w:t>
      </w:r>
    </w:p>
    <w:p>
      <w:pPr>
        <w:pStyle w:val="BodyText"/>
        <w:spacing w:line="316" w:lineRule="auto" w:before="13"/>
        <w:ind w:right="1129"/>
        <w:jc w:val="both"/>
      </w:pPr>
      <w:r>
        <w:rPr>
          <w:spacing w:val="-2"/>
        </w:rPr>
        <w:t>第一次会议，审议通过了《关于公司高级管理人员延期换届的议案》，同意延长公司高级管理人员的任职期限，在公司后续</w:t>
      </w:r>
      <w:r>
        <w:rPr>
          <w:spacing w:val="-67"/>
        </w:rPr>
        <w:t> </w:t>
      </w:r>
      <w:r>
        <w:rPr>
          <w:spacing w:val="-67"/>
        </w:rPr>
      </w:r>
      <w:r>
        <w:rPr>
          <w:spacing w:val="-2"/>
        </w:rPr>
        <w:t>召开相关董事会完成上述人员换届工作之前，现任高级管理人员将依照法律法规和《公司章程》的相关规定，继续履行勤勉</w:t>
      </w:r>
      <w:r>
        <w:rPr>
          <w:spacing w:val="-63"/>
        </w:rPr>
        <w:t> </w:t>
      </w:r>
      <w:r>
        <w:rPr>
          <w:spacing w:val="-63"/>
        </w:rPr>
      </w:r>
      <w:r>
        <w:rPr/>
        <w:t>义务和职责。</w:t>
      </w:r>
    </w:p>
    <w:p>
      <w:pPr>
        <w:pStyle w:val="BodyText"/>
        <w:spacing w:line="300" w:lineRule="auto" w:before="19"/>
        <w:ind w:left="513" w:right="967"/>
        <w:jc w:val="left"/>
      </w:pPr>
      <w:r>
        <w:rPr/>
        <w:t>公司现任高级管理人员总经理职务暂时空缺，其余高级管理人员包括副总经理、财务总监及董事会秘书，共</w:t>
      </w:r>
      <w:r>
        <w:rPr>
          <w:rFonts w:ascii="Times New Roman" w:hAnsi="Times New Roman" w:cs="Times New Roman" w:eastAsia="Times New Roman" w:hint="default"/>
        </w:rPr>
        <w:t>7</w:t>
      </w:r>
      <w:r>
        <w:rPr/>
        <w:t>人。 杨成，常务副总经理，参见</w:t>
      </w:r>
      <w:r>
        <w:rPr>
          <w:rFonts w:ascii="Times New Roman" w:hAnsi="Times New Roman" w:cs="Times New Roman" w:eastAsia="Times New Roman" w:hint="default"/>
        </w:rPr>
        <w:t>“</w:t>
      </w:r>
      <w:r>
        <w:rPr/>
        <w:t>董事会成员</w:t>
      </w:r>
      <w:r>
        <w:rPr>
          <w:rFonts w:ascii="Times New Roman" w:hAnsi="Times New Roman" w:cs="Times New Roman" w:eastAsia="Times New Roman" w:hint="default"/>
        </w:rPr>
        <w:t>”</w:t>
      </w:r>
      <w:r>
        <w:rPr/>
        <w:t>。 </w:t>
      </w:r>
      <w:r>
        <w:rPr>
          <w:spacing w:val="-2"/>
        </w:rPr>
        <w:t>蔡福春，副总经理，男，</w:t>
      </w:r>
      <w:r>
        <w:rPr>
          <w:rFonts w:ascii="Times New Roman" w:hAnsi="Times New Roman" w:cs="Times New Roman" w:eastAsia="Times New Roman" w:hint="default"/>
          <w:spacing w:val="-2"/>
        </w:rPr>
        <w:t>1979</w:t>
      </w:r>
      <w:r>
        <w:rPr>
          <w:spacing w:val="-2"/>
        </w:rPr>
        <w:t>年出生，中国国籍，无境外永久居留权，本科学历。曾任广州市天时和科技发展有限公司</w:t>
      </w:r>
    </w:p>
    <w:p>
      <w:pPr>
        <w:pStyle w:val="BodyText"/>
        <w:spacing w:line="316" w:lineRule="auto" w:before="13"/>
        <w:ind w:right="1128"/>
        <w:jc w:val="both"/>
      </w:pPr>
      <w:r>
        <w:rPr>
          <w:spacing w:val="-2"/>
        </w:rPr>
        <w:t>销售工程师，金溢有限副总经理；现任公司副总经理、山东高速信威信息科技有限公司董事、深圳宝溢交通科技有限公司副</w:t>
      </w:r>
      <w:r>
        <w:rPr>
          <w:spacing w:val="-63"/>
        </w:rPr>
        <w:t> </w:t>
      </w:r>
      <w:r>
        <w:rPr>
          <w:spacing w:val="-63"/>
        </w:rPr>
      </w:r>
      <w:r>
        <w:rPr/>
        <w:t>董事长。</w:t>
      </w:r>
    </w:p>
    <w:p>
      <w:pPr>
        <w:pStyle w:val="BodyText"/>
        <w:spacing w:line="300" w:lineRule="auto" w:before="19"/>
        <w:ind w:left="513" w:right="967"/>
        <w:jc w:val="left"/>
      </w:pPr>
      <w:r>
        <w:rPr/>
        <w:t>刘咏平，副总经理，男，参见</w:t>
      </w:r>
      <w:r>
        <w:rPr>
          <w:rFonts w:ascii="Times New Roman" w:hAnsi="Times New Roman" w:cs="Times New Roman" w:eastAsia="Times New Roman" w:hint="default"/>
        </w:rPr>
        <w:t>“</w:t>
      </w:r>
      <w:r>
        <w:rPr/>
        <w:t>董事会成员</w:t>
      </w:r>
      <w:r>
        <w:rPr>
          <w:rFonts w:ascii="Times New Roman" w:hAnsi="Times New Roman" w:cs="Times New Roman" w:eastAsia="Times New Roman" w:hint="default"/>
        </w:rPr>
        <w:t>”</w:t>
      </w:r>
      <w:r>
        <w:rPr/>
        <w:t>。 </w:t>
      </w:r>
      <w:r>
        <w:rPr>
          <w:spacing w:val="-2"/>
        </w:rPr>
        <w:t>吴国庆，副总经理，男，</w:t>
      </w:r>
      <w:r>
        <w:rPr>
          <w:rFonts w:ascii="Times New Roman" w:hAnsi="Times New Roman" w:cs="Times New Roman" w:eastAsia="Times New Roman" w:hint="default"/>
          <w:spacing w:val="-2"/>
        </w:rPr>
        <w:t>1981</w:t>
      </w:r>
      <w:r>
        <w:rPr>
          <w:spacing w:val="-2"/>
        </w:rPr>
        <w:t>年出生，中国国籍，无境外永久居留权，本科学历，毕业于电子科技大学，信息对抗技术</w:t>
      </w:r>
    </w:p>
    <w:p>
      <w:pPr>
        <w:pStyle w:val="BodyText"/>
        <w:spacing w:line="300" w:lineRule="auto" w:before="13"/>
        <w:ind w:right="1139"/>
        <w:jc w:val="both"/>
      </w:pPr>
      <w:r>
        <w:rPr/>
        <w:t>专业。曾任佛山东田洋实业有限公司工程师、广东昂扬信息科技有限公司工程师。</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月入职金溢科技，现任公司副总 经理。</w:t>
      </w:r>
    </w:p>
    <w:p>
      <w:pPr>
        <w:pStyle w:val="BodyText"/>
        <w:spacing w:line="300" w:lineRule="auto" w:before="31"/>
        <w:ind w:right="1135" w:firstLine="360"/>
        <w:jc w:val="both"/>
      </w:pPr>
      <w:r>
        <w:rPr>
          <w:spacing w:val="-2"/>
        </w:rPr>
        <w:t>何宁，副总经理，男，</w:t>
      </w:r>
      <w:r>
        <w:rPr>
          <w:rFonts w:ascii="Times New Roman" w:hAnsi="Times New Roman" w:cs="Times New Roman" w:eastAsia="Times New Roman" w:hint="default"/>
          <w:spacing w:val="-2"/>
        </w:rPr>
        <w:t>1977</w:t>
      </w:r>
      <w:r>
        <w:rPr>
          <w:spacing w:val="-2"/>
        </w:rPr>
        <w:t>年出生，中国国籍，拥有美国绿卡。博士研究生学历，本科及硕士研究生毕业于电子科技大</w:t>
      </w:r>
      <w:r>
        <w:rPr/>
        <w:t> 学，电子工程专业；博士研究生毕业于亚利桑那州立大学，电子工程专业。曾任</w:t>
      </w:r>
      <w:r>
        <w:rPr>
          <w:rFonts w:ascii="Times New Roman" w:hAnsi="Times New Roman" w:cs="Times New Roman" w:eastAsia="Times New Roman" w:hint="default"/>
        </w:rPr>
        <w:t>Qualcomm</w:t>
      </w:r>
      <w:r>
        <w:rPr>
          <w:rFonts w:ascii="Times New Roman" w:hAnsi="Times New Roman" w:cs="Times New Roman" w:eastAsia="Times New Roman" w:hint="default"/>
          <w:spacing w:val="-3"/>
        </w:rPr>
        <w:t> </w:t>
      </w:r>
      <w:r>
        <w:rPr>
          <w:rFonts w:ascii="Times New Roman" w:hAnsi="Times New Roman" w:cs="Times New Roman" w:eastAsia="Times New Roman" w:hint="default"/>
        </w:rPr>
        <w:t>Inc.</w:t>
      </w:r>
      <w:r>
        <w:rPr/>
        <w:t>（美国高通公司圣地亚哥总 部）副总工程师，</w:t>
      </w:r>
      <w:r>
        <w:rPr>
          <w:rFonts w:ascii="Times New Roman" w:hAnsi="Times New Roman" w:cs="Times New Roman" w:eastAsia="Times New Roman" w:hint="default"/>
        </w:rPr>
        <w:t>ZTE (TX)</w:t>
      </w:r>
      <w:r>
        <w:rPr>
          <w:rFonts w:ascii="Times New Roman" w:hAnsi="Times New Roman" w:cs="Times New Roman" w:eastAsia="Times New Roman" w:hint="default"/>
          <w:spacing w:val="-7"/>
        </w:rPr>
        <w:t> </w:t>
      </w:r>
      <w:r>
        <w:rPr>
          <w:rFonts w:ascii="Times New Roman" w:hAnsi="Times New Roman" w:cs="Times New Roman" w:eastAsia="Times New Roman" w:hint="default"/>
        </w:rPr>
        <w:t>Inc.IC</w:t>
      </w:r>
      <w:r>
        <w:rPr/>
        <w:t>首席架构师。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月入职金溢科技，现任公司副总经理、首席技术官。</w:t>
      </w:r>
    </w:p>
    <w:p>
      <w:pPr>
        <w:pStyle w:val="BodyText"/>
        <w:spacing w:line="309" w:lineRule="auto" w:before="13"/>
        <w:ind w:right="1049" w:firstLine="360"/>
        <w:jc w:val="both"/>
      </w:pPr>
      <w:r>
        <w:rPr>
          <w:spacing w:val="-2"/>
        </w:rPr>
        <w:t>聂磊，财务总监，男，</w:t>
      </w:r>
      <w:r>
        <w:rPr>
          <w:rFonts w:ascii="Times New Roman" w:hAnsi="Times New Roman" w:cs="Times New Roman" w:eastAsia="Times New Roman" w:hint="default"/>
          <w:spacing w:val="-2"/>
        </w:rPr>
        <w:t>1985</w:t>
      </w:r>
      <w:r>
        <w:rPr>
          <w:spacing w:val="-2"/>
        </w:rPr>
        <w:t>年出生，中国国籍，无境外永久居留权，暨南大学会计学硕士，中级会计师职称，中国注册</w:t>
      </w:r>
      <w:r>
        <w:rPr/>
        <w:t> </w:t>
      </w:r>
      <w:r>
        <w:rPr>
          <w:spacing w:val="-2"/>
        </w:rPr>
        <w:t>会计师、美国注册管理会计师、国际会计师全权会员</w:t>
      </w:r>
      <w:r>
        <w:rPr>
          <w:rFonts w:ascii="宋体" w:hAnsi="宋体" w:cs="宋体" w:eastAsia="宋体" w:hint="default"/>
          <w:spacing w:val="-2"/>
        </w:rPr>
        <w:t>AAIA</w:t>
      </w:r>
      <w:r>
        <w:rPr>
          <w:spacing w:val="-2"/>
        </w:rPr>
        <w:t>。曾任广东科达洁能股份有限公司成本会计、虎彩印艺股份有限公</w:t>
      </w:r>
      <w:r>
        <w:rPr>
          <w:spacing w:val="-60"/>
        </w:rPr>
        <w:t> </w:t>
      </w:r>
      <w:r>
        <w:rPr>
          <w:spacing w:val="-60"/>
        </w:rPr>
      </w:r>
      <w:r>
        <w:rPr/>
        <w:t>司财务管理专员，</w:t>
      </w:r>
      <w:r>
        <w:rPr>
          <w:rFonts w:ascii="Times New Roman" w:hAnsi="Times New Roman" w:cs="Times New Roman" w:eastAsia="Times New Roman" w:hint="default"/>
        </w:rPr>
        <w:t>2012</w:t>
      </w:r>
      <w:r>
        <w:rPr/>
        <w:t>年加入深圳市金溢科技股份有限公司任财务主管，现任财务总监、深圳宝溢交通科技有限公司监事。</w:t>
      </w:r>
    </w:p>
    <w:p>
      <w:pPr>
        <w:pStyle w:val="BodyText"/>
        <w:spacing w:line="240" w:lineRule="auto" w:before="5"/>
        <w:ind w:left="513" w:right="967"/>
        <w:jc w:val="left"/>
      </w:pPr>
      <w:r>
        <w:rPr/>
        <w:t>郑映虹，董事会秘书，参见</w:t>
      </w:r>
      <w:r>
        <w:rPr>
          <w:rFonts w:ascii="Times New Roman" w:hAnsi="Times New Roman" w:cs="Times New Roman" w:eastAsia="Times New Roman" w:hint="default"/>
        </w:rPr>
        <w:t>“</w:t>
      </w:r>
      <w:r>
        <w:rPr/>
        <w:t>董事会成员</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BodyText"/>
        <w:spacing w:line="240" w:lineRule="auto"/>
        <w:ind w:right="0"/>
        <w:jc w:val="both"/>
      </w:pPr>
      <w:r>
        <w:rPr/>
        <w:t>在股东单位任职情况</w:t>
      </w:r>
    </w:p>
    <w:p>
      <w:pPr>
        <w:pStyle w:val="BodyText"/>
        <w:spacing w:line="240" w:lineRule="auto" w:before="115"/>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17"/>
        <w:gridCol w:w="3231"/>
        <w:gridCol w:w="1078"/>
        <w:gridCol w:w="1212"/>
        <w:gridCol w:w="1347"/>
        <w:gridCol w:w="1486"/>
      </w:tblGrid>
      <w:tr>
        <w:trPr>
          <w:trHeight w:val="713"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4" w:right="82"/>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6" w:right="107"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6"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罗瑞发</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深圳市敏行电子有限公司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3"/>
        <w:rPr>
          <w:rFonts w:ascii="宋体" w:hAnsi="宋体" w:cs="宋体" w:eastAsia="宋体" w:hint="default"/>
          <w:sz w:val="24"/>
          <w:szCs w:val="24"/>
        </w:rPr>
      </w:pPr>
    </w:p>
    <w:p>
      <w:pPr>
        <w:spacing w:line="734" w:lineRule="exact"/>
        <w:ind w:left="148" w:right="0" w:firstLine="0"/>
        <w:rPr>
          <w:rFonts w:ascii="宋体" w:hAnsi="宋体" w:cs="宋体" w:eastAsia="宋体" w:hint="default"/>
          <w:sz w:val="20"/>
          <w:szCs w:val="20"/>
        </w:rPr>
      </w:pPr>
      <w:r>
        <w:rPr>
          <w:rFonts w:ascii="宋体" w:hAnsi="宋体" w:cs="宋体" w:eastAsia="宋体" w:hint="default"/>
          <w:position w:val="-14"/>
          <w:sz w:val="20"/>
          <w:szCs w:val="20"/>
        </w:rPr>
        <w:pict>
          <v:group style="width:479.05pt;height:36.75pt;mso-position-horizontal-relative:char;mso-position-vertical-relative:line" coordorigin="0,0" coordsize="9581,735">
            <v:group style="position:absolute;left:12;top:14;width:1208;height:704" coordorigin="12,14" coordsize="1208,704">
              <v:shape style="position:absolute;left:12;top:14;width:1208;height:704" coordorigin="12,14" coordsize="1208,704" path="m12,718l1220,718,1220,14,12,14,12,718xe" filled="true" fillcolor="#d2d2d2" stroked="false">
                <v:path arrowok="t"/>
                <v:fill type="solid"/>
              </v:shape>
            </v:group>
            <v:group style="position:absolute;left:34;top:14;width:1163;height:354" coordorigin="34,14" coordsize="1163,354">
              <v:shape style="position:absolute;left:34;top:14;width:1163;height:354" coordorigin="34,14" coordsize="1163,354" path="m34,368l1196,368,1196,14,34,14,34,368xe" filled="true" fillcolor="#d2d2d2" stroked="false">
                <v:path arrowok="t"/>
                <v:fill type="solid"/>
              </v:shape>
            </v:group>
            <v:group style="position:absolute;left:34;top:368;width:1163;height:351" coordorigin="34,368" coordsize="1163,351">
              <v:shape style="position:absolute;left:34;top:368;width:1163;height:351" coordorigin="34,368" coordsize="1163,351" path="m34,718l1196,718,1196,368,34,368,34,718xe" filled="true" fillcolor="#d2d2d2" stroked="false">
                <v:path arrowok="t"/>
                <v:fill type="solid"/>
              </v:shape>
            </v:group>
            <v:group style="position:absolute;left:10;top:10;width:1208;height:2" coordorigin="10,10" coordsize="1208,2">
              <v:shape style="position:absolute;left:10;top:10;width:1208;height:2" coordorigin="10,10" coordsize="1208,0" path="m10,10l1217,10e" filled="false" stroked="true" strokeweight=".48pt" strokecolor="#000000">
                <v:path arrowok="t"/>
              </v:shape>
            </v:group>
            <v:group style="position:absolute;left:1227;top:10;width:8344;height:2" coordorigin="1227,10" coordsize="8344,2">
              <v:shape style="position:absolute;left:1227;top:10;width:8344;height:2" coordorigin="1227,10" coordsize="8344,0" path="m1227,10l9571,10e" filled="false" stroked="true" strokeweight=".48pt" strokecolor="#000000">
                <v:path arrowok="t"/>
              </v:shape>
            </v:group>
            <v:group style="position:absolute;left:5;top:5;width:2;height:726" coordorigin="5,5" coordsize="2,726">
              <v:shape style="position:absolute;left:5;top:5;width:2;height:726" coordorigin="5,5" coordsize="0,726" path="m5,5l5,730e" filled="false" stroked="true" strokeweight=".48pt" strokecolor="#000000">
                <v:path arrowok="t"/>
              </v:shape>
            </v:group>
            <v:group style="position:absolute;left:10;top:725;width:1208;height:2" coordorigin="10,725" coordsize="1208,2">
              <v:shape style="position:absolute;left:10;top:725;width:1208;height:2" coordorigin="10,725" coordsize="1208,0" path="m10,725l1217,725e" filled="false" stroked="true" strokeweight=".48pt" strokecolor="#000000">
                <v:path arrowok="t"/>
              </v:shape>
            </v:group>
            <v:group style="position:absolute;left:1222;top:5;width:2;height:726" coordorigin="1222,5" coordsize="2,726">
              <v:shape style="position:absolute;left:1222;top:5;width:2;height:726" coordorigin="1222,5" coordsize="0,726" path="m1222,5l1222,730e" filled="false" stroked="true" strokeweight=".48pt" strokecolor="#000000">
                <v:path arrowok="t"/>
              </v:shape>
            </v:group>
            <v:group style="position:absolute;left:1227;top:725;width:8344;height:2" coordorigin="1227,725" coordsize="8344,2">
              <v:shape style="position:absolute;left:1227;top:725;width:8344;height:2" coordorigin="1227,725" coordsize="8344,0" path="m1227,725l9571,725e" filled="false" stroked="true" strokeweight=".48pt" strokecolor="#000000">
                <v:path arrowok="t"/>
              </v:shape>
            </v:group>
            <v:group style="position:absolute;left:9576;top:5;width:2;height:726" coordorigin="9576,5" coordsize="2,726">
              <v:shape style="position:absolute;left:9576;top:5;width:2;height:726" coordorigin="9576,5" coordsize="0,726" path="m9576,5l9576,730e" filled="false" stroked="true" strokeweight=".47998pt" strokecolor="#000000">
                <v:path arrowok="t"/>
              </v:shape>
              <v:shape style="position:absolute;left:6;top:10;width:1216;height:716" type="#_x0000_t202" filled="false" stroked="false">
                <v:textbox inset="0,0,0,0">
                  <w:txbxContent>
                    <w:p>
                      <w:pPr>
                        <w:spacing w:line="316" w:lineRule="auto" w:before="54"/>
                        <w:ind w:left="27" w:right="106" w:firstLine="0"/>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xbxContent>
                </v:textbox>
                <w10:wrap type="none"/>
              </v:shape>
              <v:shape style="position:absolute;left:1251;top:275;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无</w:t>
                      </w:r>
                    </w:p>
                  </w:txbxContent>
                </v:textbox>
                <w10:wrap type="none"/>
              </v:shape>
            </v:group>
          </v:group>
        </w:pict>
      </w:r>
      <w:r>
        <w:rPr>
          <w:rFonts w:ascii="宋体" w:hAnsi="宋体" w:cs="宋体" w:eastAsia="宋体" w:hint="default"/>
          <w:position w:val="-14"/>
          <w:sz w:val="20"/>
          <w:szCs w:val="20"/>
        </w:rPr>
      </w:r>
    </w:p>
    <w:p>
      <w:pPr>
        <w:pStyle w:val="BodyText"/>
        <w:spacing w:line="240" w:lineRule="auto" w:before="45"/>
        <w:ind w:right="967"/>
        <w:jc w:val="left"/>
      </w:pPr>
      <w:r>
        <w:rPr/>
        <w:t>在其他单位任职情况</w:t>
      </w:r>
    </w:p>
    <w:p>
      <w:pPr>
        <w:pStyle w:val="BodyText"/>
        <w:spacing w:line="240" w:lineRule="auto" w:before="115"/>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罗瑞发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深圳立尊科技有限公司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罗瑞发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广东省交通车联网（金溢）工程技术研究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中心</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工程中心主 任</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罗瑞发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广州市华瑞腾科技有限公司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罗瑞发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深圳市电子学会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副理事长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罗瑞发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中国互联网交通运输产业创新联盟</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常务副理事 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罗瑞发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交通运输部智能车路协同行业研发中心</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罗瑞发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深圳技术大学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客座教授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罗瑞发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华南理工大学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客座教授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罗瑞发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深圳市工商联</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第八届常委</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广州市铂金科技合伙企业（有限合伙）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广州市精联时空科技有限公司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郑映虹</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紫荆花民俗文化基金会有限公司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郑映虹</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深圳市敏行至达科技有限公司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郑映虹</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广州唯艾科技有限公司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郑映虹</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唯艾科技（香港）有限公司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刘咏平</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深圳市钜湾科技有限公司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28</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刘咏平</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长安大学信息工程学院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工程硕士导 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刘咏平</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深圳宝溢交通科技有限公司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于海洋</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上海星景股权投资管理有限公司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投资高级总 监</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于海洋</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深圳市天地（集团）股份有限公司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关志超</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深圳市综合交通运行指挥中心</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向吉英</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深圳职业技术学院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李夏</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深圳市宝安区智慧宝安产业促进会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秘书长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陈君柱</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广东正源会计师事务所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06"/>
              <w:jc w:val="left"/>
              <w:rPr>
                <w:rFonts w:ascii="宋体" w:hAnsi="宋体" w:cs="宋体" w:eastAsia="宋体" w:hint="default"/>
                <w:sz w:val="18"/>
                <w:szCs w:val="18"/>
              </w:rPr>
            </w:pPr>
            <w:r>
              <w:rPr>
                <w:rFonts w:ascii="宋体" w:hAnsi="宋体" w:cs="宋体" w:eastAsia="宋体" w:hint="default"/>
                <w:sz w:val="18"/>
                <w:szCs w:val="18"/>
              </w:rPr>
              <w:t>合伙人</w:t>
            </w:r>
            <w:r>
              <w:rPr>
                <w:rFonts w:ascii="Times New Roman" w:hAnsi="Times New Roman" w:cs="Times New Roman" w:eastAsia="Times New Roman" w:hint="default"/>
                <w:sz w:val="18"/>
                <w:szCs w:val="18"/>
              </w:rPr>
              <w:t>/</w:t>
            </w:r>
            <w:r>
              <w:rPr>
                <w:rFonts w:ascii="宋体" w:hAnsi="宋体" w:cs="宋体" w:eastAsia="宋体" w:hint="default"/>
                <w:sz w:val="18"/>
                <w:szCs w:val="18"/>
              </w:rPr>
              <w:t>副主 任会计师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陈君柱</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胜利油气管道控股有限公司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陈君柱</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广州市沛兴科技有限责任公司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24</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陈君柱</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深圳帕克斯智能科技有限公司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陈君柱</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广州齐天下体育发展有限公司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陈君柱</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广州市浚壹投资合伙企业（有限合伙）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陈君柱</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深圳市鑫沛资本管理有限公司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陈君柱</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普保恒创（广州）科技有限公司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周海荣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广东晟典律师事务所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高级合伙人、 律师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倪传宝</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广东万乘律师事务所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专职律师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蔡福春</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山东高速信威信息科技有限公司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蔡福春</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深圳宝溢交通科技有限公司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何宁</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中国智能交通产业联盟</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副理事长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何宁</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2"/>
              <w:jc w:val="left"/>
              <w:rPr>
                <w:rFonts w:ascii="宋体" w:hAnsi="宋体" w:cs="宋体" w:eastAsia="宋体" w:hint="default"/>
                <w:sz w:val="18"/>
                <w:szCs w:val="18"/>
              </w:rPr>
            </w:pPr>
            <w:r>
              <w:rPr>
                <w:rFonts w:ascii="宋体" w:hAnsi="宋体" w:cs="宋体" w:eastAsia="宋体" w:hint="default"/>
                <w:sz w:val="18"/>
                <w:szCs w:val="18"/>
              </w:rPr>
              <w:t>智能车路协同关键技术及装备交通运输 行业研发中心</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常务副主任</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何宁</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华南理工大学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客座教授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何宁</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中国科学院深圳先进技术研究院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硕士研究生 企业导师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何宁</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国际标准组织智能运输系统委员会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国际标准专 家</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聂磊</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深圳宝溢交通科技有限公司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967"/>
        <w:jc w:val="left"/>
      </w:pPr>
      <w:r>
        <w:rPr/>
        <w:t>公司现任及报告期内离任董事、监事和高级管理人员近三年证券监管机构处罚的情况</w:t>
      </w:r>
    </w:p>
    <w:p>
      <w:pPr>
        <w:pStyle w:val="BodyText"/>
        <w:spacing w:line="240" w:lineRule="auto" w:before="115"/>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967"/>
        <w:jc w:val="left"/>
        <w:rPr>
          <w:b w:val="0"/>
          <w:bCs w:val="0"/>
        </w:rPr>
      </w:pPr>
      <w:r>
        <w:rPr/>
        <w:t>四、董事、监事、高级管理人员报酬情况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967"/>
        <w:jc w:val="left"/>
      </w:pPr>
      <w:r>
        <w:rPr/>
        <w:t>董事、监事、高级管理人员报酬的决策程序、确定依据、实际支付情况</w:t>
      </w:r>
    </w:p>
    <w:p>
      <w:pPr>
        <w:pStyle w:val="BodyText"/>
        <w:spacing w:line="309" w:lineRule="auto" w:before="115"/>
        <w:ind w:right="1131" w:firstLine="360"/>
        <w:jc w:val="both"/>
      </w:pPr>
      <w:r>
        <w:rPr>
          <w:rFonts w:ascii="Times New Roman" w:hAnsi="Times New Roman" w:cs="Times New Roman" w:eastAsia="Times New Roman" w:hint="default"/>
        </w:rPr>
        <w:t>1</w:t>
      </w:r>
      <w:r>
        <w:rPr/>
        <w:t>、在公司任职的董事（非独立董事）、监事和高级管理人员按其行政岗位及职务，根据公司现行薪酬制度领取薪酬， </w:t>
      </w:r>
      <w:r>
        <w:rPr>
          <w:spacing w:val="-2"/>
        </w:rPr>
        <w:t>年底根据企业效益、高管本人的贡献系数和年度绩效考核系数共同决定年度绩效奖金。</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24</w:t>
      </w:r>
      <w:r>
        <w:rPr>
          <w:spacing w:val="-2"/>
        </w:rPr>
        <w:t>日、</w:t>
      </w:r>
      <w:r>
        <w:rPr>
          <w:rFonts w:ascii="宋体" w:hAnsi="宋体" w:cs="宋体" w:eastAsia="宋体" w:hint="default"/>
          <w:spacing w:val="-2"/>
        </w:rPr>
        <w:t>2019</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16</w:t>
      </w:r>
      <w:r>
        <w:rPr>
          <w:spacing w:val="-2"/>
        </w:rPr>
        <w:t>日公司</w:t>
      </w:r>
      <w:r>
        <w:rPr>
          <w:spacing w:val="-56"/>
        </w:rPr>
        <w:t> </w:t>
      </w:r>
      <w:r>
        <w:rPr>
          <w:spacing w:val="-56"/>
        </w:rPr>
      </w:r>
      <w:r>
        <w:rPr>
          <w:spacing w:val="-2"/>
        </w:rPr>
        <w:t>第二届董事会第二十四次会议和第二届董事会审议二十七次会议分别审议通过了《关于公司</w:t>
      </w:r>
      <w:r>
        <w:rPr>
          <w:rFonts w:ascii="宋体" w:hAnsi="宋体" w:cs="宋体" w:eastAsia="宋体" w:hint="default"/>
          <w:spacing w:val="-2"/>
        </w:rPr>
        <w:t>2018</w:t>
      </w:r>
      <w:r>
        <w:rPr>
          <w:spacing w:val="-2"/>
        </w:rPr>
        <w:t>年度高级管理人员薪酬的议</w:t>
      </w:r>
      <w:r>
        <w:rPr>
          <w:spacing w:val="-61"/>
        </w:rPr>
        <w:t> </w:t>
      </w:r>
      <w:r>
        <w:rPr>
          <w:spacing w:val="-61"/>
        </w:rPr>
      </w:r>
      <w:r>
        <w:rPr/>
        <w:t>案》和《关于调整高级管理人员薪酬标准的议案》。经</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日公司</w:t>
      </w:r>
      <w:r>
        <w:rPr>
          <w:rFonts w:ascii="Times New Roman" w:hAnsi="Times New Roman" w:cs="Times New Roman" w:eastAsia="Times New Roman" w:hint="default"/>
        </w:rPr>
        <w:t>2018</w:t>
      </w:r>
      <w:r>
        <w:rPr/>
        <w:t>年度股东大会审议批准，董事黄然婷女士不</w:t>
      </w:r>
      <w:r>
        <w:rPr>
          <w:spacing w:val="-87"/>
        </w:rPr>
        <w:t> </w:t>
      </w:r>
      <w:r>
        <w:rPr>
          <w:spacing w:val="-87"/>
        </w:rPr>
      </w:r>
      <w:r>
        <w:rPr/>
        <w:t>在公司领取报酬，董事于海洋先生的薪酬实行津贴制度，津贴标准为税前人民币</w:t>
      </w:r>
      <w:r>
        <w:rPr>
          <w:rFonts w:ascii="Times New Roman" w:hAnsi="Times New Roman" w:cs="Times New Roman" w:eastAsia="Times New Roman" w:hint="default"/>
        </w:rPr>
        <w:t>8</w:t>
      </w:r>
      <w:r>
        <w:rPr/>
        <w:t>万元</w:t>
      </w:r>
      <w:r>
        <w:rPr>
          <w:rFonts w:ascii="Times New Roman" w:hAnsi="Times New Roman" w:cs="Times New Roman" w:eastAsia="Times New Roman" w:hint="default"/>
        </w:rPr>
        <w:t>/</w:t>
      </w:r>
      <w:r>
        <w:rPr/>
        <w:t>年。</w:t>
      </w:r>
    </w:p>
    <w:p>
      <w:pPr>
        <w:pStyle w:val="BodyText"/>
        <w:spacing w:line="300" w:lineRule="auto" w:before="5"/>
        <w:ind w:right="1132" w:firstLine="360"/>
        <w:jc w:val="both"/>
      </w:pPr>
      <w:r>
        <w:rPr>
          <w:rFonts w:ascii="Times New Roman" w:hAnsi="Times New Roman" w:cs="Times New Roman" w:eastAsia="Times New Roman" w:hint="default"/>
        </w:rPr>
        <w:t>2</w:t>
      </w:r>
      <w:r>
        <w:rPr/>
        <w:t>、经</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日公司</w:t>
      </w:r>
      <w:r>
        <w:rPr>
          <w:rFonts w:ascii="Times New Roman" w:hAnsi="Times New Roman" w:cs="Times New Roman" w:eastAsia="Times New Roman" w:hint="default"/>
        </w:rPr>
        <w:t>2018</w:t>
      </w:r>
      <w:r>
        <w:rPr/>
        <w:t>年度股东大会审议批准，独立董事津贴为每年税前人民币</w:t>
      </w:r>
      <w:r>
        <w:rPr>
          <w:rFonts w:ascii="Times New Roman" w:hAnsi="Times New Roman" w:cs="Times New Roman" w:eastAsia="Times New Roman" w:hint="default"/>
        </w:rPr>
        <w:t>8</w:t>
      </w:r>
      <w:r>
        <w:rPr/>
        <w:t>万元，监事（不包括在公司任 职的监事）津贴为每年税前人民币</w:t>
      </w:r>
      <w:r>
        <w:rPr>
          <w:rFonts w:ascii="Times New Roman" w:hAnsi="Times New Roman" w:cs="Times New Roman" w:eastAsia="Times New Roman" w:hint="default"/>
        </w:rPr>
        <w:t>8</w:t>
      </w:r>
      <w:r>
        <w:rPr/>
        <w:t>万元。</w:t>
      </w:r>
    </w:p>
    <w:p>
      <w:pPr>
        <w:pStyle w:val="BodyText"/>
        <w:spacing w:line="316" w:lineRule="auto" w:before="13"/>
        <w:ind w:right="1134" w:firstLine="360"/>
        <w:jc w:val="both"/>
      </w:pPr>
      <w:r>
        <w:rPr>
          <w:spacing w:val="-2"/>
        </w:rPr>
        <w:t>公司严格按照董事、监事、高级管理人员薪酬的决策程序与确定依据支付薪酬。报告期末，全体董事、监事和高级管理</w:t>
      </w:r>
      <w:r>
        <w:rPr/>
        <w:t> 人员实际获得的报酬为</w:t>
      </w:r>
      <w:r>
        <w:rPr>
          <w:rFonts w:ascii="Times New Roman" w:hAnsi="Times New Roman" w:cs="Times New Roman" w:eastAsia="Times New Roman" w:hint="default"/>
        </w:rPr>
        <w:t>1,476.02</w:t>
      </w:r>
      <w:r>
        <w:rPr/>
        <w:t>万元。</w:t>
      </w:r>
    </w:p>
    <w:p>
      <w:pPr>
        <w:pStyle w:val="BodyText"/>
        <w:spacing w:line="240" w:lineRule="auto" w:before="40"/>
        <w:ind w:right="967"/>
        <w:jc w:val="left"/>
      </w:pPr>
      <w:r>
        <w:rPr/>
        <w:t>公司报告期内董事、监事和高级管理人员报酬情况</w:t>
      </w:r>
    </w:p>
    <w:p>
      <w:pPr>
        <w:pStyle w:val="BodyText"/>
        <w:spacing w:line="240" w:lineRule="auto" w:before="117"/>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罗瑞发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刘咏平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副董事长、副总 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董事、常务副总 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郑映虹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董事、董事会秘 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118.04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关志超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于海洋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陈君柱</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向吉英</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周海荣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倪传宝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朱卫国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47.06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王明宽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74.64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黄然婷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李朝莉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许岳明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甘云龙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71.73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蔡福春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吴国庆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聂磊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1,476.02</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0"/>
        </w:sectPr>
      </w:pPr>
    </w:p>
    <w:p>
      <w:pPr>
        <w:pStyle w:val="BodyText"/>
        <w:spacing w:line="240" w:lineRule="auto" w:before="49"/>
        <w:ind w:right="-20"/>
        <w:jc w:val="left"/>
      </w:pPr>
      <w:r>
        <w:rPr/>
        <w:t>公司董事、高级管理人员报告期内被授予的股权激励情况</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pict>
          <v:shape style="position:absolute;margin-left:259.130005pt;margin-top:17.711731pt;width:58pt;height:66.4pt;mso-position-horizontal-relative:page;mso-position-vertical-relative:paragraph;z-index:-1531144" type="#_x0000_t202" filled="false" stroked="false">
            <v:textbox inset="0,0,0,0">
              <w:txbxContent>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10"/>
                    <w:rPr>
                      <w:rFonts w:ascii="Microsoft JhengHei" w:hAnsi="Microsoft JhengHei" w:cs="Microsoft JhengHei" w:eastAsia="Microsoft JhengHei" w:hint="default"/>
                      <w:b/>
                      <w:bCs/>
                      <w:sz w:val="20"/>
                      <w:szCs w:val="20"/>
                    </w:rPr>
                  </w:pPr>
                </w:p>
                <w:p>
                  <w:pPr>
                    <w:pStyle w:val="BodyText"/>
                    <w:spacing w:line="240" w:lineRule="auto"/>
                    <w:ind w:left="0" w:right="0"/>
                    <w:jc w:val="left"/>
                  </w:pPr>
                  <w:r>
                    <w:rPr/>
                    <w:t>股）</w:t>
                  </w:r>
                </w:p>
              </w:txbxContent>
            </v:textbox>
            <w10:wrap type="none"/>
          </v:shape>
        </w:pict>
      </w:r>
      <w:r>
        <w:rPr/>
        <w:t>单位：股</w:t>
      </w:r>
    </w:p>
    <w:p>
      <w:pPr>
        <w:spacing w:after="0" w:line="240" w:lineRule="auto"/>
        <w:jc w:val="left"/>
        <w:sectPr>
          <w:type w:val="continuous"/>
          <w:pgSz w:w="11910" w:h="16840"/>
          <w:pgMar w:top="1060" w:bottom="1160" w:left="980" w:right="0"/>
          <w:cols w:num="2" w:equalWidth="0">
            <w:col w:w="4653" w:space="4267"/>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2"/>
        <w:gridCol w:w="868"/>
        <w:gridCol w:w="872"/>
        <w:gridCol w:w="869"/>
        <w:gridCol w:w="869"/>
        <w:gridCol w:w="871"/>
        <w:gridCol w:w="869"/>
        <w:gridCol w:w="872"/>
        <w:gridCol w:w="869"/>
        <w:gridCol w:w="871"/>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2"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68"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7" w:right="67"/>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0" w:right="71"/>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67"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2"/>
                <w:sz w:val="18"/>
                <w:szCs w:val="18"/>
              </w:rPr>
              <w:t>格（元</w:t>
            </w:r>
            <w:r>
              <w:rPr>
                <w:rFonts w:ascii="Times New Roman" w:hAnsi="Times New Roman" w:cs="Times New Roman" w:eastAsia="Times New Roman" w:hint="default"/>
                <w:spacing w:val="-12"/>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45" w:right="43" w:hanging="2"/>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45" w:right="41" w:hanging="2"/>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何宁</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right="86"/>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65.33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21.64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2"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w:t>
            </w:r>
          </w:p>
        </w:tc>
      </w:tr>
      <w:tr>
        <w:trPr>
          <w:trHeight w:val="403" w:hRule="exact"/>
        </w:trPr>
        <w:tc>
          <w:tcPr>
            <w:tcW w:w="1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782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8"/>
          <w:szCs w:val="18"/>
        </w:rPr>
      </w:pPr>
    </w:p>
    <w:p>
      <w:pPr>
        <w:pStyle w:val="Heading2"/>
        <w:spacing w:line="367" w:lineRule="exact"/>
        <w:ind w:right="967"/>
        <w:jc w:val="left"/>
        <w:rPr>
          <w:b w:val="0"/>
          <w:bCs w:val="0"/>
        </w:rPr>
      </w:pPr>
      <w:r>
        <w:rPr/>
        <w:t>五、公司员工情况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967"/>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806</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1,443</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423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910</w:t>
            </w:r>
          </w:p>
        </w:tc>
      </w:tr>
      <w:tr>
        <w:trPr>
          <w:trHeight w:val="397"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本科及本科以上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176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中专及中专以下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910</w:t>
            </w:r>
          </w:p>
        </w:tc>
      </w:tr>
    </w:tbl>
    <w:p>
      <w:pPr>
        <w:spacing w:line="240" w:lineRule="auto" w:before="8"/>
        <w:rPr>
          <w:rFonts w:ascii="Microsoft JhengHei" w:hAnsi="Microsoft JhengHei" w:cs="Microsoft JhengHei" w:eastAsia="Microsoft JhengHei" w:hint="default"/>
          <w:b/>
          <w:bCs/>
          <w:sz w:val="14"/>
          <w:szCs w:val="14"/>
        </w:rPr>
      </w:pPr>
    </w:p>
    <w:p>
      <w:pPr>
        <w:pStyle w:val="Heading4"/>
        <w:spacing w:line="335" w:lineRule="exact"/>
        <w:ind w:right="967"/>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967" w:firstLine="360"/>
        <w:jc w:val="left"/>
      </w:pPr>
      <w:r>
        <w:rPr>
          <w:spacing w:val="-2"/>
        </w:rPr>
        <w:t>公司严格遵守《劳动法》、《劳动合同法》等法律法规，建立了完善的人力资源管理制度和流程，规范用工，切实保护</w:t>
      </w:r>
      <w:r>
        <w:rPr/>
        <w:t> 员工的权益。</w:t>
      </w:r>
    </w:p>
    <w:p>
      <w:pPr>
        <w:pStyle w:val="BodyText"/>
        <w:spacing w:line="316" w:lineRule="auto" w:before="19"/>
        <w:ind w:right="967" w:firstLine="360"/>
        <w:jc w:val="left"/>
      </w:pPr>
      <w:r>
        <w:rPr>
          <w:spacing w:val="-2"/>
        </w:rPr>
        <w:t>公司遵循市场化原则，建立了具备市场竞争力的薪酬激励机制。公司的薪酬体系主要包括基本工资、岗位工资和绩效工</w:t>
      </w:r>
      <w:r>
        <w:rPr/>
        <w:t> </w:t>
      </w:r>
      <w:r>
        <w:rPr>
          <w:spacing w:val="-4"/>
        </w:rPr>
        <w:t>资三大方面，坚持公司与员工共同发展的原则，为员工提供公平和有竞争力的福利待遇，严格遵照劳动法及劳动合同法规定，</w:t>
      </w:r>
      <w:r>
        <w:rPr>
          <w:spacing w:val="-44"/>
        </w:rPr>
        <w:t> </w:t>
      </w:r>
      <w:r>
        <w:rPr>
          <w:spacing w:val="-44"/>
        </w:rPr>
      </w:r>
      <w:r>
        <w:rPr/>
        <w:t>实行对全体员工劳动合同制，公司员工的工资、福利和劳动保护均按照国家和地方政府的有关规定执行。</w:t>
      </w:r>
    </w:p>
    <w:p>
      <w:pPr>
        <w:pStyle w:val="BodyText"/>
        <w:spacing w:line="316" w:lineRule="auto" w:before="19"/>
        <w:ind w:right="967" w:firstLine="360"/>
        <w:jc w:val="left"/>
      </w:pPr>
      <w:r>
        <w:rPr>
          <w:spacing w:val="-2"/>
        </w:rPr>
        <w:t>公司积极探索并不断深化薪酬激励机制，未来将根据市场情况和行业发展趋势，对其进行适时调整，以不断提升公司人</w:t>
      </w:r>
      <w:r>
        <w:rPr/>
        <w:t> 才竞争优势。</w:t>
      </w:r>
    </w:p>
    <w:p>
      <w:pPr>
        <w:spacing w:line="240" w:lineRule="auto" w:before="10"/>
        <w:rPr>
          <w:rFonts w:ascii="宋体" w:hAnsi="宋体" w:cs="宋体" w:eastAsia="宋体" w:hint="default"/>
          <w:sz w:val="17"/>
          <w:szCs w:val="17"/>
        </w:rPr>
      </w:pPr>
    </w:p>
    <w:p>
      <w:pPr>
        <w:pStyle w:val="Heading4"/>
        <w:spacing w:line="240" w:lineRule="auto"/>
        <w:ind w:right="967"/>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967" w:firstLine="360"/>
        <w:jc w:val="left"/>
      </w:pPr>
      <w:r>
        <w:rPr>
          <w:spacing w:val="-4"/>
        </w:rPr>
        <w:t>公司注重员工培养和人才储备，制定了《人才培养手册》，建立了完善的培训体系，以新员工入职培训、企业内部培训、</w:t>
      </w:r>
      <w:r>
        <w:rPr/>
        <w:t> </w:t>
      </w:r>
      <w:r>
        <w:rPr>
          <w:spacing w:val="-2"/>
        </w:rPr>
        <w:t>外部培训、委托培训、内部交流、岗位辅导、外出参观和对外交流、员工自学等多种形式，提升全体员工岗位技能和专业知</w:t>
      </w:r>
      <w:r>
        <w:rPr>
          <w:spacing w:val="-68"/>
        </w:rPr>
        <w:t> </w:t>
      </w:r>
      <w:r>
        <w:rPr>
          <w:spacing w:val="-68"/>
        </w:rPr>
      </w:r>
      <w:r>
        <w:rPr>
          <w:spacing w:val="-4"/>
        </w:rPr>
        <w:t>识。公司每年会结合公司战略、年度工作重点及各层级员工培训需求调研结果拟定年度培训计划，设置不同类别的培训课程，</w:t>
      </w:r>
      <w:r>
        <w:rPr>
          <w:spacing w:val="-44"/>
        </w:rPr>
        <w:t> </w:t>
      </w:r>
      <w:r>
        <w:rPr>
          <w:spacing w:val="-44"/>
        </w:rPr>
      </w:r>
      <w:r>
        <w:rPr/>
        <w:t>以保证公司业务发展对各层级员工发展的需要。</w:t>
      </w:r>
    </w:p>
    <w:p>
      <w:pPr>
        <w:spacing w:line="240" w:lineRule="auto" w:before="9"/>
        <w:rPr>
          <w:rFonts w:ascii="宋体" w:hAnsi="宋体" w:cs="宋体" w:eastAsia="宋体" w:hint="default"/>
          <w:sz w:val="17"/>
          <w:szCs w:val="17"/>
        </w:rPr>
      </w:pPr>
    </w:p>
    <w:p>
      <w:pPr>
        <w:pStyle w:val="Heading4"/>
        <w:spacing w:line="240" w:lineRule="auto"/>
        <w:ind w:right="967"/>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footerReference w:type="default" r:id="rId36"/>
          <w:pgSz w:w="11910" w:h="16840"/>
          <w:pgMar w:footer="979" w:header="877" w:top="1100" w:bottom="1160" w:left="980" w:right="0"/>
          <w:pgNumType w:start="11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456" w:lineRule="exact"/>
        <w:ind w:right="1112"/>
        <w:jc w:val="center"/>
        <w:rPr>
          <w:b w:val="0"/>
          <w:bCs w:val="0"/>
        </w:rPr>
      </w:pPr>
      <w:bookmarkStart w:name="_TOC_250003" w:id="10"/>
      <w:r>
        <w:rPr/>
        <w:t>第十节公司治理</w:t>
      </w:r>
      <w:bookmarkEnd w:id="10"/>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967"/>
        <w:jc w:val="left"/>
        <w:rPr>
          <w:b w:val="0"/>
          <w:bCs w:val="0"/>
        </w:rPr>
      </w:pPr>
      <w:r>
        <w:rPr/>
        <w:t>一、公司治理的基本状况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16" w:lineRule="auto"/>
        <w:ind w:right="1130" w:firstLine="360"/>
        <w:jc w:val="both"/>
      </w:pPr>
      <w:r>
        <w:rPr>
          <w:spacing w:val="-2"/>
        </w:rPr>
        <w:t>报告期内，公司严格按照《公司法》、《证券法》、《上市公司治理准则》、《深圳证券交易所股票上市规则》、《深</w:t>
      </w:r>
      <w:r>
        <w:rPr/>
        <w:t> </w:t>
      </w:r>
      <w:r>
        <w:rPr>
          <w:spacing w:val="-2"/>
        </w:rPr>
        <w:t>圳证券交易所上市公司规范运作指引》等法律法规、规范性文件的要求，不断完善公司治理结构，建立健全内部管理和控制</w:t>
      </w:r>
      <w:r>
        <w:rPr>
          <w:spacing w:val="-64"/>
        </w:rPr>
        <w:t> </w:t>
      </w:r>
      <w:r>
        <w:rPr>
          <w:spacing w:val="-64"/>
        </w:rPr>
      </w:r>
      <w:r>
        <w:rPr>
          <w:spacing w:val="-2"/>
        </w:rPr>
        <w:t>制度，进一步提高公司治理水平。截至报告期末，公司治理的实际状况符合前述有关上市公司治理的法律文件的要求，不存</w:t>
      </w:r>
      <w:r>
        <w:rPr>
          <w:spacing w:val="-64"/>
        </w:rPr>
        <w:t> </w:t>
      </w:r>
      <w:r>
        <w:rPr>
          <w:spacing w:val="-64"/>
        </w:rPr>
      </w:r>
      <w:r>
        <w:rPr/>
        <w:t>在尚未解决的治理问题。</w:t>
      </w:r>
    </w:p>
    <w:p>
      <w:pPr>
        <w:pStyle w:val="Heading5"/>
        <w:spacing w:line="275" w:lineRule="exact"/>
        <w:ind w:right="967"/>
        <w:jc w:val="left"/>
        <w:rPr>
          <w:b w:val="0"/>
          <w:bCs w:val="0"/>
        </w:rPr>
      </w:pPr>
      <w:r>
        <w:rPr>
          <w:rFonts w:ascii="Times New Roman" w:hAnsi="Times New Roman" w:cs="Times New Roman" w:eastAsia="Times New Roman" w:hint="default"/>
        </w:rPr>
        <w:t>1</w:t>
      </w:r>
      <w:r>
        <w:rPr/>
        <w:t>、关于股东与股东大会</w:t>
      </w:r>
      <w:r>
        <w:rPr>
          <w:b w:val="0"/>
          <w:bCs w:val="0"/>
        </w:rPr>
      </w:r>
    </w:p>
    <w:p>
      <w:pPr>
        <w:pStyle w:val="BodyText"/>
        <w:spacing w:line="314" w:lineRule="auto" w:before="56"/>
        <w:ind w:right="1131" w:firstLine="360"/>
        <w:jc w:val="both"/>
      </w:pPr>
      <w:r>
        <w:rPr>
          <w:spacing w:val="-2"/>
        </w:rPr>
        <w:t>报告期内，公司严格按照《上市公司股东大会规则》、《公司章程》和《股东大会议事规则》等的规定和要求召集、召</w:t>
      </w:r>
      <w:r>
        <w:rPr/>
        <w:t> </w:t>
      </w:r>
      <w:r>
        <w:rPr>
          <w:spacing w:val="-2"/>
        </w:rPr>
        <w:t>开股东大会，并聘请律师对股东大会召集、召开程序的合法性、合规性出具法律意见书，确保全体股东特别是中小股东享有</w:t>
      </w:r>
      <w:r>
        <w:rPr>
          <w:spacing w:val="-64"/>
        </w:rPr>
        <w:t> </w:t>
      </w:r>
      <w:r>
        <w:rPr>
          <w:spacing w:val="-64"/>
        </w:rPr>
      </w:r>
      <w:r>
        <w:rPr/>
        <w:t>平等地位，充分行使自己的权利。报告期内召开的</w:t>
      </w:r>
      <w:r>
        <w:rPr>
          <w:rFonts w:ascii="Times New Roman" w:hAnsi="Times New Roman" w:cs="Times New Roman" w:eastAsia="Times New Roman" w:hint="default"/>
        </w:rPr>
        <w:t>5</w:t>
      </w:r>
      <w:r>
        <w:rPr/>
        <w:t>次股东大会均由公司董事会召集、召开，出席股东大会的人员资格及股 </w:t>
      </w:r>
      <w:r>
        <w:rPr>
          <w:spacing w:val="-2"/>
        </w:rPr>
        <w:t>东大会的召开和表决程序合法。根据相关法律法规及《公司章程》的规定应由股东大会表决的事项均按照相应的权限审批后</w:t>
      </w:r>
      <w:r>
        <w:rPr>
          <w:spacing w:val="-66"/>
        </w:rPr>
        <w:t> </w:t>
      </w:r>
      <w:r>
        <w:rPr>
          <w:spacing w:val="-66"/>
        </w:rPr>
      </w:r>
      <w:r>
        <w:rPr/>
        <w:t>提交股东大会审议，不存在越权审批或先实施后审议的情况。</w:t>
      </w:r>
    </w:p>
    <w:p>
      <w:pPr>
        <w:pStyle w:val="Heading5"/>
        <w:spacing w:line="277" w:lineRule="exact"/>
        <w:ind w:right="967"/>
        <w:jc w:val="left"/>
        <w:rPr>
          <w:b w:val="0"/>
          <w:bCs w:val="0"/>
        </w:rPr>
      </w:pPr>
      <w:r>
        <w:rPr>
          <w:rFonts w:ascii="Times New Roman" w:hAnsi="Times New Roman" w:cs="Times New Roman" w:eastAsia="Times New Roman" w:hint="default"/>
        </w:rPr>
        <w:t>2</w:t>
      </w:r>
      <w:r>
        <w:rPr/>
        <w:t>、关于董事和董事会</w:t>
      </w:r>
      <w:r>
        <w:rPr>
          <w:b w:val="0"/>
          <w:bCs w:val="0"/>
        </w:rPr>
      </w:r>
    </w:p>
    <w:p>
      <w:pPr>
        <w:pStyle w:val="BodyText"/>
        <w:spacing w:line="309" w:lineRule="auto" w:before="56"/>
        <w:ind w:right="1034" w:firstLine="360"/>
        <w:jc w:val="left"/>
      </w:pPr>
      <w:r>
        <w:rPr/>
        <w:t>报告期内，公司共召开</w:t>
      </w:r>
      <w:r>
        <w:rPr>
          <w:rFonts w:ascii="Times New Roman" w:hAnsi="Times New Roman" w:cs="Times New Roman" w:eastAsia="Times New Roman" w:hint="default"/>
        </w:rPr>
        <w:t>15</w:t>
      </w:r>
      <w:r>
        <w:rPr/>
        <w:t>次董事会。根据《公司章程》的规定，董事会由</w:t>
      </w:r>
      <w:r>
        <w:rPr>
          <w:rFonts w:ascii="Times New Roman" w:hAnsi="Times New Roman" w:cs="Times New Roman" w:eastAsia="Times New Roman" w:hint="default"/>
        </w:rPr>
        <w:t>9</w:t>
      </w:r>
      <w:r>
        <w:rPr/>
        <w:t>名董事组成，其中独立董事 </w:t>
      </w:r>
      <w:r>
        <w:rPr>
          <w:rFonts w:ascii="Times New Roman" w:hAnsi="Times New Roman" w:cs="Times New Roman" w:eastAsia="Times New Roman" w:hint="default"/>
        </w:rPr>
        <w:t>3</w:t>
      </w:r>
      <w:r>
        <w:rPr>
          <w:rFonts w:ascii="Times New Roman" w:hAnsi="Times New Roman" w:cs="Times New Roman" w:eastAsia="Times New Roman" w:hint="default"/>
          <w:spacing w:val="-23"/>
        </w:rPr>
        <w:t> </w:t>
      </w:r>
      <w:r>
        <w:rPr/>
        <w:t>人。报告期末 </w:t>
      </w:r>
      <w:r>
        <w:rPr>
          <w:spacing w:val="-2"/>
        </w:rPr>
        <w:t>公司共有</w:t>
      </w:r>
      <w:r>
        <w:rPr>
          <w:rFonts w:ascii="Times New Roman" w:hAnsi="Times New Roman" w:cs="Times New Roman" w:eastAsia="Times New Roman" w:hint="default"/>
          <w:spacing w:val="-2"/>
        </w:rPr>
        <w:t>8</w:t>
      </w:r>
      <w:r>
        <w:rPr>
          <w:spacing w:val="-2"/>
        </w:rPr>
        <w:t>名董事（原董事王明宽先生于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月辞去董事职务），其中独立董事</w:t>
      </w:r>
      <w:r>
        <w:rPr>
          <w:rFonts w:ascii="Times New Roman" w:hAnsi="Times New Roman" w:cs="Times New Roman" w:eastAsia="Times New Roman" w:hint="default"/>
          <w:spacing w:val="-2"/>
        </w:rPr>
        <w:t>3</w:t>
      </w:r>
      <w:r>
        <w:rPr>
          <w:spacing w:val="-2"/>
        </w:rPr>
        <w:t>名，超过全体董事的三分之一，董事会</w:t>
      </w:r>
      <w:r>
        <w:rPr>
          <w:spacing w:val="-60"/>
        </w:rPr>
        <w:t> </w:t>
      </w:r>
      <w:r>
        <w:rPr>
          <w:spacing w:val="-60"/>
        </w:rPr>
      </w:r>
      <w:r>
        <w:rPr/>
        <w:t>的人数及人员构成符合法律法规和《公司章程》的要求；董事会下设战略发展及投资审查、薪酬与考核、审计及预算审核、 </w:t>
      </w:r>
      <w:r>
        <w:rPr>
          <w:spacing w:val="-2"/>
        </w:rPr>
        <w:t>提名四个专门委员会，各专门委员会的人员构成均符合有关法律法规的规定；公司全体董事能够按照《深圳证券交易所上市</w:t>
      </w:r>
      <w:r>
        <w:rPr>
          <w:spacing w:val="-63"/>
        </w:rPr>
        <w:t> </w:t>
      </w:r>
      <w:r>
        <w:rPr>
          <w:spacing w:val="-63"/>
        </w:rPr>
      </w:r>
      <w:r>
        <w:rPr/>
        <w:t>公司规范运作指引》、《公司章程》和《董事会议事规则》等的要求开展工作，依法出席董事会和股东大会。</w:t>
      </w:r>
    </w:p>
    <w:p>
      <w:pPr>
        <w:pStyle w:val="Heading5"/>
        <w:spacing w:line="280" w:lineRule="exact"/>
        <w:ind w:right="967"/>
        <w:jc w:val="left"/>
        <w:rPr>
          <w:b w:val="0"/>
          <w:bCs w:val="0"/>
        </w:rPr>
      </w:pPr>
      <w:r>
        <w:rPr>
          <w:rFonts w:ascii="Times New Roman" w:hAnsi="Times New Roman" w:cs="Times New Roman" w:eastAsia="Times New Roman" w:hint="default"/>
        </w:rPr>
        <w:t>3</w:t>
      </w:r>
      <w:r>
        <w:rPr/>
        <w:t>、关于监事与监事会</w:t>
      </w:r>
      <w:r>
        <w:rPr>
          <w:b w:val="0"/>
          <w:bCs w:val="0"/>
        </w:rPr>
      </w:r>
    </w:p>
    <w:p>
      <w:pPr>
        <w:pStyle w:val="BodyText"/>
        <w:spacing w:line="309" w:lineRule="auto" w:before="56"/>
        <w:ind w:right="1130" w:firstLine="432"/>
        <w:jc w:val="both"/>
      </w:pPr>
      <w:r>
        <w:rPr>
          <w:spacing w:val="-2"/>
        </w:rPr>
        <w:t>报告期内，公司共召开</w:t>
      </w:r>
      <w:r>
        <w:rPr>
          <w:rFonts w:ascii="Times New Roman" w:hAnsi="Times New Roman" w:cs="Times New Roman" w:eastAsia="Times New Roman" w:hint="default"/>
          <w:spacing w:val="-2"/>
        </w:rPr>
        <w:t>8</w:t>
      </w:r>
      <w:r>
        <w:rPr>
          <w:spacing w:val="-2"/>
        </w:rPr>
        <w:t>次监事会。公司监事会目前由</w:t>
      </w:r>
      <w:r>
        <w:rPr>
          <w:rFonts w:ascii="Times New Roman" w:hAnsi="Times New Roman" w:cs="Times New Roman" w:eastAsia="Times New Roman" w:hint="default"/>
          <w:spacing w:val="-2"/>
        </w:rPr>
        <w:t>3</w:t>
      </w:r>
      <w:r>
        <w:rPr>
          <w:spacing w:val="-2"/>
        </w:rPr>
        <w:t>名监事组成，其中职工代表监事</w:t>
      </w:r>
      <w:r>
        <w:rPr>
          <w:rFonts w:ascii="Times New Roman" w:hAnsi="Times New Roman" w:cs="Times New Roman" w:eastAsia="Times New Roman" w:hint="default"/>
          <w:spacing w:val="-2"/>
        </w:rPr>
        <w:t>1</w:t>
      </w:r>
      <w:r>
        <w:rPr>
          <w:spacing w:val="-2"/>
        </w:rPr>
        <w:t>名，监事会的人数及构成符合</w:t>
      </w:r>
      <w:r>
        <w:rPr/>
        <w:t> </w:t>
      </w:r>
      <w:r>
        <w:rPr>
          <w:spacing w:val="-2"/>
        </w:rPr>
        <w:t>法律法规和《公司章程》的要求。公司全体监事能够按照《公司章程》和《监事会议事规则》等的要求，认真履行自己的职</w:t>
      </w:r>
      <w:r>
        <w:rPr>
          <w:spacing w:val="-65"/>
        </w:rPr>
        <w:t> </w:t>
      </w:r>
      <w:r>
        <w:rPr>
          <w:spacing w:val="-65"/>
        </w:rPr>
      </w:r>
      <w:r>
        <w:rPr/>
        <w:t>责，对公司重大事项、关联交易、财务状况、董事和高管的履职情况等进行有效监督并发表意见。</w:t>
      </w:r>
    </w:p>
    <w:p>
      <w:pPr>
        <w:pStyle w:val="Heading5"/>
        <w:spacing w:line="280" w:lineRule="exact"/>
        <w:ind w:right="967"/>
        <w:jc w:val="left"/>
        <w:rPr>
          <w:b w:val="0"/>
          <w:bCs w:val="0"/>
        </w:rPr>
      </w:pPr>
      <w:r>
        <w:rPr>
          <w:rFonts w:ascii="Times New Roman" w:hAnsi="Times New Roman" w:cs="Times New Roman" w:eastAsia="Times New Roman" w:hint="default"/>
        </w:rPr>
        <w:t>4</w:t>
      </w:r>
      <w:r>
        <w:rPr/>
        <w:t>、关于绩效评价和激励约束机制</w:t>
      </w:r>
      <w:r>
        <w:rPr>
          <w:b w:val="0"/>
          <w:bCs w:val="0"/>
        </w:rPr>
      </w:r>
    </w:p>
    <w:p>
      <w:pPr>
        <w:pStyle w:val="BodyText"/>
        <w:spacing w:line="316" w:lineRule="auto" w:before="56"/>
        <w:ind w:right="1142" w:firstLine="432"/>
        <w:jc w:val="left"/>
      </w:pPr>
      <w:r>
        <w:rPr/>
        <w:t>公司已建立和完善了公正、透明的高级管理人员的绩效评价标准和激励约束机制，公司高级管理人员的聘任公开、透 明，符合法律法规的规定。</w:t>
      </w:r>
    </w:p>
    <w:p>
      <w:pPr>
        <w:pStyle w:val="Heading5"/>
        <w:spacing w:line="275" w:lineRule="exact"/>
        <w:ind w:right="967"/>
        <w:jc w:val="left"/>
        <w:rPr>
          <w:b w:val="0"/>
          <w:bCs w:val="0"/>
        </w:rPr>
      </w:pPr>
      <w:r>
        <w:rPr>
          <w:rFonts w:ascii="Times New Roman" w:hAnsi="Times New Roman" w:cs="Times New Roman" w:eastAsia="Times New Roman" w:hint="default"/>
        </w:rPr>
        <w:t>5</w:t>
      </w:r>
      <w:r>
        <w:rPr/>
        <w:t>、关于相关利益者</w:t>
      </w:r>
      <w:r>
        <w:rPr>
          <w:b w:val="0"/>
          <w:bCs w:val="0"/>
        </w:rPr>
      </w:r>
    </w:p>
    <w:p>
      <w:pPr>
        <w:pStyle w:val="BodyText"/>
        <w:spacing w:line="319" w:lineRule="auto" w:before="56"/>
        <w:ind w:right="1142" w:firstLine="432"/>
        <w:jc w:val="left"/>
      </w:pPr>
      <w:r>
        <w:rPr/>
        <w:t>公司充分尊重和维护包括员工、债权人和客户在内的所有相关利益者的合法权益，积极与相关利益者合作，加强沟通 和交流，实现股东、员工、社会各方利益的均衡，共同推动公司持续、稳定、健康地发展。</w:t>
      </w:r>
    </w:p>
    <w:p>
      <w:pPr>
        <w:pStyle w:val="Heading5"/>
        <w:spacing w:line="273" w:lineRule="exact"/>
        <w:ind w:right="967"/>
        <w:jc w:val="left"/>
        <w:rPr>
          <w:b w:val="0"/>
          <w:bCs w:val="0"/>
        </w:rPr>
      </w:pPr>
      <w:r>
        <w:rPr>
          <w:rFonts w:ascii="Times New Roman" w:hAnsi="Times New Roman" w:cs="Times New Roman" w:eastAsia="Times New Roman" w:hint="default"/>
        </w:rPr>
        <w:t>6</w:t>
      </w:r>
      <w:r>
        <w:rPr/>
        <w:t>、关于信息披露与透明度</w:t>
      </w:r>
      <w:r>
        <w:rPr>
          <w:b w:val="0"/>
          <w:bCs w:val="0"/>
        </w:rPr>
      </w:r>
    </w:p>
    <w:p>
      <w:pPr>
        <w:pStyle w:val="BodyText"/>
        <w:spacing w:line="316" w:lineRule="auto" w:before="56"/>
        <w:ind w:right="1134" w:firstLine="432"/>
        <w:jc w:val="both"/>
      </w:pPr>
      <w:r>
        <w:rPr/>
        <w:t>公司严格按照有关法律法规的规定和公司《信息披露管理制度》的要求，加强信息披露事务管理，强化重大事项的内 </w:t>
      </w:r>
      <w:r>
        <w:rPr>
          <w:spacing w:val="-2"/>
        </w:rPr>
        <w:t>部报告，履行信息披露义务，并指定《证券时报》、《证券日报》、《中国证券报》、《上海证券报》和巨潮资讯网为公司</w:t>
      </w:r>
      <w:r>
        <w:rPr>
          <w:spacing w:val="-72"/>
        </w:rPr>
        <w:t> </w:t>
      </w:r>
      <w:r>
        <w:rPr>
          <w:spacing w:val="-72"/>
        </w:rPr>
      </w:r>
      <w:r>
        <w:rPr/>
        <w:t>信息披露的报纸和网站，真实、准确、及时、完整地披露信息，确保所有投资者公平获取公司信息。</w:t>
      </w:r>
    </w:p>
    <w:p>
      <w:pPr>
        <w:pStyle w:val="Heading5"/>
        <w:spacing w:line="275" w:lineRule="exact"/>
        <w:ind w:right="967"/>
        <w:jc w:val="left"/>
        <w:rPr>
          <w:b w:val="0"/>
          <w:bCs w:val="0"/>
        </w:rPr>
      </w:pPr>
      <w:r>
        <w:rPr>
          <w:rFonts w:ascii="Times New Roman" w:hAnsi="Times New Roman" w:cs="Times New Roman" w:eastAsia="Times New Roman" w:hint="default"/>
        </w:rPr>
        <w:t>7</w:t>
      </w:r>
      <w:r>
        <w:rPr/>
        <w:t>、关于投资者关系管理工作</w:t>
      </w:r>
      <w:r>
        <w:rPr>
          <w:b w:val="0"/>
          <w:bCs w:val="0"/>
        </w:rPr>
      </w:r>
    </w:p>
    <w:p>
      <w:pPr>
        <w:pStyle w:val="BodyText"/>
        <w:spacing w:line="240" w:lineRule="auto" w:before="56"/>
        <w:ind w:left="585" w:right="967"/>
        <w:jc w:val="left"/>
      </w:pPr>
      <w:r>
        <w:rPr/>
        <w:t>（</w:t>
      </w:r>
      <w:r>
        <w:rPr>
          <w:rFonts w:ascii="Times New Roman" w:hAnsi="Times New Roman" w:cs="Times New Roman" w:eastAsia="Times New Roman" w:hint="default"/>
        </w:rPr>
        <w:t>1</w:t>
      </w:r>
      <w:r>
        <w:rPr/>
        <w:t>）公司指定董事会秘书作为投资者关系管理负责人，安排专人作好投资者来访接待工作；</w:t>
      </w:r>
    </w:p>
    <w:p>
      <w:pPr>
        <w:pStyle w:val="BodyText"/>
        <w:spacing w:line="300" w:lineRule="auto" w:before="63"/>
        <w:ind w:right="967" w:firstLine="432"/>
        <w:jc w:val="left"/>
      </w:pPr>
      <w:r>
        <w:rPr>
          <w:spacing w:val="-2"/>
        </w:rPr>
        <w:t>（</w:t>
      </w:r>
      <w:r>
        <w:rPr>
          <w:rFonts w:ascii="Times New Roman" w:hAnsi="Times New Roman" w:cs="Times New Roman" w:eastAsia="Times New Roman" w:hint="default"/>
          <w:spacing w:val="-2"/>
        </w:rPr>
        <w:t>2</w:t>
      </w:r>
      <w:r>
        <w:rPr>
          <w:spacing w:val="-2"/>
        </w:rPr>
        <w:t>）通过股东大会、投资者关系管理电话、电子信箱、传真、巨潮资讯网站、投资者关系互动平台等多种渠道与投资</w:t>
      </w:r>
      <w:r>
        <w:rPr/>
        <w:t> 者加强沟通，并尽可能解答投资者的疑问；</w:t>
      </w:r>
    </w:p>
    <w:p>
      <w:pPr>
        <w:pStyle w:val="BodyText"/>
        <w:spacing w:line="300" w:lineRule="auto" w:before="31"/>
        <w:ind w:right="1124" w:firstLine="360"/>
        <w:jc w:val="left"/>
      </w:pPr>
      <w:r>
        <w:rPr/>
        <w:t>（</w:t>
      </w:r>
      <w:r>
        <w:rPr>
          <w:rFonts w:ascii="Times New Roman" w:hAnsi="Times New Roman" w:cs="Times New Roman" w:eastAsia="Times New Roman" w:hint="default"/>
        </w:rPr>
        <w:t>3</w:t>
      </w:r>
      <w:r>
        <w:rPr/>
        <w:t>）公司在接待特定对象调研前要求来访的特定对象签署承诺书，安排专人做好投资者来访接待工作，确保信息披露 的公平性。</w:t>
      </w:r>
    </w:p>
    <w:p>
      <w:pPr>
        <w:spacing w:after="0" w:line="30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967"/>
        <w:jc w:val="left"/>
      </w:pPr>
      <w:r>
        <w:rPr/>
        <w:t>公司治理的实际状况与中国证监会发布的有关上市公司治理的规范性文件是否存在重大差异</w:t>
      </w:r>
    </w:p>
    <w:p>
      <w:pPr>
        <w:pStyle w:val="BodyText"/>
        <w:spacing w:line="338" w:lineRule="auto" w:before="117"/>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10"/>
        <w:rPr>
          <w:rFonts w:ascii="宋体" w:hAnsi="宋体" w:cs="宋体" w:eastAsia="宋体" w:hint="default"/>
          <w:sz w:val="13"/>
          <w:szCs w:val="13"/>
        </w:rPr>
      </w:pPr>
    </w:p>
    <w:p>
      <w:pPr>
        <w:pStyle w:val="Heading2"/>
        <w:spacing w:line="240" w:lineRule="auto"/>
        <w:ind w:right="967"/>
        <w:jc w:val="left"/>
        <w:rPr>
          <w:b w:val="0"/>
          <w:bCs w:val="0"/>
        </w:rPr>
      </w:pPr>
      <w:r>
        <w:rPr/>
        <w:t>二、公司相对于控股股东在业务、人员、资产、机构、财务等方面的独立情况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16" w:lineRule="auto"/>
        <w:ind w:right="967" w:firstLine="360"/>
        <w:jc w:val="left"/>
      </w:pPr>
      <w:r>
        <w:rPr>
          <w:spacing w:val="-4"/>
        </w:rPr>
        <w:t>公司自成立以来，严格按照《公司法》、《证券法》等有关法律、法规和《公司章程》的要求规范运作，在资产、人员、</w:t>
      </w:r>
      <w:r>
        <w:rPr/>
        <w:t> </w:t>
      </w:r>
      <w:r>
        <w:rPr>
          <w:spacing w:val="-2"/>
        </w:rPr>
        <w:t>财务、机构和业务等方面与第一大股东、实际控制人及其控制的其他企业完全分开，具有完整的业务体系及面向市场独立经</w:t>
      </w:r>
      <w:r>
        <w:rPr>
          <w:spacing w:val="-63"/>
        </w:rPr>
        <w:t> </w:t>
      </w:r>
      <w:r>
        <w:rPr>
          <w:spacing w:val="-63"/>
        </w:rPr>
      </w:r>
      <w:r>
        <w:rPr/>
        <w:t>营的能力。</w:t>
      </w:r>
    </w:p>
    <w:p>
      <w:pPr>
        <w:pStyle w:val="BodyText"/>
        <w:spacing w:line="300" w:lineRule="auto" w:before="19"/>
        <w:ind w:left="513" w:right="967"/>
        <w:jc w:val="left"/>
      </w:pPr>
      <w:r>
        <w:rPr>
          <w:rFonts w:ascii="Times New Roman" w:hAnsi="Times New Roman" w:cs="Times New Roman" w:eastAsia="Times New Roman" w:hint="default"/>
        </w:rPr>
        <w:t>1</w:t>
      </w:r>
      <w:r>
        <w:rPr/>
        <w:t>、资产独立情况 </w:t>
      </w:r>
      <w:r>
        <w:rPr>
          <w:spacing w:val="-2"/>
        </w:rPr>
        <w:t>公司拥有完整的产品生产的工艺流程、完整的生产经营性资产、相关生产技术和配套设施、独立完整的采购和销售系统</w:t>
      </w:r>
    </w:p>
    <w:p>
      <w:pPr>
        <w:pStyle w:val="BodyText"/>
        <w:spacing w:line="316" w:lineRule="auto" w:before="32"/>
        <w:ind w:right="1130"/>
        <w:jc w:val="both"/>
      </w:pPr>
      <w:r>
        <w:rPr>
          <w:spacing w:val="-2"/>
        </w:rPr>
        <w:t>等，合法拥有与生产经营有关的土地、厂房、机器设备以及商标、专利等资产的所有权或使用权。公司与股东之间的资产产</w:t>
      </w:r>
      <w:r>
        <w:rPr>
          <w:spacing w:val="-67"/>
        </w:rPr>
        <w:t> </w:t>
      </w:r>
      <w:r>
        <w:rPr>
          <w:spacing w:val="-67"/>
        </w:rPr>
      </w:r>
      <w:r>
        <w:rPr>
          <w:spacing w:val="-2"/>
        </w:rPr>
        <w:t>权界定清晰，生产经营场所独立，不存在依靠股东的生产经营场所进行生产经营的情况。公司不存在以公司资产、信用为第</w:t>
      </w:r>
      <w:r>
        <w:rPr>
          <w:spacing w:val="-65"/>
        </w:rPr>
        <w:t> </w:t>
      </w:r>
      <w:r>
        <w:rPr>
          <w:spacing w:val="-65"/>
        </w:rPr>
      </w:r>
      <w:r>
        <w:rPr>
          <w:spacing w:val="-2"/>
        </w:rPr>
        <w:t>一大股东、实际控制人及其控制的其他企业进行违规担保的情形，不存在资金被第一大股东、实际控制人及其控制的其他企</w:t>
      </w:r>
      <w:r>
        <w:rPr>
          <w:spacing w:val="-63"/>
        </w:rPr>
        <w:t> </w:t>
      </w:r>
      <w:r>
        <w:rPr>
          <w:spacing w:val="-63"/>
        </w:rPr>
      </w:r>
      <w:r>
        <w:rPr/>
        <w:t>业以借款、代偿债务、代垫款项或者其他方式占用的情形。</w:t>
      </w:r>
    </w:p>
    <w:p>
      <w:pPr>
        <w:pStyle w:val="BodyText"/>
        <w:spacing w:line="300" w:lineRule="auto" w:before="19"/>
        <w:ind w:left="513" w:right="967"/>
        <w:jc w:val="left"/>
      </w:pPr>
      <w:r>
        <w:rPr>
          <w:rFonts w:ascii="Times New Roman" w:hAnsi="Times New Roman" w:cs="Times New Roman" w:eastAsia="Times New Roman" w:hint="default"/>
        </w:rPr>
        <w:t>2</w:t>
      </w:r>
      <w:r>
        <w:rPr/>
        <w:t>、人员独立情况 </w:t>
      </w:r>
      <w:r>
        <w:rPr>
          <w:spacing w:val="-2"/>
        </w:rPr>
        <w:t>公司拥有独立、完整的人事管理体系，拥有生产经营所需的研发技术人员、管理人员及相应的生产技术人员和销售人员</w:t>
      </w:r>
    </w:p>
    <w:p>
      <w:pPr>
        <w:pStyle w:val="BodyText"/>
        <w:spacing w:line="316" w:lineRule="auto" w:before="31"/>
        <w:ind w:right="967"/>
        <w:jc w:val="left"/>
      </w:pPr>
      <w:r>
        <w:rPr>
          <w:spacing w:val="-2"/>
        </w:rPr>
        <w:t>等，员工均与公司签订了劳动聘用合同，工资发放、福利支出与股东及其关联人严格分离。公司建立了独立的人事档案、人</w:t>
      </w:r>
      <w:r>
        <w:rPr>
          <w:spacing w:val="-67"/>
        </w:rPr>
        <w:t> </w:t>
      </w:r>
      <w:r>
        <w:rPr>
          <w:spacing w:val="-67"/>
        </w:rPr>
      </w:r>
      <w:r>
        <w:rPr/>
        <w:t>事聘用和任免制度、考核和奖惩制度，拥有独立的薪酬管理、福利与社会保障体系。</w:t>
      </w:r>
    </w:p>
    <w:p>
      <w:pPr>
        <w:pStyle w:val="BodyText"/>
        <w:spacing w:line="319" w:lineRule="auto" w:before="19"/>
        <w:ind w:right="967" w:firstLine="360"/>
        <w:jc w:val="left"/>
      </w:pPr>
      <w:r>
        <w:rPr>
          <w:spacing w:val="-2"/>
        </w:rPr>
        <w:t>公司的董事、监事及高级管理人员的选举和聘任均严格按照《公司法》和《公司章程》的有关规定执行，不存在受其他</w:t>
      </w:r>
      <w:r>
        <w:rPr/>
        <w:t> </w:t>
      </w:r>
      <w:r>
        <w:rPr>
          <w:spacing w:val="-2"/>
        </w:rPr>
        <w:t>机构或个人干预的情形。公司总经理、副总经理、财务总监、董事会秘书等高级管理人员均专职在公司工作并领取薪酬，没</w:t>
      </w:r>
      <w:r>
        <w:rPr>
          <w:spacing w:val="-67"/>
        </w:rPr>
        <w:t> </w:t>
      </w:r>
      <w:r>
        <w:rPr>
          <w:spacing w:val="-67"/>
        </w:rPr>
      </w:r>
      <w:r>
        <w:rPr>
          <w:spacing w:val="-4"/>
        </w:rPr>
        <w:t>有在控股股东担任除董事、监事以外的任何职务，亦没有在与公司业务相同或相近的其他企业任职的情况。公司董事、监事、</w:t>
      </w:r>
      <w:r>
        <w:rPr>
          <w:spacing w:val="-47"/>
        </w:rPr>
        <w:t> </w:t>
      </w:r>
      <w:r>
        <w:rPr>
          <w:spacing w:val="-47"/>
        </w:rPr>
      </w:r>
      <w:r>
        <w:rPr/>
        <w:t>高级管理人员及其父母、配偶、子女、兄弟姐妹、兄弟姐妹的配偶等均未从事与公司利益相冲突的工作。</w:t>
      </w:r>
    </w:p>
    <w:p>
      <w:pPr>
        <w:pStyle w:val="BodyText"/>
        <w:spacing w:line="300" w:lineRule="auto" w:before="17"/>
        <w:ind w:left="513" w:right="967"/>
        <w:jc w:val="left"/>
      </w:pPr>
      <w:r>
        <w:rPr>
          <w:rFonts w:ascii="Times New Roman" w:hAnsi="Times New Roman" w:cs="Times New Roman" w:eastAsia="Times New Roman" w:hint="default"/>
        </w:rPr>
        <w:t>3</w:t>
      </w:r>
      <w:r>
        <w:rPr/>
        <w:t>、财务独立情况 </w:t>
      </w:r>
      <w:r>
        <w:rPr>
          <w:spacing w:val="-4"/>
        </w:rPr>
        <w:t>公司已按照《企业会计准则》的要求建立了一套独立、完整、规范的财务会计核算体系和财务管理制度，实施严格管理。</w:t>
      </w:r>
    </w:p>
    <w:p>
      <w:pPr>
        <w:pStyle w:val="BodyText"/>
        <w:spacing w:line="316" w:lineRule="auto" w:before="31"/>
        <w:ind w:right="1034"/>
        <w:jc w:val="left"/>
      </w:pPr>
      <w:r>
        <w:rPr>
          <w:spacing w:val="-2"/>
        </w:rPr>
        <w:t>公司设立了独立的财务部门，配备了专职财务人员；公司在银行拥有独立的银行账户，不存在与第一大股东、实际控制人及</w:t>
      </w:r>
      <w:r>
        <w:rPr>
          <w:spacing w:val="-65"/>
        </w:rPr>
        <w:t> </w:t>
      </w:r>
      <w:r>
        <w:rPr>
          <w:spacing w:val="-65"/>
        </w:rPr>
      </w:r>
      <w:r>
        <w:rPr>
          <w:spacing w:val="-2"/>
        </w:rPr>
        <w:t>其控制的其他企业共用银行账户的情形，亦不存在货币资金或其他资产被第一大股东、实际控制人或其他关联方以任何名义</w:t>
      </w:r>
      <w:r>
        <w:rPr>
          <w:spacing w:val="-62"/>
        </w:rPr>
        <w:t> </w:t>
      </w:r>
      <w:r>
        <w:rPr>
          <w:spacing w:val="-62"/>
        </w:rPr>
      </w:r>
      <w:r>
        <w:rPr>
          <w:spacing w:val="-2"/>
        </w:rPr>
        <w:t>占用的情况，也不存在为第一大股东及其关联方提供担保的情况；公司办理了独立的税务登记证并独立申报纳税，不存在与</w:t>
      </w:r>
      <w:r>
        <w:rPr>
          <w:spacing w:val="-63"/>
        </w:rPr>
        <w:t> </w:t>
      </w:r>
      <w:r>
        <w:rPr>
          <w:spacing w:val="-63"/>
        </w:rPr>
      </w:r>
      <w:r>
        <w:rPr/>
        <w:t>股东单位混合纳税的情形；公司依据《公司章程》及自身情况做出财务决策，完全自主决定资金使用，不存在第一大股东、 实际控制人干预公司资金使用的情况。</w:t>
      </w:r>
    </w:p>
    <w:p>
      <w:pPr>
        <w:pStyle w:val="BodyText"/>
        <w:spacing w:line="300" w:lineRule="auto" w:before="19"/>
        <w:ind w:left="513" w:right="967"/>
        <w:jc w:val="left"/>
      </w:pPr>
      <w:r>
        <w:rPr>
          <w:rFonts w:ascii="Times New Roman" w:hAnsi="Times New Roman" w:cs="Times New Roman" w:eastAsia="Times New Roman" w:hint="default"/>
        </w:rPr>
        <w:t>4</w:t>
      </w:r>
      <w:r>
        <w:rPr/>
        <w:t>、机构独立情况 </w:t>
      </w:r>
      <w:r>
        <w:rPr>
          <w:spacing w:val="-2"/>
        </w:rPr>
        <w:t>公司按照《公司法》、《公司章程》的规定，设立了股东大会、董事会、监事会等议事、决策、监督机构，聘任了高级</w:t>
      </w:r>
    </w:p>
    <w:p>
      <w:pPr>
        <w:pStyle w:val="BodyText"/>
        <w:spacing w:line="316" w:lineRule="auto" w:before="32"/>
        <w:ind w:right="967"/>
        <w:jc w:val="left"/>
      </w:pPr>
      <w:r>
        <w:rPr>
          <w:spacing w:val="-2"/>
        </w:rPr>
        <w:t>管理人员，并制定了相适应的股东大会、董事会、监事会议事规则，以及独立董事、董事会各专门委员会和总经理工作细则</w:t>
      </w:r>
      <w:r>
        <w:rPr>
          <w:spacing w:val="-67"/>
        </w:rPr>
        <w:t> </w:t>
      </w:r>
      <w:r>
        <w:rPr>
          <w:spacing w:val="-67"/>
        </w:rPr>
      </w:r>
      <w:r>
        <w:rPr/>
        <w:t>等。</w:t>
      </w:r>
    </w:p>
    <w:p>
      <w:pPr>
        <w:pStyle w:val="BodyText"/>
        <w:spacing w:line="316" w:lineRule="auto" w:before="19"/>
        <w:ind w:right="1130" w:firstLine="360"/>
        <w:jc w:val="both"/>
      </w:pPr>
      <w:r>
        <w:rPr>
          <w:spacing w:val="-2"/>
        </w:rPr>
        <w:t>根据业务经营需要，公司设置了包括营销与服务体系、研发体系、供应链体系、管理支持体系、质量中心在内的职能部</w:t>
      </w:r>
      <w:r>
        <w:rPr/>
        <w:t> </w:t>
      </w:r>
      <w:r>
        <w:rPr>
          <w:spacing w:val="-2"/>
        </w:rPr>
        <w:t>门，建立健全了公司内部各部门的规章制度。公司内部经营管理机构与第一大股东、实际控制人及其控制的其他企业完全分</w:t>
      </w:r>
      <w:r>
        <w:rPr>
          <w:spacing w:val="-63"/>
        </w:rPr>
        <w:t> </w:t>
      </w:r>
      <w:r>
        <w:rPr>
          <w:spacing w:val="-63"/>
        </w:rPr>
      </w:r>
      <w:r>
        <w:rPr>
          <w:spacing w:val="-2"/>
        </w:rPr>
        <w:t>开，独立行使经营管理职权，不存在与第一大股东、实际控制人及其控制的其他企业共用管理机构、混合经营、合署办公等</w:t>
      </w:r>
      <w:r>
        <w:rPr>
          <w:spacing w:val="-67"/>
        </w:rPr>
        <w:t> </w:t>
      </w:r>
      <w:r>
        <w:rPr>
          <w:spacing w:val="-67"/>
        </w:rPr>
      </w:r>
      <w:r>
        <w:rPr/>
        <w:t>机构混同的情形，亦不存在股东单位直接干预公司生产经营活动的情况。</w:t>
      </w:r>
    </w:p>
    <w:p>
      <w:pPr>
        <w:pStyle w:val="BodyText"/>
        <w:spacing w:line="300" w:lineRule="auto" w:before="19"/>
        <w:ind w:left="513" w:right="967"/>
        <w:jc w:val="left"/>
      </w:pPr>
      <w:r>
        <w:rPr>
          <w:rFonts w:ascii="Times New Roman" w:hAnsi="Times New Roman" w:cs="Times New Roman" w:eastAsia="Times New Roman" w:hint="default"/>
        </w:rPr>
        <w:t>5</w:t>
      </w:r>
      <w:r>
        <w:rPr/>
        <w:t>、业务独立情况 </w:t>
      </w:r>
      <w:r>
        <w:rPr>
          <w:spacing w:val="-2"/>
        </w:rPr>
        <w:t>目前公司已具有独立完整的研发、采购、生产、销售体系，具有面向市场自主经营业务的能力，主营业务收入和主营业</w:t>
      </w:r>
    </w:p>
    <w:p>
      <w:pPr>
        <w:pStyle w:val="BodyText"/>
        <w:spacing w:line="319" w:lineRule="auto" w:before="31"/>
        <w:ind w:left="513" w:right="967" w:hanging="361"/>
        <w:jc w:val="left"/>
      </w:pPr>
      <w:r>
        <w:rPr/>
        <w:t>务利润不存在依赖于股东及其他关联方的关联交易的情况，同时也不存在受制于股东及其他关联方的情况。 公司在业务上与第一大股东、实际控制人及其控制的其他公司之间不存在同业竞争及显失公允的关联交易。 </w:t>
      </w:r>
      <w:r>
        <w:rPr>
          <w:spacing w:val="-2"/>
        </w:rPr>
        <w:t>综上所述，公司目前已建立了独立完整的研发、采购、生产和销售系统，在资产、人员、财务、机构和业务等方面与第</w:t>
      </w:r>
    </w:p>
    <w:p>
      <w:pPr>
        <w:pStyle w:val="BodyText"/>
        <w:spacing w:line="240" w:lineRule="auto" w:before="17"/>
        <w:ind w:right="967"/>
        <w:jc w:val="left"/>
      </w:pPr>
      <w:r>
        <w:rPr/>
        <w:t>一大股东、实际控制人及其控制的其他企业完全分开，实现了独立运作，具有独立完整的业务体系及面向市场自主开发独立</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967"/>
        <w:jc w:val="left"/>
      </w:pPr>
      <w:r>
        <w:rPr/>
        <w:t>经营的能力。</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2"/>
        <w:spacing w:line="240" w:lineRule="auto"/>
        <w:ind w:right="967"/>
        <w:jc w:val="left"/>
        <w:rPr>
          <w:b w:val="0"/>
          <w:bCs w:val="0"/>
        </w:rPr>
      </w:pPr>
      <w:r>
        <w:rPr/>
        <w:t>三、同业竞争情况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967"/>
        <w:jc w:val="left"/>
        <w:rPr>
          <w:b w:val="0"/>
          <w:bCs w:val="0"/>
        </w:rPr>
      </w:pPr>
      <w:r>
        <w:rPr/>
        <w:t>四、报告期内召开的年度股东大会和临时股东大会的有关情况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967"/>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29"/>
          <w:szCs w:val="29"/>
        </w:rPr>
      </w:pPr>
    </w:p>
    <w:p>
      <w:pPr>
        <w:pStyle w:val="BodyText"/>
        <w:spacing w:line="240" w:lineRule="auto" w:before="44"/>
        <w:ind w:left="0" w:right="1148"/>
        <w:jc w:val="right"/>
      </w:pPr>
      <w:r>
        <w:rPr/>
        <w:pict>
          <v:shape style="position:absolute;margin-left:56.400002pt;margin-top:-165.628265pt;width:479.15pt;height:511.15pt;mso-position-horizontal-relative:page;mso-position-vertical-relative:paragraph;z-index:26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5"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tc>
                  </w:tr>
                  <w:tr>
                    <w:trPr>
                      <w:trHeight w:val="619"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51.10%</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.com.cn)</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年第</w:t>
                        </w:r>
                        <w:r>
                          <w:rPr>
                            <w:rFonts w:ascii="宋体" w:hAnsi="宋体" w:cs="宋体" w:eastAsia="宋体" w:hint="default"/>
                            <w:spacing w:val="-87"/>
                            <w:sz w:val="18"/>
                            <w:szCs w:val="18"/>
                          </w:rPr>
                          <w:t> </w:t>
                        </w:r>
                        <w:r>
                          <w:rPr>
                            <w:rFonts w:ascii="宋体" w:hAnsi="宋体" w:cs="宋体" w:eastAsia="宋体" w:hint="default"/>
                            <w:sz w:val="18"/>
                            <w:szCs w:val="18"/>
                          </w:rPr>
                          <w:t>一次临时股东大会</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决议公告</w:t>
                        </w:r>
                        <w:r>
                          <w:rPr>
                            <w:rFonts w:ascii="宋体" w:hAnsi="宋体" w:cs="宋体" w:eastAsia="宋体" w:hint="default"/>
                            <w:spacing w:val="-92"/>
                            <w:sz w:val="18"/>
                            <w:szCs w:val="18"/>
                          </w:rPr>
                          <w:t>》</w:t>
                        </w:r>
                        <w:r>
                          <w:rPr>
                            <w:rFonts w:ascii="宋体" w:hAnsi="宋体" w:cs="宋体" w:eastAsia="宋体" w:hint="default"/>
                            <w:sz w:val="18"/>
                            <w:szCs w:val="18"/>
                          </w:rPr>
                          <w:t>（公告编</w:t>
                        </w:r>
                      </w:p>
                    </w:tc>
                  </w:tr>
                  <w:tr>
                    <w:trPr>
                      <w:trHeight w:val="360"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2019-005</w:t>
                        </w:r>
                        <w:r>
                          <w:rPr>
                            <w:rFonts w:ascii="宋体" w:hAnsi="宋体" w:cs="宋体" w:eastAsia="宋体" w:hint="default"/>
                            <w:sz w:val="18"/>
                            <w:szCs w:val="18"/>
                          </w:rPr>
                          <w:t>）</w:t>
                        </w:r>
                      </w:p>
                    </w:tc>
                  </w:tr>
                  <w:tr>
                    <w:trPr>
                      <w:trHeight w:val="354"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16"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tc>
                  </w:tr>
                  <w:tr>
                    <w:trPr>
                      <w:trHeight w:val="619"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53.30%</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.com.cn)</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w:t>
                        </w:r>
                        <w:r>
                          <w:rPr>
                            <w:rFonts w:ascii="宋体" w:hAnsi="宋体" w:cs="宋体" w:eastAsia="宋体" w:hint="default"/>
                            <w:spacing w:val="-87"/>
                            <w:sz w:val="18"/>
                            <w:szCs w:val="18"/>
                          </w:rPr>
                          <w:t> </w:t>
                        </w:r>
                        <w:r>
                          <w:rPr>
                            <w:rFonts w:ascii="宋体" w:hAnsi="宋体" w:cs="宋体" w:eastAsia="宋体" w:hint="default"/>
                            <w:sz w:val="18"/>
                            <w:szCs w:val="18"/>
                          </w:rPr>
                          <w:t>股东大会决议公告</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（公告编号：</w:t>
                        </w:r>
                      </w:p>
                    </w:tc>
                  </w:tr>
                  <w:tr>
                    <w:trPr>
                      <w:trHeight w:val="360"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2019-036</w:t>
                        </w:r>
                        <w:r>
                          <w:rPr>
                            <w:rFonts w:ascii="宋体" w:hAnsi="宋体" w:cs="宋体" w:eastAsia="宋体" w:hint="default"/>
                            <w:sz w:val="18"/>
                            <w:szCs w:val="18"/>
                          </w:rPr>
                          <w:t>）</w:t>
                        </w:r>
                      </w:p>
                    </w:tc>
                  </w:tr>
                  <w:tr>
                    <w:trPr>
                      <w:trHeight w:val="355"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tc>
                  </w:tr>
                  <w:tr>
                    <w:trPr>
                      <w:trHeight w:val="619"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4"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年第二次临时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51.11%</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.com.cn)</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年第</w:t>
                        </w:r>
                        <w:r>
                          <w:rPr>
                            <w:rFonts w:ascii="宋体" w:hAnsi="宋体" w:cs="宋体" w:eastAsia="宋体" w:hint="default"/>
                            <w:spacing w:val="-87"/>
                            <w:sz w:val="18"/>
                            <w:szCs w:val="18"/>
                          </w:rPr>
                          <w:t> </w:t>
                        </w:r>
                        <w:r>
                          <w:rPr>
                            <w:rFonts w:ascii="宋体" w:hAnsi="宋体" w:cs="宋体" w:eastAsia="宋体" w:hint="default"/>
                            <w:sz w:val="18"/>
                            <w:szCs w:val="18"/>
                          </w:rPr>
                          <w:t>二次临时股东大会</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决议公告</w:t>
                        </w:r>
                        <w:r>
                          <w:rPr>
                            <w:rFonts w:ascii="宋体" w:hAnsi="宋体" w:cs="宋体" w:eastAsia="宋体" w:hint="default"/>
                            <w:spacing w:val="-92"/>
                            <w:sz w:val="18"/>
                            <w:szCs w:val="18"/>
                          </w:rPr>
                          <w:t>》</w:t>
                        </w:r>
                        <w:r>
                          <w:rPr>
                            <w:rFonts w:ascii="宋体" w:hAnsi="宋体" w:cs="宋体" w:eastAsia="宋体" w:hint="default"/>
                            <w:sz w:val="18"/>
                            <w:szCs w:val="18"/>
                          </w:rPr>
                          <w:t>（公告编</w:t>
                        </w:r>
                      </w:p>
                    </w:tc>
                  </w:tr>
                  <w:tr>
                    <w:trPr>
                      <w:trHeight w:val="360"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2019-053</w:t>
                        </w:r>
                        <w:r>
                          <w:rPr>
                            <w:rFonts w:ascii="宋体" w:hAnsi="宋体" w:cs="宋体" w:eastAsia="宋体" w:hint="default"/>
                            <w:sz w:val="18"/>
                            <w:szCs w:val="18"/>
                          </w:rPr>
                          <w:t>）</w:t>
                        </w:r>
                      </w:p>
                    </w:tc>
                  </w:tr>
                  <w:tr>
                    <w:trPr>
                      <w:trHeight w:val="355"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16"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tc>
                  </w:tr>
                  <w:tr>
                    <w:trPr>
                      <w:trHeight w:val="619"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97" w:lineRule="auto" w:before="8"/>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51.24%</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.com.cn)</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年第</w:t>
                        </w:r>
                        <w:r>
                          <w:rPr>
                            <w:rFonts w:ascii="宋体" w:hAnsi="宋体" w:cs="宋体" w:eastAsia="宋体" w:hint="default"/>
                            <w:spacing w:val="-87"/>
                            <w:sz w:val="18"/>
                            <w:szCs w:val="18"/>
                          </w:rPr>
                          <w:t> </w:t>
                        </w:r>
                        <w:r>
                          <w:rPr>
                            <w:rFonts w:ascii="宋体" w:hAnsi="宋体" w:cs="宋体" w:eastAsia="宋体" w:hint="default"/>
                            <w:sz w:val="18"/>
                            <w:szCs w:val="18"/>
                          </w:rPr>
                          <w:t>三次临时股东大会</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决议公告</w:t>
                        </w:r>
                        <w:r>
                          <w:rPr>
                            <w:rFonts w:ascii="宋体" w:hAnsi="宋体" w:cs="宋体" w:eastAsia="宋体" w:hint="default"/>
                            <w:spacing w:val="-92"/>
                            <w:sz w:val="18"/>
                            <w:szCs w:val="18"/>
                          </w:rPr>
                          <w:t>》</w:t>
                        </w:r>
                        <w:r>
                          <w:rPr>
                            <w:rFonts w:ascii="宋体" w:hAnsi="宋体" w:cs="宋体" w:eastAsia="宋体" w:hint="default"/>
                            <w:sz w:val="18"/>
                            <w:szCs w:val="18"/>
                          </w:rPr>
                          <w:t>（公告编</w:t>
                        </w:r>
                      </w:p>
                    </w:tc>
                  </w:tr>
                  <w:tr>
                    <w:trPr>
                      <w:trHeight w:val="360"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2019-072</w:t>
                        </w:r>
                        <w:r>
                          <w:rPr>
                            <w:rFonts w:ascii="宋体" w:hAnsi="宋体" w:cs="宋体" w:eastAsia="宋体" w:hint="default"/>
                            <w:sz w:val="18"/>
                            <w:szCs w:val="18"/>
                          </w:rPr>
                          <w:t>）</w:t>
                        </w:r>
                      </w:p>
                    </w:tc>
                  </w:tr>
                  <w:tr>
                    <w:trPr>
                      <w:trHeight w:val="355"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tc>
                  </w:tr>
                  <w:tr>
                    <w:trPr>
                      <w:trHeight w:val="619"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9.06</w:t>
                        </w:r>
                        <w:r>
                          <w:rPr>
                            <w:rFonts w:ascii="宋体" w:hAnsi="宋体" w:cs="宋体" w:eastAsia="宋体" w:hint="default"/>
                            <w:sz w:val="18"/>
                            <w:szCs w:val="18"/>
                          </w:rPr>
                          <w:t>％</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.com.cn)</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年第</w:t>
                        </w:r>
                        <w:r>
                          <w:rPr>
                            <w:rFonts w:ascii="宋体" w:hAnsi="宋体" w:cs="宋体" w:eastAsia="宋体" w:hint="default"/>
                            <w:spacing w:val="-87"/>
                            <w:sz w:val="18"/>
                            <w:szCs w:val="18"/>
                          </w:rPr>
                          <w:t> </w:t>
                        </w:r>
                        <w:r>
                          <w:rPr>
                            <w:rFonts w:ascii="宋体" w:hAnsi="宋体" w:cs="宋体" w:eastAsia="宋体" w:hint="default"/>
                            <w:sz w:val="18"/>
                            <w:szCs w:val="18"/>
                          </w:rPr>
                          <w:t>四次临时股东大会</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决议公告</w:t>
                        </w:r>
                        <w:r>
                          <w:rPr>
                            <w:rFonts w:ascii="宋体" w:hAnsi="宋体" w:cs="宋体" w:eastAsia="宋体" w:hint="default"/>
                            <w:spacing w:val="-92"/>
                            <w:sz w:val="18"/>
                            <w:szCs w:val="18"/>
                          </w:rPr>
                          <w:t>》</w:t>
                        </w:r>
                        <w:r>
                          <w:rPr>
                            <w:rFonts w:ascii="宋体" w:hAnsi="宋体" w:cs="宋体" w:eastAsia="宋体" w:hint="default"/>
                            <w:sz w:val="18"/>
                            <w:szCs w:val="18"/>
                          </w:rPr>
                          <w:t>（公告编</w:t>
                        </w:r>
                      </w:p>
                    </w:tc>
                  </w:tr>
                  <w:tr>
                    <w:trPr>
                      <w:trHeight w:val="360"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2019-115</w:t>
                        </w:r>
                        <w:r>
                          <w:rPr>
                            <w:rFonts w:ascii="宋体" w:hAnsi="宋体" w:cs="宋体" w:eastAsia="宋体" w:hint="default"/>
                            <w:sz w:val="18"/>
                            <w:szCs w:val="18"/>
                          </w:rPr>
                          <w:t>）</w:t>
                        </w:r>
                      </w:p>
                    </w:tc>
                  </w:tr>
                </w:tbl>
                <w:p>
                  <w:pPr/>
                </w:p>
              </w:txbxContent>
            </v:textbox>
            <w10:wrap type="none"/>
          </v:shape>
        </w:pict>
      </w:r>
      <w:r>
        <w:rPr/>
        <w:t>》</w:t>
      </w:r>
    </w:p>
    <w:p>
      <w:pPr>
        <w:spacing w:after="0" w:line="240" w:lineRule="auto"/>
        <w:jc w:val="righ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335" w:lineRule="exact"/>
        <w:ind w:right="967"/>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967"/>
        <w:jc w:val="left"/>
        <w:rPr>
          <w:b w:val="0"/>
          <w:bCs w:val="0"/>
        </w:rPr>
      </w:pPr>
      <w:r>
        <w:rPr/>
        <w:t>五、报告期内独立董事履行职责的情况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967"/>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1"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8"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9"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9"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9"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9"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9"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9"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关志超</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向吉英</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许岳明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49"/>
        <w:ind w:right="967"/>
        <w:jc w:val="left"/>
      </w:pPr>
      <w:r>
        <w:rPr/>
        <w:t>连续两次未亲自出席董事会的说明</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67"/>
        <w:jc w:val="left"/>
      </w:pPr>
      <w:r>
        <w:rPr/>
        <w:t>独立董事对公司有关事项是否提出异议</w:t>
      </w:r>
    </w:p>
    <w:p>
      <w:pPr>
        <w:pStyle w:val="BodyText"/>
        <w:spacing w:line="340" w:lineRule="auto" w:before="117"/>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2"/>
        <w:rPr>
          <w:rFonts w:ascii="宋体" w:hAnsi="宋体" w:cs="宋体" w:eastAsia="宋体" w:hint="default"/>
          <w:sz w:val="16"/>
          <w:szCs w:val="16"/>
        </w:rPr>
      </w:pPr>
    </w:p>
    <w:p>
      <w:pPr>
        <w:pStyle w:val="Heading4"/>
        <w:spacing w:line="240" w:lineRule="auto"/>
        <w:ind w:right="967"/>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独立董事对公司有关建议是否被采纳</w:t>
      </w:r>
    </w:p>
    <w:p>
      <w:pPr>
        <w:pStyle w:val="BodyText"/>
        <w:spacing w:line="340" w:lineRule="auto" w:before="117"/>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19" w:lineRule="auto" w:before="39"/>
        <w:ind w:right="1130" w:firstLine="360"/>
        <w:jc w:val="both"/>
      </w:pPr>
      <w:r>
        <w:rPr>
          <w:spacing w:val="-2"/>
        </w:rPr>
        <w:t>关志超先生、许岳明先生及向吉英先生在担任公司独立董事期间，严格按照《公司法》、《关于在上市公司建立独立董</w:t>
      </w:r>
      <w:r>
        <w:rPr/>
        <w:t> </w:t>
      </w:r>
      <w:r>
        <w:rPr>
          <w:spacing w:val="-2"/>
        </w:rPr>
        <w:t>事的指导意见》、《深圳证券交易所上市公司规范运作指引》及《公司章程》等法律法规的相关规定履行独立董事职责，深</w:t>
      </w:r>
      <w:r>
        <w:rPr>
          <w:spacing w:val="-71"/>
        </w:rPr>
        <w:t> </w:t>
      </w:r>
      <w:r>
        <w:rPr>
          <w:spacing w:val="-71"/>
        </w:rPr>
      </w:r>
      <w:r>
        <w:rPr>
          <w:spacing w:val="-2"/>
        </w:rPr>
        <w:t>入了解公司经营情况和财务状况，认真研究议案相关材料，运用自身的知识背景，为公司的科学决策和风险防范提供意见和</w:t>
      </w:r>
      <w:r>
        <w:rPr>
          <w:spacing w:val="-65"/>
        </w:rPr>
        <w:t> </w:t>
      </w:r>
      <w:r>
        <w:rPr>
          <w:spacing w:val="-65"/>
        </w:rPr>
      </w:r>
      <w:r>
        <w:rPr>
          <w:spacing w:val="-2"/>
        </w:rPr>
        <w:t>建议，就公司选举副董事长、总经理任免、股权激励、高级管理人员薪酬标准调整、日常经营、关联交易、权益分派、募集</w:t>
      </w:r>
      <w:r>
        <w:rPr>
          <w:spacing w:val="-65"/>
        </w:rPr>
        <w:t> </w:t>
      </w:r>
      <w:r>
        <w:rPr>
          <w:spacing w:val="-65"/>
        </w:rPr>
      </w:r>
      <w:r>
        <w:rPr>
          <w:spacing w:val="-2"/>
        </w:rPr>
        <w:t>资金使用、定期报告等事项进行审核，并独立、客观地发表了意见，保证了公司董事会决议的公正性，维护公司和广大股东</w:t>
      </w:r>
      <w:r>
        <w:rPr>
          <w:spacing w:val="-66"/>
        </w:rPr>
        <w:t> </w:t>
      </w:r>
      <w:r>
        <w:rPr>
          <w:spacing w:val="-66"/>
        </w:rPr>
      </w:r>
      <w:r>
        <w:rPr/>
        <w:t>尤其是中小股东的利益，促进了公司的规范运作和持续发展。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6"/>
          <w:szCs w:val="26"/>
        </w:rPr>
      </w:pPr>
    </w:p>
    <w:p>
      <w:pPr>
        <w:pStyle w:val="Heading2"/>
        <w:spacing w:line="240" w:lineRule="auto"/>
        <w:ind w:right="967"/>
        <w:jc w:val="left"/>
        <w:rPr>
          <w:b w:val="0"/>
          <w:bCs w:val="0"/>
        </w:rPr>
      </w:pPr>
      <w:r>
        <w:rPr/>
        <w:t>六、董事会下设专门委员会在报告期内履行职责情况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09" w:lineRule="auto"/>
        <w:ind w:right="1132" w:firstLine="360"/>
        <w:jc w:val="both"/>
      </w:pPr>
      <w:r>
        <w:rPr>
          <w:spacing w:val="-2"/>
        </w:rPr>
        <w:t>公司董事会下设立四个专门委员会，分别为审计及预算审核委员会、薪酬与考核委员会、提名委员会以及战略发展及投</w:t>
      </w:r>
      <w:r>
        <w:rPr/>
        <w:t> </w:t>
      </w:r>
      <w:r>
        <w:rPr>
          <w:spacing w:val="-2"/>
        </w:rPr>
        <w:t>资审查委员会。</w:t>
      </w:r>
      <w:r>
        <w:rPr>
          <w:rFonts w:ascii="Times New Roman" w:hAnsi="Times New Roman" w:cs="Times New Roman" w:eastAsia="Times New Roman" w:hint="default"/>
          <w:spacing w:val="-2"/>
        </w:rPr>
        <w:t>2019</w:t>
      </w:r>
      <w:r>
        <w:rPr>
          <w:spacing w:val="-2"/>
        </w:rPr>
        <w:t>年，各专门委员会本着勤勉尽责的原则，按照有关法律法规、公司章程及各专门委员会工作细则的有关</w:t>
      </w:r>
      <w:r>
        <w:rPr>
          <w:spacing w:val="-63"/>
        </w:rPr>
        <w:t> </w:t>
      </w:r>
      <w:r>
        <w:rPr>
          <w:spacing w:val="-63"/>
        </w:rPr>
      </w:r>
      <w:r>
        <w:rPr/>
        <w:t>规定开展相关工作。报告期内，各专门委员会履行情况如下：</w:t>
      </w:r>
    </w:p>
    <w:p>
      <w:pPr>
        <w:spacing w:after="0" w:line="309" w:lineRule="auto"/>
        <w:jc w:val="both"/>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00" w:lineRule="auto" w:before="44"/>
        <w:ind w:left="513" w:right="967"/>
        <w:jc w:val="left"/>
      </w:pPr>
      <w:r>
        <w:rPr>
          <w:rFonts w:ascii="Times New Roman" w:hAnsi="Times New Roman" w:cs="Times New Roman" w:eastAsia="Times New Roman" w:hint="default"/>
        </w:rPr>
        <w:t>1</w:t>
      </w:r>
      <w:r>
        <w:rPr/>
        <w:t>、审计及预算审核委员会的履职情况 </w:t>
      </w:r>
      <w:r>
        <w:rPr>
          <w:spacing w:val="-2"/>
        </w:rPr>
        <w:t>报告期内，审计及预算审核委员会认真履行职责，按照公司《内部审计制度》、《董事会审计及预算审核委员会工作细</w:t>
      </w:r>
    </w:p>
    <w:p>
      <w:pPr>
        <w:pStyle w:val="BodyText"/>
        <w:spacing w:line="309" w:lineRule="auto" w:before="31"/>
        <w:ind w:right="1128"/>
        <w:jc w:val="both"/>
      </w:pPr>
      <w:r>
        <w:rPr>
          <w:spacing w:val="-2"/>
        </w:rPr>
        <w:t>则》、《审计及预算审核委员会年报工作规程》的要求开展各项工作。报告期内，公司董事会审计及预算审核委员会详细了</w:t>
      </w:r>
      <w:r>
        <w:rPr>
          <w:spacing w:val="-67"/>
        </w:rPr>
        <w:t> </w:t>
      </w:r>
      <w:r>
        <w:rPr>
          <w:spacing w:val="-67"/>
        </w:rPr>
      </w:r>
      <w:r>
        <w:rPr>
          <w:spacing w:val="-2"/>
        </w:rPr>
        <w:t>解公司财务状况和经营情况，讨论审议了公司定期报告、内审部门日常审计工作报告和审计工作计划、审查审计机构资质和</w:t>
      </w:r>
      <w:r>
        <w:rPr>
          <w:spacing w:val="-63"/>
        </w:rPr>
        <w:t> </w:t>
      </w:r>
      <w:r>
        <w:rPr>
          <w:spacing w:val="-63"/>
        </w:rPr>
      </w:r>
      <w:r>
        <w:rPr>
          <w:spacing w:val="-2"/>
        </w:rPr>
        <w:t>工作情况并向董事会提议续聘年度审计机构、审查公司</w:t>
      </w:r>
      <w:r>
        <w:rPr>
          <w:rFonts w:ascii="Times New Roman" w:hAnsi="Times New Roman" w:cs="Times New Roman" w:eastAsia="Times New Roman" w:hint="default"/>
          <w:spacing w:val="-2"/>
        </w:rPr>
        <w:t>2018</w:t>
      </w:r>
      <w:r>
        <w:rPr>
          <w:spacing w:val="-2"/>
        </w:rPr>
        <w:t>年度利润分配预案、会计估计变更、</w:t>
      </w:r>
      <w:r>
        <w:rPr>
          <w:rFonts w:ascii="Times New Roman" w:hAnsi="Times New Roman" w:cs="Times New Roman" w:eastAsia="Times New Roman" w:hint="default"/>
          <w:spacing w:val="-2"/>
        </w:rPr>
        <w:t>2018</w:t>
      </w:r>
      <w:r>
        <w:rPr>
          <w:spacing w:val="-2"/>
        </w:rPr>
        <w:t>年度日常关联交易执行</w:t>
      </w:r>
      <w:r>
        <w:rPr>
          <w:spacing w:val="-55"/>
        </w:rPr>
        <w:t> </w:t>
      </w:r>
      <w:r>
        <w:rPr>
          <w:spacing w:val="-55"/>
        </w:rPr>
      </w:r>
      <w:r>
        <w:rPr>
          <w:spacing w:val="-2"/>
        </w:rPr>
        <w:t>情况、公司及参股公司关联交易、</w:t>
      </w:r>
      <w:r>
        <w:rPr>
          <w:rFonts w:ascii="Times New Roman" w:hAnsi="Times New Roman" w:cs="Times New Roman" w:eastAsia="Times New Roman" w:hint="default"/>
          <w:spacing w:val="-2"/>
        </w:rPr>
        <w:t>2019</w:t>
      </w:r>
      <w:r>
        <w:rPr>
          <w:spacing w:val="-2"/>
        </w:rPr>
        <w:t>年度日常关联交易预计及新增调整情况，对公司内控制度和内部审计制度的实施进行</w:t>
      </w:r>
      <w:r>
        <w:rPr>
          <w:spacing w:val="-59"/>
        </w:rPr>
        <w:t> </w:t>
      </w:r>
      <w:r>
        <w:rPr>
          <w:spacing w:val="-59"/>
        </w:rPr>
      </w:r>
      <w:r>
        <w:rPr/>
        <w:t>了有效监督和指导。</w:t>
      </w:r>
    </w:p>
    <w:p>
      <w:pPr>
        <w:pStyle w:val="BodyText"/>
        <w:spacing w:line="300" w:lineRule="auto" w:before="24"/>
        <w:ind w:left="513" w:right="967"/>
        <w:jc w:val="left"/>
      </w:pPr>
      <w:r>
        <w:rPr>
          <w:rFonts w:ascii="Times New Roman" w:hAnsi="Times New Roman" w:cs="Times New Roman" w:eastAsia="Times New Roman" w:hint="default"/>
        </w:rPr>
        <w:t>2</w:t>
      </w:r>
      <w:r>
        <w:rPr/>
        <w:t>、薪酬与考核委员会的履职情况 </w:t>
      </w:r>
      <w:r>
        <w:rPr>
          <w:spacing w:val="-2"/>
        </w:rPr>
        <w:t>报告期内，薪酬与考核委员按照《董事会薪酬与考核委员会工作细则》的要求开展工作，对公司</w:t>
      </w:r>
      <w:r>
        <w:rPr>
          <w:rFonts w:ascii="Times New Roman" w:hAnsi="Times New Roman" w:cs="Times New Roman" w:eastAsia="Times New Roman" w:hint="default"/>
          <w:spacing w:val="-2"/>
        </w:rPr>
        <w:t>2018</w:t>
      </w:r>
      <w:r>
        <w:rPr>
          <w:spacing w:val="-2"/>
        </w:rPr>
        <w:t>年度高级管理人员</w:t>
      </w:r>
    </w:p>
    <w:p>
      <w:pPr>
        <w:pStyle w:val="BodyText"/>
        <w:spacing w:line="309" w:lineRule="auto" w:before="13"/>
        <w:ind w:right="1130"/>
        <w:jc w:val="both"/>
      </w:pPr>
      <w:r>
        <w:rPr>
          <w:spacing w:val="-2"/>
        </w:rPr>
        <w:t>薪酬、调整高级管理人员薪酬标准、调整独立董事薪酬方案及确定新任董事薪酬方案等事项进行了审核，认为其薪酬标准和</w:t>
      </w:r>
      <w:r>
        <w:rPr>
          <w:spacing w:val="-63"/>
        </w:rPr>
        <w:t> </w:t>
      </w:r>
      <w:r>
        <w:rPr>
          <w:spacing w:val="-63"/>
        </w:rPr>
      </w:r>
      <w:r>
        <w:rPr>
          <w:spacing w:val="-2"/>
        </w:rPr>
        <w:t>年度薪酬总额的确定符合公司相关薪酬管理制度的规定，同意提交公司董事会审议。审议通过了公司</w:t>
      </w:r>
      <w:r>
        <w:rPr>
          <w:rFonts w:ascii="Times New Roman" w:hAnsi="Times New Roman" w:cs="Times New Roman" w:eastAsia="Times New Roman" w:hint="default"/>
          <w:spacing w:val="-2"/>
        </w:rPr>
        <w:t>2019</w:t>
      </w:r>
      <w:r>
        <w:rPr>
          <w:spacing w:val="-2"/>
        </w:rPr>
        <w:t>年限制性股票激励</w:t>
      </w:r>
      <w:r>
        <w:rPr>
          <w:spacing w:val="-60"/>
        </w:rPr>
        <w:t> </w:t>
      </w:r>
      <w:r>
        <w:rPr>
          <w:spacing w:val="-60"/>
        </w:rPr>
      </w:r>
      <w:r>
        <w:rPr/>
        <w:t>计划并同意提交公司董事会审议。</w:t>
      </w:r>
    </w:p>
    <w:p>
      <w:pPr>
        <w:pStyle w:val="BodyText"/>
        <w:spacing w:line="300" w:lineRule="auto" w:before="24"/>
        <w:ind w:left="513" w:right="967"/>
        <w:jc w:val="left"/>
      </w:pPr>
      <w:r>
        <w:rPr>
          <w:rFonts w:ascii="Times New Roman" w:hAnsi="Times New Roman" w:cs="Times New Roman" w:eastAsia="Times New Roman" w:hint="default"/>
        </w:rPr>
        <w:t>3</w:t>
      </w:r>
      <w:r>
        <w:rPr/>
        <w:t>、提名委员会的履职情况 </w:t>
      </w:r>
      <w:r>
        <w:rPr>
          <w:spacing w:val="-2"/>
        </w:rPr>
        <w:t>报告期内，提名委员会按照《董事会提名委员会工作细则》的要求开展工作，对公司副董事长、董事、总经理、副总经</w:t>
      </w:r>
    </w:p>
    <w:p>
      <w:pPr>
        <w:pStyle w:val="BodyText"/>
        <w:spacing w:line="316" w:lineRule="auto" w:before="31"/>
        <w:ind w:right="1129"/>
        <w:jc w:val="left"/>
      </w:pPr>
      <w:r>
        <w:rPr>
          <w:spacing w:val="-5"/>
        </w:rPr>
        <w:t>理候选人的任职资格进行认真审查，认为候选人符合《公司法》等相关法律法规及《公司章程》的有关规定，未发现其有《公</w:t>
      </w:r>
      <w:r>
        <w:rPr>
          <w:spacing w:val="-84"/>
        </w:rPr>
        <w:t> </w:t>
      </w:r>
      <w:r>
        <w:rPr>
          <w:spacing w:val="-84"/>
        </w:rPr>
      </w:r>
      <w:r>
        <w:rPr/>
        <w:t>司法》规定不得任职的情形以及被中国证监会确定为市场禁入者并且尚未解除的情况，同意提交董事会审议。</w:t>
      </w:r>
    </w:p>
    <w:p>
      <w:pPr>
        <w:pStyle w:val="BodyText"/>
        <w:spacing w:line="300" w:lineRule="auto" w:before="19"/>
        <w:ind w:left="513" w:right="967"/>
        <w:jc w:val="left"/>
      </w:pPr>
      <w:r>
        <w:rPr>
          <w:rFonts w:ascii="Times New Roman" w:hAnsi="Times New Roman" w:cs="Times New Roman" w:eastAsia="Times New Roman" w:hint="default"/>
        </w:rPr>
        <w:t>4</w:t>
      </w:r>
      <w:r>
        <w:rPr/>
        <w:t>、战略发展及投资审查委员会的履职情况 </w:t>
      </w:r>
      <w:r>
        <w:rPr>
          <w:spacing w:val="-2"/>
        </w:rPr>
        <w:t>报告期内，战略及投资审查委员会严格按照相关法律法规和公司《董事会战略与投资审查委员会工作细则》的要求，结</w:t>
      </w:r>
    </w:p>
    <w:p>
      <w:pPr>
        <w:pStyle w:val="BodyText"/>
        <w:spacing w:line="309" w:lineRule="auto" w:before="31"/>
        <w:ind w:right="1034"/>
        <w:jc w:val="left"/>
      </w:pPr>
      <w:r>
        <w:rPr/>
        <w:t>合宏观经济环境变化、行业趋势的发展变化及公司经营现状、发展战略，组织和领导相关人员对公司</w:t>
      </w:r>
      <w:r>
        <w:rPr>
          <w:rFonts w:ascii="Times New Roman" w:hAnsi="Times New Roman" w:cs="Times New Roman" w:eastAsia="Times New Roman" w:hint="default"/>
        </w:rPr>
        <w:t>2019</w:t>
      </w:r>
      <w:r>
        <w:rPr/>
        <w:t>年年度经营计划、 </w:t>
      </w:r>
      <w:r>
        <w:rPr>
          <w:spacing w:val="-2"/>
        </w:rPr>
        <w:t>变更部分募集资金投资项目实施地点、延长部分募集资金项目的实施期限、参与山东高速信联支付有限公司混改增资事项进</w:t>
      </w:r>
      <w:r>
        <w:rPr>
          <w:spacing w:val="-63"/>
        </w:rPr>
        <w:t> </w:t>
      </w:r>
      <w:r>
        <w:rPr>
          <w:spacing w:val="-63"/>
        </w:rPr>
      </w:r>
      <w:r>
        <w:rPr/>
        <w:t>行了讨论和研究，制定出符合公司未来发展的战略和规划，并报董事会审议。</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Heading2"/>
        <w:spacing w:line="240" w:lineRule="auto"/>
        <w:ind w:right="0"/>
        <w:jc w:val="both"/>
        <w:rPr>
          <w:b w:val="0"/>
          <w:bCs w:val="0"/>
        </w:rPr>
      </w:pPr>
      <w:r>
        <w:rPr/>
        <w:t>七、监事会工作情况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both"/>
      </w:pPr>
      <w:r>
        <w:rPr/>
        <w:t>监事会在报告期内的监督活动中发现公司是否存在风险</w:t>
      </w:r>
    </w:p>
    <w:p>
      <w:pPr>
        <w:pStyle w:val="BodyText"/>
        <w:spacing w:line="340" w:lineRule="auto" w:before="115"/>
        <w:ind w:right="76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line="240" w:lineRule="auto" w:before="8"/>
        <w:rPr>
          <w:rFonts w:ascii="宋体" w:hAnsi="宋体" w:cs="宋体" w:eastAsia="宋体" w:hint="default"/>
          <w:sz w:val="13"/>
          <w:szCs w:val="13"/>
        </w:rPr>
      </w:pPr>
    </w:p>
    <w:p>
      <w:pPr>
        <w:pStyle w:val="Heading2"/>
        <w:spacing w:line="240" w:lineRule="auto"/>
        <w:ind w:right="0"/>
        <w:jc w:val="both"/>
        <w:rPr>
          <w:b w:val="0"/>
          <w:bCs w:val="0"/>
        </w:rPr>
      </w:pPr>
      <w:r>
        <w:rPr/>
        <w:t>八、高级管理人员的考评及激励情况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19" w:lineRule="auto"/>
        <w:ind w:right="967" w:firstLine="360"/>
        <w:jc w:val="left"/>
      </w:pPr>
      <w:r>
        <w:rPr>
          <w:spacing w:val="-2"/>
        </w:rPr>
        <w:t>公司建立了完善的高级管理人员绩效考核和薪酬管理制度，董事会下设薪酬与考核委员会负责制定高级管理人员年度薪</w:t>
      </w:r>
      <w:r>
        <w:rPr/>
        <w:t> </w:t>
      </w:r>
      <w:r>
        <w:rPr>
          <w:spacing w:val="-2"/>
        </w:rPr>
        <w:t>酬方案。高级管理人员年度薪酬由基本薪酬和绩效薪酬两部分构成，薪酬与考核委员会根据企业效益、高管个人贡献系数和</w:t>
      </w:r>
      <w:r>
        <w:rPr>
          <w:spacing w:val="-61"/>
        </w:rPr>
        <w:t> </w:t>
      </w:r>
      <w:r>
        <w:rPr>
          <w:spacing w:val="-61"/>
        </w:rPr>
      </w:r>
      <w:r>
        <w:rPr>
          <w:spacing w:val="-4"/>
        </w:rPr>
        <w:t>年度绩效考核系数，围绕工作业绩、工作质量、领导能力、职责履行、经营管理能力等方面进行考核，采取年度考评的方式，</w:t>
      </w:r>
      <w:r>
        <w:rPr>
          <w:spacing w:val="-44"/>
        </w:rPr>
        <w:t> </w:t>
      </w:r>
      <w:r>
        <w:rPr>
          <w:spacing w:val="-44"/>
        </w:rPr>
      </w:r>
      <w:r>
        <w:rPr/>
        <w:t>评定高级管理人员年度绩效奖金，并报董事会批准后发放。</w:t>
      </w:r>
    </w:p>
    <w:p>
      <w:pPr>
        <w:pStyle w:val="BodyText"/>
        <w:spacing w:line="309" w:lineRule="auto" w:before="17"/>
        <w:ind w:right="1133" w:firstLine="360"/>
        <w:jc w:val="both"/>
      </w:pPr>
      <w:r>
        <w:rPr/>
        <w:t>在</w:t>
      </w:r>
      <w:r>
        <w:rPr>
          <w:rFonts w:ascii="Times New Roman" w:hAnsi="Times New Roman" w:cs="Times New Roman" w:eastAsia="Times New Roman" w:hint="default"/>
        </w:rPr>
        <w:t>2019</w:t>
      </w:r>
      <w:r>
        <w:rPr/>
        <w:t>年第三次临时股东大会的授权下，公司于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16</w:t>
      </w:r>
      <w:r>
        <w:rPr/>
        <w:t>日召开第二届董事会第三十三次会议和第二届监事会第十 </w:t>
      </w:r>
      <w:r>
        <w:rPr>
          <w:spacing w:val="-2"/>
        </w:rPr>
        <w:t>七次会议，审议通过了《关于向激励对象首次授予限制性股票的议案》，对高级管理人员何宁及公司核心骨干员工授予限制</w:t>
      </w:r>
      <w:r>
        <w:rPr>
          <w:spacing w:val="-66"/>
        </w:rPr>
        <w:t> </w:t>
      </w:r>
      <w:r>
        <w:rPr>
          <w:spacing w:val="-66"/>
        </w:rPr>
      </w:r>
      <w:r>
        <w:rPr/>
        <w:t>性股票，详情可见</w:t>
      </w:r>
      <w:r>
        <w:rPr>
          <w:rFonts w:ascii="Times New Roman" w:hAnsi="Times New Roman" w:cs="Times New Roman" w:eastAsia="Times New Roman" w:hint="default"/>
        </w:rPr>
        <w:t>“</w:t>
      </w:r>
      <w:r>
        <w:rPr/>
        <w:t>第五节</w:t>
      </w:r>
      <w:r>
        <w:rPr>
          <w:spacing w:val="-19"/>
        </w:rPr>
        <w:t> </w:t>
      </w:r>
      <w:r>
        <w:rPr/>
        <w:t>公司股权激励计划、员工持股计划或其他员工激励措施的实施情况</w:t>
      </w:r>
      <w:r>
        <w:rPr>
          <w:rFonts w:ascii="Times New Roman" w:hAnsi="Times New Roman" w:cs="Times New Roman" w:eastAsia="Times New Roman" w:hint="default"/>
        </w:rPr>
        <w:t>”</w:t>
      </w:r>
      <w:r>
        <w:rPr/>
        <w:t>。</w:t>
      </w:r>
    </w:p>
    <w:p>
      <w:pPr>
        <w:spacing w:after="0" w:line="309" w:lineRule="auto"/>
        <w:jc w:val="both"/>
        <w:sectPr>
          <w:pgSz w:w="11910" w:h="16840"/>
          <w:pgMar w:header="877" w:footer="979" w:top="1100" w:bottom="1160" w:left="980" w:right="0"/>
        </w:sectPr>
      </w:pPr>
    </w:p>
    <w:p>
      <w:pPr>
        <w:spacing w:line="240" w:lineRule="auto" w:before="10"/>
        <w:rPr>
          <w:rFonts w:ascii="宋体" w:hAnsi="宋体" w:cs="宋体" w:eastAsia="宋体" w:hint="default"/>
          <w:sz w:val="19"/>
          <w:szCs w:val="19"/>
        </w:rPr>
      </w:pPr>
    </w:p>
    <w:p>
      <w:pPr>
        <w:pStyle w:val="Heading2"/>
        <w:spacing w:line="367" w:lineRule="exact"/>
        <w:ind w:right="967"/>
        <w:jc w:val="left"/>
        <w:rPr>
          <w:b w:val="0"/>
          <w:bCs w:val="0"/>
        </w:rPr>
      </w:pPr>
      <w:r>
        <w:rPr/>
        <w:t>九、内部控制评价报告</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967"/>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6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1"/>
          <w:szCs w:val="21"/>
        </w:rPr>
      </w:pPr>
    </w:p>
    <w:p>
      <w:pPr>
        <w:pStyle w:val="Heading4"/>
        <w:spacing w:line="240" w:lineRule="auto"/>
        <w:ind w:right="967"/>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14"/>
          <w:szCs w:val="14"/>
        </w:rPr>
      </w:pPr>
    </w:p>
    <w:p>
      <w:pPr>
        <w:pStyle w:val="BodyText"/>
        <w:spacing w:line="240" w:lineRule="auto" w:before="44"/>
        <w:ind w:left="0" w:right="1139"/>
        <w:jc w:val="right"/>
      </w:pPr>
      <w:r>
        <w:rPr/>
        <w:pict>
          <v:shape style="position:absolute;margin-left:331.718018pt;margin-top:-.248291pt;width:203.25pt;height:411.7pt;mso-position-horizontal-relative:page;mso-position-vertical-relative:paragraph;z-index:-153109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8"/>
                      <w:szCs w:val="18"/>
                    </w:rPr>
                  </w:pPr>
                </w:p>
                <w:p>
                  <w:pPr>
                    <w:pStyle w:val="BodyText"/>
                    <w:spacing w:line="240" w:lineRule="auto"/>
                    <w:ind w:left="0" w:right="0"/>
                    <w:jc w:val="left"/>
                  </w:pPr>
                  <w:r>
                    <w:rPr/>
                    <w:t>理人员舞弊，</w:t>
                  </w:r>
                </w:p>
                <w:p>
                  <w:pPr>
                    <w:spacing w:line="240" w:lineRule="auto" w:before="0"/>
                    <w:rPr>
                      <w:rFonts w:ascii="宋体" w:hAnsi="宋体" w:cs="宋体" w:eastAsia="宋体" w:hint="default"/>
                      <w:sz w:val="18"/>
                      <w:szCs w:val="18"/>
                    </w:rPr>
                  </w:pPr>
                </w:p>
                <w:p>
                  <w:pPr>
                    <w:pStyle w:val="BodyText"/>
                    <w:spacing w:line="240" w:lineRule="auto" w:before="153"/>
                    <w:ind w:left="900" w:right="0"/>
                    <w:jc w:val="left"/>
                  </w:pPr>
                  <w:r>
                    <w:rPr/>
                    <w:t>）</w:t>
                  </w:r>
                </w:p>
              </w:txbxContent>
            </v:textbox>
            <w10:wrap type="none"/>
          </v:shape>
        </w:pict>
      </w:r>
      <w:r>
        <w:rPr/>
        <w:pict>
          <v:shape style="position:absolute;margin-left:56.400002pt;margin-top:-152.558289pt;width:480.5pt;height:564.5pt;mso-position-horizontal-relative:page;mso-position-vertical-relative:paragraph;z-index:26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3327"/>
                    <w:gridCol w:w="3053"/>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54" w:hRule="exact"/>
                    </w:trPr>
                    <w:tc>
                      <w:tcPr>
                        <w:tcW w:w="3190" w:type="dxa"/>
                        <w:vMerge w:val="restart"/>
                        <w:tcBorders>
                          <w:top w:val="single" w:sz="4" w:space="0" w:color="000000"/>
                          <w:left w:val="single" w:sz="4" w:space="0" w:color="000000"/>
                          <w:right w:val="single" w:sz="4" w:space="0" w:color="000000"/>
                        </w:tcBorders>
                        <w:shd w:val="clear" w:color="auto" w:fill="D2D2D2"/>
                      </w:tcPr>
                      <w:p>
                        <w:pPr/>
                      </w:p>
                    </w:tc>
                    <w:tc>
                      <w:tcPr>
                        <w:tcW w:w="3327" w:type="dxa"/>
                        <w:tcBorders>
                          <w:top w:val="single" w:sz="4" w:space="0" w:color="000000"/>
                          <w:left w:val="single" w:sz="4" w:space="0" w:color="000000"/>
                          <w:bottom w:val="nil" w:sz="6" w:space="0" w:color="auto"/>
                          <w:right w:val="single" w:sz="4" w:space="0" w:color="000000"/>
                        </w:tcBorders>
                      </w:tcPr>
                      <w:p>
                        <w:pPr/>
                      </w:p>
                    </w:tc>
                    <w:tc>
                      <w:tcPr>
                        <w:tcW w:w="30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pacing w:val="-10"/>
                            <w:sz w:val="18"/>
                            <w:szCs w:val="18"/>
                          </w:rPr>
                          <w:t>重大缺陷：严重违反法律、法规、规章</w:t>
                        </w:r>
                      </w:p>
                    </w:tc>
                  </w:tr>
                  <w:tr>
                    <w:trPr>
                      <w:trHeight w:val="311" w:hRule="exact"/>
                    </w:trPr>
                    <w:tc>
                      <w:tcPr>
                        <w:tcW w:w="3190" w:type="dxa"/>
                        <w:vMerge/>
                        <w:tcBorders>
                          <w:left w:val="single" w:sz="4" w:space="0" w:color="000000"/>
                          <w:right w:val="single" w:sz="4" w:space="0" w:color="000000"/>
                        </w:tcBorders>
                        <w:shd w:val="clear" w:color="auto" w:fill="D2D2D2"/>
                      </w:tcPr>
                      <w:p>
                        <w:pPr/>
                      </w:p>
                    </w:tc>
                    <w:tc>
                      <w:tcPr>
                        <w:tcW w:w="3327" w:type="dxa"/>
                        <w:tcBorders>
                          <w:top w:val="nil" w:sz="6" w:space="0" w:color="auto"/>
                          <w:left w:val="single" w:sz="4" w:space="0" w:color="000000"/>
                          <w:bottom w:val="nil" w:sz="6" w:space="0" w:color="auto"/>
                          <w:right w:val="single" w:sz="4" w:space="0" w:color="000000"/>
                        </w:tcBorders>
                      </w:tcPr>
                      <w:p>
                        <w:pP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6" w:right="0"/>
                          <w:jc w:val="left"/>
                          <w:rPr>
                            <w:rFonts w:ascii="宋体" w:hAnsi="宋体" w:cs="宋体" w:eastAsia="宋体" w:hint="default"/>
                            <w:sz w:val="18"/>
                            <w:szCs w:val="18"/>
                          </w:rPr>
                        </w:pPr>
                        <w:r>
                          <w:rPr>
                            <w:rFonts w:ascii="宋体" w:hAnsi="宋体" w:cs="宋体" w:eastAsia="宋体" w:hint="default"/>
                            <w:spacing w:val="-4"/>
                            <w:sz w:val="18"/>
                            <w:szCs w:val="18"/>
                          </w:rPr>
                          <w:t>政府政策、其他规范性文件等，导致中</w:t>
                        </w:r>
                      </w:p>
                    </w:tc>
                  </w:tr>
                  <w:tr>
                    <w:trPr>
                      <w:trHeight w:val="312" w:hRule="exact"/>
                    </w:trPr>
                    <w:tc>
                      <w:tcPr>
                        <w:tcW w:w="3190" w:type="dxa"/>
                        <w:vMerge/>
                        <w:tcBorders>
                          <w:left w:val="single" w:sz="4" w:space="0" w:color="000000"/>
                          <w:right w:val="single" w:sz="4" w:space="0" w:color="000000"/>
                        </w:tcBorders>
                        <w:shd w:val="clear" w:color="auto" w:fill="D2D2D2"/>
                      </w:tcPr>
                      <w:p>
                        <w:pPr/>
                      </w:p>
                    </w:tc>
                    <w:tc>
                      <w:tcPr>
                        <w:tcW w:w="3327" w:type="dxa"/>
                        <w:tcBorders>
                          <w:top w:val="nil" w:sz="6" w:space="0" w:color="auto"/>
                          <w:left w:val="single" w:sz="4" w:space="0" w:color="000000"/>
                          <w:bottom w:val="nil" w:sz="6" w:space="0" w:color="auto"/>
                          <w:right w:val="single" w:sz="4" w:space="0" w:color="000000"/>
                        </w:tcBorders>
                      </w:tcPr>
                      <w:p>
                        <w:pP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央政府或监管机构的调查，并被限令行</w:t>
                        </w:r>
                      </w:p>
                    </w:tc>
                  </w:tr>
                  <w:tr>
                    <w:trPr>
                      <w:trHeight w:val="312" w:hRule="exact"/>
                    </w:trPr>
                    <w:tc>
                      <w:tcPr>
                        <w:tcW w:w="3190" w:type="dxa"/>
                        <w:vMerge/>
                        <w:tcBorders>
                          <w:left w:val="single" w:sz="4" w:space="0" w:color="000000"/>
                          <w:right w:val="single" w:sz="4" w:space="0" w:color="000000"/>
                        </w:tcBorders>
                        <w:shd w:val="clear" w:color="auto" w:fill="D2D2D2"/>
                      </w:tcPr>
                      <w:p>
                        <w:pPr/>
                      </w:p>
                    </w:tc>
                    <w:tc>
                      <w:tcPr>
                        <w:tcW w:w="3327" w:type="dxa"/>
                        <w:tcBorders>
                          <w:top w:val="nil" w:sz="6" w:space="0" w:color="auto"/>
                          <w:left w:val="single" w:sz="4" w:space="0" w:color="000000"/>
                          <w:bottom w:val="nil" w:sz="6" w:space="0" w:color="auto"/>
                          <w:right w:val="single" w:sz="4" w:space="0" w:color="000000"/>
                        </w:tcBorders>
                      </w:tcPr>
                      <w:p>
                        <w:pP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业退出、吊销营业执照、强制关闭等</w:t>
                        </w:r>
                      </w:p>
                    </w:tc>
                  </w:tr>
                  <w:tr>
                    <w:trPr>
                      <w:trHeight w:val="312" w:hRule="exact"/>
                    </w:trPr>
                    <w:tc>
                      <w:tcPr>
                        <w:tcW w:w="3190" w:type="dxa"/>
                        <w:vMerge/>
                        <w:tcBorders>
                          <w:left w:val="single" w:sz="4" w:space="0" w:color="000000"/>
                          <w:right w:val="single" w:sz="4" w:space="0" w:color="000000"/>
                        </w:tcBorders>
                        <w:shd w:val="clear" w:color="auto" w:fill="D2D2D2"/>
                      </w:tcPr>
                      <w:p>
                        <w:pPr/>
                      </w:p>
                    </w:tc>
                    <w:tc>
                      <w:tcPr>
                        <w:tcW w:w="3327" w:type="dxa"/>
                        <w:tcBorders>
                          <w:top w:val="nil" w:sz="6" w:space="0" w:color="auto"/>
                          <w:left w:val="single" w:sz="4" w:space="0" w:color="000000"/>
                          <w:bottom w:val="nil" w:sz="6" w:space="0" w:color="auto"/>
                          <w:right w:val="single" w:sz="4" w:space="0" w:color="000000"/>
                        </w:tcBorders>
                      </w:tcPr>
                      <w:p>
                        <w:pP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战略与运营目标或关键业绩指标的执</w:t>
                        </w:r>
                      </w:p>
                    </w:tc>
                  </w:tr>
                  <w:tr>
                    <w:trPr>
                      <w:trHeight w:val="312" w:hRule="exact"/>
                    </w:trPr>
                    <w:tc>
                      <w:tcPr>
                        <w:tcW w:w="3190" w:type="dxa"/>
                        <w:vMerge/>
                        <w:tcBorders>
                          <w:left w:val="single" w:sz="4" w:space="0" w:color="000000"/>
                          <w:right w:val="single" w:sz="4" w:space="0" w:color="000000"/>
                        </w:tcBorders>
                        <w:shd w:val="clear" w:color="auto" w:fill="D2D2D2"/>
                      </w:tcPr>
                      <w:p>
                        <w:pPr/>
                      </w:p>
                    </w:tc>
                    <w:tc>
                      <w:tcPr>
                        <w:tcW w:w="3327" w:type="dxa"/>
                        <w:tcBorders>
                          <w:top w:val="nil" w:sz="6" w:space="0" w:color="auto"/>
                          <w:left w:val="single" w:sz="4" w:space="0" w:color="000000"/>
                          <w:bottom w:val="nil" w:sz="6" w:space="0" w:color="auto"/>
                          <w:right w:val="single" w:sz="4" w:space="0" w:color="000000"/>
                        </w:tcBorders>
                      </w:tcPr>
                      <w:p>
                        <w:pP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行不合理，严重偏离且存在方向性错</w:t>
                        </w:r>
                      </w:p>
                    </w:tc>
                  </w:tr>
                  <w:tr>
                    <w:trPr>
                      <w:trHeight w:val="2011" w:hRule="exact"/>
                    </w:trPr>
                    <w:tc>
                      <w:tcPr>
                        <w:tcW w:w="3190" w:type="dxa"/>
                        <w:vMerge/>
                        <w:tcBorders>
                          <w:left w:val="single" w:sz="4" w:space="0" w:color="000000"/>
                          <w:bottom w:val="nil" w:sz="6" w:space="0" w:color="auto"/>
                          <w:right w:val="single" w:sz="4" w:space="0" w:color="000000"/>
                        </w:tcBorders>
                        <w:shd w:val="clear" w:color="auto" w:fill="D2D2D2"/>
                      </w:tcPr>
                      <w:p>
                        <w:pPr/>
                      </w:p>
                    </w:tc>
                    <w:tc>
                      <w:tcPr>
                        <w:tcW w:w="3327" w:type="dxa"/>
                        <w:vMerge w:val="restart"/>
                        <w:tcBorders>
                          <w:top w:val="nil" w:sz="6" w:space="0" w:color="auto"/>
                          <w:left w:val="single" w:sz="4" w:space="0" w:color="000000"/>
                          <w:right w:val="single" w:sz="4" w:space="0" w:color="000000"/>
                        </w:tcBorders>
                      </w:tcPr>
                      <w:p>
                        <w:pPr>
                          <w:pStyle w:val="TableParagraph"/>
                          <w:spacing w:line="307" w:lineRule="auto" w:before="147"/>
                          <w:ind w:left="29" w:right="46"/>
                          <w:jc w:val="left"/>
                          <w:rPr>
                            <w:rFonts w:ascii="宋体" w:hAnsi="宋体" w:cs="宋体" w:eastAsia="宋体" w:hint="default"/>
                            <w:sz w:val="18"/>
                            <w:szCs w:val="18"/>
                          </w:rPr>
                        </w:pPr>
                        <w:r>
                          <w:rPr>
                            <w:rFonts w:ascii="宋体" w:hAnsi="宋体" w:cs="宋体" w:eastAsia="宋体" w:hint="default"/>
                            <w:sz w:val="18"/>
                            <w:szCs w:val="18"/>
                          </w:rPr>
                          <w:t>财务报告内部控制可能存在重大缺陷的迹 </w:t>
                        </w:r>
                        <w:r>
                          <w:rPr>
                            <w:rFonts w:ascii="宋体" w:hAnsi="宋体" w:cs="宋体" w:eastAsia="宋体" w:hint="default"/>
                            <w:spacing w:val="-12"/>
                            <w:sz w:val="18"/>
                            <w:szCs w:val="18"/>
                          </w:rPr>
                          <w:t>象：（</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）董事、监事和高级管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给公司造成重大损失；（</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）已披露的财务</w:t>
                        </w:r>
                        <w:r>
                          <w:rPr>
                            <w:rFonts w:ascii="宋体" w:hAnsi="宋体" w:cs="宋体" w:eastAsia="宋体" w:hint="default"/>
                            <w:spacing w:val="-86"/>
                            <w:sz w:val="18"/>
                            <w:szCs w:val="18"/>
                          </w:rPr>
                          <w:t> </w:t>
                        </w:r>
                        <w:r>
                          <w:rPr>
                            <w:rFonts w:ascii="宋体" w:hAnsi="宋体" w:cs="宋体" w:eastAsia="宋体" w:hint="default"/>
                            <w:spacing w:val="-9"/>
                            <w:sz w:val="18"/>
                            <w:szCs w:val="18"/>
                          </w:rPr>
                          <w:t>报告和会计信息严重不准确、不公允；（</w:t>
                        </w:r>
                        <w:r>
                          <w:rPr>
                            <w:rFonts w:ascii="Times New Roman" w:hAnsi="Times New Roman" w:cs="Times New Roman" w:eastAsia="Times New Roman" w:hint="default"/>
                            <w:spacing w:val="-9"/>
                            <w:sz w:val="18"/>
                            <w:szCs w:val="18"/>
                          </w:rPr>
                          <w:t>3</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企业审计委员会和内部审计机构对内部控 制的监督无效。</w:t>
                        </w:r>
                      </w:p>
                      <w:p>
                        <w:pPr>
                          <w:pStyle w:val="TableParagraph"/>
                          <w:spacing w:line="307" w:lineRule="auto" w:before="67"/>
                          <w:ind w:left="29" w:right="43"/>
                          <w:jc w:val="both"/>
                          <w:rPr>
                            <w:rFonts w:ascii="宋体" w:hAnsi="宋体" w:cs="宋体" w:eastAsia="宋体" w:hint="default"/>
                            <w:sz w:val="18"/>
                            <w:szCs w:val="18"/>
                          </w:rPr>
                        </w:pPr>
                        <w:r>
                          <w:rPr>
                            <w:rFonts w:ascii="宋体" w:hAnsi="宋体" w:cs="宋体" w:eastAsia="宋体" w:hint="default"/>
                            <w:spacing w:val="-5"/>
                            <w:sz w:val="18"/>
                            <w:szCs w:val="18"/>
                          </w:rPr>
                          <w:t>重要缺陷：（</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）已披露的财务报告和会计</w:t>
                        </w:r>
                        <w:r>
                          <w:rPr>
                            <w:rFonts w:ascii="宋体" w:hAnsi="宋体" w:cs="宋体" w:eastAsia="宋体" w:hint="default"/>
                            <w:spacing w:val="-86"/>
                            <w:sz w:val="18"/>
                            <w:szCs w:val="18"/>
                          </w:rPr>
                          <w:t> </w:t>
                        </w:r>
                        <w:r>
                          <w:rPr>
                            <w:rFonts w:ascii="宋体" w:hAnsi="宋体" w:cs="宋体" w:eastAsia="宋体" w:hint="default"/>
                            <w:spacing w:val="-5"/>
                            <w:sz w:val="18"/>
                            <w:szCs w:val="18"/>
                          </w:rPr>
                          <w:t>信息存在较大不准确、不公允；（</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）企业</w:t>
                        </w:r>
                        <w:r>
                          <w:rPr>
                            <w:rFonts w:ascii="宋体" w:hAnsi="宋体" w:cs="宋体" w:eastAsia="宋体" w:hint="default"/>
                            <w:spacing w:val="-83"/>
                            <w:sz w:val="18"/>
                            <w:szCs w:val="18"/>
                          </w:rPr>
                          <w:t> </w:t>
                        </w:r>
                        <w:r>
                          <w:rPr>
                            <w:rFonts w:ascii="宋体" w:hAnsi="宋体" w:cs="宋体" w:eastAsia="宋体" w:hint="default"/>
                            <w:sz w:val="18"/>
                            <w:szCs w:val="18"/>
                          </w:rPr>
                          <w:t>监事会、审计委员会或内部审计部门对内 </w:t>
                        </w:r>
                        <w:r>
                          <w:rPr>
                            <w:rFonts w:ascii="宋体" w:hAnsi="宋体" w:cs="宋体" w:eastAsia="宋体" w:hint="default"/>
                            <w:spacing w:val="-5"/>
                            <w:sz w:val="18"/>
                            <w:szCs w:val="18"/>
                          </w:rPr>
                          <w:t>部控制监督不到位；（</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）未建立反舞弊程</w:t>
                        </w:r>
                      </w:p>
                    </w:tc>
                    <w:tc>
                      <w:tcPr>
                        <w:tcW w:w="3053" w:type="dxa"/>
                        <w:vMerge w:val="restart"/>
                        <w:tcBorders>
                          <w:top w:val="nil" w:sz="6" w:space="0" w:color="auto"/>
                          <w:left w:val="single" w:sz="4" w:space="0" w:color="000000"/>
                          <w:right w:val="single" w:sz="4" w:space="0" w:color="000000"/>
                        </w:tcBorders>
                      </w:tcPr>
                      <w:p>
                        <w:pPr>
                          <w:pStyle w:val="TableParagraph"/>
                          <w:spacing w:line="304" w:lineRule="auto" w:before="10"/>
                          <w:ind w:left="26" w:right="19"/>
                          <w:jc w:val="left"/>
                          <w:rPr>
                            <w:rFonts w:ascii="宋体" w:hAnsi="宋体" w:cs="宋体" w:eastAsia="宋体" w:hint="default"/>
                            <w:sz w:val="18"/>
                            <w:szCs w:val="18"/>
                          </w:rPr>
                        </w:pPr>
                        <w:r>
                          <w:rPr>
                            <w:rFonts w:ascii="宋体" w:hAnsi="宋体" w:cs="宋体" w:eastAsia="宋体" w:hint="default"/>
                            <w:spacing w:val="-4"/>
                            <w:sz w:val="18"/>
                            <w:szCs w:val="18"/>
                          </w:rPr>
                          <w:t>误，对战略与运营目标的实现产生严重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负面作用。除上述定量定性指标外，另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外明确了通常表明非财务报告内部控 </w:t>
                        </w:r>
                        <w:r>
                          <w:rPr>
                            <w:rFonts w:ascii="宋体" w:hAnsi="宋体" w:cs="宋体" w:eastAsia="宋体" w:hint="default"/>
                            <w:spacing w:val="-9"/>
                            <w:sz w:val="18"/>
                            <w:szCs w:val="18"/>
                          </w:rPr>
                          <w:t>制可能存在重大缺陷的迹象：（</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）企业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缺乏民主决策程序，如缺乏</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三重一大</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pacing w:val="-6"/>
                            <w:sz w:val="18"/>
                            <w:szCs w:val="18"/>
                          </w:rPr>
                          <w:t>决策程序；（</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）企业决策程序不科学</w:t>
                        </w:r>
                        <w:r>
                          <w:rPr>
                            <w:rFonts w:ascii="宋体" w:hAnsi="宋体" w:cs="宋体" w:eastAsia="宋体" w:hint="default"/>
                            <w:spacing w:val="-79"/>
                            <w:sz w:val="18"/>
                            <w:szCs w:val="18"/>
                          </w:rPr>
                          <w:t> </w:t>
                        </w:r>
                        <w:r>
                          <w:rPr>
                            <w:rFonts w:ascii="宋体" w:hAnsi="宋体" w:cs="宋体" w:eastAsia="宋体" w:hint="default"/>
                            <w:spacing w:val="-10"/>
                            <w:sz w:val="18"/>
                            <w:szCs w:val="18"/>
                          </w:rPr>
                          <w:t>如决策失误，导致并购不成功；（</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）违</w:t>
                        </w:r>
                        <w:r>
                          <w:rPr>
                            <w:rFonts w:ascii="宋体" w:hAnsi="宋体" w:cs="宋体" w:eastAsia="宋体" w:hint="default"/>
                            <w:spacing w:val="-86"/>
                            <w:sz w:val="18"/>
                            <w:szCs w:val="18"/>
                          </w:rPr>
                          <w:t> </w:t>
                        </w:r>
                        <w:r>
                          <w:rPr>
                            <w:rFonts w:ascii="宋体" w:hAnsi="宋体" w:cs="宋体" w:eastAsia="宋体" w:hint="default"/>
                            <w:spacing w:val="-6"/>
                            <w:sz w:val="18"/>
                            <w:szCs w:val="18"/>
                          </w:rPr>
                          <w:t>犯国家法律、法规，如环境污染；（</w:t>
                        </w:r>
                        <w:r>
                          <w:rPr>
                            <w:rFonts w:ascii="Times New Roman" w:hAnsi="Times New Roman" w:cs="Times New Roman" w:eastAsia="Times New Roman" w:hint="default"/>
                            <w:spacing w:val="-6"/>
                            <w:sz w:val="18"/>
                            <w:szCs w:val="18"/>
                          </w:rPr>
                          <w:t>4</w:t>
                        </w:r>
                        <w:r>
                          <w:rPr>
                            <w:rFonts w:ascii="Times New Roman" w:hAnsi="Times New Roman" w:cs="Times New Roman" w:eastAsia="Times New Roman" w:hint="default"/>
                            <w:spacing w:val="-35"/>
                            <w:sz w:val="18"/>
                            <w:szCs w:val="18"/>
                          </w:rPr>
                          <w:t> </w:t>
                        </w:r>
                        <w:r>
                          <w:rPr>
                            <w:rFonts w:ascii="宋体" w:hAnsi="宋体" w:cs="宋体" w:eastAsia="宋体" w:hint="default"/>
                            <w:spacing w:val="-11"/>
                            <w:sz w:val="18"/>
                            <w:szCs w:val="18"/>
                          </w:rPr>
                          <w:t>管理人员或技术人员纷纷流失；（</w:t>
                        </w:r>
                        <w:r>
                          <w:rPr>
                            <w:rFonts w:ascii="Times New Roman" w:hAnsi="Times New Roman" w:cs="Times New Roman" w:eastAsia="Times New Roman" w:hint="default"/>
                            <w:spacing w:val="-11"/>
                            <w:sz w:val="18"/>
                            <w:szCs w:val="18"/>
                          </w:rPr>
                          <w:t>5</w:t>
                        </w:r>
                        <w:r>
                          <w:rPr>
                            <w:rFonts w:ascii="宋体" w:hAnsi="宋体" w:cs="宋体" w:eastAsia="宋体" w:hint="default"/>
                            <w:spacing w:val="-11"/>
                            <w:sz w:val="18"/>
                            <w:szCs w:val="18"/>
                          </w:rPr>
                          <w:t>）媒</w:t>
                        </w:r>
                        <w:r>
                          <w:rPr>
                            <w:rFonts w:ascii="宋体" w:hAnsi="宋体" w:cs="宋体" w:eastAsia="宋体" w:hint="default"/>
                            <w:spacing w:val="-82"/>
                            <w:sz w:val="18"/>
                            <w:szCs w:val="18"/>
                          </w:rPr>
                          <w:t> </w:t>
                        </w:r>
                        <w:r>
                          <w:rPr>
                            <w:rFonts w:ascii="宋体" w:hAnsi="宋体" w:cs="宋体" w:eastAsia="宋体" w:hint="default"/>
                            <w:spacing w:val="-9"/>
                            <w:sz w:val="18"/>
                            <w:szCs w:val="18"/>
                          </w:rPr>
                          <w:t>体负面新闻频现；（</w:t>
                        </w:r>
                        <w:r>
                          <w:rPr>
                            <w:rFonts w:ascii="Times New Roman" w:hAnsi="Times New Roman" w:cs="Times New Roman" w:eastAsia="Times New Roman" w:hint="default"/>
                            <w:spacing w:val="-9"/>
                            <w:sz w:val="18"/>
                            <w:szCs w:val="18"/>
                          </w:rPr>
                          <w:t>6</w:t>
                        </w:r>
                        <w:r>
                          <w:rPr>
                            <w:rFonts w:ascii="宋体" w:hAnsi="宋体" w:cs="宋体" w:eastAsia="宋体" w:hint="default"/>
                            <w:spacing w:val="-9"/>
                            <w:sz w:val="18"/>
                            <w:szCs w:val="18"/>
                          </w:rPr>
                          <w:t>）内部控制评价的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结果特别是重大或重要缺陷未得到整</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4" w:space="0" w:color="000000"/>
                          <w:right w:val="single" w:sz="4" w:space="0" w:color="000000"/>
                        </w:tcBorders>
                      </w:tcPr>
                      <w:p>
                        <w:pPr/>
                      </w:p>
                    </w:tc>
                    <w:tc>
                      <w:tcPr>
                        <w:tcW w:w="3053" w:type="dxa"/>
                        <w:vMerge/>
                        <w:tcBorders>
                          <w:left w:val="single" w:sz="4" w:space="0" w:color="000000"/>
                          <w:right w:val="single" w:sz="4" w:space="0" w:color="000000"/>
                        </w:tcBorders>
                      </w:tcPr>
                      <w:p>
                        <w:pPr/>
                      </w:p>
                    </w:tc>
                  </w:tr>
                  <w:tr>
                    <w:trPr>
                      <w:trHeight w:val="963" w:hRule="exact"/>
                    </w:trPr>
                    <w:tc>
                      <w:tcPr>
                        <w:tcW w:w="3190" w:type="dxa"/>
                        <w:vMerge w:val="restart"/>
                        <w:tcBorders>
                          <w:top w:val="nil" w:sz="6" w:space="0" w:color="auto"/>
                          <w:left w:val="single" w:sz="4" w:space="0" w:color="000000"/>
                          <w:right w:val="single" w:sz="4" w:space="0" w:color="000000"/>
                        </w:tcBorders>
                        <w:shd w:val="clear" w:color="auto" w:fill="D2D2D2"/>
                      </w:tcPr>
                      <w:p>
                        <w:pPr/>
                      </w:p>
                    </w:tc>
                    <w:tc>
                      <w:tcPr>
                        <w:tcW w:w="3327" w:type="dxa"/>
                        <w:vMerge/>
                        <w:tcBorders>
                          <w:left w:val="single" w:sz="4" w:space="0" w:color="000000"/>
                          <w:bottom w:val="nil" w:sz="6" w:space="0" w:color="auto"/>
                          <w:right w:val="single" w:sz="4" w:space="0" w:color="000000"/>
                        </w:tcBorders>
                      </w:tcPr>
                      <w:p>
                        <w:pPr/>
                      </w:p>
                    </w:tc>
                    <w:tc>
                      <w:tcPr>
                        <w:tcW w:w="3053" w:type="dxa"/>
                        <w:vMerge/>
                        <w:tcBorders>
                          <w:left w:val="single" w:sz="4" w:space="0" w:color="000000"/>
                          <w:bottom w:val="nil" w:sz="6" w:space="0" w:color="auto"/>
                          <w:right w:val="single" w:sz="4" w:space="0" w:color="000000"/>
                        </w:tcBorders>
                      </w:tcPr>
                      <w:p>
                        <w:pPr/>
                      </w:p>
                    </w:tc>
                  </w:tr>
                  <w:tr>
                    <w:trPr>
                      <w:trHeight w:val="336" w:hRule="exact"/>
                    </w:trPr>
                    <w:tc>
                      <w:tcPr>
                        <w:tcW w:w="3190" w:type="dxa"/>
                        <w:vMerge/>
                        <w:tcBorders>
                          <w:left w:val="single" w:sz="4" w:space="0" w:color="000000"/>
                          <w:right w:val="single" w:sz="4" w:space="0" w:color="000000"/>
                        </w:tcBorders>
                        <w:shd w:val="clear" w:color="auto" w:fill="D2D2D2"/>
                      </w:tcPr>
                      <w:p>
                        <w:pPr/>
                      </w:p>
                    </w:tc>
                    <w:tc>
                      <w:tcPr>
                        <w:tcW w:w="3327"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9" w:right="0"/>
                          <w:jc w:val="left"/>
                          <w:rPr>
                            <w:rFonts w:ascii="宋体" w:hAnsi="宋体" w:cs="宋体" w:eastAsia="宋体" w:hint="default"/>
                            <w:sz w:val="18"/>
                            <w:szCs w:val="18"/>
                          </w:rPr>
                        </w:pPr>
                        <w:r>
                          <w:rPr>
                            <w:rFonts w:ascii="宋体" w:hAnsi="宋体" w:cs="宋体" w:eastAsia="宋体" w:hint="default"/>
                            <w:sz w:val="18"/>
                            <w:szCs w:val="18"/>
                          </w:rPr>
                          <w:t>序和控制措施。</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pacing w:val="-2"/>
                            <w:sz w:val="18"/>
                            <w:szCs w:val="18"/>
                          </w:rPr>
                          <w:t>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）重要业务缺乏制度控制或制度</w:t>
                        </w:r>
                      </w:p>
                    </w:tc>
                  </w:tr>
                  <w:tr>
                    <w:trPr>
                      <w:trHeight w:val="307" w:hRule="exact"/>
                    </w:trPr>
                    <w:tc>
                      <w:tcPr>
                        <w:tcW w:w="3190" w:type="dxa"/>
                        <w:vMerge/>
                        <w:tcBorders>
                          <w:left w:val="single" w:sz="4" w:space="0" w:color="000000"/>
                          <w:right w:val="single" w:sz="4" w:space="0" w:color="000000"/>
                        </w:tcBorders>
                        <w:shd w:val="clear" w:color="auto" w:fill="D2D2D2"/>
                      </w:tcPr>
                      <w:p>
                        <w:pPr/>
                      </w:p>
                    </w:tc>
                    <w:tc>
                      <w:tcPr>
                        <w:tcW w:w="3327" w:type="dxa"/>
                        <w:tcBorders>
                          <w:top w:val="nil" w:sz="6" w:space="0" w:color="auto"/>
                          <w:left w:val="single" w:sz="4" w:space="0" w:color="000000"/>
                          <w:bottom w:val="nil" w:sz="6" w:space="0" w:color="auto"/>
                          <w:right w:val="single" w:sz="4" w:space="0" w:color="000000"/>
                        </w:tcBorders>
                      </w:tcPr>
                      <w:p>
                        <w:pPr>
                          <w:pStyle w:val="TableParagraph"/>
                          <w:spacing w:line="193" w:lineRule="exact"/>
                          <w:ind w:left="29" w:right="0"/>
                          <w:jc w:val="left"/>
                          <w:rPr>
                            <w:rFonts w:ascii="宋体" w:hAnsi="宋体" w:cs="宋体" w:eastAsia="宋体" w:hint="default"/>
                            <w:sz w:val="18"/>
                            <w:szCs w:val="18"/>
                          </w:rPr>
                        </w:pPr>
                        <w:r>
                          <w:rPr>
                            <w:rFonts w:ascii="宋体" w:hAnsi="宋体" w:cs="宋体" w:eastAsia="宋体" w:hint="default"/>
                            <w:sz w:val="18"/>
                            <w:szCs w:val="18"/>
                          </w:rPr>
                          <w:t>一般缺陷：除以上缺陷外其他认定为一般</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系统性失效。</w:t>
                        </w:r>
                      </w:p>
                    </w:tc>
                  </w:tr>
                  <w:tr>
                    <w:trPr>
                      <w:trHeight w:val="401" w:hRule="exact"/>
                    </w:trPr>
                    <w:tc>
                      <w:tcPr>
                        <w:tcW w:w="3190" w:type="dxa"/>
                        <w:vMerge/>
                        <w:tcBorders>
                          <w:left w:val="single" w:sz="4" w:space="0" w:color="000000"/>
                          <w:right w:val="single" w:sz="4" w:space="0" w:color="000000"/>
                        </w:tcBorders>
                        <w:shd w:val="clear" w:color="auto" w:fill="D2D2D2"/>
                      </w:tcPr>
                      <w:p>
                        <w:pPr/>
                      </w:p>
                    </w:tc>
                    <w:tc>
                      <w:tcPr>
                        <w:tcW w:w="3327" w:type="dxa"/>
                        <w:tcBorders>
                          <w:top w:val="nil" w:sz="6" w:space="0" w:color="auto"/>
                          <w:left w:val="single" w:sz="4" w:space="0" w:color="000000"/>
                          <w:bottom w:val="nil" w:sz="6" w:space="0" w:color="auto"/>
                          <w:right w:val="single" w:sz="4" w:space="0" w:color="000000"/>
                        </w:tcBorders>
                      </w:tcPr>
                      <w:p>
                        <w:pPr>
                          <w:pStyle w:val="TableParagraph"/>
                          <w:spacing w:line="198" w:lineRule="exact"/>
                          <w:ind w:left="29" w:right="0"/>
                          <w:jc w:val="left"/>
                          <w:rPr>
                            <w:rFonts w:ascii="宋体" w:hAnsi="宋体" w:cs="宋体" w:eastAsia="宋体" w:hint="default"/>
                            <w:sz w:val="18"/>
                            <w:szCs w:val="18"/>
                          </w:rPr>
                        </w:pPr>
                        <w:r>
                          <w:rPr>
                            <w:rFonts w:ascii="宋体" w:hAnsi="宋体" w:cs="宋体" w:eastAsia="宋体" w:hint="default"/>
                            <w:sz w:val="18"/>
                            <w:szCs w:val="18"/>
                          </w:rPr>
                          <w:t>缺陷。</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left="26" w:right="0"/>
                          <w:jc w:val="left"/>
                          <w:rPr>
                            <w:rFonts w:ascii="宋体" w:hAnsi="宋体" w:cs="宋体" w:eastAsia="宋体" w:hint="default"/>
                            <w:sz w:val="18"/>
                            <w:szCs w:val="18"/>
                          </w:rPr>
                        </w:pPr>
                        <w:r>
                          <w:rPr>
                            <w:rFonts w:ascii="宋体" w:hAnsi="宋体" w:cs="宋体" w:eastAsia="宋体" w:hint="default"/>
                            <w:spacing w:val="-4"/>
                            <w:sz w:val="18"/>
                            <w:szCs w:val="18"/>
                          </w:rPr>
                          <w:t>重要缺陷：违反法律、法规、规章、政</w:t>
                        </w:r>
                      </w:p>
                    </w:tc>
                  </w:tr>
                  <w:tr>
                    <w:trPr>
                      <w:trHeight w:val="312" w:hRule="exact"/>
                    </w:trPr>
                    <w:tc>
                      <w:tcPr>
                        <w:tcW w:w="3190" w:type="dxa"/>
                        <w:vMerge/>
                        <w:tcBorders>
                          <w:left w:val="single" w:sz="4" w:space="0" w:color="000000"/>
                          <w:right w:val="single" w:sz="4" w:space="0" w:color="000000"/>
                        </w:tcBorders>
                        <w:shd w:val="clear" w:color="auto" w:fill="D2D2D2"/>
                      </w:tcPr>
                      <w:p>
                        <w:pPr/>
                      </w:p>
                    </w:tc>
                    <w:tc>
                      <w:tcPr>
                        <w:tcW w:w="3327" w:type="dxa"/>
                        <w:tcBorders>
                          <w:top w:val="nil" w:sz="6" w:space="0" w:color="auto"/>
                          <w:left w:val="single" w:sz="4" w:space="0" w:color="000000"/>
                          <w:bottom w:val="nil" w:sz="6" w:space="0" w:color="auto"/>
                          <w:right w:val="single" w:sz="4" w:space="0" w:color="000000"/>
                        </w:tcBorders>
                      </w:tcPr>
                      <w:p>
                        <w:pP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府政策、其他规范性文件等，导致地方</w:t>
                        </w:r>
                      </w:p>
                    </w:tc>
                  </w:tr>
                  <w:tr>
                    <w:trPr>
                      <w:trHeight w:val="312" w:hRule="exact"/>
                    </w:trPr>
                    <w:tc>
                      <w:tcPr>
                        <w:tcW w:w="3190" w:type="dxa"/>
                        <w:vMerge/>
                        <w:tcBorders>
                          <w:left w:val="single" w:sz="4" w:space="0" w:color="000000"/>
                          <w:right w:val="single" w:sz="4" w:space="0" w:color="000000"/>
                        </w:tcBorders>
                        <w:shd w:val="clear" w:color="auto" w:fill="D2D2D2"/>
                      </w:tcPr>
                      <w:p>
                        <w:pPr/>
                      </w:p>
                    </w:tc>
                    <w:tc>
                      <w:tcPr>
                        <w:tcW w:w="3327" w:type="dxa"/>
                        <w:tcBorders>
                          <w:top w:val="nil" w:sz="6" w:space="0" w:color="auto"/>
                          <w:left w:val="single" w:sz="4" w:space="0" w:color="000000"/>
                          <w:bottom w:val="nil" w:sz="6" w:space="0" w:color="auto"/>
                          <w:right w:val="single" w:sz="4" w:space="0" w:color="000000"/>
                        </w:tcBorders>
                      </w:tcPr>
                      <w:p>
                        <w:pP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政府或监管机构的调查，并责令停业整</w:t>
                        </w:r>
                      </w:p>
                    </w:tc>
                  </w:tr>
                  <w:tr>
                    <w:trPr>
                      <w:trHeight w:val="312" w:hRule="exact"/>
                    </w:trPr>
                    <w:tc>
                      <w:tcPr>
                        <w:tcW w:w="3190" w:type="dxa"/>
                        <w:vMerge/>
                        <w:tcBorders>
                          <w:left w:val="single" w:sz="4" w:space="0" w:color="000000"/>
                          <w:right w:val="single" w:sz="4" w:space="0" w:color="000000"/>
                        </w:tcBorders>
                        <w:shd w:val="clear" w:color="auto" w:fill="D2D2D2"/>
                      </w:tcPr>
                      <w:p>
                        <w:pPr/>
                      </w:p>
                    </w:tc>
                    <w:tc>
                      <w:tcPr>
                        <w:tcW w:w="3327" w:type="dxa"/>
                        <w:tcBorders>
                          <w:top w:val="nil" w:sz="6" w:space="0" w:color="auto"/>
                          <w:left w:val="single" w:sz="4" w:space="0" w:color="000000"/>
                          <w:bottom w:val="nil" w:sz="6" w:space="0" w:color="auto"/>
                          <w:right w:val="single" w:sz="4" w:space="0" w:color="000000"/>
                        </w:tcBorders>
                      </w:tcPr>
                      <w:p>
                        <w:pP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顿等；战略与运营目标或关键业绩指标</w:t>
                        </w:r>
                      </w:p>
                    </w:tc>
                  </w:tr>
                  <w:tr>
                    <w:trPr>
                      <w:trHeight w:val="312" w:hRule="exact"/>
                    </w:trPr>
                    <w:tc>
                      <w:tcPr>
                        <w:tcW w:w="3190" w:type="dxa"/>
                        <w:vMerge/>
                        <w:tcBorders>
                          <w:left w:val="single" w:sz="4" w:space="0" w:color="000000"/>
                          <w:right w:val="single" w:sz="4" w:space="0" w:color="000000"/>
                        </w:tcBorders>
                        <w:shd w:val="clear" w:color="auto" w:fill="D2D2D2"/>
                      </w:tcPr>
                      <w:p>
                        <w:pPr/>
                      </w:p>
                    </w:tc>
                    <w:tc>
                      <w:tcPr>
                        <w:tcW w:w="3327" w:type="dxa"/>
                        <w:tcBorders>
                          <w:top w:val="nil" w:sz="6" w:space="0" w:color="auto"/>
                          <w:left w:val="single" w:sz="4" w:space="0" w:color="000000"/>
                          <w:bottom w:val="nil" w:sz="6" w:space="0" w:color="auto"/>
                          <w:right w:val="single" w:sz="4" w:space="0" w:color="000000"/>
                        </w:tcBorders>
                      </w:tcPr>
                      <w:p>
                        <w:pP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执行不合理，严重偏离，对战略与运营</w:t>
                        </w:r>
                      </w:p>
                    </w:tc>
                  </w:tr>
                  <w:tr>
                    <w:trPr>
                      <w:trHeight w:val="333" w:hRule="exact"/>
                    </w:trPr>
                    <w:tc>
                      <w:tcPr>
                        <w:tcW w:w="3190" w:type="dxa"/>
                        <w:vMerge/>
                        <w:tcBorders>
                          <w:left w:val="single" w:sz="4" w:space="0" w:color="000000"/>
                          <w:right w:val="single" w:sz="4" w:space="0" w:color="000000"/>
                        </w:tcBorders>
                        <w:shd w:val="clear" w:color="auto" w:fill="D2D2D2"/>
                      </w:tcPr>
                      <w:p>
                        <w:pPr/>
                      </w:p>
                    </w:tc>
                    <w:tc>
                      <w:tcPr>
                        <w:tcW w:w="3327" w:type="dxa"/>
                        <w:tcBorders>
                          <w:top w:val="nil" w:sz="6" w:space="0" w:color="auto"/>
                          <w:left w:val="single" w:sz="4" w:space="0" w:color="000000"/>
                          <w:bottom w:val="nil" w:sz="6" w:space="0" w:color="auto"/>
                          <w:right w:val="single" w:sz="4" w:space="0" w:color="000000"/>
                        </w:tcBorders>
                      </w:tcPr>
                      <w:p>
                        <w:pP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目标的实现产生明显的消极作用。</w:t>
                        </w:r>
                      </w:p>
                    </w:tc>
                  </w:tr>
                  <w:tr>
                    <w:trPr>
                      <w:trHeight w:val="339" w:hRule="exact"/>
                    </w:trPr>
                    <w:tc>
                      <w:tcPr>
                        <w:tcW w:w="3190" w:type="dxa"/>
                        <w:vMerge/>
                        <w:tcBorders>
                          <w:left w:val="single" w:sz="4" w:space="0" w:color="000000"/>
                          <w:bottom w:val="single" w:sz="4" w:space="0" w:color="000000"/>
                          <w:right w:val="single" w:sz="4" w:space="0" w:color="000000"/>
                        </w:tcBorders>
                        <w:shd w:val="clear" w:color="auto" w:fill="D2D2D2"/>
                      </w:tcPr>
                      <w:p>
                        <w:pPr/>
                      </w:p>
                    </w:tc>
                    <w:tc>
                      <w:tcPr>
                        <w:tcW w:w="3327" w:type="dxa"/>
                        <w:tcBorders>
                          <w:top w:val="nil" w:sz="6" w:space="0" w:color="auto"/>
                          <w:left w:val="single" w:sz="4" w:space="0" w:color="000000"/>
                          <w:bottom w:val="single" w:sz="4" w:space="0" w:color="000000"/>
                          <w:right w:val="single" w:sz="14" w:space="0" w:color="FFFFFF"/>
                        </w:tcBorders>
                      </w:tcPr>
                      <w:p>
                        <w:pPr/>
                      </w:p>
                    </w:tc>
                    <w:tc>
                      <w:tcPr>
                        <w:tcW w:w="3053" w:type="dxa"/>
                        <w:tcBorders>
                          <w:top w:val="nil" w:sz="6" w:space="0" w:color="auto"/>
                          <w:left w:val="single" w:sz="14" w:space="0" w:color="FFFFFF"/>
                          <w:bottom w:val="single" w:sz="4" w:space="0" w:color="000000"/>
                          <w:right w:val="single" w:sz="14" w:space="0" w:color="FFFFFF"/>
                        </w:tcBorders>
                      </w:tcPr>
                      <w:p>
                        <w:pPr>
                          <w:pStyle w:val="TableParagraph"/>
                          <w:spacing w:line="240" w:lineRule="auto" w:before="31"/>
                          <w:ind w:left="13" w:right="0"/>
                          <w:jc w:val="left"/>
                          <w:rPr>
                            <w:rFonts w:ascii="宋体" w:hAnsi="宋体" w:cs="宋体" w:eastAsia="宋体" w:hint="default"/>
                            <w:sz w:val="18"/>
                            <w:szCs w:val="18"/>
                          </w:rPr>
                        </w:pPr>
                        <w:r>
                          <w:rPr>
                            <w:rFonts w:ascii="宋体" w:hAnsi="宋体" w:cs="宋体" w:eastAsia="宋体" w:hint="default"/>
                            <w:spacing w:val="-4"/>
                            <w:sz w:val="18"/>
                            <w:szCs w:val="18"/>
                          </w:rPr>
                          <w:t>一般缺陷：违反法律、法规、规章政府</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40" w:lineRule="auto" w:before="44"/>
        <w:ind w:left="0" w:right="1163"/>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240" w:lineRule="auto" w:before="44"/>
        <w:ind w:left="0" w:right="1163"/>
        <w:jc w:val="right"/>
      </w:pPr>
      <w:r>
        <w:rPr/>
        <w:t>，</w:t>
      </w:r>
    </w:p>
    <w:p>
      <w:pPr>
        <w:spacing w:line="240" w:lineRule="auto" w:before="4"/>
        <w:rPr>
          <w:rFonts w:ascii="宋体" w:hAnsi="宋体" w:cs="宋体" w:eastAsia="宋体" w:hint="default"/>
          <w:sz w:val="26"/>
          <w:szCs w:val="26"/>
        </w:rPr>
      </w:pPr>
    </w:p>
    <w:p>
      <w:pPr>
        <w:pStyle w:val="BodyText"/>
        <w:spacing w:line="240" w:lineRule="auto" w:before="44"/>
        <w:ind w:left="0" w:right="1162"/>
        <w:jc w:val="right"/>
      </w:pPr>
      <w:r>
        <w:rPr/>
        <w:t>）</w:t>
      </w:r>
    </w:p>
    <w:p>
      <w:pPr>
        <w:spacing w:after="0" w:line="240" w:lineRule="auto"/>
        <w:jc w:val="righ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44"/>
        <w:ind w:left="0" w:right="1163"/>
        <w:jc w:val="right"/>
      </w:pPr>
      <w:r>
        <w:rPr/>
        <w:pict>
          <v:shape style="position:absolute;margin-left:56.459999pt;margin-top:-45.50827pt;width:480.45pt;height:404pt;mso-position-horizontal-relative:page;mso-position-vertical-relative:paragraph;z-index:27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2"/>
                    <w:gridCol w:w="3053"/>
                  </w:tblGrid>
                  <w:tr>
                    <w:trPr>
                      <w:trHeight w:val="315"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3322" w:type="dxa"/>
                        <w:vMerge w:val="restart"/>
                        <w:tcBorders>
                          <w:top w:val="single" w:sz="4" w:space="0" w:color="000000"/>
                          <w:left w:val="single" w:sz="4" w:space="0" w:color="000000"/>
                          <w:right w:val="single" w:sz="4" w:space="0" w:color="000000"/>
                        </w:tcBorders>
                      </w:tcPr>
                      <w:p>
                        <w:pPr/>
                      </w:p>
                    </w:tc>
                    <w:tc>
                      <w:tcPr>
                        <w:tcW w:w="30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pacing w:val="-4"/>
                            <w:sz w:val="18"/>
                            <w:szCs w:val="18"/>
                          </w:rPr>
                          <w:t>政策、其他规范性文件等，导致地方政</w:t>
                        </w: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2" w:type="dxa"/>
                        <w:vMerge/>
                        <w:tcBorders>
                          <w:left w:val="single" w:sz="4" w:space="0" w:color="000000"/>
                          <w:right w:val="single" w:sz="4" w:space="0" w:color="000000"/>
                        </w:tcBorders>
                      </w:tcPr>
                      <w:p>
                        <w:pP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府或监管机构的调查，并被处以罚款或</w:t>
                        </w: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2" w:type="dxa"/>
                        <w:vMerge/>
                        <w:tcBorders>
                          <w:left w:val="single" w:sz="4" w:space="0" w:color="000000"/>
                          <w:right w:val="single" w:sz="4" w:space="0" w:color="000000"/>
                        </w:tcBorders>
                      </w:tcPr>
                      <w:p>
                        <w:pP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罚金；战略与运营目标或关键业绩的执</w:t>
                        </w: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2" w:type="dxa"/>
                        <w:vMerge/>
                        <w:tcBorders>
                          <w:left w:val="single" w:sz="4" w:space="0" w:color="000000"/>
                          <w:right w:val="single" w:sz="4" w:space="0" w:color="000000"/>
                        </w:tcBorders>
                      </w:tcPr>
                      <w:p>
                        <w:pP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行存在较小范围的不合理，目标偏离</w:t>
                        </w:r>
                      </w:p>
                    </w:tc>
                  </w:tr>
                  <w:tr>
                    <w:trPr>
                      <w:trHeight w:val="360"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3322" w:type="dxa"/>
                        <w:vMerge/>
                        <w:tcBorders>
                          <w:left w:val="single" w:sz="4" w:space="0" w:color="000000"/>
                          <w:bottom w:val="single" w:sz="4" w:space="0" w:color="000000"/>
                          <w:right w:val="single" w:sz="4" w:space="0" w:color="000000"/>
                        </w:tcBorders>
                      </w:tcPr>
                      <w:p>
                        <w:pPr/>
                      </w:p>
                    </w:tc>
                    <w:tc>
                      <w:tcPr>
                        <w:tcW w:w="30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对战略与运营目标的实现影响轻微。</w:t>
                        </w:r>
                      </w:p>
                    </w:tc>
                  </w:tr>
                  <w:tr>
                    <w:trPr>
                      <w:trHeight w:val="1393" w:hRule="exact"/>
                    </w:trPr>
                    <w:tc>
                      <w:tcPr>
                        <w:tcW w:w="3194"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37"/>
                          <w:jc w:val="left"/>
                          <w:rPr>
                            <w:rFonts w:ascii="宋体" w:hAnsi="宋体" w:cs="宋体" w:eastAsia="宋体" w:hint="default"/>
                            <w:sz w:val="18"/>
                            <w:szCs w:val="18"/>
                          </w:rPr>
                        </w:pPr>
                        <w:r>
                          <w:rPr>
                            <w:rFonts w:ascii="宋体" w:hAnsi="宋体" w:cs="宋体" w:eastAsia="宋体" w:hint="default"/>
                            <w:spacing w:val="-4"/>
                            <w:sz w:val="18"/>
                            <w:szCs w:val="18"/>
                          </w:rPr>
                          <w:t>重大缺陷：错报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合并会计报表利润总额的</w:t>
                        </w:r>
                        <w:r>
                          <w:rPr>
                            <w:rFonts w:ascii="宋体" w:hAnsi="宋体" w:cs="宋体" w:eastAsia="宋体" w:hint="default"/>
                            <w:spacing w:val="-8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合并会计报表资产总额的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错报</w:t>
                        </w:r>
                        <w:r>
                          <w:rPr>
                            <w:rFonts w:ascii="Times New Roman" w:hAnsi="Times New Roman" w:cs="Times New Roman" w:eastAsia="Times New Roman" w:hint="default"/>
                            <w:sz w:val="18"/>
                            <w:szCs w:val="18"/>
                          </w:rPr>
                          <w:t>≥</w:t>
                        </w:r>
                        <w:r>
                          <w:rPr>
                            <w:rFonts w:ascii="宋体" w:hAnsi="宋体" w:cs="宋体" w:eastAsia="宋体" w:hint="default"/>
                            <w:sz w:val="18"/>
                            <w:szCs w:val="18"/>
                          </w:rPr>
                          <w:t>合并会计报表主营业务收入或营业 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053" w:type="dxa"/>
                        <w:tcBorders>
                          <w:top w:val="single" w:sz="4" w:space="0" w:color="000000"/>
                          <w:left w:val="single" w:sz="4" w:space="0" w:color="000000"/>
                          <w:bottom w:val="nil" w:sz="6" w:space="0" w:color="auto"/>
                          <w:right w:val="single" w:sz="4" w:space="0" w:color="000000"/>
                        </w:tcBorders>
                      </w:tcPr>
                      <w:p>
                        <w:pPr>
                          <w:pStyle w:val="TableParagraph"/>
                          <w:spacing w:line="300" w:lineRule="auto" w:before="49"/>
                          <w:ind w:left="26" w:right="19"/>
                          <w:jc w:val="both"/>
                          <w:rPr>
                            <w:rFonts w:ascii="宋体" w:hAnsi="宋体" w:cs="宋体" w:eastAsia="宋体" w:hint="default"/>
                            <w:sz w:val="18"/>
                            <w:szCs w:val="18"/>
                          </w:rPr>
                        </w:pPr>
                        <w:r>
                          <w:rPr>
                            <w:rFonts w:ascii="宋体" w:hAnsi="宋体" w:cs="宋体" w:eastAsia="宋体" w:hint="default"/>
                            <w:sz w:val="18"/>
                            <w:szCs w:val="18"/>
                          </w:rPr>
                          <w:t>重大缺陷：错报</w:t>
                        </w:r>
                        <w:r>
                          <w:rPr>
                            <w:rFonts w:ascii="Times New Roman" w:hAnsi="Times New Roman" w:cs="Times New Roman" w:eastAsia="Times New Roman" w:hint="default"/>
                            <w:sz w:val="18"/>
                            <w:szCs w:val="18"/>
                          </w:rPr>
                          <w:t>≥</w:t>
                        </w:r>
                        <w:r>
                          <w:rPr>
                            <w:rFonts w:ascii="宋体" w:hAnsi="宋体" w:cs="宋体" w:eastAsia="宋体" w:hint="default"/>
                            <w:sz w:val="18"/>
                            <w:szCs w:val="18"/>
                          </w:rPr>
                          <w:t>合并会计报表利润总 额的</w:t>
                        </w:r>
                        <w:r>
                          <w:rPr>
                            <w:rFonts w:ascii="宋体" w:hAnsi="宋体" w:cs="宋体" w:eastAsia="宋体" w:hint="default"/>
                            <w:spacing w:val="-42"/>
                            <w:sz w:val="18"/>
                            <w:szCs w:val="18"/>
                          </w:rPr>
                          <w:t> </w:t>
                        </w:r>
                        <w:r>
                          <w:rPr>
                            <w:rFonts w:ascii="Times New Roman" w:hAnsi="Times New Roman" w:cs="Times New Roman" w:eastAsia="Times New Roman" w:hint="default"/>
                            <w:spacing w:val="-6"/>
                            <w:w w:val="100"/>
                            <w:sz w:val="18"/>
                            <w:szCs w:val="18"/>
                          </w:rPr>
                          <w:t>8%</w:t>
                        </w:r>
                        <w:r>
                          <w:rPr>
                            <w:rFonts w:ascii="宋体" w:hAnsi="宋体" w:cs="宋体" w:eastAsia="宋体" w:hint="default"/>
                            <w:spacing w:val="-6"/>
                            <w:w w:val="100"/>
                            <w:sz w:val="18"/>
                            <w:szCs w:val="18"/>
                          </w:rPr>
                          <w:t>；错报</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合并会计报表资产总额</w:t>
                        </w:r>
                        <w:r>
                          <w:rPr>
                            <w:rFonts w:ascii="宋体" w:hAnsi="宋体" w:cs="宋体" w:eastAsia="宋体" w:hint="default"/>
                            <w:sz w:val="18"/>
                            <w:szCs w:val="18"/>
                          </w:rPr>
                          <w:t> 的</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1.5%</w:t>
                        </w:r>
                        <w:r>
                          <w:rPr>
                            <w:rFonts w:ascii="宋体" w:hAnsi="宋体" w:cs="宋体" w:eastAsia="宋体" w:hint="default"/>
                            <w:spacing w:val="-3"/>
                            <w:sz w:val="18"/>
                            <w:szCs w:val="18"/>
                          </w:rPr>
                          <w:t>；错报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合并会计报表主营业务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收入或营业收入的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r>
                  <w:tr>
                    <w:trPr>
                      <w:trHeight w:val="2068"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300" w:lineRule="auto" w:before="102"/>
                          <w:ind w:left="24" w:right="17"/>
                          <w:jc w:val="both"/>
                          <w:rPr>
                            <w:rFonts w:ascii="宋体" w:hAnsi="宋体" w:cs="宋体" w:eastAsia="宋体" w:hint="default"/>
                            <w:sz w:val="18"/>
                            <w:szCs w:val="18"/>
                          </w:rPr>
                        </w:pPr>
                        <w:r>
                          <w:rPr>
                            <w:rFonts w:ascii="宋体" w:hAnsi="宋体" w:cs="宋体" w:eastAsia="宋体" w:hint="default"/>
                            <w:sz w:val="18"/>
                            <w:szCs w:val="18"/>
                          </w:rPr>
                          <w:t>重要缺陷：合并会计报表利润总额的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错报＜合并会计报表利润总额的</w:t>
                        </w:r>
                        <w:r>
                          <w:rPr>
                            <w:rFonts w:ascii="宋体" w:hAnsi="宋体" w:cs="宋体" w:eastAsia="宋体" w:hint="default"/>
                            <w:spacing w:val="-43"/>
                            <w:sz w:val="18"/>
                            <w:szCs w:val="18"/>
                          </w:rPr>
                          <w:t> </w:t>
                        </w:r>
                        <w:r>
                          <w:rPr>
                            <w:rFonts w:ascii="Times New Roman" w:hAnsi="Times New Roman" w:cs="Times New Roman" w:eastAsia="Times New Roman" w:hint="default"/>
                            <w:spacing w:val="-16"/>
                            <w:sz w:val="18"/>
                            <w:szCs w:val="18"/>
                          </w:rPr>
                          <w:t>5%</w:t>
                        </w:r>
                        <w:r>
                          <w:rPr>
                            <w:rFonts w:ascii="宋体" w:hAnsi="宋体" w:cs="宋体" w:eastAsia="宋体" w:hint="default"/>
                            <w:spacing w:val="-16"/>
                            <w:sz w:val="18"/>
                            <w:szCs w:val="18"/>
                          </w:rPr>
                          <w:t>；合并</w:t>
                        </w:r>
                        <w:r>
                          <w:rPr>
                            <w:rFonts w:ascii="宋体" w:hAnsi="宋体" w:cs="宋体" w:eastAsia="宋体" w:hint="default"/>
                            <w:sz w:val="18"/>
                            <w:szCs w:val="18"/>
                          </w:rPr>
                          <w:t> 会计报表资产总额的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错报＜合并会 计报表资产总额的</w:t>
                        </w:r>
                        <w:r>
                          <w:rPr>
                            <w:rFonts w:ascii="宋体" w:hAnsi="宋体" w:cs="宋体" w:eastAsia="宋体" w:hint="default"/>
                            <w:spacing w:val="-40"/>
                            <w:sz w:val="18"/>
                            <w:szCs w:val="18"/>
                          </w:rPr>
                          <w:t> </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；合并会计报表主营</w:t>
                        </w:r>
                        <w:r>
                          <w:rPr>
                            <w:rFonts w:ascii="宋体" w:hAnsi="宋体" w:cs="宋体" w:eastAsia="宋体" w:hint="default"/>
                            <w:sz w:val="18"/>
                            <w:szCs w:val="18"/>
                          </w:rPr>
                          <w:t> 业务收入或营业收入的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错报＜合并会 计报表主营业务收入或营业收入的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182" w:lineRule="exact"/>
                          <w:ind w:left="26" w:right="0"/>
                          <w:jc w:val="left"/>
                          <w:rPr>
                            <w:rFonts w:ascii="宋体" w:hAnsi="宋体" w:cs="宋体" w:eastAsia="宋体" w:hint="default"/>
                            <w:sz w:val="18"/>
                            <w:szCs w:val="18"/>
                          </w:rPr>
                        </w:pPr>
                        <w:r>
                          <w:rPr>
                            <w:rFonts w:ascii="宋体" w:hAnsi="宋体" w:cs="宋体" w:eastAsia="宋体" w:hint="default"/>
                            <w:sz w:val="18"/>
                            <w:szCs w:val="18"/>
                          </w:rPr>
                          <w:t>重要缺陷：合并会计报表利润总额的</w:t>
                        </w:r>
                      </w:p>
                      <w:p>
                        <w:pPr>
                          <w:pStyle w:val="TableParagraph"/>
                          <w:spacing w:line="240" w:lineRule="auto" w:before="77"/>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错报＜合并会计报表利润总额的</w:t>
                        </w:r>
                      </w:p>
                      <w:p>
                        <w:pPr>
                          <w:pStyle w:val="TableParagraph"/>
                          <w:spacing w:line="304" w:lineRule="auto" w:before="63"/>
                          <w:ind w:left="26"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；合并会计报表资产总额的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错 报＜合并会计报表资产总额的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 合并会计报表主营业务收入或营业收 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错报＜合并会计报表主营业 务收入或营业收入的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r>
                  <w:tr>
                    <w:trPr>
                      <w:trHeight w:val="1389" w:hRule="exact"/>
                    </w:trPr>
                    <w:tc>
                      <w:tcPr>
                        <w:tcW w:w="3194"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single" w:sz="4" w:space="0" w:color="000000"/>
                          <w:right w:val="single" w:sz="14" w:space="0" w:color="FFFFFF"/>
                        </w:tcBorders>
                      </w:tcPr>
                      <w:p>
                        <w:pPr>
                          <w:pStyle w:val="TableParagraph"/>
                          <w:spacing w:line="183" w:lineRule="exact"/>
                          <w:ind w:left="24" w:right="0"/>
                          <w:jc w:val="left"/>
                          <w:rPr>
                            <w:rFonts w:ascii="宋体" w:hAnsi="宋体" w:cs="宋体" w:eastAsia="宋体" w:hint="default"/>
                            <w:sz w:val="18"/>
                            <w:szCs w:val="18"/>
                          </w:rPr>
                        </w:pPr>
                        <w:r>
                          <w:rPr>
                            <w:rFonts w:ascii="宋体" w:hAnsi="宋体" w:cs="宋体" w:eastAsia="宋体" w:hint="default"/>
                            <w:sz w:val="18"/>
                            <w:szCs w:val="18"/>
                          </w:rPr>
                          <w:t>一般缺陷：错报＜合并会计报表利润总额</w:t>
                        </w:r>
                      </w:p>
                      <w:p>
                        <w:pPr>
                          <w:pStyle w:val="TableParagraph"/>
                          <w:spacing w:line="300" w:lineRule="auto" w:before="76"/>
                          <w:ind w:left="24" w:right="18"/>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；错报＜合并会计报表资产总额的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；错报＜合并会计报表主营业务收入 或营业收入的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053" w:type="dxa"/>
                        <w:tcBorders>
                          <w:top w:val="nil" w:sz="6" w:space="0" w:color="auto"/>
                          <w:left w:val="single" w:sz="14" w:space="0" w:color="FFFFFF"/>
                          <w:bottom w:val="single" w:sz="4" w:space="0" w:color="000000"/>
                          <w:right w:val="single" w:sz="14" w:space="0" w:color="FFFFFF"/>
                        </w:tcBorders>
                      </w:tcPr>
                      <w:p>
                        <w:pPr>
                          <w:pStyle w:val="TableParagraph"/>
                          <w:spacing w:line="307" w:lineRule="auto" w:before="104"/>
                          <w:ind w:left="13" w:right="8"/>
                          <w:jc w:val="both"/>
                          <w:rPr>
                            <w:rFonts w:ascii="宋体" w:hAnsi="宋体" w:cs="宋体" w:eastAsia="宋体" w:hint="default"/>
                            <w:sz w:val="18"/>
                            <w:szCs w:val="18"/>
                          </w:rPr>
                        </w:pPr>
                        <w:r>
                          <w:rPr>
                            <w:rFonts w:ascii="宋体" w:hAnsi="宋体" w:cs="宋体" w:eastAsia="宋体" w:hint="default"/>
                            <w:spacing w:val="-4"/>
                            <w:sz w:val="18"/>
                            <w:szCs w:val="18"/>
                          </w:rPr>
                          <w:t>一般缺陷：错报＜合并会计报表利润总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；错报＜合并会计报表资产总 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；错报＜合并会计报表主营业 务收入或营业收入的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2"/>
        <w:spacing w:line="367" w:lineRule="exact"/>
        <w:ind w:right="967"/>
        <w:jc w:val="left"/>
        <w:rPr>
          <w:b w:val="0"/>
          <w:bCs w:val="0"/>
        </w:rPr>
      </w:pPr>
      <w:r>
        <w:rPr/>
        <w:t>十、内部控制审计报告或鉴证报告</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967"/>
        <w:jc w:val="left"/>
      </w:pPr>
      <w:r>
        <w:rPr/>
        <w:t>不适用</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456" w:lineRule="exact"/>
        <w:ind w:left="3045" w:right="967"/>
        <w:jc w:val="left"/>
        <w:rPr>
          <w:b w:val="0"/>
          <w:bCs w:val="0"/>
        </w:rPr>
      </w:pPr>
      <w:bookmarkStart w:name="_TOC_250002" w:id="11"/>
      <w:r>
        <w:rPr/>
        <w:t>第十一节公司债券相关情况</w:t>
      </w:r>
      <w:bookmarkEnd w:id="11"/>
      <w:r>
        <w:rPr>
          <w:b w:val="0"/>
          <w:bCs w:val="0"/>
        </w:rPr>
      </w:r>
    </w:p>
    <w:p>
      <w:pPr>
        <w:spacing w:line="240" w:lineRule="auto" w:before="17"/>
        <w:rPr>
          <w:rFonts w:ascii="Microsoft JhengHei" w:hAnsi="Microsoft JhengHei" w:cs="Microsoft JhengHei" w:eastAsia="Microsoft JhengHei" w:hint="default"/>
          <w:b/>
          <w:bCs/>
          <w:sz w:val="29"/>
          <w:szCs w:val="29"/>
        </w:rPr>
      </w:pPr>
    </w:p>
    <w:p>
      <w:pPr>
        <w:pStyle w:val="BodyText"/>
        <w:spacing w:line="357" w:lineRule="auto"/>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456" w:lineRule="exact"/>
        <w:ind w:left="3607" w:right="967"/>
        <w:jc w:val="left"/>
        <w:rPr>
          <w:b w:val="0"/>
          <w:bCs w:val="0"/>
        </w:rPr>
      </w:pPr>
      <w:bookmarkStart w:name="_TOC_250001" w:id="12"/>
      <w:r>
        <w:rPr/>
        <w:t>第十二节 </w:t>
      </w:r>
      <w:r>
        <w:rPr>
          <w:spacing w:val="6"/>
        </w:rPr>
        <w:t> </w:t>
      </w:r>
      <w:r>
        <w:rPr/>
        <w:t>财务报告</w:t>
      </w:r>
      <w:bookmarkEnd w:id="12"/>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967"/>
        <w:jc w:val="left"/>
        <w:rPr>
          <w:b w:val="0"/>
          <w:bCs w:val="0"/>
        </w:rPr>
      </w:pPr>
      <w:r>
        <w:rPr/>
        <w:t>一、审计报告</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2020</w:t>
            </w:r>
            <w:r>
              <w:rPr>
                <w:rFonts w:ascii="宋体" w:hAnsi="宋体" w:cs="宋体" w:eastAsia="宋体" w:hint="default"/>
                <w:sz w:val="18"/>
                <w:szCs w:val="18"/>
              </w:rPr>
              <w:t>〕</w:t>
            </w:r>
            <w:r>
              <w:rPr>
                <w:rFonts w:ascii="Times New Roman" w:hAnsi="Times New Roman" w:cs="Times New Roman" w:eastAsia="Times New Roman" w:hint="default"/>
                <w:sz w:val="18"/>
                <w:szCs w:val="18"/>
              </w:rPr>
              <w:t>3-257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赵国梁、龙海燕</w:t>
            </w:r>
          </w:p>
        </w:tc>
      </w:tr>
    </w:tbl>
    <w:p>
      <w:pPr>
        <w:pStyle w:val="BodyText"/>
        <w:spacing w:line="240" w:lineRule="auto" w:before="49"/>
        <w:ind w:left="134" w:right="1112"/>
        <w:jc w:val="center"/>
      </w:pPr>
      <w:r>
        <w:rPr/>
        <w:t>审计报告正文</w:t>
      </w:r>
    </w:p>
    <w:p>
      <w:pPr>
        <w:pStyle w:val="BodyText"/>
        <w:spacing w:line="240" w:lineRule="auto" w:before="115"/>
        <w:ind w:right="967"/>
        <w:jc w:val="left"/>
      </w:pPr>
      <w:r>
        <w:rPr/>
        <w:t>深圳市金溢科技股份有限公司全体股东：</w:t>
      </w:r>
    </w:p>
    <w:p>
      <w:pPr>
        <w:spacing w:line="240" w:lineRule="auto" w:before="0"/>
        <w:rPr>
          <w:rFonts w:ascii="宋体" w:hAnsi="宋体" w:cs="宋体" w:eastAsia="宋体" w:hint="default"/>
          <w:sz w:val="20"/>
          <w:szCs w:val="20"/>
        </w:rPr>
      </w:pPr>
    </w:p>
    <w:p>
      <w:pPr>
        <w:pStyle w:val="BodyText"/>
        <w:spacing w:line="314" w:lineRule="auto" w:before="148"/>
        <w:ind w:left="513" w:right="967"/>
        <w:jc w:val="left"/>
      </w:pPr>
      <w:r>
        <w:rPr>
          <w:rFonts w:ascii="Microsoft JhengHei" w:hAnsi="Microsoft JhengHei" w:cs="Microsoft JhengHei" w:eastAsia="Microsoft JhengHei" w:hint="default"/>
          <w:b/>
          <w:bCs/>
        </w:rPr>
        <w:t>一、审计意见</w:t>
      </w:r>
      <w:r>
        <w:rPr>
          <w:rFonts w:ascii="Microsoft JhengHei" w:hAnsi="Microsoft JhengHei" w:cs="Microsoft JhengHei" w:eastAsia="Microsoft JhengHei" w:hint="default"/>
          <w:b/>
          <w:bCs/>
          <w:spacing w:val="-41"/>
        </w:rPr>
        <w:t> </w:t>
      </w:r>
      <w:r>
        <w:rPr>
          <w:rFonts w:ascii="Microsoft JhengHei" w:hAnsi="Microsoft JhengHei" w:cs="Microsoft JhengHei" w:eastAsia="Microsoft JhengHei" w:hint="default"/>
          <w:b/>
          <w:bCs/>
          <w:spacing w:val="-41"/>
        </w:rPr>
      </w:r>
      <w:r>
        <w:rPr>
          <w:spacing w:val="-2"/>
        </w:rPr>
        <w:t>我们审计了深圳市金溢科技股份有限公司（以下简称金溢科技公司）财务报表，包括</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日的合并及母公司资</w:t>
      </w:r>
    </w:p>
    <w:p>
      <w:pPr>
        <w:pStyle w:val="BodyText"/>
        <w:spacing w:line="300" w:lineRule="auto" w:before="1"/>
        <w:ind w:right="967"/>
        <w:jc w:val="left"/>
      </w:pPr>
      <w:r>
        <w:rPr>
          <w:spacing w:val="-2"/>
        </w:rPr>
        <w:t>产负债表，</w:t>
      </w:r>
      <w:r>
        <w:rPr>
          <w:rFonts w:ascii="Times New Roman" w:hAnsi="Times New Roman" w:cs="Times New Roman" w:eastAsia="Times New Roman" w:hint="default"/>
          <w:spacing w:val="-2"/>
        </w:rPr>
        <w:t>2019</w:t>
      </w:r>
      <w:r>
        <w:rPr>
          <w:spacing w:val="-2"/>
        </w:rPr>
        <w:t>年度的合并及母公司利润表、合并及母公司现金流量表、合并及母公司所有者权益变动表，以及相关财务报</w:t>
      </w:r>
      <w:r>
        <w:rPr>
          <w:spacing w:val="-62"/>
        </w:rPr>
        <w:t> </w:t>
      </w:r>
      <w:r>
        <w:rPr>
          <w:spacing w:val="-62"/>
        </w:rPr>
      </w:r>
      <w:r>
        <w:rPr/>
        <w:t>表附注。</w:t>
      </w:r>
    </w:p>
    <w:p>
      <w:pPr>
        <w:pStyle w:val="BodyText"/>
        <w:spacing w:line="300" w:lineRule="auto" w:before="72"/>
        <w:ind w:right="1128" w:firstLine="360"/>
        <w:jc w:val="both"/>
      </w:pPr>
      <w:r>
        <w:rPr>
          <w:spacing w:val="-2"/>
        </w:rPr>
        <w:t>我们认为，后附的财务报表在所有重大方面按照企业会计准则的规定编制，公允反映了金溢科技公司</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w:t>
      </w:r>
      <w:r>
        <w:rPr/>
        <w:t> 合并及母公司财务状况，以及</w:t>
      </w:r>
      <w:r>
        <w:rPr>
          <w:rFonts w:ascii="Times New Roman" w:hAnsi="Times New Roman" w:cs="Times New Roman" w:eastAsia="Times New Roman" w:hint="default"/>
        </w:rPr>
        <w:t>2019</w:t>
      </w:r>
      <w:r>
        <w:rPr/>
        <w:t>年度的合并及母公司经营成果和现金流量。</w:t>
      </w:r>
    </w:p>
    <w:p>
      <w:pPr>
        <w:spacing w:line="240" w:lineRule="auto" w:before="7"/>
        <w:rPr>
          <w:rFonts w:ascii="宋体" w:hAnsi="宋体" w:cs="宋体" w:eastAsia="宋体" w:hint="default"/>
          <w:sz w:val="26"/>
          <w:szCs w:val="26"/>
        </w:rPr>
      </w:pPr>
    </w:p>
    <w:p>
      <w:pPr>
        <w:pStyle w:val="BodyText"/>
        <w:spacing w:line="314" w:lineRule="auto"/>
        <w:ind w:left="513" w:right="967"/>
        <w:jc w:val="left"/>
      </w:pPr>
      <w:r>
        <w:rPr>
          <w:rFonts w:ascii="Microsoft JhengHei" w:hAnsi="Microsoft JhengHei" w:cs="Microsoft JhengHei" w:eastAsia="Microsoft JhengHei" w:hint="default"/>
          <w:b/>
          <w:bCs/>
        </w:rPr>
        <w:t>二、形成审计意见的基础</w:t>
      </w:r>
      <w:r>
        <w:rPr>
          <w:rFonts w:ascii="Microsoft JhengHei" w:hAnsi="Microsoft JhengHei" w:cs="Microsoft JhengHei" w:eastAsia="Microsoft JhengHei" w:hint="default"/>
          <w:b/>
          <w:bCs/>
          <w:spacing w:val="-40"/>
        </w:rPr>
        <w:t> </w:t>
      </w:r>
      <w:r>
        <w:rPr>
          <w:rFonts w:ascii="Microsoft JhengHei" w:hAnsi="Microsoft JhengHei" w:cs="Microsoft JhengHei" w:eastAsia="Microsoft JhengHei" w:hint="default"/>
          <w:b/>
          <w:bCs/>
          <w:spacing w:val="-40"/>
        </w:rPr>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316" w:lineRule="auto" w:before="1"/>
        <w:ind w:right="967"/>
        <w:jc w:val="left"/>
      </w:pPr>
      <w:r>
        <w:rPr>
          <w:spacing w:val="-2"/>
        </w:rPr>
        <w:t>阐述了我们在这些准则下的责任。按照中国注册会计师职业道德守则，我们独立于金溢科技公司，并履行了职业道德方面的</w:t>
      </w:r>
      <w:r>
        <w:rPr>
          <w:spacing w:val="-63"/>
        </w:rPr>
        <w:t> </w:t>
      </w:r>
      <w:r>
        <w:rPr>
          <w:spacing w:val="-63"/>
        </w:rPr>
      </w:r>
      <w:r>
        <w:rPr/>
        <w:t>其他责任。我们相信，我们获取的审计证据是充分、适当的，为发表审计意见提供了基础。</w:t>
      </w:r>
    </w:p>
    <w:p>
      <w:pPr>
        <w:spacing w:line="240" w:lineRule="auto" w:before="13"/>
        <w:rPr>
          <w:rFonts w:ascii="宋体" w:hAnsi="宋体" w:cs="宋体" w:eastAsia="宋体" w:hint="default"/>
          <w:sz w:val="26"/>
          <w:szCs w:val="26"/>
        </w:rPr>
      </w:pPr>
    </w:p>
    <w:p>
      <w:pPr>
        <w:pStyle w:val="BodyText"/>
        <w:spacing w:line="314" w:lineRule="auto"/>
        <w:ind w:left="513" w:right="967"/>
        <w:jc w:val="left"/>
      </w:pPr>
      <w:r>
        <w:rPr>
          <w:rFonts w:ascii="Microsoft JhengHei" w:hAnsi="Microsoft JhengHei" w:cs="Microsoft JhengHei" w:eastAsia="Microsoft JhengHei" w:hint="default"/>
          <w:b/>
          <w:bCs/>
        </w:rPr>
        <w:t>三、关键审计事项</w:t>
      </w:r>
      <w:r>
        <w:rPr>
          <w:rFonts w:ascii="Microsoft JhengHei" w:hAnsi="Microsoft JhengHei" w:cs="Microsoft JhengHei" w:eastAsia="Microsoft JhengHei" w:hint="default"/>
          <w:b/>
          <w:bCs/>
          <w:spacing w:val="-41"/>
        </w:rPr>
        <w:t> </w:t>
      </w:r>
      <w:r>
        <w:rPr>
          <w:rFonts w:ascii="Microsoft JhengHei" w:hAnsi="Microsoft JhengHei" w:cs="Microsoft JhengHei" w:eastAsia="Microsoft JhengHei" w:hint="default"/>
          <w:b/>
          <w:bCs/>
          <w:spacing w:val="-41"/>
        </w:rPr>
      </w:r>
      <w:r>
        <w:rPr>
          <w:spacing w:val="-2"/>
        </w:rPr>
        <w:t>关键审计事项是我们根据职业判断，认为对本期财务报表审计最为重要的事项。这些事项的应对以对财务报表整体进行</w:t>
      </w:r>
    </w:p>
    <w:p>
      <w:pPr>
        <w:pStyle w:val="BodyText"/>
        <w:spacing w:line="240" w:lineRule="auto" w:before="21"/>
        <w:ind w:right="967"/>
        <w:jc w:val="left"/>
      </w:pPr>
      <w:r>
        <w:rPr/>
        <w:t>审计并形成审计意见为背景，我们不对这些事项单独发表意见。</w:t>
      </w:r>
    </w:p>
    <w:p>
      <w:pPr>
        <w:pStyle w:val="BodyText"/>
        <w:spacing w:line="240" w:lineRule="auto" w:before="115"/>
        <w:ind w:left="513" w:right="967"/>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收入确认</w:t>
      </w:r>
    </w:p>
    <w:p>
      <w:pPr>
        <w:pStyle w:val="BodyText"/>
        <w:spacing w:line="340" w:lineRule="auto" w:before="103"/>
        <w:ind w:left="513" w:right="463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事项描述 相关信息披露详见财务报告附注五（</w:t>
      </w:r>
      <w:r>
        <w:rPr>
          <w:rFonts w:ascii="Times New Roman" w:hAnsi="Times New Roman" w:cs="Times New Roman" w:eastAsia="Times New Roman" w:hint="default"/>
        </w:rPr>
        <w:t>39</w:t>
      </w:r>
      <w:r>
        <w:rPr/>
        <w:t>）收入及附注七（</w:t>
      </w:r>
      <w:r>
        <w:rPr>
          <w:rFonts w:ascii="Times New Roman" w:hAnsi="Times New Roman" w:cs="Times New Roman" w:eastAsia="Times New Roman" w:hint="default"/>
        </w:rPr>
        <w:t>61</w:t>
      </w:r>
      <w:r>
        <w:rPr/>
        <w:t>）营业收入。</w:t>
      </w:r>
    </w:p>
    <w:p>
      <w:pPr>
        <w:pStyle w:val="BodyText"/>
        <w:spacing w:line="300" w:lineRule="auto" w:before="17"/>
        <w:ind w:right="1130" w:firstLine="360"/>
        <w:jc w:val="both"/>
      </w:pPr>
      <w:r>
        <w:rPr>
          <w:spacing w:val="-2"/>
        </w:rPr>
        <w:t>金溢科技公司的营业收入主要来自于</w:t>
      </w:r>
      <w:r>
        <w:rPr>
          <w:rFonts w:ascii="Times New Roman" w:hAnsi="Times New Roman" w:cs="Times New Roman" w:eastAsia="Times New Roman" w:hint="default"/>
          <w:spacing w:val="-2"/>
        </w:rPr>
        <w:t>ETC</w:t>
      </w:r>
      <w:r>
        <w:rPr>
          <w:spacing w:val="-2"/>
        </w:rPr>
        <w:t>及相关业务产品的销售及服务。</w:t>
      </w:r>
      <w:r>
        <w:rPr>
          <w:rFonts w:ascii="Times New Roman" w:hAnsi="Times New Roman" w:cs="Times New Roman" w:eastAsia="Times New Roman" w:hint="default"/>
          <w:spacing w:val="-2"/>
        </w:rPr>
        <w:t>2019</w:t>
      </w:r>
      <w:r>
        <w:rPr>
          <w:spacing w:val="-2"/>
        </w:rPr>
        <w:t>年度，金溢科技公司营业收入</w:t>
      </w:r>
      <w:r>
        <w:rPr>
          <w:rFonts w:ascii="宋体" w:hAnsi="宋体" w:cs="宋体" w:eastAsia="宋体" w:hint="default"/>
          <w:spacing w:val="-2"/>
        </w:rPr>
        <w:t>286,015.59</w:t>
      </w:r>
      <w:r>
        <w:rPr>
          <w:rFonts w:ascii="宋体" w:hAnsi="宋体" w:cs="宋体" w:eastAsia="宋体" w:hint="default"/>
        </w:rPr>
        <w:t> </w:t>
      </w:r>
      <w:r>
        <w:rPr/>
        <w:t>万元，较</w:t>
      </w:r>
      <w:r>
        <w:rPr>
          <w:rFonts w:ascii="宋体" w:hAnsi="宋体" w:cs="宋体" w:eastAsia="宋体" w:hint="default"/>
        </w:rPr>
        <w:t>2018</w:t>
      </w:r>
      <w:r>
        <w:rPr/>
        <w:t>年度营业收入</w:t>
      </w:r>
      <w:r>
        <w:rPr>
          <w:rFonts w:ascii="宋体" w:hAnsi="宋体" w:cs="宋体" w:eastAsia="宋体" w:hint="default"/>
        </w:rPr>
        <w:t>60,405.81</w:t>
      </w:r>
      <w:r>
        <w:rPr/>
        <w:t>万元增长</w:t>
      </w:r>
      <w:r>
        <w:rPr>
          <w:rFonts w:ascii="宋体" w:hAnsi="宋体" w:cs="宋体" w:eastAsia="宋体" w:hint="default"/>
        </w:rPr>
        <w:t>373.49%</w:t>
      </w:r>
      <w:r>
        <w:rPr/>
        <w:t>。</w:t>
      </w:r>
    </w:p>
    <w:p>
      <w:pPr>
        <w:pStyle w:val="BodyText"/>
        <w:spacing w:line="316" w:lineRule="auto" w:before="72"/>
        <w:ind w:right="1130" w:firstLine="360"/>
        <w:jc w:val="both"/>
      </w:pPr>
      <w:r>
        <w:rPr>
          <w:spacing w:val="-2"/>
        </w:rPr>
        <w:t>由于营业收入是金溢科技公司关键业绩指标之一，可能存在金溢科技公司管理层（以下简称管理层）通过不恰当的收入</w:t>
      </w:r>
      <w:r>
        <w:rPr/>
        <w:t> </w:t>
      </w:r>
      <w:r>
        <w:rPr>
          <w:spacing w:val="-2"/>
        </w:rPr>
        <w:t>确认以达到特定目标或预期的固有风险。同时，收入确认涉及复杂的信息系统和重大管理层判断。因此，我们将收入确认确</w:t>
      </w:r>
      <w:r>
        <w:rPr>
          <w:spacing w:val="-66"/>
        </w:rPr>
        <w:t> </w:t>
      </w:r>
      <w:r>
        <w:rPr>
          <w:spacing w:val="-66"/>
        </w:rPr>
      </w:r>
      <w:r>
        <w:rPr/>
        <w:t>定为关键审计事项。</w:t>
      </w:r>
    </w:p>
    <w:p>
      <w:pPr>
        <w:pStyle w:val="BodyText"/>
        <w:spacing w:line="338" w:lineRule="auto" w:before="59"/>
        <w:ind w:left="513" w:right="661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审计应对 针对收入确认，我们实施的审计程序主要包括：</w:t>
      </w:r>
    </w:p>
    <w:p>
      <w:pPr>
        <w:pStyle w:val="BodyText"/>
        <w:spacing w:line="240" w:lineRule="auto" w:before="43"/>
        <w:ind w:left="513" w:right="96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t>了解与收入确认相关的关键内部控制，评价这些控制的设计，确定其是否得到执行，并测试相关内部控制的运行有</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967"/>
        <w:jc w:val="left"/>
      </w:pPr>
      <w:r>
        <w:rPr/>
        <w:t>效性；</w:t>
      </w:r>
    </w:p>
    <w:p>
      <w:pPr>
        <w:pStyle w:val="BodyText"/>
        <w:spacing w:line="240" w:lineRule="auto" w:before="117"/>
        <w:ind w:left="513" w:right="96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检查销售合同，了解主要合同条款或条件，评价收入确认方法是否适当；</w:t>
      </w:r>
    </w:p>
    <w:p>
      <w:pPr>
        <w:pStyle w:val="BodyText"/>
        <w:spacing w:line="240" w:lineRule="auto" w:before="101"/>
        <w:ind w:left="513" w:right="96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3"/>
        </w:rPr>
        <w:t> </w:t>
      </w:r>
      <w:r>
        <w:rPr>
          <w:spacing w:val="-2"/>
        </w:rPr>
        <w:t>对营业收入及毛利率按月度、产品、客户等实施实质性分析程序，识别是否存在重大或异常波动，并查明波动原因；</w:t>
      </w:r>
    </w:p>
    <w:p>
      <w:pPr>
        <w:pStyle w:val="BodyText"/>
        <w:spacing w:line="300" w:lineRule="auto" w:before="103"/>
        <w:ind w:right="1117" w:firstLine="36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2"/>
        </w:rPr>
        <w:t> </w:t>
      </w:r>
      <w:r>
        <w:rPr/>
        <w:t>对于内销收入，以抽样方式检查与收入确认相关的支持性文件，包括销售合同、销售发票、出库单、物流单及客户</w:t>
      </w:r>
      <w:r>
        <w:rPr>
          <w:w w:val="99"/>
        </w:rPr>
        <w:t> </w:t>
      </w:r>
      <w:r>
        <w:rPr/>
        <w:t>签收单等支持性文件；对于出口收入，</w:t>
      </w:r>
      <w:r>
        <w:rPr>
          <w:spacing w:val="-18"/>
        </w:rPr>
        <w:t> </w:t>
      </w:r>
      <w:r>
        <w:rPr/>
        <w:t>以抽样方式检查销售合同、出口报关单、货运提单、销售发票等支持性文件；</w:t>
      </w:r>
    </w:p>
    <w:p>
      <w:pPr>
        <w:pStyle w:val="BodyText"/>
        <w:spacing w:line="240" w:lineRule="auto" w:before="72"/>
        <w:ind w:left="513" w:right="967"/>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7"/>
        </w:rPr>
        <w:t> </w:t>
      </w:r>
      <w:r>
        <w:rPr/>
        <w:t>结合应收账款函证，以抽样方式向主要客户函证本期销售额；</w:t>
      </w:r>
    </w:p>
    <w:p>
      <w:pPr>
        <w:pStyle w:val="BodyText"/>
        <w:spacing w:line="240" w:lineRule="auto" w:before="101"/>
        <w:ind w:left="513" w:right="967"/>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26"/>
        </w:rPr>
        <w:t> </w:t>
      </w:r>
      <w:r>
        <w:rPr/>
        <w:t>对资产负债表日前后确认的营业收入实施截止测试，评价营业收入是否在恰当期间确认；</w:t>
      </w:r>
    </w:p>
    <w:p>
      <w:pPr>
        <w:pStyle w:val="BodyText"/>
        <w:spacing w:line="240" w:lineRule="auto" w:before="103"/>
        <w:ind w:left="513" w:right="967"/>
        <w:jc w:val="left"/>
      </w:pPr>
      <w:r>
        <w:rPr>
          <w:rFonts w:ascii="Times New Roman" w:hAnsi="Times New Roman" w:cs="Times New Roman" w:eastAsia="Times New Roman" w:hint="default"/>
        </w:rPr>
        <w:t>(7)</w:t>
      </w:r>
      <w:r>
        <w:rPr>
          <w:rFonts w:ascii="Times New Roman" w:hAnsi="Times New Roman" w:cs="Times New Roman" w:eastAsia="Times New Roman" w:hint="default"/>
          <w:spacing w:val="27"/>
        </w:rPr>
        <w:t> </w:t>
      </w:r>
      <w:r>
        <w:rPr/>
        <w:t>检查与营业收入相关的信息是否已在财务报表中作出恰当列报。</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ind w:left="585" w:right="967"/>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应收账款减值</w:t>
      </w:r>
    </w:p>
    <w:p>
      <w:pPr>
        <w:pStyle w:val="BodyText"/>
        <w:spacing w:line="340" w:lineRule="auto" w:before="104"/>
        <w:ind w:left="513" w:right="580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事项描述 相关信息披露详见财务报告附注五（</w:t>
      </w:r>
      <w:r>
        <w:rPr>
          <w:rFonts w:ascii="Times New Roman" w:hAnsi="Times New Roman" w:cs="Times New Roman" w:eastAsia="Times New Roman" w:hint="default"/>
        </w:rPr>
        <w:t>12</w:t>
      </w:r>
      <w:r>
        <w:rPr/>
        <w:t>）及附注七（</w:t>
      </w:r>
      <w:r>
        <w:rPr>
          <w:rFonts w:ascii="Times New Roman" w:hAnsi="Times New Roman" w:cs="Times New Roman" w:eastAsia="Times New Roman" w:hint="default"/>
        </w:rPr>
        <w:t>5</w:t>
      </w:r>
      <w:r>
        <w:rPr/>
        <w:t>）。</w:t>
      </w:r>
    </w:p>
    <w:p>
      <w:pPr>
        <w:pStyle w:val="BodyText"/>
        <w:spacing w:line="300" w:lineRule="auto" w:before="17"/>
        <w:ind w:right="967" w:firstLine="36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日，金溢科技公司财务报表所示应收账款项目账面余额为人民币</w:t>
      </w:r>
      <w:r>
        <w:rPr>
          <w:rFonts w:ascii="Times New Roman" w:hAnsi="Times New Roman" w:cs="Times New Roman" w:eastAsia="Times New Roman" w:hint="default"/>
        </w:rPr>
        <w:t>837,618,021.22</w:t>
      </w:r>
      <w:r>
        <w:rPr/>
        <w:t>元，坏账准备为人民 币</w:t>
      </w:r>
      <w:r>
        <w:rPr>
          <w:rFonts w:ascii="Times New Roman" w:hAnsi="Times New Roman" w:cs="Times New Roman" w:eastAsia="Times New Roman" w:hint="default"/>
        </w:rPr>
        <w:t>85,191,547.54</w:t>
      </w:r>
      <w:r>
        <w:rPr/>
        <w:t>元，账面价值为人民币</w:t>
      </w:r>
      <w:r>
        <w:rPr>
          <w:rFonts w:ascii="Times New Roman" w:hAnsi="Times New Roman" w:cs="Times New Roman" w:eastAsia="Times New Roman" w:hint="default"/>
        </w:rPr>
        <w:t>752,426,473.68</w:t>
      </w:r>
      <w:r>
        <w:rPr/>
        <w:t>元。</w:t>
      </w:r>
    </w:p>
    <w:p>
      <w:pPr>
        <w:pStyle w:val="BodyText"/>
        <w:spacing w:line="316" w:lineRule="auto" w:before="53"/>
        <w:ind w:right="1130" w:firstLine="360"/>
        <w:jc w:val="both"/>
      </w:pPr>
      <w:r>
        <w:rPr>
          <w:spacing w:val="-2"/>
        </w:rPr>
        <w:t>管理层根据各项应收账款的信用风险特征，以单项应收账款或应收账款组合为基础，按照相当于整个存续期内的预期信</w:t>
      </w:r>
      <w:r>
        <w:rPr/>
        <w:t> </w:t>
      </w:r>
      <w:r>
        <w:rPr>
          <w:spacing w:val="-2"/>
        </w:rPr>
        <w:t>用损失金额计量其损失准备。对于以单项为基础计量预期信用损失的应收账款，管理层综合考虑有关过去事项、当前状况以</w:t>
      </w:r>
      <w:r>
        <w:rPr>
          <w:spacing w:val="-63"/>
        </w:rPr>
        <w:t> </w:t>
      </w:r>
      <w:r>
        <w:rPr>
          <w:spacing w:val="-63"/>
        </w:rPr>
      </w:r>
      <w:r>
        <w:rPr>
          <w:spacing w:val="-2"/>
        </w:rPr>
        <w:t>及未来经济状况预测的合理且有依据的信息，估计预期收取的现金流量，据此确定应计提的坏账准备；对于以组合为基础计</w:t>
      </w:r>
      <w:r>
        <w:rPr>
          <w:spacing w:val="-63"/>
        </w:rPr>
        <w:t> </w:t>
      </w:r>
      <w:r>
        <w:rPr>
          <w:spacing w:val="-63"/>
        </w:rPr>
      </w:r>
      <w:r>
        <w:rPr>
          <w:spacing w:val="-2"/>
        </w:rPr>
        <w:t>量预期信用损失的应收账款，管理层以账龄为依据划分组合，参照历史信用损失经验，并根据前瞻性估计予以调整，编制应</w:t>
      </w:r>
      <w:r>
        <w:rPr>
          <w:spacing w:val="-64"/>
        </w:rPr>
        <w:t> </w:t>
      </w:r>
      <w:r>
        <w:rPr>
          <w:spacing w:val="-64"/>
        </w:rPr>
      </w:r>
      <w:r>
        <w:rPr/>
        <w:t>收账款账龄与预期信用损失率对照表，据此确定应计提的坏账准备。</w:t>
      </w:r>
    </w:p>
    <w:p>
      <w:pPr>
        <w:pStyle w:val="BodyText"/>
        <w:spacing w:line="240" w:lineRule="auto" w:before="59"/>
        <w:ind w:left="513" w:right="967"/>
        <w:jc w:val="left"/>
      </w:pPr>
      <w:r>
        <w:rPr/>
        <w:t>由于应收账款金额重大，且应收账款减值涉及重大管理层判断，我们将应收账款减值确定为关键审计事项。</w:t>
      </w:r>
    </w:p>
    <w:p>
      <w:pPr>
        <w:pStyle w:val="BodyText"/>
        <w:spacing w:line="340" w:lineRule="auto" w:before="115"/>
        <w:ind w:left="513" w:right="625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审计应对 针对应收账款减值，我们实施的审计程序主要包括：</w:t>
      </w:r>
    </w:p>
    <w:p>
      <w:pPr>
        <w:pStyle w:val="BodyText"/>
        <w:spacing w:line="300" w:lineRule="auto" w:before="41"/>
        <w:ind w:right="1119" w:firstLine="36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t>了解与应收账款减值相关的关键内部控制，评价这些控制的设计，确定其是否得到执行，并测试相关内部控制的运</w:t>
      </w:r>
      <w:r>
        <w:rPr>
          <w:w w:val="99"/>
        </w:rPr>
        <w:t> </w:t>
      </w:r>
      <w:r>
        <w:rPr/>
        <w:t>行有效性；</w:t>
      </w:r>
    </w:p>
    <w:p>
      <w:pPr>
        <w:pStyle w:val="BodyText"/>
        <w:spacing w:line="240" w:lineRule="auto" w:before="70"/>
        <w:ind w:left="513" w:right="96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复核以前年度已计提坏账准备的应收账款的后续实际核销或转回情况，评价管理层过往预测的准确性；</w:t>
      </w:r>
    </w:p>
    <w:p>
      <w:pPr>
        <w:pStyle w:val="BodyText"/>
        <w:spacing w:line="300" w:lineRule="auto" w:before="103"/>
        <w:ind w:right="1116" w:firstLine="36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3"/>
        </w:rPr>
        <w:t> </w:t>
      </w:r>
      <w:r>
        <w:rPr/>
        <w:t>复核管理层对应收账款进行信用风险评估的相关考虑和客观证据，评价管理层是否恰当识别各项应收账款的信用风</w:t>
      </w:r>
      <w:r>
        <w:rPr>
          <w:w w:val="99"/>
        </w:rPr>
        <w:t> </w:t>
      </w:r>
      <w:r>
        <w:rPr/>
        <w:t>险特征；</w:t>
      </w:r>
    </w:p>
    <w:p>
      <w:pPr>
        <w:pStyle w:val="BodyText"/>
        <w:spacing w:line="300" w:lineRule="auto" w:before="72"/>
        <w:ind w:right="1116" w:firstLine="36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3"/>
        </w:rPr>
        <w:t> </w:t>
      </w:r>
      <w:r>
        <w:rPr/>
        <w:t>对于以单项为基础计量预期信用损失的应收账款，获取并检查管理层对预期收取现金流量的预测，评价在预测中使</w:t>
      </w:r>
      <w:r>
        <w:rPr>
          <w:w w:val="99"/>
        </w:rPr>
        <w:t> </w:t>
      </w:r>
      <w:r>
        <w:rPr/>
        <w:t>用的关键假设的合理性和数据的准确性，并与获取的外部证据进行核对；</w:t>
      </w:r>
    </w:p>
    <w:p>
      <w:pPr>
        <w:pStyle w:val="BodyText"/>
        <w:spacing w:line="309" w:lineRule="auto" w:before="70"/>
        <w:ind w:right="1132" w:firstLine="360"/>
        <w:jc w:val="both"/>
      </w:pPr>
      <w:r>
        <w:rPr>
          <w:rFonts w:ascii="Times New Roman" w:hAnsi="Times New Roman" w:cs="Times New Roman" w:eastAsia="Times New Roman" w:hint="default"/>
        </w:rPr>
        <w:t>(5)</w:t>
      </w:r>
      <w:r>
        <w:rPr>
          <w:rFonts w:ascii="Times New Roman" w:hAnsi="Times New Roman" w:cs="Times New Roman" w:eastAsia="Times New Roman" w:hint="default"/>
          <w:spacing w:val="22"/>
        </w:rPr>
        <w:t> </w:t>
      </w:r>
      <w:r>
        <w:rPr/>
        <w:t>对于以组合为基础计量预期信用损失的应收账款，评价管理层按信用风险特征划分组合的合理性；评价管理层根据</w:t>
      </w:r>
      <w:r>
        <w:rPr>
          <w:w w:val="99"/>
        </w:rPr>
        <w:t> </w:t>
      </w:r>
      <w:r>
        <w:rPr>
          <w:spacing w:val="-2"/>
        </w:rPr>
        <w:t>历史信用损失经验及前瞻性估计确定的应收账款账龄与预期信用损失率对照表的合理性；测试管理层使用数据（包括应收账</w:t>
      </w:r>
      <w:r>
        <w:rPr>
          <w:spacing w:val="-65"/>
        </w:rPr>
        <w:t> </w:t>
      </w:r>
      <w:r>
        <w:rPr>
          <w:spacing w:val="-65"/>
        </w:rPr>
      </w:r>
      <w:r>
        <w:rPr/>
        <w:t>款账龄、历史损失率、迁徙率等）的准确性和完整性以及对坏账准备的计算是否准确；</w:t>
      </w:r>
    </w:p>
    <w:p>
      <w:pPr>
        <w:pStyle w:val="BodyText"/>
        <w:spacing w:line="240" w:lineRule="auto" w:before="65"/>
        <w:ind w:left="513" w:right="967"/>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27"/>
        </w:rPr>
        <w:t> </w:t>
      </w:r>
      <w:r>
        <w:rPr/>
        <w:t>检查应收账款的期后回款情况，评价管理层计提应收账款坏账准备的合理性；</w:t>
      </w:r>
    </w:p>
    <w:p>
      <w:pPr>
        <w:pStyle w:val="BodyText"/>
        <w:spacing w:line="240" w:lineRule="auto" w:before="103"/>
        <w:ind w:left="513" w:right="967"/>
        <w:jc w:val="left"/>
      </w:pPr>
      <w:r>
        <w:rPr>
          <w:rFonts w:ascii="Times New Roman" w:hAnsi="Times New Roman" w:cs="Times New Roman" w:eastAsia="Times New Roman" w:hint="default"/>
        </w:rPr>
        <w:t>(7)</w:t>
      </w:r>
      <w:r>
        <w:rPr/>
        <w:t>检查与应收账款减值相关的信息是否已在财务报表中作出恰当列报。</w:t>
      </w:r>
    </w:p>
    <w:p>
      <w:pPr>
        <w:spacing w:line="240" w:lineRule="auto" w:before="0"/>
        <w:rPr>
          <w:rFonts w:ascii="宋体" w:hAnsi="宋体" w:cs="宋体" w:eastAsia="宋体" w:hint="default"/>
          <w:sz w:val="18"/>
          <w:szCs w:val="18"/>
        </w:rPr>
      </w:pPr>
    </w:p>
    <w:p>
      <w:pPr>
        <w:pStyle w:val="BodyText"/>
        <w:spacing w:line="336" w:lineRule="auto" w:before="161"/>
        <w:ind w:left="513" w:right="2293"/>
        <w:jc w:val="left"/>
      </w:pPr>
      <w:r>
        <w:rPr>
          <w:rFonts w:ascii="Microsoft JhengHei" w:hAnsi="Microsoft JhengHei" w:cs="Microsoft JhengHei" w:eastAsia="Microsoft JhengHei" w:hint="default"/>
          <w:b/>
          <w:bCs/>
        </w:rPr>
        <w:t>四、其他信息</w:t>
      </w:r>
      <w:r>
        <w:rPr>
          <w:rFonts w:ascii="Microsoft JhengHei" w:hAnsi="Microsoft JhengHei" w:cs="Microsoft JhengHei" w:eastAsia="Microsoft JhengHei" w:hint="default"/>
          <w:b/>
          <w:bCs/>
          <w:spacing w:val="-41"/>
        </w:rPr>
        <w:t> </w:t>
      </w:r>
      <w:r>
        <w:rPr>
          <w:rFonts w:ascii="Microsoft JhengHei" w:hAnsi="Microsoft JhengHei" w:cs="Microsoft JhengHei" w:eastAsia="Microsoft JhengHei" w:hint="default"/>
          <w:b/>
          <w:bCs/>
          <w:spacing w:val="-41"/>
        </w:rPr>
      </w:r>
      <w:r>
        <w:rPr/>
        <w:t>管理层对其他信息负责。其他信息包括年度报告中涵盖的信息，但不包括财务报表和我们的审计报告。 我们对财务报表发表的审计意见不涵盖其他信息，我们也不对其他信息发表任何形式的鉴证结论。</w:t>
      </w:r>
    </w:p>
    <w:p>
      <w:pPr>
        <w:pStyle w:val="BodyText"/>
        <w:spacing w:line="319" w:lineRule="auto" w:before="45"/>
        <w:ind w:right="967" w:firstLine="360"/>
        <w:jc w:val="left"/>
      </w:pPr>
      <w:r>
        <w:rPr>
          <w:spacing w:val="-2"/>
        </w:rPr>
        <w:t>结合我们对财务报表的审计，我们的责任是阅读其他信息，在此过程中，考虑其他信息是否与财务报表或我们在审计过</w:t>
      </w:r>
      <w:r>
        <w:rPr/>
        <w:t> 程中了解到的情况存在重大不一致或者似乎存在重大错报。</w:t>
      </w:r>
    </w:p>
    <w:p>
      <w:pPr>
        <w:pStyle w:val="BodyText"/>
        <w:spacing w:line="240" w:lineRule="auto" w:before="58"/>
        <w:ind w:left="513" w:right="967"/>
        <w:jc w:val="left"/>
      </w:pPr>
      <w:r>
        <w:rPr/>
        <w:t>基于我们已执行的工作，如果我们确定其他信息存在重大错报，我们应当报告该事实。在这方面，我们无任何事项需要</w:t>
      </w:r>
    </w:p>
    <w:p>
      <w:pPr>
        <w:spacing w:after="0" w:line="240" w:lineRule="auto"/>
        <w:jc w:val="left"/>
        <w:sectPr>
          <w:footerReference w:type="default" r:id="rId37"/>
          <w:pgSz w:w="11910" w:h="16840"/>
          <w:pgMar w:footer="979" w:header="877" w:top="1100" w:bottom="1160" w:left="980" w:right="0"/>
          <w:pgNumType w:start="120"/>
        </w:sectPr>
      </w:pPr>
    </w:p>
    <w:p>
      <w:pPr>
        <w:spacing w:line="240" w:lineRule="auto" w:before="11"/>
        <w:rPr>
          <w:rFonts w:ascii="宋体" w:hAnsi="宋体" w:cs="宋体" w:eastAsia="宋体" w:hint="default"/>
          <w:sz w:val="21"/>
          <w:szCs w:val="21"/>
        </w:rPr>
      </w:pPr>
    </w:p>
    <w:p>
      <w:pPr>
        <w:pStyle w:val="BodyText"/>
        <w:spacing w:line="240" w:lineRule="auto" w:before="44"/>
        <w:ind w:right="0"/>
        <w:jc w:val="both"/>
      </w:pPr>
      <w:r>
        <w:rPr/>
        <w:t>报告。</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spacing w:line="314" w:lineRule="auto" w:before="0"/>
        <w:ind w:left="513" w:right="967" w:firstLine="0"/>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五、管理层和治理层对财务报表的责任</w:t>
      </w:r>
      <w:r>
        <w:rPr>
          <w:rFonts w:ascii="Microsoft JhengHei" w:hAnsi="Microsoft JhengHei" w:cs="Microsoft JhengHei" w:eastAsia="Microsoft JhengHei" w:hint="default"/>
          <w:b/>
          <w:bCs/>
          <w:spacing w:val="-36"/>
          <w:sz w:val="18"/>
          <w:szCs w:val="18"/>
        </w:rPr>
        <w:t> </w:t>
      </w:r>
      <w:r>
        <w:rPr>
          <w:rFonts w:ascii="Microsoft JhengHei" w:hAnsi="Microsoft JhengHei" w:cs="Microsoft JhengHei" w:eastAsia="Microsoft JhengHei" w:hint="default"/>
          <w:b/>
          <w:bCs/>
          <w:spacing w:val="-36"/>
          <w:sz w:val="18"/>
          <w:szCs w:val="18"/>
        </w:rPr>
      </w:r>
      <w:r>
        <w:rPr>
          <w:rFonts w:ascii="宋体" w:hAnsi="宋体" w:cs="宋体" w:eastAsia="宋体" w:hint="default"/>
          <w:spacing w:val="-2"/>
          <w:sz w:val="18"/>
          <w:szCs w:val="18"/>
        </w:rPr>
        <w:t>管理层负责按照企业会计准则的规定编制财务报表，使其实现公允反映，并设计、执行和维护必要的内部控制，以使财</w:t>
      </w:r>
    </w:p>
    <w:p>
      <w:pPr>
        <w:pStyle w:val="BodyText"/>
        <w:spacing w:line="360" w:lineRule="auto" w:before="20"/>
        <w:ind w:left="513" w:right="967" w:hanging="361"/>
        <w:jc w:val="left"/>
      </w:pPr>
      <w:r>
        <w:rPr/>
        <w:t>务报表不存在由于舞弊或错误导致的重大错报。 </w:t>
      </w:r>
      <w:r>
        <w:rPr>
          <w:spacing w:val="-2"/>
        </w:rPr>
        <w:t>在编制财务报表时，管理层负责评估金溢科技公司的持续经营能力，披露与持续经营相关的事项（如适用），并运用持</w:t>
      </w:r>
    </w:p>
    <w:p>
      <w:pPr>
        <w:pStyle w:val="BodyText"/>
        <w:spacing w:line="222" w:lineRule="exact"/>
        <w:ind w:right="0"/>
        <w:jc w:val="both"/>
      </w:pPr>
      <w:r>
        <w:rPr/>
        <w:t>续经营假设，除非计划进行清算、终止运营或别无其他现实的选择。</w:t>
      </w:r>
    </w:p>
    <w:p>
      <w:pPr>
        <w:pStyle w:val="BodyText"/>
        <w:spacing w:line="240" w:lineRule="auto" w:before="115"/>
        <w:ind w:left="513" w:right="967"/>
        <w:jc w:val="left"/>
      </w:pPr>
      <w:r>
        <w:rPr/>
        <w:t>金溢科技公司治理层（以下简称治理层）负责监督金溢科技公司的财务报告过程。</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spacing w:line="312" w:lineRule="auto" w:before="0"/>
        <w:ind w:left="513" w:right="967" w:firstLine="0"/>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六、注册会计师对财务报表审计的责任</w:t>
      </w:r>
      <w:r>
        <w:rPr>
          <w:rFonts w:ascii="Microsoft JhengHei" w:hAnsi="Microsoft JhengHei" w:cs="Microsoft JhengHei" w:eastAsia="Microsoft JhengHei" w:hint="default"/>
          <w:b/>
          <w:bCs/>
          <w:spacing w:val="-36"/>
          <w:sz w:val="18"/>
          <w:szCs w:val="18"/>
        </w:rPr>
        <w:t> </w:t>
      </w:r>
      <w:r>
        <w:rPr>
          <w:rFonts w:ascii="Microsoft JhengHei" w:hAnsi="Microsoft JhengHei" w:cs="Microsoft JhengHei" w:eastAsia="Microsoft JhengHei" w:hint="default"/>
          <w:b/>
          <w:bCs/>
          <w:spacing w:val="-36"/>
          <w:sz w:val="18"/>
          <w:szCs w:val="18"/>
        </w:rPr>
      </w:r>
      <w:r>
        <w:rPr>
          <w:rFonts w:ascii="宋体" w:hAnsi="宋体" w:cs="宋体" w:eastAsia="宋体" w:hint="default"/>
          <w:spacing w:val="-2"/>
          <w:sz w:val="18"/>
          <w:szCs w:val="18"/>
        </w:rPr>
        <w:t>我们的目标是对财务报表整体是否不存在由于舞弊或错误导致的重大错报获取合理保证，并出具包含审计意见的审计报</w:t>
      </w:r>
    </w:p>
    <w:p>
      <w:pPr>
        <w:pStyle w:val="BodyText"/>
        <w:spacing w:line="316" w:lineRule="auto" w:before="22"/>
        <w:ind w:right="1130"/>
        <w:jc w:val="both"/>
      </w:pPr>
      <w:r>
        <w:rPr>
          <w:spacing w:val="-2"/>
        </w:rPr>
        <w:t>告。合理保证是高水平的保证，但并不能保证按照审计准则执行的审计在某一重大错报存在时总能发现。错报可能由于舞弊</w:t>
      </w:r>
      <w:r>
        <w:rPr>
          <w:spacing w:val="-63"/>
        </w:rPr>
        <w:t> </w:t>
      </w:r>
      <w:r>
        <w:rPr>
          <w:spacing w:val="-63"/>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59"/>
        <w:ind w:left="513" w:right="967"/>
        <w:jc w:val="left"/>
      </w:pPr>
      <w:r>
        <w:rPr/>
        <w:t>在按照审计准则执行审计工作的过程中，我们运用职业判断，并保持职业怀疑。同时，我们也执行以下工作：</w:t>
      </w:r>
    </w:p>
    <w:p>
      <w:pPr>
        <w:pStyle w:val="BodyText"/>
        <w:spacing w:line="309" w:lineRule="auto" w:before="117"/>
        <w:ind w:right="1034" w:firstLine="36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13"/>
        </w:rPr>
        <w:t> </w:t>
      </w:r>
      <w:r>
        <w:rPr/>
        <w:t>识别和评估由于舞弊或错误导致的财务报表重大错报风险，设计和实施审计程序以应对这些风险，并获取充分、</w:t>
      </w:r>
      <w:r>
        <w:rPr>
          <w:w w:val="99"/>
        </w:rPr>
        <w:t> </w:t>
      </w:r>
      <w:r>
        <w:rPr/>
        <w:t>适当的审计证据，作为发表审计意见的基础。由于舞弊可能涉及串通、伪造、故意遗漏、虚假陈述或凌驾于内部控制之上，</w:t>
      </w:r>
      <w:r>
        <w:rPr>
          <w:w w:val="99"/>
        </w:rPr>
        <w:t> </w:t>
      </w:r>
      <w:r>
        <w:rPr/>
        <w:t>未能发现由于舞弊导致的重大错报的风险高于未能发现由于错误导致的重大错报的风险。</w:t>
      </w:r>
    </w:p>
    <w:p>
      <w:pPr>
        <w:pStyle w:val="BodyText"/>
        <w:spacing w:line="240" w:lineRule="auto" w:before="62"/>
        <w:ind w:left="513" w:right="967"/>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了解与审计相关的内部控制，以设计恰当的审计程序，但目的并非对内部控制的有效性发表意见。</w:t>
      </w:r>
    </w:p>
    <w:p>
      <w:pPr>
        <w:pStyle w:val="BodyText"/>
        <w:spacing w:line="240" w:lineRule="auto" w:before="103"/>
        <w:ind w:left="513" w:right="967"/>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评价管理层选用会计政策的恰当性和作出会计估计及相关披露的合理性。</w:t>
      </w:r>
    </w:p>
    <w:p>
      <w:pPr>
        <w:pStyle w:val="BodyText"/>
        <w:spacing w:line="312" w:lineRule="auto" w:before="104"/>
        <w:ind w:right="1132" w:firstLine="360"/>
        <w:jc w:val="both"/>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39"/>
        </w:rPr>
        <w:t> </w:t>
      </w:r>
      <w:r>
        <w:rPr/>
        <w:t>对管理层使用持续经营假设的恰当性得出结论。同时，根据获取的审计证据，就可能导致对金溢科技公司持续经</w:t>
      </w:r>
      <w:r>
        <w:rPr>
          <w:w w:val="99"/>
        </w:rPr>
        <w:t> </w:t>
      </w:r>
      <w:r>
        <w:rPr>
          <w:spacing w:val="-2"/>
        </w:rPr>
        <w:t>营能力产生重大疑虑的事项或情况是否存在重大不确定性得出结论。如果我们得出结论认为存在重大不确定性，审计准则要</w:t>
      </w:r>
      <w:r>
        <w:rPr>
          <w:spacing w:val="-65"/>
        </w:rPr>
        <w:t> </w:t>
      </w:r>
      <w:r>
        <w:rPr>
          <w:spacing w:val="-65"/>
        </w:rPr>
      </w:r>
      <w:r>
        <w:rPr>
          <w:spacing w:val="-2"/>
        </w:rPr>
        <w:t>求我们在审计报告中提请报表使用者注意财务报表中的相关披露；如果披露不充分，我们应当发表非无保留意见。我们的结</w:t>
      </w:r>
      <w:r>
        <w:rPr>
          <w:spacing w:val="-67"/>
        </w:rPr>
        <w:t> </w:t>
      </w:r>
      <w:r>
        <w:rPr>
          <w:spacing w:val="-67"/>
        </w:rPr>
      </w:r>
      <w:r>
        <w:rPr/>
        <w:t>论基于截至审计报告日可获得的信息。然而，未来的事项或情况可能导致金溢科技公司不能持续经营。</w:t>
      </w:r>
    </w:p>
    <w:p>
      <w:pPr>
        <w:pStyle w:val="BodyText"/>
        <w:spacing w:line="240" w:lineRule="auto" w:before="61"/>
        <w:ind w:left="513" w:right="967"/>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评价财务报表的总体列报、结构和内容，并评价财务报表是否公允反映相关交易和事项。</w:t>
      </w:r>
    </w:p>
    <w:p>
      <w:pPr>
        <w:pStyle w:val="BodyText"/>
        <w:spacing w:line="300" w:lineRule="auto" w:before="103"/>
        <w:ind w:right="967" w:firstLine="360"/>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就金溢科技公司中实体或业务活动的财务信息获取充分、适当的审计证据，以对财务报表发表审计意见。我们负</w:t>
      </w:r>
      <w:r>
        <w:rPr>
          <w:w w:val="99"/>
        </w:rPr>
        <w:t> </w:t>
      </w:r>
      <w:r>
        <w:rPr/>
        <w:t>责指导、监督和执行集团审计，并对审计意见承担全部责任。</w:t>
      </w:r>
    </w:p>
    <w:p>
      <w:pPr>
        <w:pStyle w:val="BodyText"/>
        <w:spacing w:line="316" w:lineRule="auto" w:before="72"/>
        <w:ind w:right="967" w:firstLine="360"/>
        <w:jc w:val="left"/>
      </w:pPr>
      <w:r>
        <w:rPr>
          <w:spacing w:val="-2"/>
        </w:rPr>
        <w:t>我们与治理层就计划的审计范围、时间安排和重大审计发现等事项进行沟通，包括沟通我们在审计中识别出的值得关注</w:t>
      </w:r>
      <w:r>
        <w:rPr/>
        <w:t> 的内部控制缺陷。</w:t>
      </w:r>
    </w:p>
    <w:p>
      <w:pPr>
        <w:pStyle w:val="BodyText"/>
        <w:spacing w:line="319" w:lineRule="auto" w:before="57"/>
        <w:ind w:right="967" w:firstLine="360"/>
        <w:jc w:val="left"/>
      </w:pPr>
      <w:r>
        <w:rPr>
          <w:spacing w:val="-2"/>
        </w:rPr>
        <w:t>我们还就已遵守与独立性相关的职业道德要求向治理层提供声明，并与治理层沟通可能被合理认为影响我们独立性的所</w:t>
      </w:r>
      <w:r>
        <w:rPr/>
        <w:t> 有关系和其他事项，以及相关的防范措施（如适用）。</w:t>
      </w:r>
    </w:p>
    <w:p>
      <w:pPr>
        <w:pStyle w:val="BodyText"/>
        <w:spacing w:line="316" w:lineRule="auto" w:before="58"/>
        <w:ind w:right="1130"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3"/>
        </w:rPr>
        <w:t> </w:t>
      </w:r>
      <w:r>
        <w:rPr>
          <w:spacing w:val="-63"/>
        </w:rPr>
      </w:r>
      <w:r>
        <w:rPr/>
        <w:t>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1"/>
          <w:szCs w:val="21"/>
        </w:rPr>
      </w:pPr>
    </w:p>
    <w:p>
      <w:pPr>
        <w:pStyle w:val="BodyText"/>
        <w:tabs>
          <w:tab w:pos="6554" w:val="left" w:leader="none"/>
        </w:tabs>
        <w:spacing w:line="240" w:lineRule="auto"/>
        <w:ind w:right="0"/>
        <w:jc w:val="both"/>
      </w:pPr>
      <w:r>
        <w:rPr/>
        <w:t>天健会计师事务所（特殊普通合伙）</w:t>
        <w:tab/>
        <w:t>中国注册会计师：赵国梁</w:t>
      </w:r>
    </w:p>
    <w:p>
      <w:pPr>
        <w:spacing w:after="0" w:line="240" w:lineRule="auto"/>
        <w:jc w:val="both"/>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left="6343" w:right="967"/>
        <w:jc w:val="left"/>
      </w:pPr>
      <w:r>
        <w:rPr/>
        <w:t>（项目合伙人）</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tabs>
          <w:tab w:pos="6557" w:val="left" w:leader="none"/>
        </w:tabs>
        <w:spacing w:line="240" w:lineRule="auto"/>
        <w:ind w:left="573" w:right="967"/>
        <w:jc w:val="left"/>
      </w:pPr>
      <w:r>
        <w:rPr>
          <w:spacing w:val="-1"/>
        </w:rPr>
        <w:t>中国</w:t>
      </w:r>
      <w:r>
        <w:rPr>
          <w:rFonts w:ascii="Times New Roman" w:hAnsi="Times New Roman" w:cs="Times New Roman" w:eastAsia="Times New Roman" w:hint="default"/>
          <w:spacing w:val="-1"/>
        </w:rPr>
        <w:t>·</w:t>
      </w:r>
      <w:r>
        <w:rPr>
          <w:spacing w:val="-1"/>
        </w:rPr>
        <w:t>杭州</w:t>
        <w:tab/>
      </w:r>
      <w:r>
        <w:rPr/>
        <w:t>中国注册会计师：龙海燕</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BodyText"/>
        <w:spacing w:line="240" w:lineRule="auto"/>
        <w:ind w:left="6564" w:right="967"/>
        <w:jc w:val="left"/>
      </w:pPr>
      <w:r>
        <w:rPr/>
        <w:t>二〇二〇年四月二十七日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4"/>
          <w:szCs w:val="24"/>
        </w:rPr>
      </w:pPr>
    </w:p>
    <w:p>
      <w:pPr>
        <w:pStyle w:val="Heading2"/>
        <w:spacing w:line="240" w:lineRule="auto"/>
        <w:ind w:right="967"/>
        <w:jc w:val="left"/>
        <w:rPr>
          <w:b w:val="0"/>
          <w:bCs w:val="0"/>
        </w:rPr>
      </w:pPr>
      <w:r>
        <w:rPr/>
        <w:t>二、财务报表</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967"/>
        <w:jc w:val="left"/>
      </w:pPr>
      <w:r>
        <w:rPr/>
        <w:t>财务附注中报表的单位为：元</w:t>
      </w:r>
    </w:p>
    <w:p>
      <w:pPr>
        <w:spacing w:line="240" w:lineRule="auto" w:before="12"/>
        <w:rPr>
          <w:rFonts w:ascii="宋体" w:hAnsi="宋体" w:cs="宋体" w:eastAsia="宋体" w:hint="default"/>
          <w:sz w:val="21"/>
          <w:szCs w:val="21"/>
        </w:rPr>
      </w:pPr>
    </w:p>
    <w:p>
      <w:pPr>
        <w:pStyle w:val="Heading4"/>
        <w:spacing w:line="240" w:lineRule="auto"/>
        <w:ind w:right="967"/>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877" w:footer="979" w:top="1100" w:bottom="1160" w:left="980" w:right="0"/>
        </w:sectPr>
      </w:pPr>
    </w:p>
    <w:p>
      <w:pPr>
        <w:pStyle w:val="BodyText"/>
        <w:spacing w:line="240" w:lineRule="auto" w:before="44"/>
        <w:ind w:right="-20"/>
        <w:jc w:val="left"/>
      </w:pPr>
      <w:r>
        <w:rPr/>
        <w:t>编制单位：深圳市金溢科技股份有限公司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393" w:space="683"/>
            <w:col w:w="1642" w:space="3202"/>
            <w:col w:w="201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1,880,152,293.89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407,032,250.96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10,710,689.50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896,600.00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752,426,473.68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302,533,158.64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66,041,370.00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9,130,170.20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7,447,792.78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34,741,644.35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13,124,147.91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623,034,107.12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114,291,165.04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79,837,557.57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203,030,705.07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3,456,074,306.31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1,048,355,820.40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18,474,727.96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2,782,950.40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45,123,200.00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197,818,484.95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203,899,862.05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99,041,175.08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56,775,871.54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34,200,182.66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35,305,998.75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19,717,567.14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23,171,565.14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20,915,572.97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11,961,732.56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45,359,118.66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480,650,029.42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335,397,980.44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3,936,724,335.73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1,383,753,800.84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585,887,257.45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64,878,808.83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422,020,050.18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173,878,876.31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607,969,184.24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26,119,526.07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72,736,852.39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36,132,848.82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239,145,339.41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27,011,914.51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106,391,995.42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46,564,793.84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2,034,150,679.09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374,586,768.38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3,636,778.22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108,761.95</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8,271,274.61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9,515,001.77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11,908,052.83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9,623,763.72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2,046,058,731.92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384,210,532.10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120,518,161.00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117,800,000.00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711,764,737.04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630,153,882.82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58,821,004.04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58,589,877.42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45,041,370.17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1,070,602,462.16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215,954,034.77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1,902,654,233.58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1,008,949,287.76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-11,988,629.77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-9,406,019.02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1,890,665,603.81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999,543,268.74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3,936,724,335.73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1,383,753,800.84</w:t>
            </w:r>
          </w:p>
        </w:tc>
      </w:tr>
    </w:tbl>
    <w:p>
      <w:pPr>
        <w:spacing w:line="240" w:lineRule="auto" w:before="11"/>
        <w:rPr>
          <w:rFonts w:ascii="Times New Roman" w:hAnsi="Times New Roman" w:cs="Times New Roman" w:eastAsia="Times New Roman" w:hint="default"/>
          <w:sz w:val="22"/>
          <w:szCs w:val="22"/>
        </w:rPr>
      </w:pPr>
    </w:p>
    <w:p>
      <w:pPr>
        <w:pStyle w:val="BodyText"/>
        <w:tabs>
          <w:tab w:pos="3667" w:val="left" w:leader="none"/>
          <w:tab w:pos="7718" w:val="left" w:leader="none"/>
        </w:tabs>
        <w:spacing w:line="240" w:lineRule="auto" w:before="44"/>
        <w:ind w:right="967"/>
        <w:jc w:val="left"/>
      </w:pPr>
      <w:r>
        <w:rPr/>
        <w:t>法定代表人：罗瑞发</w:t>
        <w:tab/>
      </w:r>
      <w:r>
        <w:rPr>
          <w:spacing w:val="-1"/>
        </w:rPr>
        <w:t>主管会计工作负责人：聂磊</w:t>
        <w:tab/>
      </w:r>
      <w:r>
        <w:rPr/>
        <w:t>会计机构负责人：蔡伟明</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298"/>
              <w:jc w:val="right"/>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1,655,402,210.77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308,383,060.11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11"/>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10,710,689.50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896,600.00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782,984,623.00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328,829,357.82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66,041,370.00</w:t>
            </w: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9,072,262.77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7,388,612.19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108,486,278.43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71,290,575.59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619,132,138.00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111,345,510.61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69,593,787.04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46,478,177.08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3,321,423,359.51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874,611,893.40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362,519,298.30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351,215,050.40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45,123,200.00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130,476,454.85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134,903,952.24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148,584.90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647,997.64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1,782,653.91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2,156,125.66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19,308,873.27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22,583,981.63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20,915,572.97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11,961,732.56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45,359,118.66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625,633,756.86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524,968,840.13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3,947,057,116.37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1,399,580,733.53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585,887,257.45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64,878,808.83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398,980,429.62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164,579,142.21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604,083,650.23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24,772,487.52</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66,511,871.33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34,102,690.75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236,973,669.44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25,737,952.75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106,445,163.27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36,811,481.66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1,998,882,041.34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350,882,563.72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3,636,778.22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108,761.95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7,078,074.61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8,321,801.77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10,714,852.83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8,430,563.72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2,009,596,894.17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359,313,127.44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120,518,161.00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117,800,000.00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710,722,727.87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2"/>
                <w:sz w:val="18"/>
              </w:rPr>
              <w:t>629,111,873.65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58,821,004.04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60,259,080.50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46,710,573.25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1,104,781,256.87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246,645,159.19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1,937,460,222.20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1,040,267,606.09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3,947,057,116.37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1,399,580,733.53</w:t>
            </w:r>
          </w:p>
        </w:tc>
      </w:tr>
    </w:tbl>
    <w:p>
      <w:pPr>
        <w:spacing w:line="240" w:lineRule="auto" w:before="10"/>
        <w:rPr>
          <w:rFonts w:ascii="Times New Roman" w:hAnsi="Times New Roman" w:cs="Times New Roman" w:eastAsia="Times New Roman" w:hint="default"/>
          <w:sz w:val="21"/>
          <w:szCs w:val="21"/>
        </w:rPr>
      </w:pPr>
    </w:p>
    <w:p>
      <w:pPr>
        <w:pStyle w:val="Heading4"/>
        <w:spacing w:line="335" w:lineRule="exact"/>
        <w:ind w:right="967"/>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2,860,155,936.39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604,058,067.84</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2,860,155,936.39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604,058,067.84</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04"/>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1,871,371,742.29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599,636,952.97</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1,491,224,575.50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372,156,271.64</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04"/>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39,779,951.07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5,867,044.74</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141,262,942.39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84,327,840.11</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115,249,066.64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70,936,770.63</w:t>
            </w:r>
          </w:p>
        </w:tc>
      </w:tr>
      <w:tr>
        <w:trPr>
          <w:trHeight w:val="40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100,683,953.90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73,280,083.65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177.860001pt;margin-top:518.950012pt;width:193.15pt;height:19.6pt;mso-position-horizontal-relative:page;mso-position-vertical-relative:page;z-index:-1531024"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group style="position:absolute;margin-left:211.009995pt;margin-top:260.089996pt;width:160pt;height:19.6pt;mso-position-horizontal-relative:page;mso-position-vertical-relative:page;z-index:-1531000" coordorigin="4220,5202" coordsize="3200,392">
            <v:group style="position:absolute;left:7398;top:5202;width:22;height:392" coordorigin="7398,5202" coordsize="22,392">
              <v:shape style="position:absolute;left:7398;top:5202;width:22;height:392" coordorigin="7398,5202" coordsize="22,392" path="m7398,5593l7420,5593,7420,5202,7398,5202,7398,5593xe" filled="true" fillcolor="#ffffff" stroked="false">
                <v:path arrowok="t"/>
                <v:fill type="solid"/>
              </v:shape>
            </v:group>
            <v:group style="position:absolute;left:4220;top:5202;width:22;height:392" coordorigin="4220,5202" coordsize="22,392">
              <v:shape style="position:absolute;left:4220;top:5202;width:22;height:392" coordorigin="4220,5202" coordsize="22,392" path="m4220,5593l4242,5593,4242,5202,4220,5202,4220,5593xe" filled="true" fillcolor="#ffffff" stroked="false">
                <v:path arrowok="t"/>
                <v:fill type="solid"/>
              </v:shape>
            </v:group>
            <v:group style="position:absolute;left:4242;top:5202;width:3157;height:392" coordorigin="4242,5202" coordsize="3157,392">
              <v:shape style="position:absolute;left:4242;top:5202;width:3157;height:392" coordorigin="4242,5202" coordsize="3157,392" path="m4242,5593l7398,5593,7398,5202,4242,5202,4242,5593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-16,828,747.21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-6,931,057.80</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4"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4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10,313,363.67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7,073,777.00</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60,418,517.87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23,188,790.55</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9,898,169.79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4,851,665.35</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1,267,694.89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379,610.55</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64"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-30,289,819.43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-9,099,990.75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-16,718,167.81</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19,667.96</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1,019,730,739.54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15,743,402.96</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1,350,719.69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680,272.04</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2,896,408.28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295,443.15</w:t>
            </w:r>
          </w:p>
        </w:tc>
      </w:tr>
      <w:tr>
        <w:trPr>
          <w:trHeight w:val="401" w:hRule="exact"/>
        </w:trPr>
        <w:tc>
          <w:tcPr>
            <w:tcW w:w="3080"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3212" w:type="dxa"/>
            <w:tcBorders>
              <w:top w:val="single" w:sz="4" w:space="0" w:color="000000"/>
              <w:left w:val="single" w:sz="13" w:space="0" w:color="FFFFFF"/>
              <w:bottom w:val="single" w:sz="4" w:space="0" w:color="000000"/>
              <w:right w:val="single" w:sz="12" w:space="0" w:color="FFFFFF"/>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1,018,185,050.95</w:t>
            </w:r>
          </w:p>
        </w:tc>
        <w:tc>
          <w:tcPr>
            <w:tcW w:w="3277"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16,128,231.85</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145,502,727.06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-481,621.24</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872,682,323.89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16,609,853.09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872,682,323.89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16,609,853.09</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875,264,934.64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21,649,120.59</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-2,582,610.75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-5,039,267.50</w:t>
            </w:r>
          </w:p>
        </w:tc>
      </w:tr>
      <w:tr>
        <w:trPr>
          <w:trHeight w:val="40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0" w:firstLine="341"/>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0" w:firstLine="341"/>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外币财务报表折算差额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6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872,682,323.89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16,609,853.09</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875,264,934.64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21,649,120.59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-2,582,610.75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-5,039,267.50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079"/>
        <w:gridCol w:w="3212"/>
        <w:gridCol w:w="3277"/>
      </w:tblGrid>
      <w:tr>
        <w:trPr>
          <w:trHeight w:val="404"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0.18</w:t>
            </w:r>
          </w:p>
        </w:tc>
      </w:tr>
    </w:tbl>
    <w:p>
      <w:pPr>
        <w:pStyle w:val="BodyText"/>
        <w:tabs>
          <w:tab w:pos="3667" w:val="left" w:leader="none"/>
          <w:tab w:pos="7718" w:val="left" w:leader="none"/>
        </w:tabs>
        <w:spacing w:line="588" w:lineRule="auto" w:before="49"/>
        <w:ind w:right="1225"/>
        <w:jc w:val="left"/>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 </w:t>
      </w:r>
      <w:r>
        <w:rPr>
          <w:spacing w:val="-3"/>
        </w:rPr>
        <w:t>元。 </w:t>
      </w:r>
      <w:r>
        <w:rPr/>
        <w:t>法定代表人：罗瑞发</w:t>
        <w:tab/>
      </w:r>
      <w:r>
        <w:rPr>
          <w:spacing w:val="-1"/>
        </w:rPr>
        <w:t>主管会计工作负责人：聂磊</w:t>
        <w:tab/>
      </w:r>
      <w:r>
        <w:rPr/>
        <w:t>会计机构负责人：蔡伟明</w:t>
      </w:r>
    </w:p>
    <w:p>
      <w:pPr>
        <w:pStyle w:val="Heading4"/>
        <w:spacing w:line="240" w:lineRule="auto" w:before="28"/>
        <w:ind w:right="967"/>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2,845,259,943.10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591,403,281.17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1,489,400,825.35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366,872,159.42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38,831,363.39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5,419,584.89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133,874,465.21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75,711,903.93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96,536,748.18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64,231,304.90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92,973,673.61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66,943,188.08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-14,925,826.33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-4,399,908.91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8,400,178.47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4,531,908.66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59,723,006.61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22,836,136.84</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2,535,585.79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3,439,103.06</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991,777.56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92,048.26</w:t>
            </w:r>
          </w:p>
        </w:tc>
      </w:tr>
      <w:tr>
        <w:trPr>
          <w:trHeight w:val="102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51"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-29,591,686.79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-15,469,965.15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-23,844,927.07</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19,667.96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1,025,785,302.11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19,055,361.69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1,344,468.63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678,635.46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2,874,438.75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293,351.35</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1,024,255,331.99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19,440,645.80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145,502,727.06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-831,814.96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878,752,604.93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20,272,460.76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878,752,604.93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20,272,460.76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878,752,604.93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20,272,460.76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5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5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335" w:lineRule="exact"/>
        <w:ind w:right="967"/>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3,403,184,357.55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574,431,976.62</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pacing w:val="-1"/>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24,302,666.13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14,506,980.49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38,543,956.95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16,056,106.22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3,466,030,980.63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604,995,063.33</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1"/>
              <w:jc w:val="right"/>
              <w:rPr>
                <w:rFonts w:ascii="宋体" w:hAnsi="宋体" w:cs="宋体" w:eastAsia="宋体" w:hint="default"/>
                <w:sz w:val="18"/>
                <w:szCs w:val="18"/>
              </w:rPr>
            </w:pPr>
            <w:r>
              <w:rPr>
                <w:rFonts w:ascii="宋体" w:hAnsi="宋体" w:cs="宋体" w:eastAsia="宋体" w:hint="default"/>
                <w:spacing w:val="-1"/>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1,400,135,230.86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344,745,275.59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230,929,609.94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150,267,143.87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295,110,671.80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37,728,005.71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167,821,522.52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100,328,783.30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2,093,997,035.12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633,069,208.47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1,372,033,945.51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-28,074,145.14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8,630,474.90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45,886.50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1,154.21</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pacing w:val="-1"/>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449,472,054.80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578,676,361.40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449,473,209.01</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53,682,695.22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180,236,695.14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103,682,318.66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2,673,839.67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440,000,000.00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532,365,013.88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622,910,534.81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46,311,347.52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-173,437,325.80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58,821,004.04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58,821,004.04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7,068,000.00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35,340,000.00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7,068,000.00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35,340,000.00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51,753,004.04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-35,340,000.00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-889.59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15,548.69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1,470,097,407.48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-236,835,922.25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403,918,139.28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640,754,061.53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1,874,015,546.76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403,918,139.28</w:t>
            </w:r>
          </w:p>
        </w:tc>
      </w:tr>
    </w:tbl>
    <w:p>
      <w:pPr>
        <w:spacing w:line="240" w:lineRule="auto" w:before="10"/>
        <w:rPr>
          <w:rFonts w:ascii="Times New Roman" w:hAnsi="Times New Roman" w:cs="Times New Roman" w:eastAsia="Times New Roman" w:hint="default"/>
          <w:sz w:val="21"/>
          <w:szCs w:val="21"/>
        </w:rPr>
      </w:pPr>
    </w:p>
    <w:p>
      <w:pPr>
        <w:pStyle w:val="Heading4"/>
        <w:spacing w:line="335" w:lineRule="exact"/>
        <w:ind w:right="967"/>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3,379,789,585.94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552,392,664.89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24,029,871.72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13,885,916.15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189,695,173.58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12,471,361.69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3,593,514,631.24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578,749,942.73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1,396,385,075.80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338,590,509.15</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212,849,785.74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134,937,527.25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292,514,565.40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35,966,968.73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327,942,255.82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107,480,257.68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2,229,691,682.76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616,975,262.81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1,363,822,948.48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-38,225,320.08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1,543,808.23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44,970.00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154.21</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348,347,054.80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181,588,778.23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348,347,209.01</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14,485,007.29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119,305,026.30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103,682,318.66</w:t>
            </w: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2,673,839.67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253,167,325.95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361,978,865.97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-71,578,547.72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-13,631,656.96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58,821,004.04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58,821,004.04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7,068,000.00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35,340,000.00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7,068,000.00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35,340,000.00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51,753,004.04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-35,340,000.00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-889.59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15,548.69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1,343,996,515.21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-87,181,428.35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305,268,948.43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392,450,376.78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1,649,265,463.64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305,268,948.43</w:t>
            </w: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967"/>
        <w:jc w:val="left"/>
      </w:pPr>
      <w:r>
        <w:rPr/>
        <w:t>本期金额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53"/>
        <w:gridCol w:w="494"/>
        <w:gridCol w:w="466"/>
        <w:gridCol w:w="466"/>
        <w:gridCol w:w="468"/>
        <w:gridCol w:w="583"/>
        <w:gridCol w:w="586"/>
        <w:gridCol w:w="583"/>
        <w:gridCol w:w="584"/>
        <w:gridCol w:w="583"/>
        <w:gridCol w:w="583"/>
        <w:gridCol w:w="586"/>
        <w:gridCol w:w="584"/>
        <w:gridCol w:w="583"/>
        <w:gridCol w:w="586"/>
        <w:gridCol w:w="578"/>
      </w:tblGrid>
      <w:tr>
        <w:trPr>
          <w:trHeight w:val="404" w:hRule="exact"/>
        </w:trPr>
        <w:tc>
          <w:tcPr>
            <w:tcW w:w="12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1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1253" w:type="dxa"/>
            <w:vMerge/>
            <w:tcBorders>
              <w:left w:val="single" w:sz="4" w:space="0" w:color="000000"/>
              <w:right w:val="single" w:sz="4" w:space="0" w:color="000000"/>
            </w:tcBorders>
            <w:shd w:val="clear" w:color="auto" w:fill="D2D2D2"/>
          </w:tcPr>
          <w:p>
            <w:pPr/>
          </w:p>
        </w:tc>
        <w:tc>
          <w:tcPr>
            <w:tcW w:w="7149"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316" w:lineRule="auto"/>
              <w:ind w:left="110"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37"/>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3" w:hRule="exact"/>
        </w:trPr>
        <w:tc>
          <w:tcPr>
            <w:tcW w:w="1253" w:type="dxa"/>
            <w:vMerge/>
            <w:tcBorders>
              <w:left w:val="single" w:sz="4" w:space="0" w:color="000000"/>
              <w:right w:val="single" w:sz="4" w:space="0" w:color="000000"/>
            </w:tcBorders>
            <w:shd w:val="clear" w:color="auto" w:fill="D2D2D2"/>
          </w:tcPr>
          <w:p>
            <w:pPr/>
          </w:p>
        </w:tc>
        <w:tc>
          <w:tcPr>
            <w:tcW w:w="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7" w:right="22"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8"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713" w:hRule="exact"/>
        </w:trPr>
        <w:tc>
          <w:tcPr>
            <w:tcW w:w="1253"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39" w:right="4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39" w:right="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117,8</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630,15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3,882.</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82</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45,041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,370.1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215,95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4,034.</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77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1,008,</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949,28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7.76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-9,406,</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019.02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999,54</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3,268.</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74</w:t>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25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137"/>
              <w:jc w:val="right"/>
              <w:rPr>
                <w:rFonts w:ascii="宋体" w:hAnsi="宋体" w:cs="宋体" w:eastAsia="宋体" w:hint="default"/>
                <w:sz w:val="18"/>
                <w:szCs w:val="18"/>
              </w:rPr>
            </w:pPr>
            <w:r>
              <w:rPr>
                <w:rFonts w:ascii="宋体" w:hAnsi="宋体" w:cs="宋体" w:eastAsia="宋体" w:hint="default"/>
                <w:sz w:val="18"/>
                <w:szCs w:val="18"/>
              </w:rPr>
              <w:t>同一</w:t>
            </w:r>
          </w:p>
        </w:tc>
        <w:tc>
          <w:tcPr>
            <w:tcW w:w="494"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r>
      <w:tr>
        <w:trPr>
          <w:trHeight w:val="311" w:hRule="exact"/>
        </w:trPr>
        <w:tc>
          <w:tcPr>
            <w:tcW w:w="12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控制下企业合</w:t>
            </w:r>
          </w:p>
        </w:tc>
        <w:tc>
          <w:tcPr>
            <w:tcW w:w="494"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360" w:hRule="exact"/>
        </w:trPr>
        <w:tc>
          <w:tcPr>
            <w:tcW w:w="125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w:t>
            </w:r>
          </w:p>
        </w:tc>
        <w:tc>
          <w:tcPr>
            <w:tcW w:w="494"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7"/>
              <w:jc w:val="right"/>
              <w:rPr>
                <w:rFonts w:ascii="宋体" w:hAnsi="宋体" w:cs="宋体" w:eastAsia="宋体" w:hint="default"/>
                <w:sz w:val="18"/>
                <w:szCs w:val="18"/>
              </w:rPr>
            </w:pP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117,8</w:t>
            </w:r>
          </w:p>
          <w:p>
            <w:pPr>
              <w:pStyle w:val="TableParagraph"/>
              <w:spacing w:line="240" w:lineRule="auto" w:before="102"/>
              <w:ind w:left="5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630,15</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3,882.</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82</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45,041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,370.1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215,95</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4,034.</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77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1,008,</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949,28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7.76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-9,406,</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019.02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999,54</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3,268.</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74</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9"/>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2,718</w:t>
            </w:r>
          </w:p>
          <w:p>
            <w:pPr>
              <w:pStyle w:val="TableParagraph"/>
              <w:spacing w:line="240" w:lineRule="auto" w:before="105"/>
              <w:ind w:left="78" w:right="0"/>
              <w:jc w:val="center"/>
              <w:rPr>
                <w:rFonts w:ascii="Times New Roman" w:hAnsi="Times New Roman" w:cs="Times New Roman" w:eastAsia="Times New Roman" w:hint="default"/>
                <w:sz w:val="18"/>
                <w:szCs w:val="18"/>
              </w:rPr>
            </w:pPr>
            <w:r>
              <w:rPr>
                <w:rFonts w:ascii="Times New Roman"/>
                <w:sz w:val="18"/>
              </w:rPr>
              <w:t>,161.</w:t>
            </w:r>
          </w:p>
          <w:p>
            <w:pPr>
              <w:pStyle w:val="TableParagraph"/>
              <w:spacing w:line="240" w:lineRule="auto" w:before="105"/>
              <w:ind w:left="259"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81,610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,854.2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58,821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13,548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854,64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8,427.</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39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893,70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4,945.</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82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-2,582,</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610.75</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891,12</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2,335.</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07</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875,26</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4,934.</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64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875,26</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4,934.</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64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-2,582,</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610.75</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872,68</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2,323.</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89</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2,718</w:t>
            </w:r>
          </w:p>
          <w:p>
            <w:pPr>
              <w:pStyle w:val="TableParagraph"/>
              <w:spacing w:line="240" w:lineRule="auto" w:before="105"/>
              <w:ind w:left="78" w:right="0"/>
              <w:jc w:val="center"/>
              <w:rPr>
                <w:rFonts w:ascii="Times New Roman" w:hAnsi="Times New Roman" w:cs="Times New Roman" w:eastAsia="Times New Roman" w:hint="default"/>
                <w:sz w:val="18"/>
                <w:szCs w:val="18"/>
              </w:rPr>
            </w:pPr>
            <w:r>
              <w:rPr>
                <w:rFonts w:ascii="Times New Roman"/>
                <w:sz w:val="18"/>
              </w:rPr>
              <w:t>,161.</w:t>
            </w:r>
          </w:p>
          <w:p>
            <w:pPr>
              <w:pStyle w:val="TableParagraph"/>
              <w:spacing w:line="240" w:lineRule="auto" w:before="105"/>
              <w:ind w:left="259"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81,610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,854.2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58,821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25,508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2"/>
                <w:sz w:val="18"/>
              </w:rPr>
              <w:t>,011.1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25,508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2"/>
                <w:sz w:val="18"/>
              </w:rPr>
              <w:t>,011.1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2,718</w:t>
            </w:r>
          </w:p>
          <w:p>
            <w:pPr>
              <w:pStyle w:val="TableParagraph"/>
              <w:spacing w:line="240" w:lineRule="auto" w:before="103"/>
              <w:ind w:left="78" w:right="0"/>
              <w:jc w:val="center"/>
              <w:rPr>
                <w:rFonts w:ascii="Times New Roman" w:hAnsi="Times New Roman" w:cs="Times New Roman" w:eastAsia="Times New Roman" w:hint="default"/>
                <w:sz w:val="18"/>
                <w:szCs w:val="18"/>
              </w:rPr>
            </w:pPr>
            <w:r>
              <w:rPr>
                <w:rFonts w:ascii="Times New Roman"/>
                <w:sz w:val="18"/>
              </w:rPr>
              <w:t>,161.</w:t>
            </w:r>
          </w:p>
          <w:p>
            <w:pPr>
              <w:pStyle w:val="TableParagraph"/>
              <w:spacing w:line="240" w:lineRule="auto" w:before="105"/>
              <w:ind w:left="259"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56,102</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,843.0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58,821</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,004.0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25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w:t>
            </w:r>
          </w:p>
        </w:tc>
        <w:tc>
          <w:tcPr>
            <w:tcW w:w="494"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r>
      <w:tr>
        <w:trPr>
          <w:trHeight w:val="307" w:hRule="exact"/>
        </w:trPr>
        <w:tc>
          <w:tcPr>
            <w:tcW w:w="12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具持有者投入</w:t>
            </w:r>
          </w:p>
        </w:tc>
        <w:tc>
          <w:tcPr>
            <w:tcW w:w="494"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357" w:hRule="exact"/>
        </w:trPr>
        <w:tc>
          <w:tcPr>
            <w:tcW w:w="125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494"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361" w:hRule="exact"/>
        </w:trPr>
        <w:tc>
          <w:tcPr>
            <w:tcW w:w="125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w:t>
            </w:r>
          </w:p>
        </w:tc>
        <w:tc>
          <w:tcPr>
            <w:tcW w:w="494"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25,508</w:t>
            </w: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25,508</w:t>
            </w:r>
          </w:p>
        </w:tc>
        <w:tc>
          <w:tcPr>
            <w:tcW w:w="586" w:type="dxa"/>
            <w:vMerge w:val="restart"/>
            <w:tcBorders>
              <w:top w:val="single" w:sz="4" w:space="0" w:color="000000"/>
              <w:left w:val="single" w:sz="4" w:space="0" w:color="000000"/>
              <w:right w:val="single" w:sz="4" w:space="0" w:color="000000"/>
            </w:tcBorders>
          </w:tcPr>
          <w:p>
            <w:pPr/>
          </w:p>
        </w:tc>
        <w:tc>
          <w:tcPr>
            <w:tcW w:w="5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25,508</w:t>
            </w:r>
          </w:p>
        </w:tc>
      </w:tr>
      <w:tr>
        <w:trPr>
          <w:trHeight w:val="311" w:hRule="exact"/>
        </w:trPr>
        <w:tc>
          <w:tcPr>
            <w:tcW w:w="12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入所有者权益</w:t>
            </w:r>
          </w:p>
        </w:tc>
        <w:tc>
          <w:tcPr>
            <w:tcW w:w="494"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2"/>
                <w:sz w:val="18"/>
              </w:rPr>
              <w:t>,011.1</w:t>
            </w: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2"/>
                <w:sz w:val="18"/>
              </w:rPr>
              <w:t>,011.1</w:t>
            </w:r>
          </w:p>
        </w:tc>
        <w:tc>
          <w:tcPr>
            <w:tcW w:w="586" w:type="dxa"/>
            <w:vMerge/>
            <w:tcBorders>
              <w:left w:val="single" w:sz="4" w:space="0" w:color="000000"/>
              <w:right w:val="single" w:sz="4" w:space="0" w:color="000000"/>
            </w:tcBorders>
          </w:tcPr>
          <w:p>
            <w:pPr/>
          </w:p>
        </w:tc>
        <w:tc>
          <w:tcPr>
            <w:tcW w:w="57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2"/>
                <w:sz w:val="18"/>
              </w:rPr>
              <w:t>,011.1</w:t>
            </w:r>
          </w:p>
        </w:tc>
      </w:tr>
      <w:tr>
        <w:trPr>
          <w:trHeight w:val="355" w:hRule="exact"/>
        </w:trPr>
        <w:tc>
          <w:tcPr>
            <w:tcW w:w="125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494"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8</w:t>
            </w: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8</w:t>
            </w:r>
          </w:p>
        </w:tc>
        <w:tc>
          <w:tcPr>
            <w:tcW w:w="586" w:type="dxa"/>
            <w:vMerge/>
            <w:tcBorders>
              <w:left w:val="single" w:sz="4" w:space="0" w:color="000000"/>
              <w:bottom w:val="single" w:sz="4" w:space="0" w:color="000000"/>
              <w:right w:val="single" w:sz="4" w:space="0" w:color="000000"/>
            </w:tcBorders>
          </w:tcPr>
          <w:p>
            <w:pPr/>
          </w:p>
        </w:tc>
        <w:tc>
          <w:tcPr>
            <w:tcW w:w="5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8</w:t>
            </w: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13,548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,507.2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8" w:right="0"/>
              <w:jc w:val="left"/>
              <w:rPr>
                <w:rFonts w:ascii="Times New Roman" w:hAnsi="Times New Roman" w:cs="Times New Roman" w:eastAsia="Times New Roman" w:hint="default"/>
                <w:sz w:val="18"/>
                <w:szCs w:val="18"/>
              </w:rPr>
            </w:pPr>
            <w:r>
              <w:rPr>
                <w:rFonts w:ascii="Times New Roman"/>
                <w:sz w:val="18"/>
              </w:rPr>
              <w:t>-20,61</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6,507.</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25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-7,068,</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000.00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-7,068,</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000.00</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13,548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-13,54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8,507.</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25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25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77"/>
                <w:sz w:val="18"/>
                <w:szCs w:val="18"/>
              </w:rPr>
              <w:t>．</w:t>
            </w:r>
            <w:r>
              <w:rPr>
                <w:rFonts w:ascii="宋体" w:hAnsi="宋体" w:cs="宋体" w:eastAsia="宋体" w:hint="default"/>
                <w:sz w:val="18"/>
                <w:szCs w:val="18"/>
              </w:rPr>
              <w:t>对所有</w:t>
            </w:r>
            <w:r>
              <w:rPr>
                <w:rFonts w:ascii="宋体" w:hAnsi="宋体" w:cs="宋体" w:eastAsia="宋体" w:hint="default"/>
                <w:spacing w:val="-77"/>
                <w:sz w:val="18"/>
                <w:szCs w:val="18"/>
              </w:rPr>
              <w:t>者</w:t>
            </w:r>
            <w:r>
              <w:rPr>
                <w:rFonts w:ascii="宋体" w:hAnsi="宋体" w:cs="宋体" w:eastAsia="宋体" w:hint="default"/>
                <w:sz w:val="18"/>
                <w:szCs w:val="18"/>
              </w:rPr>
              <w:t>（或</w:t>
            </w:r>
          </w:p>
        </w:tc>
        <w:tc>
          <w:tcPr>
            <w:tcW w:w="494"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-7,068,</w:t>
            </w:r>
          </w:p>
        </w:tc>
        <w:tc>
          <w:tcPr>
            <w:tcW w:w="584" w:type="dxa"/>
            <w:vMerge w:val="restart"/>
            <w:tcBorders>
              <w:top w:val="single" w:sz="4" w:space="0" w:color="000000"/>
              <w:left w:val="single" w:sz="4" w:space="0" w:color="000000"/>
              <w:right w:val="single" w:sz="4" w:space="0" w:color="000000"/>
            </w:tcBorders>
          </w:tcPr>
          <w:p>
            <w:pPr/>
          </w:p>
        </w:tc>
        <w:tc>
          <w:tcPr>
            <w:tcW w:w="5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-7,068,</w:t>
            </w:r>
          </w:p>
        </w:tc>
        <w:tc>
          <w:tcPr>
            <w:tcW w:w="586" w:type="dxa"/>
            <w:vMerge w:val="restart"/>
            <w:tcBorders>
              <w:top w:val="single" w:sz="4" w:space="0" w:color="000000"/>
              <w:left w:val="single" w:sz="4" w:space="0" w:color="000000"/>
              <w:right w:val="single" w:sz="4" w:space="0" w:color="000000"/>
            </w:tcBorders>
          </w:tcPr>
          <w:p>
            <w:pPr/>
          </w:p>
        </w:tc>
        <w:tc>
          <w:tcPr>
            <w:tcW w:w="5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-7,068,</w:t>
            </w:r>
          </w:p>
        </w:tc>
      </w:tr>
      <w:tr>
        <w:trPr>
          <w:trHeight w:val="353" w:hRule="exact"/>
        </w:trPr>
        <w:tc>
          <w:tcPr>
            <w:tcW w:w="125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494"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left="39" w:right="0"/>
              <w:jc w:val="center"/>
              <w:rPr>
                <w:rFonts w:ascii="Times New Roman" w:hAnsi="Times New Roman" w:cs="Times New Roman" w:eastAsia="Times New Roman" w:hint="default"/>
                <w:sz w:val="18"/>
                <w:szCs w:val="18"/>
              </w:rPr>
            </w:pPr>
            <w:r>
              <w:rPr>
                <w:rFonts w:ascii="Times New Roman"/>
                <w:sz w:val="18"/>
              </w:rPr>
              <w:t>000.00</w:t>
            </w:r>
          </w:p>
        </w:tc>
        <w:tc>
          <w:tcPr>
            <w:tcW w:w="584" w:type="dxa"/>
            <w:vMerge/>
            <w:tcBorders>
              <w:left w:val="single" w:sz="4" w:space="0" w:color="000000"/>
              <w:bottom w:val="single" w:sz="4" w:space="0" w:color="000000"/>
              <w:right w:val="single" w:sz="4" w:space="0" w:color="000000"/>
            </w:tcBorders>
          </w:tcPr>
          <w:p>
            <w:pPr/>
          </w:p>
        </w:tc>
        <w:tc>
          <w:tcPr>
            <w:tcW w:w="5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000.00</w:t>
            </w:r>
          </w:p>
        </w:tc>
        <w:tc>
          <w:tcPr>
            <w:tcW w:w="586" w:type="dxa"/>
            <w:vMerge/>
            <w:tcBorders>
              <w:left w:val="single" w:sz="4" w:space="0" w:color="000000"/>
              <w:bottom w:val="single" w:sz="4" w:space="0" w:color="000000"/>
              <w:right w:val="single" w:sz="4" w:space="0" w:color="000000"/>
            </w:tcBorders>
          </w:tcPr>
          <w:p>
            <w:pPr/>
          </w:p>
        </w:tc>
        <w:tc>
          <w:tcPr>
            <w:tcW w:w="5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000.00</w:t>
            </w:r>
          </w:p>
        </w:tc>
      </w:tr>
      <w:tr>
        <w:trPr>
          <w:trHeight w:val="404"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125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w:t>
            </w:r>
          </w:p>
        </w:tc>
        <w:tc>
          <w:tcPr>
            <w:tcW w:w="494"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r>
      <w:tr>
        <w:trPr>
          <w:trHeight w:val="306" w:hRule="exact"/>
        </w:trPr>
        <w:tc>
          <w:tcPr>
            <w:tcW w:w="12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增资本（或股</w:t>
            </w:r>
          </w:p>
        </w:tc>
        <w:tc>
          <w:tcPr>
            <w:tcW w:w="494"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360" w:hRule="exact"/>
        </w:trPr>
        <w:tc>
          <w:tcPr>
            <w:tcW w:w="125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w:t>
            </w:r>
          </w:p>
        </w:tc>
        <w:tc>
          <w:tcPr>
            <w:tcW w:w="494"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360" w:hRule="exact"/>
        </w:trPr>
        <w:tc>
          <w:tcPr>
            <w:tcW w:w="125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w:t>
            </w:r>
          </w:p>
        </w:tc>
        <w:tc>
          <w:tcPr>
            <w:tcW w:w="494"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r>
      <w:tr>
        <w:trPr>
          <w:trHeight w:val="307" w:hRule="exact"/>
        </w:trPr>
        <w:tc>
          <w:tcPr>
            <w:tcW w:w="12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增资本（或股</w:t>
            </w:r>
          </w:p>
        </w:tc>
        <w:tc>
          <w:tcPr>
            <w:tcW w:w="494"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357" w:hRule="exact"/>
        </w:trPr>
        <w:tc>
          <w:tcPr>
            <w:tcW w:w="125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w:t>
            </w:r>
          </w:p>
        </w:tc>
        <w:tc>
          <w:tcPr>
            <w:tcW w:w="494"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6"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25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w:t>
            </w:r>
          </w:p>
        </w:tc>
        <w:tc>
          <w:tcPr>
            <w:tcW w:w="494"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r>
      <w:tr>
        <w:trPr>
          <w:trHeight w:val="307" w:hRule="exact"/>
        </w:trPr>
        <w:tc>
          <w:tcPr>
            <w:tcW w:w="12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划变动额结转</w:t>
            </w:r>
          </w:p>
        </w:tc>
        <w:tc>
          <w:tcPr>
            <w:tcW w:w="494"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357" w:hRule="exact"/>
        </w:trPr>
        <w:tc>
          <w:tcPr>
            <w:tcW w:w="125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494"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361" w:hRule="exact"/>
        </w:trPr>
        <w:tc>
          <w:tcPr>
            <w:tcW w:w="125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w:t>
            </w:r>
          </w:p>
        </w:tc>
        <w:tc>
          <w:tcPr>
            <w:tcW w:w="494"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r>
      <w:tr>
        <w:trPr>
          <w:trHeight w:val="306" w:hRule="exact"/>
        </w:trPr>
        <w:tc>
          <w:tcPr>
            <w:tcW w:w="12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益结转留存收</w:t>
            </w:r>
          </w:p>
        </w:tc>
        <w:tc>
          <w:tcPr>
            <w:tcW w:w="494"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360" w:hRule="exact"/>
        </w:trPr>
        <w:tc>
          <w:tcPr>
            <w:tcW w:w="125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494"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120,5</w:t>
            </w:r>
          </w:p>
          <w:p>
            <w:pPr>
              <w:pStyle w:val="TableParagraph"/>
              <w:spacing w:line="240" w:lineRule="auto" w:before="102"/>
              <w:ind w:left="55" w:right="0"/>
              <w:jc w:val="left"/>
              <w:rPr>
                <w:rFonts w:ascii="Times New Roman" w:hAnsi="Times New Roman" w:cs="Times New Roman" w:eastAsia="Times New Roman" w:hint="default"/>
                <w:sz w:val="18"/>
                <w:szCs w:val="18"/>
              </w:rPr>
            </w:pPr>
            <w:r>
              <w:rPr>
                <w:rFonts w:ascii="Times New Roman"/>
                <w:sz w:val="18"/>
              </w:rPr>
              <w:t>18,16</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1.00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711,76</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4,737.</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58,821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58,589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,877.4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2" w:right="0"/>
              <w:jc w:val="center"/>
              <w:rPr>
                <w:rFonts w:ascii="Times New Roman" w:hAnsi="Times New Roman" w:cs="Times New Roman" w:eastAsia="Times New Roman" w:hint="default"/>
                <w:sz w:val="18"/>
                <w:szCs w:val="18"/>
              </w:rPr>
            </w:pPr>
            <w:r>
              <w:rPr>
                <w:rFonts w:ascii="Times New Roman"/>
                <w:sz w:val="18"/>
              </w:rPr>
              <w:t>1,070,</w:t>
            </w:r>
          </w:p>
          <w:p>
            <w:pPr>
              <w:pStyle w:val="TableParagraph"/>
              <w:spacing w:line="240" w:lineRule="auto" w:before="102"/>
              <w:ind w:left="39" w:right="0"/>
              <w:jc w:val="center"/>
              <w:rPr>
                <w:rFonts w:ascii="Times New Roman" w:hAnsi="Times New Roman" w:cs="Times New Roman" w:eastAsia="Times New Roman" w:hint="default"/>
                <w:sz w:val="18"/>
                <w:szCs w:val="18"/>
              </w:rPr>
            </w:pPr>
            <w:r>
              <w:rPr>
                <w:rFonts w:ascii="Times New Roman"/>
                <w:sz w:val="18"/>
              </w:rPr>
              <w:t>602,46</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2.16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1,902,</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654,23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3.58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5" w:right="0"/>
              <w:jc w:val="left"/>
              <w:rPr>
                <w:rFonts w:ascii="Times New Roman" w:hAnsi="Times New Roman" w:cs="Times New Roman" w:eastAsia="Times New Roman" w:hint="default"/>
                <w:sz w:val="18"/>
                <w:szCs w:val="18"/>
              </w:rPr>
            </w:pPr>
            <w:r>
              <w:rPr>
                <w:rFonts w:ascii="Times New Roman"/>
                <w:sz w:val="18"/>
              </w:rPr>
              <w:t>-11,98</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8,629.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77</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 w:right="0"/>
              <w:jc w:val="center"/>
              <w:rPr>
                <w:rFonts w:ascii="Times New Roman" w:hAnsi="Times New Roman" w:cs="Times New Roman" w:eastAsia="Times New Roman" w:hint="default"/>
                <w:sz w:val="18"/>
                <w:szCs w:val="18"/>
              </w:rPr>
            </w:pPr>
            <w:r>
              <w:rPr>
                <w:rFonts w:ascii="Times New Roman"/>
                <w:sz w:val="18"/>
              </w:rPr>
              <w:t>1,890,</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665,60</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3.81</w:t>
            </w:r>
          </w:p>
        </w:tc>
      </w:tr>
    </w:tbl>
    <w:p>
      <w:pPr>
        <w:pStyle w:val="BodyText"/>
        <w:spacing w:line="240" w:lineRule="auto" w:before="49"/>
        <w:ind w:right="967"/>
        <w:jc w:val="left"/>
      </w:pPr>
      <w:r>
        <w:rPr/>
        <w:t>上期金额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12"/>
        <w:gridCol w:w="490"/>
        <w:gridCol w:w="449"/>
        <w:gridCol w:w="449"/>
        <w:gridCol w:w="493"/>
        <w:gridCol w:w="576"/>
        <w:gridCol w:w="576"/>
        <w:gridCol w:w="578"/>
        <w:gridCol w:w="576"/>
        <w:gridCol w:w="576"/>
        <w:gridCol w:w="578"/>
        <w:gridCol w:w="588"/>
        <w:gridCol w:w="566"/>
        <w:gridCol w:w="569"/>
        <w:gridCol w:w="641"/>
        <w:gridCol w:w="653"/>
      </w:tblGrid>
      <w:tr>
        <w:trPr>
          <w:trHeight w:val="403" w:hRule="exact"/>
        </w:trPr>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5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1" w:hRule="exact"/>
        </w:trPr>
        <w:tc>
          <w:tcPr>
            <w:tcW w:w="1212" w:type="dxa"/>
            <w:vMerge/>
            <w:tcBorders>
              <w:left w:val="single" w:sz="4" w:space="0" w:color="000000"/>
              <w:right w:val="single" w:sz="4" w:space="0" w:color="000000"/>
            </w:tcBorders>
            <w:shd w:val="clear" w:color="auto" w:fill="D2D2D2"/>
          </w:tcPr>
          <w:p>
            <w:pPr/>
          </w:p>
        </w:tc>
        <w:tc>
          <w:tcPr>
            <w:tcW w:w="706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316" w:lineRule="auto"/>
              <w:ind w:left="48"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316" w:lineRule="auto"/>
              <w:ind w:left="52"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3" w:hRule="exact"/>
        </w:trPr>
        <w:tc>
          <w:tcPr>
            <w:tcW w:w="1212" w:type="dxa"/>
            <w:vMerge/>
            <w:tcBorders>
              <w:left w:val="single" w:sz="4" w:space="0" w:color="000000"/>
              <w:right w:val="single" w:sz="4" w:space="0" w:color="000000"/>
            </w:tcBorders>
            <w:shd w:val="clear" w:color="auto" w:fill="D2D2D2"/>
          </w:tcPr>
          <w:p>
            <w:pPr/>
          </w:p>
        </w:tc>
        <w:tc>
          <w:tcPr>
            <w:tcW w:w="4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3" w:right="19"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713" w:hRule="exact"/>
        </w:trPr>
        <w:tc>
          <w:tcPr>
            <w:tcW w:w="1212"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9" w:right="3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96"/>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117,8</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630,15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3,882.</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82</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43,014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,124.0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231,67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2,160.</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26</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1,022,</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640,16</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7.17</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-4,366,</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751.52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73,415.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65</w:t>
            </w:r>
          </w:p>
        </w:tc>
      </w:tr>
      <w:tr>
        <w:trPr>
          <w:trHeight w:val="71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6"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6"/>
        <w:gridCol w:w="569"/>
        <w:gridCol w:w="641"/>
        <w:gridCol w:w="653"/>
      </w:tblGrid>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117,8</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630,15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3,882.</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82</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43,014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,124.0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231,67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2,160.</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26</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1,022,</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640,16</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7.17</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-4,366,</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751.52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73,415.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65</w:t>
            </w:r>
          </w:p>
        </w:tc>
      </w:tr>
      <w:tr>
        <w:trPr>
          <w:trHeight w:val="1340"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2,027,</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246.08</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-15,71</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8,125.</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49</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-13,69</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0,879.</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41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-5,039,</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267.50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-18,730</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,146.91</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21,649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,120.5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21,649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,120.5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-5,039,</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267.50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16,609,</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853.09</w:t>
            </w:r>
          </w:p>
        </w:tc>
      </w:tr>
      <w:tr>
        <w:trPr>
          <w:trHeight w:val="357" w:hRule="exact"/>
        </w:trPr>
        <w:tc>
          <w:tcPr>
            <w:tcW w:w="121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（二）所有者</w:t>
            </w:r>
          </w:p>
        </w:tc>
        <w:tc>
          <w:tcPr>
            <w:tcW w:w="490"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
        </w:tc>
        <w:tc>
          <w:tcPr>
            <w:tcW w:w="641"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
        </w:tc>
      </w:tr>
      <w:tr>
        <w:trPr>
          <w:trHeight w:val="311" w:hRule="exact"/>
        </w:trPr>
        <w:tc>
          <w:tcPr>
            <w:tcW w:w="12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投入和减少资</w:t>
            </w:r>
          </w:p>
        </w:tc>
        <w:tc>
          <w:tcPr>
            <w:tcW w:w="49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360" w:hRule="exact"/>
        </w:trPr>
        <w:tc>
          <w:tcPr>
            <w:tcW w:w="121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w:t>
            </w:r>
          </w:p>
        </w:tc>
        <w:tc>
          <w:tcPr>
            <w:tcW w:w="49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21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w:t>
            </w:r>
          </w:p>
        </w:tc>
        <w:tc>
          <w:tcPr>
            <w:tcW w:w="490"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
        </w:tc>
        <w:tc>
          <w:tcPr>
            <w:tcW w:w="641"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
        </w:tc>
      </w:tr>
      <w:tr>
        <w:trPr>
          <w:trHeight w:val="306" w:hRule="exact"/>
        </w:trPr>
        <w:tc>
          <w:tcPr>
            <w:tcW w:w="12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具持有者投入</w:t>
            </w:r>
          </w:p>
        </w:tc>
        <w:tc>
          <w:tcPr>
            <w:tcW w:w="49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360" w:hRule="exact"/>
        </w:trPr>
        <w:tc>
          <w:tcPr>
            <w:tcW w:w="121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49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360" w:hRule="exact"/>
        </w:trPr>
        <w:tc>
          <w:tcPr>
            <w:tcW w:w="121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w:t>
            </w:r>
          </w:p>
        </w:tc>
        <w:tc>
          <w:tcPr>
            <w:tcW w:w="490"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
        </w:tc>
        <w:tc>
          <w:tcPr>
            <w:tcW w:w="641"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
        </w:tc>
      </w:tr>
      <w:tr>
        <w:trPr>
          <w:trHeight w:val="307" w:hRule="exact"/>
        </w:trPr>
        <w:tc>
          <w:tcPr>
            <w:tcW w:w="12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入所有者权益</w:t>
            </w:r>
          </w:p>
        </w:tc>
        <w:tc>
          <w:tcPr>
            <w:tcW w:w="49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357" w:hRule="exact"/>
        </w:trPr>
        <w:tc>
          <w:tcPr>
            <w:tcW w:w="121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49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2,027,</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246.08</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-37,36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7,246.</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08</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-35,34</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-35,340</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,000.00</w:t>
            </w: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2,027,</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246.08</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-2,027,</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246.08</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0"/>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-35,34</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left"/>
              <w:rPr>
                <w:rFonts w:ascii="Times New Roman" w:hAnsi="Times New Roman" w:cs="Times New Roman" w:eastAsia="Times New Roman" w:hint="default"/>
                <w:sz w:val="18"/>
                <w:szCs w:val="18"/>
              </w:rPr>
            </w:pPr>
            <w:r>
              <w:rPr>
                <w:rFonts w:ascii="Times New Roman"/>
                <w:sz w:val="18"/>
              </w:rPr>
              <w:t>-35,34</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-35,340</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,000.00</w:t>
            </w: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6"/>
        <w:gridCol w:w="569"/>
        <w:gridCol w:w="641"/>
        <w:gridCol w:w="653"/>
      </w:tblGrid>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121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w:t>
            </w:r>
          </w:p>
        </w:tc>
        <w:tc>
          <w:tcPr>
            <w:tcW w:w="490"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
        </w:tc>
        <w:tc>
          <w:tcPr>
            <w:tcW w:w="641"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
        </w:tc>
      </w:tr>
      <w:tr>
        <w:trPr>
          <w:trHeight w:val="306" w:hRule="exact"/>
        </w:trPr>
        <w:tc>
          <w:tcPr>
            <w:tcW w:w="12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增资本（或股</w:t>
            </w:r>
          </w:p>
        </w:tc>
        <w:tc>
          <w:tcPr>
            <w:tcW w:w="49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360" w:hRule="exact"/>
        </w:trPr>
        <w:tc>
          <w:tcPr>
            <w:tcW w:w="121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w:t>
            </w:r>
          </w:p>
        </w:tc>
        <w:tc>
          <w:tcPr>
            <w:tcW w:w="49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121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w:t>
            </w:r>
          </w:p>
        </w:tc>
        <w:tc>
          <w:tcPr>
            <w:tcW w:w="490"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
        </w:tc>
        <w:tc>
          <w:tcPr>
            <w:tcW w:w="641"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
        </w:tc>
      </w:tr>
      <w:tr>
        <w:trPr>
          <w:trHeight w:val="306" w:hRule="exact"/>
        </w:trPr>
        <w:tc>
          <w:tcPr>
            <w:tcW w:w="12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划变动额结转</w:t>
            </w:r>
          </w:p>
        </w:tc>
        <w:tc>
          <w:tcPr>
            <w:tcW w:w="49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360" w:hRule="exact"/>
        </w:trPr>
        <w:tc>
          <w:tcPr>
            <w:tcW w:w="121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49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360" w:hRule="exact"/>
        </w:trPr>
        <w:tc>
          <w:tcPr>
            <w:tcW w:w="121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w:t>
            </w:r>
          </w:p>
        </w:tc>
        <w:tc>
          <w:tcPr>
            <w:tcW w:w="490"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
        </w:tc>
        <w:tc>
          <w:tcPr>
            <w:tcW w:w="641"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
        </w:tc>
      </w:tr>
      <w:tr>
        <w:trPr>
          <w:trHeight w:val="307" w:hRule="exact"/>
        </w:trPr>
        <w:tc>
          <w:tcPr>
            <w:tcW w:w="12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益结转留存收</w:t>
            </w:r>
          </w:p>
        </w:tc>
        <w:tc>
          <w:tcPr>
            <w:tcW w:w="49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357" w:hRule="exact"/>
        </w:trPr>
        <w:tc>
          <w:tcPr>
            <w:tcW w:w="121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49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117,8</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630,15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3,882.</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82</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45,041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,370.1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215,95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4,034.</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77</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1,008,</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949,28</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7.76</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-9,406,</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019.02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999,543</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,268.74</w:t>
            </w:r>
          </w:p>
        </w:tc>
      </w:tr>
    </w:tbl>
    <w:p>
      <w:pPr>
        <w:spacing w:line="240" w:lineRule="auto" w:before="10"/>
        <w:rPr>
          <w:rFonts w:ascii="Times New Roman" w:hAnsi="Times New Roman" w:cs="Times New Roman" w:eastAsia="Times New Roman" w:hint="default"/>
          <w:sz w:val="21"/>
          <w:szCs w:val="21"/>
        </w:rPr>
      </w:pPr>
    </w:p>
    <w:p>
      <w:pPr>
        <w:pStyle w:val="Heading4"/>
        <w:spacing w:line="335" w:lineRule="exact"/>
        <w:ind w:right="967"/>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967"/>
        <w:jc w:val="left"/>
      </w:pPr>
      <w:r>
        <w:rPr/>
        <w:t>本期金额</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06"/>
        <w:gridCol w:w="629"/>
        <w:gridCol w:w="605"/>
        <w:gridCol w:w="603"/>
        <w:gridCol w:w="605"/>
        <w:gridCol w:w="727"/>
        <w:gridCol w:w="727"/>
        <w:gridCol w:w="725"/>
        <w:gridCol w:w="727"/>
        <w:gridCol w:w="727"/>
        <w:gridCol w:w="615"/>
        <w:gridCol w:w="710"/>
        <w:gridCol w:w="862"/>
      </w:tblGrid>
      <w:tr>
        <w:trPr>
          <w:trHeight w:val="401" w:hRule="exact"/>
        </w:trPr>
        <w:tc>
          <w:tcPr>
            <w:tcW w:w="1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26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1306" w:type="dxa"/>
            <w:vMerge/>
            <w:tcBorders>
              <w:left w:val="single" w:sz="4" w:space="0" w:color="000000"/>
              <w:right w:val="single" w:sz="4" w:space="0" w:color="000000"/>
            </w:tcBorders>
            <w:shd w:val="clear" w:color="auto" w:fill="D2D2D2"/>
          </w:tcPr>
          <w:p>
            <w:pPr/>
          </w:p>
        </w:tc>
        <w:tc>
          <w:tcPr>
            <w:tcW w:w="6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19"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55"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306" w:type="dxa"/>
            <w:vMerge/>
            <w:tcBorders>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117,80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629,111,</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873.65</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46,710,5</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73.25</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5,159.1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1,040,267,</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606.09</w:t>
            </w:r>
          </w:p>
        </w:tc>
      </w:tr>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9" w:firstLine="360"/>
              <w:jc w:val="left"/>
              <w:rPr>
                <w:rFonts w:ascii="宋体" w:hAnsi="宋体" w:cs="宋体" w:eastAsia="宋体" w:hint="default"/>
                <w:sz w:val="18"/>
                <w:szCs w:val="18"/>
              </w:rPr>
            </w:pP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7"/>
        <w:gridCol w:w="725"/>
        <w:gridCol w:w="727"/>
        <w:gridCol w:w="727"/>
        <w:gridCol w:w="615"/>
        <w:gridCol w:w="710"/>
        <w:gridCol w:w="862"/>
      </w:tblGrid>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117,80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629,111,</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873.65</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46,710,5</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73.25</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5,159.1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1,040,267,</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606.09</w:t>
            </w:r>
          </w:p>
        </w:tc>
      </w:tr>
      <w:tr>
        <w:trPr>
          <w:trHeight w:val="1380"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6" w:lineRule="auto"/>
              <w:ind w:left="22" w:right="19"/>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2,718,1</w:t>
            </w:r>
          </w:p>
          <w:p>
            <w:pPr>
              <w:pStyle w:val="TableParagraph"/>
              <w:spacing w:line="240" w:lineRule="auto" w:before="105"/>
              <w:ind w:left="166" w:right="0"/>
              <w:jc w:val="center"/>
              <w:rPr>
                <w:rFonts w:ascii="Times New Roman" w:hAnsi="Times New Roman" w:cs="Times New Roman" w:eastAsia="Times New Roman" w:hint="default"/>
                <w:sz w:val="18"/>
                <w:szCs w:val="18"/>
              </w:rPr>
            </w:pPr>
            <w:r>
              <w:rPr>
                <w:rFonts w:ascii="Times New Roman"/>
                <w:sz w:val="18"/>
              </w:rPr>
              <w:t>61.00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81,610,8</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54.22</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58,821,0</w:t>
            </w:r>
          </w:p>
          <w:p>
            <w:pPr>
              <w:pStyle w:val="TableParagraph"/>
              <w:spacing w:line="240" w:lineRule="auto" w:before="105"/>
              <w:ind w:left="290" w:right="0"/>
              <w:jc w:val="left"/>
              <w:rPr>
                <w:rFonts w:ascii="Times New Roman" w:hAnsi="Times New Roman" w:cs="Times New Roman" w:eastAsia="Times New Roman" w:hint="default"/>
                <w:sz w:val="18"/>
                <w:szCs w:val="18"/>
              </w:rPr>
            </w:pPr>
            <w:r>
              <w:rPr>
                <w:rFonts w:ascii="Times New Roman"/>
                <w:sz w:val="18"/>
              </w:rPr>
              <w:t>04.04</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13,548,5</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07.25</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858,13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6,097.6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897,192,6</w:t>
            </w:r>
          </w:p>
          <w:p>
            <w:pPr>
              <w:pStyle w:val="TableParagraph"/>
              <w:spacing w:line="240" w:lineRule="auto" w:before="102"/>
              <w:ind w:left="431" w:right="0"/>
              <w:jc w:val="left"/>
              <w:rPr>
                <w:rFonts w:ascii="Times New Roman" w:hAnsi="Times New Roman" w:cs="Times New Roman" w:eastAsia="Times New Roman" w:hint="default"/>
                <w:sz w:val="18"/>
                <w:szCs w:val="18"/>
              </w:rPr>
            </w:pPr>
            <w:r>
              <w:rPr>
                <w:rFonts w:ascii="Times New Roman"/>
                <w:sz w:val="18"/>
              </w:rPr>
              <w:t>16.11</w:t>
            </w:r>
          </w:p>
        </w:tc>
      </w:tr>
      <w:tr>
        <w:trPr>
          <w:trHeight w:val="1066"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pacing w:val="-1"/>
                <w:sz w:val="18"/>
              </w:rPr>
              <w:t>878,75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2,604.9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878,752,6</w:t>
            </w:r>
          </w:p>
          <w:p>
            <w:pPr>
              <w:pStyle w:val="TableParagraph"/>
              <w:spacing w:line="240" w:lineRule="auto" w:before="102"/>
              <w:ind w:left="424" w:right="0"/>
              <w:jc w:val="left"/>
              <w:rPr>
                <w:rFonts w:ascii="Times New Roman" w:hAnsi="Times New Roman" w:cs="Times New Roman" w:eastAsia="Times New Roman" w:hint="default"/>
                <w:sz w:val="18"/>
                <w:szCs w:val="18"/>
              </w:rPr>
            </w:pPr>
            <w:r>
              <w:rPr>
                <w:rFonts w:ascii="Times New Roman"/>
                <w:sz w:val="18"/>
              </w:rPr>
              <w:t>04.93</w:t>
            </w: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2,718,1</w:t>
            </w:r>
          </w:p>
          <w:p>
            <w:pPr>
              <w:pStyle w:val="TableParagraph"/>
              <w:spacing w:line="240" w:lineRule="auto" w:before="105"/>
              <w:ind w:left="166" w:right="0"/>
              <w:jc w:val="center"/>
              <w:rPr>
                <w:rFonts w:ascii="Times New Roman" w:hAnsi="Times New Roman" w:cs="Times New Roman" w:eastAsia="Times New Roman" w:hint="default"/>
                <w:sz w:val="18"/>
                <w:szCs w:val="18"/>
              </w:rPr>
            </w:pPr>
            <w:r>
              <w:rPr>
                <w:rFonts w:ascii="Times New Roman"/>
                <w:sz w:val="18"/>
              </w:rPr>
              <w:t>61.00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81,610,8</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54.22</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58,821,0</w:t>
            </w:r>
          </w:p>
          <w:p>
            <w:pPr>
              <w:pStyle w:val="TableParagraph"/>
              <w:spacing w:line="240" w:lineRule="auto" w:before="105"/>
              <w:ind w:left="290" w:right="0"/>
              <w:jc w:val="left"/>
              <w:rPr>
                <w:rFonts w:ascii="Times New Roman" w:hAnsi="Times New Roman" w:cs="Times New Roman" w:eastAsia="Times New Roman" w:hint="default"/>
                <w:sz w:val="18"/>
                <w:szCs w:val="18"/>
              </w:rPr>
            </w:pPr>
            <w:r>
              <w:rPr>
                <w:rFonts w:ascii="Times New Roman"/>
                <w:sz w:val="18"/>
              </w:rPr>
              <w:t>04.04</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25,508,011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.18</w:t>
            </w: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2,718,1</w:t>
            </w:r>
          </w:p>
          <w:p>
            <w:pPr>
              <w:pStyle w:val="TableParagraph"/>
              <w:spacing w:line="240" w:lineRule="auto" w:before="105"/>
              <w:ind w:left="166" w:right="0"/>
              <w:jc w:val="center"/>
              <w:rPr>
                <w:rFonts w:ascii="Times New Roman" w:hAnsi="Times New Roman" w:cs="Times New Roman" w:eastAsia="Times New Roman" w:hint="default"/>
                <w:sz w:val="18"/>
                <w:szCs w:val="18"/>
              </w:rPr>
            </w:pPr>
            <w:r>
              <w:rPr>
                <w:rFonts w:ascii="Times New Roman"/>
                <w:sz w:val="18"/>
              </w:rPr>
              <w:t>61.00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56,102,8</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43.04</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58,821,0</w:t>
            </w:r>
          </w:p>
          <w:p>
            <w:pPr>
              <w:pStyle w:val="TableParagraph"/>
              <w:spacing w:line="240" w:lineRule="auto" w:before="105"/>
              <w:ind w:left="290" w:right="0"/>
              <w:jc w:val="left"/>
              <w:rPr>
                <w:rFonts w:ascii="Times New Roman" w:hAnsi="Times New Roman" w:cs="Times New Roman" w:eastAsia="Times New Roman" w:hint="default"/>
                <w:sz w:val="18"/>
                <w:szCs w:val="18"/>
              </w:rPr>
            </w:pPr>
            <w:r>
              <w:rPr>
                <w:rFonts w:ascii="Times New Roman"/>
                <w:sz w:val="18"/>
              </w:rPr>
              <w:t>04.04</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25,508,0</w:t>
            </w:r>
          </w:p>
          <w:p>
            <w:pPr>
              <w:pStyle w:val="TableParagraph"/>
              <w:spacing w:line="240" w:lineRule="auto" w:before="105"/>
              <w:ind w:left="295" w:right="0"/>
              <w:jc w:val="left"/>
              <w:rPr>
                <w:rFonts w:ascii="Times New Roman" w:hAnsi="Times New Roman" w:cs="Times New Roman" w:eastAsia="Times New Roman" w:hint="default"/>
                <w:sz w:val="18"/>
                <w:szCs w:val="18"/>
              </w:rPr>
            </w:pPr>
            <w:r>
              <w:rPr>
                <w:rFonts w:ascii="Times New Roman"/>
                <w:sz w:val="18"/>
              </w:rPr>
              <w:t>11.18</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25,508,011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.18</w:t>
            </w: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13,548,5</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07.25</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-20,616</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,507.25</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-7,068,000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13,548,5</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07.25</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-13,548</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,507.25</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-7,068,</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-7,068,000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7"/>
        <w:gridCol w:w="725"/>
        <w:gridCol w:w="727"/>
        <w:gridCol w:w="727"/>
        <w:gridCol w:w="615"/>
        <w:gridCol w:w="710"/>
        <w:gridCol w:w="862"/>
      </w:tblGrid>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6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120,51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8,161.0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710,722,</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727.87</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58,821,0</w:t>
            </w:r>
          </w:p>
          <w:p>
            <w:pPr>
              <w:pStyle w:val="TableParagraph"/>
              <w:spacing w:line="240" w:lineRule="auto" w:before="105"/>
              <w:ind w:left="290" w:right="0"/>
              <w:jc w:val="left"/>
              <w:rPr>
                <w:rFonts w:ascii="Times New Roman" w:hAnsi="Times New Roman" w:cs="Times New Roman" w:eastAsia="Times New Roman" w:hint="default"/>
                <w:sz w:val="18"/>
                <w:szCs w:val="18"/>
              </w:rPr>
            </w:pPr>
            <w:r>
              <w:rPr>
                <w:rFonts w:ascii="Times New Roman"/>
                <w:sz w:val="18"/>
              </w:rPr>
              <w:t>04.04</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60,259,0</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80.50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1,104,7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81,256.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87</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1,937,460,</w:t>
            </w:r>
          </w:p>
          <w:p>
            <w:pPr>
              <w:pStyle w:val="TableParagraph"/>
              <w:spacing w:line="240" w:lineRule="auto" w:before="102"/>
              <w:ind w:left="335" w:right="0"/>
              <w:jc w:val="left"/>
              <w:rPr>
                <w:rFonts w:ascii="Times New Roman" w:hAnsi="Times New Roman" w:cs="Times New Roman" w:eastAsia="Times New Roman" w:hint="default"/>
                <w:sz w:val="18"/>
                <w:szCs w:val="18"/>
              </w:rPr>
            </w:pPr>
            <w:r>
              <w:rPr>
                <w:rFonts w:ascii="Times New Roman"/>
                <w:sz w:val="18"/>
              </w:rPr>
              <w:t>222.20</w:t>
            </w:r>
          </w:p>
        </w:tc>
      </w:tr>
    </w:tbl>
    <w:p>
      <w:pPr>
        <w:pStyle w:val="BodyText"/>
        <w:spacing w:line="240" w:lineRule="auto" w:before="49"/>
        <w:ind w:right="967"/>
        <w:jc w:val="left"/>
      </w:pPr>
      <w:r>
        <w:rPr/>
        <w:t>上期金额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32"/>
        <w:gridCol w:w="593"/>
        <w:gridCol w:w="574"/>
        <w:gridCol w:w="572"/>
        <w:gridCol w:w="571"/>
        <w:gridCol w:w="686"/>
        <w:gridCol w:w="686"/>
        <w:gridCol w:w="684"/>
        <w:gridCol w:w="782"/>
        <w:gridCol w:w="665"/>
        <w:gridCol w:w="797"/>
        <w:gridCol w:w="797"/>
        <w:gridCol w:w="931"/>
      </w:tblGrid>
      <w:tr>
        <w:trPr>
          <w:trHeight w:val="401" w:hRule="exact"/>
        </w:trPr>
        <w:tc>
          <w:tcPr>
            <w:tcW w:w="12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3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3" w:hRule="exact"/>
        </w:trPr>
        <w:tc>
          <w:tcPr>
            <w:tcW w:w="1232" w:type="dxa"/>
            <w:vMerge/>
            <w:tcBorders>
              <w:left w:val="single" w:sz="4" w:space="0" w:color="000000"/>
              <w:right w:val="single" w:sz="4" w:space="0" w:color="000000"/>
            </w:tcBorders>
            <w:shd w:val="clear" w:color="auto" w:fill="D2D2D2"/>
          </w:tcPr>
          <w:p>
            <w:pPr/>
          </w:p>
        </w:tc>
        <w:tc>
          <w:tcPr>
            <w:tcW w:w="5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04" w:right="32"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9" w:right="98"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713" w:hRule="exact"/>
        </w:trPr>
        <w:tc>
          <w:tcPr>
            <w:tcW w:w="1232" w:type="dxa"/>
            <w:vMerge/>
            <w:tcBorders>
              <w:left w:val="single" w:sz="4" w:space="0" w:color="000000"/>
              <w:bottom w:val="single" w:sz="4" w:space="0" w:color="000000"/>
              <w:right w:val="single" w:sz="4" w:space="0" w:color="000000"/>
            </w:tcBorders>
            <w:shd w:val="clear" w:color="auto" w:fill="D2D2D2"/>
          </w:tcPr>
          <w:p>
            <w:pPr/>
          </w:p>
        </w:tc>
        <w:tc>
          <w:tcPr>
            <w:tcW w:w="593" w:type="dxa"/>
            <w:vMerge/>
            <w:tcBorders>
              <w:left w:val="single" w:sz="4" w:space="0" w:color="000000"/>
              <w:bottom w:val="single" w:sz="4" w:space="0" w:color="000000"/>
              <w:right w:val="single" w:sz="4" w:space="0" w:color="000000"/>
            </w:tcBorders>
            <w:shd w:val="clear" w:color="auto" w:fill="D2D2D2"/>
          </w:tcPr>
          <w:p>
            <w:pP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4"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1" w:right="9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117,80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629,111,</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873.65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44,683,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327.17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263,739,9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44.51</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1,055,335,1</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45.33</w:t>
            </w:r>
          </w:p>
        </w:tc>
      </w:tr>
      <w:tr>
        <w:trPr>
          <w:trHeight w:val="713"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firstLine="360"/>
              <w:jc w:val="left"/>
              <w:rPr>
                <w:rFonts w:ascii="宋体" w:hAnsi="宋体" w:cs="宋体" w:eastAsia="宋体" w:hint="default"/>
                <w:sz w:val="18"/>
                <w:szCs w:val="18"/>
              </w:rPr>
            </w:pP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117,80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629,111,</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873.65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44,683,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327.17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263,739,9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44.51</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1,055,335,1</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45.33</w:t>
            </w:r>
          </w:p>
        </w:tc>
      </w:tr>
      <w:tr>
        <w:trPr>
          <w:trHeight w:val="102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2,027,2</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46.08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-17,094,7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85.32</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-15,067,539</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.24</w:t>
            </w:r>
          </w:p>
        </w:tc>
      </w:tr>
      <w:tr>
        <w:trPr>
          <w:trHeight w:val="71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20,272,46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0.76</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20,272,460.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r>
      <w:tr>
        <w:trPr>
          <w:trHeight w:val="713"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2,027,2</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46.08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-37,367,2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46.08</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-35,340,000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center"/>
              <w:rPr>
                <w:rFonts w:ascii="Times New Roman" w:hAnsi="Times New Roman" w:cs="Times New Roman" w:eastAsia="Times New Roman" w:hint="default"/>
                <w:sz w:val="18"/>
                <w:szCs w:val="18"/>
              </w:rPr>
            </w:pPr>
            <w:r>
              <w:rPr>
                <w:rFonts w:ascii="Times New Roman"/>
                <w:sz w:val="18"/>
              </w:rPr>
              <w:t>2,027,2</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46.08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-2,027,24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6.08</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83" w:right="0"/>
              <w:jc w:val="lef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-35,340,0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-35,340,000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1028"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117,80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629,111,</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873.65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46,710,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573.25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246,645,1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59.19</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1,040,267,6</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06.09</w:t>
            </w:r>
          </w:p>
        </w:tc>
      </w:tr>
    </w:tbl>
    <w:p>
      <w:pPr>
        <w:spacing w:line="240" w:lineRule="auto" w:before="6"/>
        <w:rPr>
          <w:rFonts w:ascii="Times New Roman" w:hAnsi="Times New Roman" w:cs="Times New Roman" w:eastAsia="Times New Roman" w:hint="default"/>
          <w:sz w:val="20"/>
          <w:szCs w:val="20"/>
        </w:rPr>
      </w:pPr>
    </w:p>
    <w:p>
      <w:pPr>
        <w:pStyle w:val="Heading2"/>
        <w:spacing w:line="367" w:lineRule="exact"/>
        <w:ind w:right="967"/>
        <w:jc w:val="left"/>
        <w:rPr>
          <w:b w:val="0"/>
          <w:bCs w:val="0"/>
        </w:rPr>
      </w:pPr>
      <w:r>
        <w:rPr/>
        <w:t>三、公司基本情况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19" w:lineRule="auto"/>
        <w:ind w:right="967" w:firstLine="420"/>
        <w:jc w:val="left"/>
      </w:pPr>
      <w:r>
        <w:rPr>
          <w:spacing w:val="-5"/>
        </w:rPr>
        <w:t>深圳市金溢科技股份有限公司（以下简称公司或本公司）前身系原深圳市金溢科技有限公司（以下简称金溢有限公司），</w:t>
      </w:r>
      <w:r>
        <w:rPr/>
        <w:t> 金溢有限公司系由深圳市金溢实业有限公司和广州市立尊电子科技有限公司共同出资组建，于</w:t>
      </w:r>
      <w:r>
        <w:rPr>
          <w:rFonts w:ascii="宋体" w:hAnsi="宋体" w:cs="宋体" w:eastAsia="宋体" w:hint="default"/>
        </w:rPr>
        <w:t>2004</w:t>
      </w:r>
      <w:r>
        <w:rPr/>
        <w:t>年</w:t>
      </w:r>
      <w:r>
        <w:rPr>
          <w:rFonts w:ascii="宋体" w:hAnsi="宋体" w:cs="宋体" w:eastAsia="宋体" w:hint="default"/>
        </w:rPr>
        <w:t>5</w:t>
      </w:r>
      <w:r>
        <w:rPr/>
        <w:t>月</w:t>
      </w:r>
      <w:r>
        <w:rPr>
          <w:rFonts w:ascii="宋体" w:hAnsi="宋体" w:cs="宋体" w:eastAsia="宋体" w:hint="default"/>
        </w:rPr>
        <w:t>20</w:t>
      </w:r>
      <w:r>
        <w:rPr/>
        <w:t>日在深圳市工商</w:t>
      </w:r>
      <w:r>
        <w:rPr>
          <w:spacing w:val="-84"/>
        </w:rPr>
        <w:t> </w:t>
      </w:r>
      <w:r>
        <w:rPr>
          <w:spacing w:val="-84"/>
        </w:rPr>
      </w:r>
      <w:r>
        <w:rPr/>
        <w:t>行政管理局登记注册，金溢有限公司以</w:t>
      </w:r>
      <w:r>
        <w:rPr>
          <w:rFonts w:ascii="宋体" w:hAnsi="宋体" w:cs="宋体" w:eastAsia="宋体" w:hint="default"/>
        </w:rPr>
        <w:t>2013</w:t>
      </w:r>
      <w:r>
        <w:rPr/>
        <w:t>年</w:t>
      </w:r>
      <w:r>
        <w:rPr>
          <w:rFonts w:ascii="宋体" w:hAnsi="宋体" w:cs="宋体" w:eastAsia="宋体" w:hint="default"/>
        </w:rPr>
        <w:t>11</w:t>
      </w:r>
      <w:r>
        <w:rPr/>
        <w:t>月</w:t>
      </w:r>
      <w:r>
        <w:rPr>
          <w:rFonts w:ascii="宋体" w:hAnsi="宋体" w:cs="宋体" w:eastAsia="宋体" w:hint="default"/>
        </w:rPr>
        <w:t>30</w:t>
      </w:r>
      <w:r>
        <w:rPr/>
        <w:t>日为基准日，整体变更为股份有限公司，于</w:t>
      </w:r>
      <w:r>
        <w:rPr>
          <w:rFonts w:ascii="宋体" w:hAnsi="宋体" w:cs="宋体" w:eastAsia="宋体" w:hint="default"/>
        </w:rPr>
        <w:t>2014</w:t>
      </w:r>
      <w:r>
        <w:rPr/>
        <w:t>年</w:t>
      </w:r>
      <w:r>
        <w:rPr>
          <w:rFonts w:ascii="宋体" w:hAnsi="宋体" w:cs="宋体" w:eastAsia="宋体" w:hint="default"/>
        </w:rPr>
        <w:t>3</w:t>
      </w:r>
      <w:r>
        <w:rPr/>
        <w:t>月</w:t>
      </w:r>
      <w:r>
        <w:rPr>
          <w:rFonts w:ascii="宋体" w:hAnsi="宋体" w:cs="宋体" w:eastAsia="宋体" w:hint="default"/>
        </w:rPr>
        <w:t>17</w:t>
      </w:r>
      <w:r>
        <w:rPr/>
        <w:t>日在深圳市市</w:t>
      </w:r>
      <w:r>
        <w:rPr>
          <w:spacing w:val="-87"/>
        </w:rPr>
        <w:t> </w:t>
      </w:r>
      <w:r>
        <w:rPr>
          <w:spacing w:val="-87"/>
        </w:rPr>
      </w:r>
      <w:r>
        <w:rPr>
          <w:spacing w:val="-2"/>
        </w:rPr>
        <w:t>场监督管理局登记注册，总部位于广东省深圳市。公司现持有统一社会信用代码为</w:t>
      </w:r>
      <w:r>
        <w:rPr>
          <w:rFonts w:ascii="宋体" w:hAnsi="宋体" w:cs="宋体" w:eastAsia="宋体" w:hint="default"/>
          <w:spacing w:val="-2"/>
        </w:rPr>
        <w:t>91440300761987321E</w:t>
      </w:r>
      <w:r>
        <w:rPr>
          <w:spacing w:val="-2"/>
        </w:rPr>
        <w:t>的营业执照，注册资</w:t>
      </w:r>
      <w:r>
        <w:rPr>
          <w:spacing w:val="-51"/>
        </w:rPr>
        <w:t> </w:t>
      </w:r>
      <w:r>
        <w:rPr>
          <w:spacing w:val="-51"/>
        </w:rPr>
      </w:r>
      <w:r>
        <w:rPr/>
        <w:t>本</w:t>
      </w:r>
      <w:r>
        <w:rPr>
          <w:rFonts w:ascii="宋体" w:hAnsi="宋体" w:cs="宋体" w:eastAsia="宋体" w:hint="default"/>
        </w:rPr>
        <w:t>120,518,161.00</w:t>
      </w:r>
      <w:r>
        <w:rPr/>
        <w:t>元，股份总数</w:t>
      </w:r>
      <w:r>
        <w:rPr>
          <w:rFonts w:ascii="宋体" w:hAnsi="宋体" w:cs="宋体" w:eastAsia="宋体" w:hint="default"/>
        </w:rPr>
        <w:t>120,518,161</w:t>
      </w:r>
      <w:r>
        <w:rPr/>
        <w:t>股（每股面值</w:t>
      </w:r>
      <w:r>
        <w:rPr>
          <w:rFonts w:ascii="宋体" w:hAnsi="宋体" w:cs="宋体" w:eastAsia="宋体" w:hint="default"/>
        </w:rPr>
        <w:t>1</w:t>
      </w:r>
      <w:r>
        <w:rPr/>
        <w:t>元）。其中，有限售条件的流通股份：</w:t>
      </w:r>
      <w:r>
        <w:rPr>
          <w:rFonts w:ascii="宋体" w:hAnsi="宋体" w:cs="宋体" w:eastAsia="宋体" w:hint="default"/>
        </w:rPr>
        <w:t>A</w:t>
      </w:r>
      <w:r>
        <w:rPr/>
        <w:t>股</w:t>
      </w:r>
      <w:r>
        <w:rPr>
          <w:rFonts w:ascii="宋体" w:hAnsi="宋体" w:cs="宋体" w:eastAsia="宋体" w:hint="default"/>
        </w:rPr>
        <w:t>74,527,181</w:t>
      </w:r>
      <w:r>
        <w:rPr/>
        <w:t>股；无限 售条件的流通股份</w:t>
      </w:r>
      <w:r>
        <w:rPr>
          <w:rFonts w:ascii="宋体" w:hAnsi="宋体" w:cs="宋体" w:eastAsia="宋体" w:hint="default"/>
        </w:rPr>
        <w:t>A</w:t>
      </w:r>
      <w:r>
        <w:rPr/>
        <w:t>股</w:t>
      </w:r>
      <w:r>
        <w:rPr>
          <w:rFonts w:ascii="宋体" w:hAnsi="宋体" w:cs="宋体" w:eastAsia="宋体" w:hint="default"/>
        </w:rPr>
        <w:t>45,990,980</w:t>
      </w:r>
      <w:r>
        <w:rPr/>
        <w:t>股。公司股票已于</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15</w:t>
      </w:r>
      <w:r>
        <w:rPr/>
        <w:t>日在深圳证券交易所挂牌交易。</w:t>
      </w:r>
    </w:p>
    <w:p>
      <w:pPr>
        <w:pStyle w:val="BodyText"/>
        <w:spacing w:line="316" w:lineRule="auto" w:before="17"/>
        <w:ind w:right="967" w:firstLine="420"/>
        <w:jc w:val="left"/>
      </w:pPr>
      <w:r>
        <w:rPr/>
        <w:t>本公司属计算机、通讯和其他电子设备制造行业。主要经营活动为无线收发设备、智能终端设备、网络与电子通信产 </w:t>
      </w:r>
      <w:r>
        <w:rPr>
          <w:spacing w:val="-2"/>
        </w:rPr>
        <w:t>品、软件产品、计算机与电子信息的技术开发、设计、生产、销售、安装、技术服务及技术咨询。主要产品：车载电子标签</w:t>
      </w:r>
    </w:p>
    <w:p>
      <w:pPr>
        <w:pStyle w:val="BodyText"/>
        <w:spacing w:line="300" w:lineRule="auto" w:before="19"/>
        <w:ind w:right="967"/>
        <w:jc w:val="left"/>
      </w:pPr>
      <w:r>
        <w:rPr/>
        <w:t>（以下简称</w:t>
      </w:r>
      <w:r>
        <w:rPr>
          <w:rFonts w:ascii="Times New Roman" w:hAnsi="Times New Roman" w:cs="Times New Roman" w:eastAsia="Times New Roman" w:hint="default"/>
        </w:rPr>
        <w:t>OBU</w:t>
      </w:r>
      <w:r>
        <w:rPr/>
        <w:t>）、微波读写天线（以下简称</w:t>
      </w:r>
      <w:r>
        <w:rPr>
          <w:rFonts w:ascii="Times New Roman" w:hAnsi="Times New Roman" w:cs="Times New Roman" w:eastAsia="Times New Roman" w:hint="default"/>
        </w:rPr>
        <w:t>RSU</w:t>
      </w:r>
      <w:r>
        <w:rPr/>
        <w:t>）、基于</w:t>
      </w:r>
      <w:r>
        <w:rPr>
          <w:rFonts w:ascii="Times New Roman" w:hAnsi="Times New Roman" w:cs="Times New Roman" w:eastAsia="Times New Roman" w:hint="default"/>
        </w:rPr>
        <w:t>RFID</w:t>
      </w:r>
      <w:r>
        <w:rPr/>
        <w:t>技术或</w:t>
      </w:r>
      <w:r>
        <w:rPr>
          <w:rFonts w:ascii="Times New Roman" w:hAnsi="Times New Roman" w:cs="Times New Roman" w:eastAsia="Times New Roman" w:hint="default"/>
        </w:rPr>
        <w:t>ETC</w:t>
      </w:r>
      <w:r>
        <w:rPr/>
        <w:t>（电子不停车收费系统）技术平台的路径识别</w:t>
      </w:r>
      <w:r>
        <w:rPr>
          <w:spacing w:val="-42"/>
        </w:rPr>
        <w:t> </w:t>
      </w:r>
      <w:r>
        <w:rPr>
          <w:spacing w:val="-42"/>
        </w:rPr>
      </w:r>
      <w:r>
        <w:rPr/>
        <w:t>产品和手持终端设备。</w:t>
      </w:r>
    </w:p>
    <w:p>
      <w:pPr>
        <w:pStyle w:val="BodyText"/>
        <w:spacing w:line="300" w:lineRule="auto" w:before="31"/>
        <w:ind w:left="573" w:right="967"/>
        <w:jc w:val="left"/>
      </w:pPr>
      <w:r>
        <w:rPr/>
        <w:t>本财务报表业经公司</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日第三届董事会第二次会议批准对外报出。 本公司将北京中交金溢科技有限公司、青岛金溢科技有限公司、伟龙金溢科技（深圳）有限公司、广东华信金溢信息</w:t>
      </w:r>
    </w:p>
    <w:p>
      <w:pPr>
        <w:pStyle w:val="BodyText"/>
        <w:spacing w:line="300" w:lineRule="auto" w:before="31"/>
        <w:ind w:right="1124"/>
        <w:jc w:val="left"/>
      </w:pPr>
      <w:r>
        <w:rPr/>
        <w:t>技术有限公司、佛山金溢科技有限公司和无锡金溢科技有限公司</w:t>
      </w:r>
      <w:r>
        <w:rPr>
          <w:rFonts w:ascii="Times New Roman" w:hAnsi="Times New Roman" w:cs="Times New Roman" w:eastAsia="Times New Roman" w:hint="default"/>
        </w:rPr>
        <w:t>6</w:t>
      </w:r>
      <w:r>
        <w:rPr/>
        <w:t>家子公司纳入本期合并财务报表范围，情况详见本财务报</w:t>
      </w:r>
      <w:r>
        <w:rPr>
          <w:spacing w:val="-83"/>
        </w:rPr>
        <w:t> </w:t>
      </w:r>
      <w:r>
        <w:rPr>
          <w:spacing w:val="-83"/>
        </w:rPr>
      </w:r>
      <w:r>
        <w:rPr/>
        <w:t>表附注在其他主体中的权益之说明。</w:t>
      </w:r>
    </w:p>
    <w:p>
      <w:pPr>
        <w:spacing w:line="240" w:lineRule="auto" w:before="0"/>
        <w:rPr>
          <w:rFonts w:ascii="宋体" w:hAnsi="宋体" w:cs="宋体" w:eastAsia="宋体" w:hint="default"/>
          <w:sz w:val="16"/>
          <w:szCs w:val="16"/>
        </w:rPr>
      </w:pPr>
    </w:p>
    <w:p>
      <w:pPr>
        <w:pStyle w:val="Heading2"/>
        <w:spacing w:line="240" w:lineRule="auto"/>
        <w:ind w:right="967"/>
        <w:jc w:val="left"/>
        <w:rPr>
          <w:b w:val="0"/>
          <w:bCs w:val="0"/>
        </w:rPr>
      </w:pPr>
      <w:r>
        <w:rPr/>
        <w:t>四、财务报表的编制基础</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967"/>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441" w:right="967"/>
        <w:jc w:val="left"/>
      </w:pPr>
      <w:r>
        <w:rPr/>
        <w:t>本公司财务报表以持续经营为编制基础。</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441" w:right="967"/>
        <w:jc w:val="left"/>
      </w:pPr>
      <w:r>
        <w:rPr/>
        <w:t>本公司不存在导致对报告期末起</w:t>
      </w:r>
      <w:r>
        <w:rPr>
          <w:rFonts w:ascii="Times New Roman" w:hAnsi="Times New Roman" w:cs="Times New Roman" w:eastAsia="Times New Roman" w:hint="default"/>
        </w:rPr>
        <w:t>12</w:t>
      </w:r>
      <w:r>
        <w:rPr/>
        <w:t>个月内的持续经营假设产生重大疑虑的事项或情况。</w:t>
      </w:r>
    </w:p>
    <w:p>
      <w:pPr>
        <w:spacing w:line="240" w:lineRule="auto" w:before="5"/>
        <w:rPr>
          <w:rFonts w:ascii="宋体" w:hAnsi="宋体" w:cs="宋体" w:eastAsia="宋体" w:hint="default"/>
          <w:sz w:val="18"/>
          <w:szCs w:val="18"/>
        </w:rPr>
      </w:pPr>
    </w:p>
    <w:p>
      <w:pPr>
        <w:pStyle w:val="Heading2"/>
        <w:spacing w:line="240" w:lineRule="auto"/>
        <w:ind w:right="967"/>
        <w:jc w:val="left"/>
        <w:rPr>
          <w:b w:val="0"/>
          <w:bCs w:val="0"/>
        </w:rPr>
      </w:pPr>
      <w:r>
        <w:rPr/>
        <w:t>五、重要会计政策及会计估计</w:t>
      </w:r>
      <w:r>
        <w:rPr>
          <w:b w:val="0"/>
          <w:bCs w:val="0"/>
        </w:rPr>
      </w:r>
    </w:p>
    <w:p>
      <w:pPr>
        <w:spacing w:line="240" w:lineRule="auto" w:before="4"/>
        <w:rPr>
          <w:rFonts w:ascii="Microsoft JhengHei" w:hAnsi="Microsoft JhengHei" w:cs="Microsoft JhengHei" w:eastAsia="Microsoft JhengHei" w:hint="default"/>
          <w:b/>
          <w:bCs/>
          <w:sz w:val="18"/>
          <w:szCs w:val="18"/>
        </w:rPr>
      </w:pPr>
    </w:p>
    <w:p>
      <w:pPr>
        <w:pStyle w:val="BodyText"/>
        <w:spacing w:line="360" w:lineRule="auto"/>
        <w:ind w:left="441" w:right="967" w:hanging="289"/>
        <w:jc w:val="left"/>
      </w:pPr>
      <w:r>
        <w:rPr/>
        <w:t>具体会计政策和会计估计提示： </w:t>
      </w:r>
      <w:r>
        <w:rPr>
          <w:spacing w:val="-1"/>
        </w:rPr>
        <w:t>重要提示：本公司根据实际生产经营特点针对金融工具减值、固定资产折旧、无形资产摊销、收入确认等交易或事项制</w:t>
      </w:r>
    </w:p>
    <w:p>
      <w:pPr>
        <w:pStyle w:val="BodyText"/>
        <w:spacing w:line="222" w:lineRule="exact"/>
        <w:ind w:right="967"/>
        <w:jc w:val="left"/>
      </w:pPr>
      <w:r>
        <w:rPr/>
        <w:t>定了具体会计政策和会计估计。</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967" w:firstLine="420"/>
        <w:jc w:val="left"/>
      </w:pPr>
      <w:r>
        <w:rPr/>
        <w:t>本公司所编制的财务报表符合企业会计准则的要求，真实、完整地反映了公司的财务状况、经营成果和现金流量等有 关信息。</w:t>
      </w:r>
    </w:p>
    <w:p>
      <w:pPr>
        <w:spacing w:after="0" w:line="316"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335" w:lineRule="exact"/>
        <w:ind w:right="0"/>
        <w:jc w:val="both"/>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134" w:right="6932"/>
        <w:jc w:val="center"/>
      </w:pPr>
      <w:r>
        <w:rPr/>
        <w:t>会计年度自公历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1"/>
        <w:rPr>
          <w:rFonts w:ascii="宋体" w:hAnsi="宋体" w:cs="宋体" w:eastAsia="宋体" w:hint="default"/>
          <w:sz w:val="21"/>
          <w:szCs w:val="21"/>
        </w:rPr>
      </w:pPr>
    </w:p>
    <w:p>
      <w:pPr>
        <w:pStyle w:val="Heading4"/>
        <w:spacing w:line="240" w:lineRule="auto"/>
        <w:ind w:right="0"/>
        <w:jc w:val="both"/>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513" w:right="967"/>
        <w:jc w:val="left"/>
      </w:pPr>
      <w:r>
        <w:rPr/>
        <w:t>公司经营业务的营业周期较短，以</w:t>
      </w:r>
      <w:r>
        <w:rPr>
          <w:rFonts w:ascii="Times New Roman" w:hAnsi="Times New Roman" w:cs="Times New Roman" w:eastAsia="Times New Roman" w:hint="default"/>
        </w:rPr>
        <w:t>12</w:t>
      </w:r>
      <w:r>
        <w:rPr/>
        <w:t>个月作为资产和负债的流动性划分标准。</w:t>
      </w:r>
    </w:p>
    <w:p>
      <w:pPr>
        <w:spacing w:line="240" w:lineRule="auto" w:before="1"/>
        <w:rPr>
          <w:rFonts w:ascii="宋体" w:hAnsi="宋体" w:cs="宋体" w:eastAsia="宋体" w:hint="default"/>
          <w:sz w:val="21"/>
          <w:szCs w:val="21"/>
        </w:rPr>
      </w:pPr>
    </w:p>
    <w:p>
      <w:pPr>
        <w:pStyle w:val="Heading4"/>
        <w:spacing w:line="240" w:lineRule="auto"/>
        <w:ind w:right="0"/>
        <w:jc w:val="both"/>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73" w:right="967"/>
        <w:jc w:val="left"/>
      </w:pPr>
      <w:r>
        <w:rPr/>
        <w:t>采用人民币为记账本位币。</w:t>
      </w:r>
    </w:p>
    <w:p>
      <w:pPr>
        <w:spacing w:line="240" w:lineRule="auto" w:before="2"/>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00" w:lineRule="auto"/>
        <w:ind w:left="573" w:right="96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同一控制下企业合并的会计处理方法 公司在企业合并中取得的资产和负债，按照合并日被合并方在最终控制方合并财务报表中的账面价值计量。公司按照</w:t>
      </w:r>
    </w:p>
    <w:p>
      <w:pPr>
        <w:pStyle w:val="BodyText"/>
        <w:spacing w:line="316" w:lineRule="auto" w:before="31"/>
        <w:ind w:right="1034"/>
        <w:jc w:val="left"/>
      </w:pPr>
      <w:r>
        <w:rPr/>
        <w:t>被合并方所有者权益在最终控制方合并财务报表中的账面价值份额与支付的合并对价账面价值或发行股份面值总额的差额， 调整资本公积；资本公积不足冲减的，调整留存收益。</w:t>
      </w:r>
    </w:p>
    <w:p>
      <w:pPr>
        <w:pStyle w:val="BodyText"/>
        <w:spacing w:line="300" w:lineRule="auto" w:before="19"/>
        <w:ind w:left="573" w:right="96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非同一控制下企业合并的会计处理方法 公司在购买日对合并成本大于合并中取得的被购买方可辨认净资产公允价值份额的差额，确认为商誉；如果合并成本</w:t>
      </w:r>
    </w:p>
    <w:p>
      <w:pPr>
        <w:pStyle w:val="BodyText"/>
        <w:spacing w:line="319" w:lineRule="auto" w:before="31"/>
        <w:ind w:right="1133"/>
        <w:jc w:val="both"/>
      </w:pPr>
      <w:r>
        <w:rPr>
          <w:spacing w:val="-2"/>
        </w:rPr>
        <w:t>小于合并中取得的被购买方可辨认净资产公允价值份额，首先对取得的被购买方各项可辨认资产、负债及或有负债的公允价</w:t>
      </w:r>
      <w:r>
        <w:rPr>
          <w:spacing w:val="-64"/>
        </w:rPr>
        <w:t> </w:t>
      </w:r>
      <w:r>
        <w:rPr>
          <w:spacing w:val="-64"/>
        </w:rPr>
      </w:r>
      <w:r>
        <w:rPr>
          <w:spacing w:val="-2"/>
        </w:rPr>
        <w:t>值以及合并成本的计量进行复核，经复核后合并成本仍小于合并中取得的被购买方可辨认净资产公允价值份额的，其差额计</w:t>
      </w:r>
      <w:r>
        <w:rPr>
          <w:spacing w:val="-64"/>
        </w:rPr>
        <w:t> </w:t>
      </w:r>
      <w:r>
        <w:rPr>
          <w:spacing w:val="-64"/>
        </w:rPr>
      </w:r>
      <w:r>
        <w:rPr/>
        <w:t>入当期损益。</w:t>
      </w:r>
    </w:p>
    <w:p>
      <w:pPr>
        <w:spacing w:line="240" w:lineRule="auto" w:before="7"/>
        <w:rPr>
          <w:rFonts w:ascii="宋体" w:hAnsi="宋体" w:cs="宋体" w:eastAsia="宋体" w:hint="default"/>
          <w:sz w:val="17"/>
          <w:szCs w:val="17"/>
        </w:rPr>
      </w:pPr>
    </w:p>
    <w:p>
      <w:pPr>
        <w:pStyle w:val="Heading4"/>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967" w:firstLine="420"/>
        <w:jc w:val="left"/>
      </w:pPr>
      <w:r>
        <w:rPr/>
        <w:t>母公司将其控制的所有子公司纳入合并财务报表的合并范围。合并财务报表以母公司及其子公司的财务报表为基础， 根据其他有关资料，由母公司按照《企业会计准则第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合并财务报表》编制。</w:t>
      </w:r>
    </w:p>
    <w:p>
      <w:pPr>
        <w:spacing w:line="240" w:lineRule="auto" w:before="2"/>
        <w:rPr>
          <w:rFonts w:ascii="宋体" w:hAnsi="宋体" w:cs="宋体" w:eastAsia="宋体" w:hint="default"/>
          <w:sz w:val="16"/>
          <w:szCs w:val="16"/>
        </w:rPr>
      </w:pPr>
    </w:p>
    <w:p>
      <w:pPr>
        <w:pStyle w:val="Heading4"/>
        <w:spacing w:line="240" w:lineRule="auto"/>
        <w:ind w:right="0"/>
        <w:jc w:val="both"/>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573" w:right="96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合营安排分为共同经营和合营企业。</w:t>
      </w:r>
    </w:p>
    <w:p>
      <w:pPr>
        <w:pStyle w:val="BodyText"/>
        <w:spacing w:line="240" w:lineRule="auto" w:before="63"/>
        <w:ind w:left="573" w:right="96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当公司为共同经营的合营方时，确认与共同经营中利益份额相关的下列项目：</w:t>
      </w:r>
    </w:p>
    <w:p>
      <w:pPr>
        <w:pStyle w:val="BodyText"/>
        <w:spacing w:line="240" w:lineRule="auto" w:before="63"/>
        <w:ind w:left="573" w:right="96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确认单独所持有的资产，以及按持有份额确认共同持有的资产；</w:t>
      </w:r>
    </w:p>
    <w:p>
      <w:pPr>
        <w:pStyle w:val="BodyText"/>
        <w:spacing w:line="240" w:lineRule="auto" w:before="63"/>
        <w:ind w:left="573" w:right="96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确认单独所承担的负债，以及按持有份额确认共同承担的负债；</w:t>
      </w:r>
    </w:p>
    <w:p>
      <w:pPr>
        <w:pStyle w:val="BodyText"/>
        <w:spacing w:line="240" w:lineRule="auto" w:before="63"/>
        <w:ind w:left="573" w:right="96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确认出售公司享有的共同经营产出份额所产生的收入；</w:t>
      </w:r>
    </w:p>
    <w:p>
      <w:pPr>
        <w:pStyle w:val="BodyText"/>
        <w:spacing w:line="240" w:lineRule="auto" w:before="63"/>
        <w:ind w:left="573" w:right="967"/>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按公司持有份额确认共同经营因出售资产所产生的收入；</w:t>
      </w:r>
    </w:p>
    <w:p>
      <w:pPr>
        <w:pStyle w:val="BodyText"/>
        <w:spacing w:line="240" w:lineRule="auto" w:before="63"/>
        <w:ind w:left="573" w:right="967"/>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7"/>
        </w:rPr>
        <w:t> </w:t>
      </w:r>
      <w:r>
        <w:rPr/>
        <w:t>确认单独所发生的费用，以及按公司持有份额确认共同经营发生的费用。</w:t>
      </w:r>
    </w:p>
    <w:p>
      <w:pPr>
        <w:spacing w:line="240" w:lineRule="auto" w:before="1"/>
        <w:rPr>
          <w:rFonts w:ascii="宋体" w:hAnsi="宋体" w:cs="宋体" w:eastAsia="宋体" w:hint="default"/>
          <w:sz w:val="21"/>
          <w:szCs w:val="21"/>
        </w:rPr>
      </w:pPr>
    </w:p>
    <w:p>
      <w:pPr>
        <w:pStyle w:val="Heading4"/>
        <w:spacing w:line="240" w:lineRule="auto"/>
        <w:ind w:right="0"/>
        <w:jc w:val="both"/>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967" w:firstLine="420"/>
        <w:jc w:val="left"/>
      </w:pPr>
      <w:r>
        <w:rPr/>
        <w:t>列示于现金流量表中的现金是指库存现金以及可以随时用于支付的存款。现金等价物是指企业持有的期限短、流动性 强、易于转换为已知金额现金、价值变动风险很小的投资。</w:t>
      </w:r>
    </w:p>
    <w:p>
      <w:pPr>
        <w:spacing w:after="0" w:line="316"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335" w:lineRule="exact"/>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051" w:firstLine="420"/>
        <w:jc w:val="both"/>
      </w:pPr>
      <w:r>
        <w:rPr/>
        <w:t>外币交易在初始确认时，采用交易发生日的即期汇率的近似汇率折算为人民币金额。资产负债表日，外币货币性项目 </w:t>
      </w:r>
      <w:r>
        <w:rPr>
          <w:spacing w:val="-2"/>
        </w:rPr>
        <w:t>采用资产负债表日即期汇率折算，因汇率不同而产生的汇兑差额，除与购建符合资本化条件资产有关的外币专门借款本金及</w:t>
      </w:r>
      <w:r>
        <w:rPr>
          <w:spacing w:val="-64"/>
        </w:rPr>
        <w:t> </w:t>
      </w:r>
      <w:r>
        <w:rPr>
          <w:spacing w:val="-64"/>
        </w:rPr>
      </w:r>
      <w:r>
        <w:rPr>
          <w:spacing w:val="-2"/>
        </w:rPr>
        <w:t>利息的汇兑差额外，计入当期损益；以历史成本计量的外币非货币性项目仍采用交易发生日的即期汇率折算，不改变其人民</w:t>
      </w:r>
      <w:r>
        <w:rPr>
          <w:spacing w:val="-63"/>
        </w:rPr>
        <w:t> </w:t>
      </w:r>
      <w:r>
        <w:rPr>
          <w:spacing w:val="-63"/>
        </w:rPr>
      </w:r>
      <w:r>
        <w:rPr/>
        <w:t>币金额；以公允价值计量的外币非货币性项目，采用公允价值确定日的即期汇率折算，差额计入当期损益或其他综合收益。</w:t>
      </w:r>
    </w:p>
    <w:p>
      <w:pPr>
        <w:spacing w:line="240" w:lineRule="auto" w:before="9"/>
        <w:rPr>
          <w:rFonts w:ascii="宋体" w:hAnsi="宋体" w:cs="宋体" w:eastAsia="宋体" w:hint="default"/>
          <w:sz w:val="17"/>
          <w:szCs w:val="17"/>
        </w:rPr>
      </w:pPr>
    </w:p>
    <w:p>
      <w:pPr>
        <w:pStyle w:val="Heading4"/>
        <w:spacing w:line="240" w:lineRule="auto"/>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573" w:right="96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金融资产和金融负债的分类</w:t>
      </w:r>
    </w:p>
    <w:p>
      <w:pPr>
        <w:pStyle w:val="BodyText"/>
        <w:spacing w:line="300" w:lineRule="auto" w:before="63"/>
        <w:ind w:right="1134" w:firstLine="420"/>
        <w:jc w:val="both"/>
      </w:pPr>
      <w:r>
        <w:rPr/>
        <w:t>金融资产在初始确认时划分为以下三类：</w:t>
      </w:r>
      <w:r>
        <w:rPr>
          <w:rFonts w:ascii="Times New Roman" w:hAnsi="Times New Roman" w:cs="Times New Roman" w:eastAsia="Times New Roman" w:hint="default"/>
        </w:rPr>
        <w:t>(1) </w:t>
      </w:r>
      <w:r>
        <w:rPr/>
        <w:t>以摊余成本计量的金融资产；</w:t>
      </w:r>
      <w:r>
        <w:rPr>
          <w:rFonts w:ascii="Times New Roman" w:hAnsi="Times New Roman" w:cs="Times New Roman" w:eastAsia="Times New Roman" w:hint="default"/>
        </w:rPr>
        <w:t>(2)</w:t>
      </w:r>
      <w:r>
        <w:rPr>
          <w:rFonts w:ascii="Times New Roman" w:hAnsi="Times New Roman" w:cs="Times New Roman" w:eastAsia="Times New Roman" w:hint="default"/>
          <w:spacing w:val="19"/>
        </w:rPr>
        <w:t> </w:t>
      </w:r>
      <w:r>
        <w:rPr/>
        <w:t>以公允价值计量且其变动计入其他综合 收益的金融资产；</w:t>
      </w: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以公允价值计量且其变动计入当期损益的金融资产。</w:t>
      </w:r>
    </w:p>
    <w:p>
      <w:pPr>
        <w:pStyle w:val="BodyText"/>
        <w:spacing w:line="300" w:lineRule="auto" w:before="13"/>
        <w:ind w:right="1131" w:firstLine="420"/>
        <w:jc w:val="both"/>
      </w:pPr>
      <w:r>
        <w:rPr/>
        <w:t>金融负债在初始确认时划分为以下四类：</w:t>
      </w:r>
      <w:r>
        <w:rPr>
          <w:rFonts w:ascii="Times New Roman" w:hAnsi="Times New Roman" w:cs="Times New Roman" w:eastAsia="Times New Roman" w:hint="default"/>
        </w:rPr>
        <w:t>(1) </w:t>
      </w:r>
      <w:r>
        <w:rPr/>
        <w:t>以公允价值计量且其变动计入当期损益的金融负债；</w:t>
      </w:r>
      <w:r>
        <w:rPr>
          <w:rFonts w:ascii="Times New Roman" w:hAnsi="Times New Roman" w:cs="Times New Roman" w:eastAsia="Times New Roman" w:hint="default"/>
        </w:rPr>
        <w:t>(2)</w:t>
      </w:r>
      <w:r>
        <w:rPr>
          <w:rFonts w:ascii="Times New Roman" w:hAnsi="Times New Roman" w:cs="Times New Roman" w:eastAsia="Times New Roman" w:hint="default"/>
          <w:spacing w:val="22"/>
        </w:rPr>
        <w:t> </w:t>
      </w:r>
      <w:r>
        <w:rPr/>
        <w:t>金融资产转移不 </w:t>
      </w:r>
      <w:r>
        <w:rPr>
          <w:spacing w:val="-1"/>
        </w:rPr>
        <w:t>符合终止确认条件或继续涉入被转移金融资产所形成的金融负债；</w:t>
      </w:r>
      <w:r>
        <w:rPr>
          <w:rFonts w:ascii="Times New Roman" w:hAnsi="Times New Roman" w:cs="Times New Roman" w:eastAsia="Times New Roman" w:hint="default"/>
          <w:spacing w:val="-1"/>
        </w:rPr>
        <w:t>(3)</w:t>
      </w:r>
      <w:r>
        <w:rPr>
          <w:rFonts w:ascii="Times New Roman" w:hAnsi="Times New Roman" w:cs="Times New Roman" w:eastAsia="Times New Roman" w:hint="default"/>
        </w:rPr>
        <w:t> </w:t>
      </w:r>
      <w:r>
        <w:rPr>
          <w:spacing w:val="-2"/>
        </w:rPr>
        <w:t>不属于上述</w:t>
      </w:r>
      <w:r>
        <w:rPr>
          <w:rFonts w:ascii="Times New Roman" w:hAnsi="Times New Roman" w:cs="Times New Roman" w:eastAsia="Times New Roman" w:hint="default"/>
          <w:spacing w:val="-2"/>
        </w:rPr>
        <w:t>(1)</w:t>
      </w:r>
      <w:r>
        <w:rPr>
          <w:spacing w:val="-2"/>
        </w:rPr>
        <w:t>或</w:t>
      </w:r>
      <w:r>
        <w:rPr>
          <w:rFonts w:ascii="Times New Roman" w:hAnsi="Times New Roman" w:cs="Times New Roman" w:eastAsia="Times New Roman" w:hint="default"/>
          <w:spacing w:val="-2"/>
        </w:rPr>
        <w:t>(2)</w:t>
      </w:r>
      <w:r>
        <w:rPr>
          <w:spacing w:val="-2"/>
        </w:rPr>
        <w:t>的财务担保合同，以及不属于上述</w:t>
      </w:r>
      <w:r>
        <w:rPr>
          <w:spacing w:val="-88"/>
        </w:rPr>
        <w:t> </w:t>
      </w:r>
      <w:r>
        <w:rPr>
          <w:spacing w:val="-88"/>
        </w:rPr>
      </w:r>
      <w:r>
        <w:rPr>
          <w:rFonts w:ascii="Times New Roman" w:hAnsi="Times New Roman" w:cs="Times New Roman" w:eastAsia="Times New Roman" w:hint="default"/>
        </w:rPr>
        <w:t>(1)</w:t>
      </w:r>
      <w:r>
        <w:rPr/>
        <w:t>并以低于市场利率贷款的贷款承诺；</w:t>
      </w:r>
      <w:r>
        <w:rPr>
          <w:rFonts w:ascii="Times New Roman" w:hAnsi="Times New Roman" w:cs="Times New Roman" w:eastAsia="Times New Roman" w:hint="default"/>
        </w:rPr>
        <w:t>(4)</w:t>
      </w:r>
      <w:r>
        <w:rPr>
          <w:rFonts w:ascii="Times New Roman" w:hAnsi="Times New Roman" w:cs="Times New Roman" w:eastAsia="Times New Roman" w:hint="default"/>
          <w:spacing w:val="29"/>
        </w:rPr>
        <w:t> </w:t>
      </w:r>
      <w:r>
        <w:rPr/>
        <w:t>以摊余成本计量的金融负债。</w:t>
      </w:r>
    </w:p>
    <w:p>
      <w:pPr>
        <w:pStyle w:val="BodyText"/>
        <w:spacing w:line="240" w:lineRule="auto" w:before="13"/>
        <w:ind w:left="513" w:right="96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金融资产和金融负债的确认依据、计量方法和终止确认条件</w:t>
      </w:r>
    </w:p>
    <w:p>
      <w:pPr>
        <w:pStyle w:val="BodyText"/>
        <w:spacing w:line="300" w:lineRule="auto" w:before="63"/>
        <w:ind w:left="513" w:right="96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金融资产和金融负债的确认依据和初始计量方法</w:t>
      </w:r>
      <w:r>
        <w:rPr>
          <w:w w:val="99"/>
        </w:rPr>
        <w:t> </w:t>
      </w:r>
      <w:r>
        <w:rPr>
          <w:spacing w:val="-4"/>
        </w:rPr>
        <w:t>公司成为金融工具合同的一方时，确认一项金融资产或金融负债。初始确认金融资产或金融负债时，按照公允价值计量；</w:t>
      </w:r>
    </w:p>
    <w:p>
      <w:pPr>
        <w:pStyle w:val="BodyText"/>
        <w:spacing w:line="316" w:lineRule="auto" w:before="31"/>
        <w:ind w:right="1131"/>
        <w:jc w:val="both"/>
      </w:pPr>
      <w:r>
        <w:rPr>
          <w:spacing w:val="-2"/>
        </w:rPr>
        <w:t>对于以公允价值计量且其变动计入当期损益的金融资产和金融负债，相关交易费用直接计入当期损益；对于其他类别的金融</w:t>
      </w:r>
      <w:r>
        <w:rPr>
          <w:spacing w:val="-63"/>
        </w:rPr>
        <w:t> </w:t>
      </w:r>
      <w:r>
        <w:rPr>
          <w:spacing w:val="-63"/>
        </w:rPr>
      </w:r>
      <w:r>
        <w:rPr>
          <w:spacing w:val="-2"/>
        </w:rPr>
        <w:t>资产或金融负债，相关交易费用计入初始确认金额。但是，公司初始确认的应收账款未包含重大融资成分或公司不考虑未超</w:t>
      </w:r>
      <w:r>
        <w:rPr>
          <w:spacing w:val="-65"/>
        </w:rPr>
        <w:t> </w:t>
      </w:r>
      <w:r>
        <w:rPr>
          <w:spacing w:val="-65"/>
        </w:rPr>
      </w:r>
      <w:r>
        <w:rPr/>
        <w:t>过一年的合同中的融资成分的，按照交易价格进行初始计量。</w:t>
      </w:r>
    </w:p>
    <w:p>
      <w:pPr>
        <w:pStyle w:val="BodyText"/>
        <w:spacing w:line="240" w:lineRule="auto" w:before="19"/>
        <w:ind w:left="513" w:right="96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金融资产的后续计量方法</w:t>
      </w:r>
    </w:p>
    <w:p>
      <w:pPr>
        <w:pStyle w:val="BodyText"/>
        <w:spacing w:line="300" w:lineRule="auto" w:before="63"/>
        <w:ind w:left="513" w:right="96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以摊余成本计量的金融资产 </w:t>
      </w:r>
      <w:r>
        <w:rPr>
          <w:spacing w:val="-2"/>
        </w:rPr>
        <w:t>采用实际利率法，按照摊余成本进行后续计量。以摊余成本计量且不属于任何套期关系的一部分的金融资产所产生的利</w:t>
      </w:r>
    </w:p>
    <w:p>
      <w:pPr>
        <w:pStyle w:val="BodyText"/>
        <w:spacing w:line="240" w:lineRule="auto" w:before="31"/>
        <w:ind w:right="0"/>
        <w:jc w:val="both"/>
      </w:pPr>
      <w:r>
        <w:rPr/>
        <w:t>得或损失，在终止确认、重分类、按照实际利率法摊销或确认减值时，计入当期损益。</w:t>
      </w:r>
    </w:p>
    <w:p>
      <w:pPr>
        <w:pStyle w:val="BodyText"/>
        <w:spacing w:line="300" w:lineRule="auto" w:before="76"/>
        <w:ind w:left="513" w:right="96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以公允价值计量且其变动计入其他综合收益的债务工具投资 </w:t>
      </w:r>
      <w:r>
        <w:rPr>
          <w:spacing w:val="-2"/>
        </w:rPr>
        <w:t>采用公允价值进行后续计量。采用实际利率法计算的利息、减值损失或利得及汇兑损益计入当期损益，其他利得或损失</w:t>
      </w:r>
    </w:p>
    <w:p>
      <w:pPr>
        <w:pStyle w:val="BodyText"/>
        <w:spacing w:line="240" w:lineRule="auto" w:before="31"/>
        <w:ind w:right="0"/>
        <w:jc w:val="both"/>
      </w:pPr>
      <w:r>
        <w:rPr/>
        <w:t>计入其他综合收益。终止确认时，将之前计入其他综合收益的累计利得或损失从其他综合收益中转出，计入当期损益。</w:t>
      </w:r>
    </w:p>
    <w:p>
      <w:pPr>
        <w:pStyle w:val="BodyText"/>
        <w:spacing w:line="300" w:lineRule="auto" w:before="76"/>
        <w:ind w:left="513" w:right="96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以公允价值计量且其变动计入其他综合收益的权益工具投资 </w:t>
      </w:r>
      <w:r>
        <w:rPr>
          <w:spacing w:val="-2"/>
        </w:rPr>
        <w:t>采用公允价值进行后续计量。获得的股利（属于投资成本收回部分的除外）计入当期损益，其他利得或损失计入其他综</w:t>
      </w:r>
    </w:p>
    <w:p>
      <w:pPr>
        <w:pStyle w:val="BodyText"/>
        <w:spacing w:line="240" w:lineRule="auto" w:before="31"/>
        <w:ind w:right="0"/>
        <w:jc w:val="both"/>
      </w:pPr>
      <w:r>
        <w:rPr/>
        <w:t>合收益。终止确认时，将之前计入其他综合收益的累计利得或损失从其他综合收益中转出，计入留存收益。</w:t>
      </w:r>
    </w:p>
    <w:p>
      <w:pPr>
        <w:pStyle w:val="BodyText"/>
        <w:spacing w:line="300" w:lineRule="auto" w:before="76"/>
        <w:ind w:left="513" w:right="967"/>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以公允价值计量且其变动计入当期损益的金融资产 采用公允价值进行后续计量，产生的利得或损失（包括利息和股利收入</w:t>
      </w:r>
      <w:r>
        <w:rPr>
          <w:rFonts w:ascii="Times New Roman" w:hAnsi="Times New Roman" w:cs="Times New Roman" w:eastAsia="Times New Roman" w:hint="default"/>
        </w:rPr>
        <w:t>)</w:t>
      </w:r>
      <w:r>
        <w:rPr/>
        <w:t>计入当期损益，除非该金融资产属于套期关系</w:t>
      </w:r>
    </w:p>
    <w:p>
      <w:pPr>
        <w:pStyle w:val="BodyText"/>
        <w:spacing w:line="240" w:lineRule="auto" w:before="13"/>
        <w:ind w:right="0"/>
        <w:jc w:val="both"/>
      </w:pPr>
      <w:r>
        <w:rPr/>
        <w:t>的一部分。</w:t>
      </w:r>
    </w:p>
    <w:p>
      <w:pPr>
        <w:pStyle w:val="BodyText"/>
        <w:spacing w:line="240" w:lineRule="auto" w:before="76"/>
        <w:ind w:left="513" w:right="96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金融负债的后续计量方法</w:t>
      </w:r>
    </w:p>
    <w:p>
      <w:pPr>
        <w:pStyle w:val="BodyText"/>
        <w:spacing w:line="300" w:lineRule="auto" w:before="63"/>
        <w:ind w:left="513" w:right="96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以公允价值计量且其变动计入当期损益的金融负债 </w:t>
      </w:r>
      <w:r>
        <w:rPr>
          <w:spacing w:val="-2"/>
        </w:rPr>
        <w:t>此类金融负债包括交易性金融负债（含属于金融负债的衍生工具）和指定为以公允价值计量且其变动计入当期损益的金</w:t>
      </w:r>
    </w:p>
    <w:p>
      <w:pPr>
        <w:pStyle w:val="BodyText"/>
        <w:spacing w:line="316" w:lineRule="auto" w:before="31"/>
        <w:ind w:right="1131"/>
        <w:jc w:val="both"/>
      </w:pPr>
      <w:r>
        <w:rPr>
          <w:spacing w:val="-2"/>
        </w:rPr>
        <w:t>融负债。对于此类金融负债以公允价值进行后续计量。因公司自身信用风险变动引起的指定为以公允价值计量且其变动计入</w:t>
      </w:r>
      <w:r>
        <w:rPr>
          <w:spacing w:val="-64"/>
        </w:rPr>
        <w:t> </w:t>
      </w:r>
      <w:r>
        <w:rPr>
          <w:spacing w:val="-64"/>
        </w:rPr>
      </w:r>
      <w:r>
        <w:rPr>
          <w:spacing w:val="-2"/>
        </w:rPr>
        <w:t>当期损益的金融负债的公允价值变动金额计入其他综合收益，除非该处理会造成或扩大损益中的会计错配。此类金融负债产</w:t>
      </w:r>
      <w:r>
        <w:rPr>
          <w:spacing w:val="-62"/>
        </w:rPr>
        <w:t> </w:t>
      </w:r>
      <w:r>
        <w:rPr>
          <w:spacing w:val="-62"/>
        </w:rPr>
      </w:r>
      <w:r>
        <w:rPr>
          <w:spacing w:val="-2"/>
        </w:rPr>
        <w:t>生的其他利得或损失（包括利息费用、除因公司自身信用风险变动引起的公允价值变动）计入当期损益，除非该金融负债属</w:t>
      </w:r>
      <w:r>
        <w:rPr>
          <w:spacing w:val="-65"/>
        </w:rPr>
        <w:t> </w:t>
      </w:r>
      <w:r>
        <w:rPr>
          <w:spacing w:val="-65"/>
        </w:rPr>
      </w:r>
      <w:r>
        <w:rPr/>
        <w:t>于套期关系的一部分。终止确认时，将之前计入其他综合收益的累计利得或损失从其他综合收益中转出，计入留存收益。</w:t>
      </w:r>
    </w:p>
    <w:p>
      <w:pPr>
        <w:pStyle w:val="BodyText"/>
        <w:spacing w:line="300" w:lineRule="auto" w:before="19"/>
        <w:ind w:left="513" w:right="387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金融资产转移不符合终止确认条件或继续涉入被转移金融资产所形成的金融负债 按照《企业会计准则第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金融资产转移》相关规定进行计量。</w:t>
      </w:r>
    </w:p>
    <w:p>
      <w:pPr>
        <w:pStyle w:val="BodyText"/>
        <w:spacing w:line="240" w:lineRule="auto" w:before="13"/>
        <w:ind w:left="513" w:right="96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不属于上述</w:t>
      </w:r>
      <w:r>
        <w:rPr>
          <w:rFonts w:ascii="Times New Roman" w:hAnsi="Times New Roman" w:cs="Times New Roman" w:eastAsia="Times New Roman" w:hint="default"/>
        </w:rPr>
        <w:t>1)</w:t>
      </w:r>
      <w:r>
        <w:rPr/>
        <w:t>或</w:t>
      </w:r>
      <w:r>
        <w:rPr>
          <w:rFonts w:ascii="Times New Roman" w:hAnsi="Times New Roman" w:cs="Times New Roman" w:eastAsia="Times New Roman" w:hint="default"/>
        </w:rPr>
        <w:t>2)</w:t>
      </w:r>
      <w:r>
        <w:rPr/>
        <w:t>的财务担保合同，以及不属于上述</w:t>
      </w:r>
      <w:r>
        <w:rPr>
          <w:rFonts w:ascii="Times New Roman" w:hAnsi="Times New Roman" w:cs="Times New Roman" w:eastAsia="Times New Roman" w:hint="default"/>
        </w:rPr>
        <w:t>1)</w:t>
      </w:r>
      <w:r>
        <w:rPr/>
        <w:t>并以低于市场利率贷款的贷款承诺</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4"/>
        <w:ind w:right="1133" w:firstLine="360"/>
        <w:jc w:val="both"/>
      </w:pPr>
      <w:r>
        <w:rPr/>
        <w:t>在初始确认后按照下列两项金额之中的较高者进行后续计量：①</w:t>
      </w:r>
      <w:r>
        <w:rPr>
          <w:spacing w:val="-41"/>
        </w:rPr>
        <w:t> </w:t>
      </w:r>
      <w:r>
        <w:rPr/>
        <w:t>按照金融工具的减值规定确定的损失准备金额；②</w:t>
      </w:r>
      <w:r>
        <w:rPr>
          <w:spacing w:val="-41"/>
        </w:rPr>
        <w:t> </w:t>
      </w:r>
      <w:r>
        <w:rPr/>
        <w:t>初</w:t>
      </w:r>
      <w:r>
        <w:rPr/>
        <w:t> 始确认金额扣除按照相关规定所确定的累计摊销额后的余额。</w:t>
      </w:r>
    </w:p>
    <w:p>
      <w:pPr>
        <w:pStyle w:val="BodyText"/>
        <w:spacing w:line="300" w:lineRule="auto" w:before="19"/>
        <w:ind w:left="513" w:right="967"/>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以摊余成本计量的金融负债 </w:t>
      </w:r>
      <w:r>
        <w:rPr>
          <w:spacing w:val="-2"/>
        </w:rPr>
        <w:t>采用实际利率法以摊余成本计量。以摊余成本计量且不属于任何套期关系的一部分的金融负债所产生的利得或损失，在</w:t>
      </w:r>
    </w:p>
    <w:p>
      <w:pPr>
        <w:pStyle w:val="BodyText"/>
        <w:spacing w:line="240" w:lineRule="auto" w:before="31"/>
        <w:ind w:right="0"/>
        <w:jc w:val="both"/>
      </w:pPr>
      <w:r>
        <w:rPr/>
        <w:t>终止确认、按照实际利率法摊销时计入当期损益。</w:t>
      </w:r>
    </w:p>
    <w:p>
      <w:pPr>
        <w:pStyle w:val="BodyText"/>
        <w:spacing w:line="240" w:lineRule="auto" w:before="76"/>
        <w:ind w:left="513" w:right="967"/>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8"/>
        </w:rPr>
        <w:t> </w:t>
      </w:r>
      <w:r>
        <w:rPr/>
        <w:t>金融资产和金融负债的终止确认</w:t>
      </w:r>
    </w:p>
    <w:p>
      <w:pPr>
        <w:pStyle w:val="BodyText"/>
        <w:spacing w:line="240" w:lineRule="auto" w:before="103"/>
        <w:ind w:left="513" w:right="96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当满足下列条件之一时，终止确认金融资产：</w:t>
      </w:r>
    </w:p>
    <w:p>
      <w:pPr>
        <w:pStyle w:val="BodyText"/>
        <w:spacing w:line="240" w:lineRule="auto" w:before="101"/>
        <w:ind w:left="513" w:right="967"/>
        <w:jc w:val="left"/>
      </w:pPr>
      <w:r>
        <w:rPr/>
        <w:t>①</w:t>
      </w:r>
      <w:r>
        <w:rPr>
          <w:spacing w:val="-18"/>
        </w:rPr>
        <w:t> </w:t>
      </w:r>
      <w:r>
        <w:rPr/>
        <w:t>收取金融资产现金流量的合同权利已终止；</w:t>
      </w:r>
    </w:p>
    <w:p>
      <w:pPr>
        <w:pStyle w:val="BodyText"/>
        <w:spacing w:line="240" w:lineRule="auto" w:before="117"/>
        <w:ind w:left="513" w:right="967"/>
        <w:jc w:val="left"/>
      </w:pPr>
      <w:r>
        <w:rPr/>
        <w:t>②</w:t>
      </w:r>
      <w:r>
        <w:rPr>
          <w:spacing w:val="-19"/>
        </w:rPr>
        <w:t> </w:t>
      </w:r>
      <w:r>
        <w:rPr/>
        <w:t>金融资产已转移，且该转移满足《企业会计准则第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金融资产转移》关于金融资产终止确认的规定。</w:t>
      </w:r>
    </w:p>
    <w:p>
      <w:pPr>
        <w:pStyle w:val="BodyText"/>
        <w:spacing w:line="240" w:lineRule="auto" w:before="103"/>
        <w:ind w:left="513" w:right="96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当金融负债（或其一部分）的现时义务已经解除时，相应终止确认该金融负债（或该部分金融负债）。</w:t>
      </w:r>
    </w:p>
    <w:p>
      <w:pPr>
        <w:pStyle w:val="BodyText"/>
        <w:spacing w:line="300" w:lineRule="auto" w:before="102"/>
        <w:ind w:left="513" w:right="96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金融资产转移的确认依据和计量方法 </w:t>
      </w:r>
      <w:r>
        <w:rPr>
          <w:spacing w:val="-2"/>
        </w:rPr>
        <w:t>公司转移了金融资产所有权上几乎所有的风险和报酬的，终止确认该金融资产，并将转移中产生或保留的权利和义务单</w:t>
      </w:r>
    </w:p>
    <w:p>
      <w:pPr>
        <w:pStyle w:val="BodyText"/>
        <w:spacing w:line="307" w:lineRule="auto" w:before="31"/>
        <w:ind w:right="1129"/>
        <w:jc w:val="both"/>
      </w:pPr>
      <w:r>
        <w:rPr>
          <w:spacing w:val="-2"/>
        </w:rPr>
        <w:t>独确认为资产或负债；保留了金融资产所有权上几乎所有的风险和报酬的，继续确认所转移的金融资产。公司既没有转移也</w:t>
      </w:r>
      <w:r>
        <w:rPr>
          <w:spacing w:val="-63"/>
        </w:rPr>
        <w:t> </w:t>
      </w:r>
      <w:r>
        <w:rPr>
          <w:spacing w:val="-63"/>
        </w:rPr>
      </w:r>
      <w:r>
        <w:rPr/>
        <w:t>没有保留金融资产所有权上几乎所有的风险和报酬的，分别下列情况处理：</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未保留对该金融资产控制的，终止确认该金 融资产，并将转移中产生或保留的权利和义务单独确认为资产或负债；</w:t>
      </w: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保留了对该金融资产控制的，按照继续涉入所转 移金融资产的程度确认有关金融资产，并相应确认有关负债。</w:t>
      </w:r>
    </w:p>
    <w:p>
      <w:pPr>
        <w:pStyle w:val="BodyText"/>
        <w:spacing w:line="300" w:lineRule="auto" w:before="26"/>
        <w:ind w:right="1131" w:firstLine="360"/>
        <w:jc w:val="both"/>
      </w:pPr>
      <w:r>
        <w:rPr/>
        <w:t>金融资产整体转移满足终止确认条件的，将下列两项金额的差额计入当期损益：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t>所转移金融资产在终止确认日的账 面价值；</w:t>
      </w:r>
      <w:r>
        <w:rPr>
          <w:rFonts w:ascii="Times New Roman" w:hAnsi="Times New Roman" w:cs="Times New Roman" w:eastAsia="Times New Roman" w:hint="default"/>
        </w:rPr>
        <w:t>(2)</w:t>
      </w:r>
      <w:r>
        <w:rPr>
          <w:rFonts w:ascii="Times New Roman" w:hAnsi="Times New Roman" w:cs="Times New Roman" w:eastAsia="Times New Roman" w:hint="default"/>
          <w:spacing w:val="23"/>
        </w:rPr>
        <w:t> </w:t>
      </w:r>
      <w:r>
        <w:rPr/>
        <w:t>因转移金融资产而收到的对价，与原直接计入其他综合收益的公允价值变动累计额中对应终止确认部分的金额</w:t>
      </w:r>
    </w:p>
    <w:p>
      <w:pPr>
        <w:pStyle w:val="BodyText"/>
        <w:spacing w:line="314" w:lineRule="auto" w:before="13"/>
        <w:ind w:right="1129"/>
        <w:jc w:val="both"/>
      </w:pPr>
      <w:r>
        <w:rPr>
          <w:spacing w:val="-2"/>
        </w:rPr>
        <w:t>（涉及转移的金融资产为以公允价值计量且其变动计入其他综合收益的债务工具投资）之和。转移了金融资产的一部分，且</w:t>
      </w:r>
      <w:r>
        <w:rPr>
          <w:spacing w:val="-63"/>
        </w:rPr>
        <w:t> </w:t>
      </w:r>
      <w:r>
        <w:rPr>
          <w:spacing w:val="-63"/>
        </w:rPr>
      </w:r>
      <w:r>
        <w:rPr>
          <w:spacing w:val="-2"/>
        </w:rPr>
        <w:t>该被转移部分整体满足终止确认条件的，将转移前金融资产整体的账面价值，在终止确认部分和继续确认部分之间，按照转</w:t>
      </w:r>
      <w:r>
        <w:rPr>
          <w:spacing w:val="-62"/>
        </w:rPr>
        <w:t> </w:t>
      </w:r>
      <w:r>
        <w:rPr>
          <w:spacing w:val="-62"/>
        </w:rPr>
      </w:r>
      <w:r>
        <w:rPr/>
        <w:t>移日各自的相对公允价值进行分摊，并将下列两项金额的差额计入当期损益：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t>终止确认部分的账面价值；</w:t>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t>终止确认</w:t>
      </w:r>
      <w:r>
        <w:rPr>
          <w:spacing w:val="-84"/>
        </w:rPr>
        <w:t> </w:t>
      </w:r>
      <w:r>
        <w:rPr>
          <w:spacing w:val="-84"/>
        </w:rPr>
      </w:r>
      <w:r>
        <w:rPr>
          <w:spacing w:val="-2"/>
        </w:rPr>
        <w:t>部分的对价，与原直接计入其他综合收益的公允价值变动累计额中对应终止确认部分的金额（涉及转移的金融资产为以公允</w:t>
      </w:r>
      <w:r>
        <w:rPr>
          <w:spacing w:val="-64"/>
        </w:rPr>
        <w:t> </w:t>
      </w:r>
      <w:r>
        <w:rPr>
          <w:spacing w:val="-64"/>
        </w:rPr>
      </w:r>
      <w:r>
        <w:rPr/>
        <w:t>价值计量且其变动计入其他综合收益的债务工具投资）之和。</w:t>
      </w:r>
    </w:p>
    <w:p>
      <w:pPr>
        <w:pStyle w:val="BodyText"/>
        <w:spacing w:line="340" w:lineRule="auto" w:before="20"/>
        <w:ind w:left="513" w:right="967"/>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金融资产和金融负债的公允价值确定方法 公司采用在当前情况下适用并且有足够可利用数据和其他信息支持的估值技术确定相关金融资产和金融负债的公允价</w:t>
      </w:r>
    </w:p>
    <w:p>
      <w:pPr>
        <w:pStyle w:val="BodyText"/>
        <w:spacing w:line="240" w:lineRule="auto" w:before="1"/>
        <w:ind w:right="0"/>
        <w:jc w:val="both"/>
      </w:pPr>
      <w:r>
        <w:rPr/>
        <w:t>值。公司将估值技术使用的输入值分以下层级，并依次使用：</w:t>
      </w:r>
    </w:p>
    <w:p>
      <w:pPr>
        <w:pStyle w:val="BodyText"/>
        <w:spacing w:line="240" w:lineRule="auto" w:before="117"/>
        <w:ind w:left="513" w:right="96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第一层次输入值是在计量日能够取得的相同资产或负债在活跃市场上未经调整的报价；</w:t>
      </w:r>
    </w:p>
    <w:p>
      <w:pPr>
        <w:pStyle w:val="BodyText"/>
        <w:spacing w:line="309" w:lineRule="auto" w:before="101"/>
        <w:ind w:right="1130" w:firstLine="36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2"/>
        </w:rPr>
        <w:t> </w:t>
      </w:r>
      <w:r>
        <w:rPr/>
        <w:t>第二层次输入值是除第一层次输入值外相关资产或负债直接或间接可观察的输入值，包括：活跃市场中类似资产或</w:t>
      </w:r>
      <w:r>
        <w:rPr>
          <w:w w:val="99"/>
        </w:rPr>
        <w:t> </w:t>
      </w:r>
      <w:r>
        <w:rPr>
          <w:spacing w:val="-2"/>
        </w:rPr>
        <w:t>负债的报价；非活跃市场中相同或类似资产或负债的报价；除报价以外的其他可观察输入值，如在正常报价间隔期间可观察</w:t>
      </w:r>
      <w:r>
        <w:rPr>
          <w:spacing w:val="-64"/>
        </w:rPr>
        <w:t> </w:t>
      </w:r>
      <w:r>
        <w:rPr>
          <w:spacing w:val="-64"/>
        </w:rPr>
      </w:r>
      <w:r>
        <w:rPr/>
        <w:t>的利率和收益率曲线等；市场验证的输入值等；</w:t>
      </w:r>
    </w:p>
    <w:p>
      <w:pPr>
        <w:pStyle w:val="BodyText"/>
        <w:spacing w:line="300" w:lineRule="auto" w:before="65"/>
        <w:ind w:right="1132" w:firstLine="36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2"/>
        </w:rPr>
        <w:t> </w:t>
      </w:r>
      <w:r>
        <w:rPr/>
        <w:t>第三层次输入值是相关资产或负债的不可观察输入值，包括不能直接观察或无法由可观察市场数据验证的利率、股</w:t>
      </w:r>
      <w:r>
        <w:rPr>
          <w:w w:val="99"/>
        </w:rPr>
        <w:t> </w:t>
      </w:r>
      <w:r>
        <w:rPr/>
        <w:t>票波动率、企业合并中承担的弃置义务的未来现金流量、使用自身数据作出的财务预测等。</w:t>
      </w:r>
    </w:p>
    <w:p>
      <w:pPr>
        <w:pStyle w:val="BodyText"/>
        <w:spacing w:line="340" w:lineRule="auto" w:before="72"/>
        <w:ind w:left="513" w:right="967"/>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7"/>
        </w:rPr>
        <w:t> </w:t>
      </w:r>
      <w:r>
        <w:rPr/>
        <w:t>金融工具减值 </w:t>
      </w:r>
      <w:r>
        <w:rPr>
          <w:spacing w:val="-2"/>
        </w:rPr>
        <w:t>公司以预期信用损失为基础，对以摊余成本计量的金融资产、以公允价值计量且其变动计入其他综合收益的债务工具投</w:t>
      </w:r>
    </w:p>
    <w:p>
      <w:pPr>
        <w:pStyle w:val="BodyText"/>
        <w:spacing w:line="316" w:lineRule="auto"/>
        <w:ind w:right="1133"/>
        <w:jc w:val="both"/>
      </w:pPr>
      <w:r>
        <w:rPr>
          <w:spacing w:val="-2"/>
        </w:rPr>
        <w:t>资、租赁应收款、分类为以公允价值计量且其变动计入当期损益的金融负债以外的贷款承诺、不属于以公允价值计量且其变</w:t>
      </w:r>
      <w:r>
        <w:rPr>
          <w:spacing w:val="-66"/>
        </w:rPr>
        <w:t> </w:t>
      </w:r>
      <w:r>
        <w:rPr>
          <w:spacing w:val="-66"/>
        </w:rPr>
      </w:r>
      <w:r>
        <w:rPr/>
        <w:t>动计入当期损益的金融负债或不属于金融资产转移不符合终止确认条件或继续涉入被转移金融资产所形成的金融负债的财</w:t>
      </w:r>
      <w:r>
        <w:rPr>
          <w:spacing w:val="-11"/>
        </w:rPr>
        <w:t> </w:t>
      </w:r>
      <w:r>
        <w:rPr>
          <w:spacing w:val="-11"/>
        </w:rPr>
      </w:r>
      <w:r>
        <w:rPr/>
        <w:t>务担保合同进行减值处理并确认损失准备。</w:t>
      </w:r>
    </w:p>
    <w:p>
      <w:pPr>
        <w:pStyle w:val="BodyText"/>
        <w:spacing w:line="316" w:lineRule="auto" w:before="59"/>
        <w:ind w:right="1129" w:firstLine="360"/>
        <w:jc w:val="both"/>
      </w:pPr>
      <w:r>
        <w:rPr>
          <w:spacing w:val="-2"/>
        </w:rPr>
        <w:t>预期信用损失，是指以发生违约的风险为权重的金融工具信用损失的加权平均值。信用损失，是指公司按照原实际利率</w:t>
      </w:r>
      <w:r>
        <w:rPr/>
        <w:t> </w:t>
      </w:r>
      <w:r>
        <w:rPr>
          <w:spacing w:val="-2"/>
        </w:rPr>
        <w:t>折现的、根据合同应收的所有合同现金流量与预期收取的所有现金流量之间的差额，即全部现金短缺的现值。其中，对于公</w:t>
      </w:r>
      <w:r>
        <w:rPr>
          <w:spacing w:val="-64"/>
        </w:rPr>
        <w:t> </w:t>
      </w:r>
      <w:r>
        <w:rPr>
          <w:spacing w:val="-64"/>
        </w:rPr>
      </w:r>
      <w:r>
        <w:rPr/>
        <w:t>司购买或源生的已发生信用减值的金融资产，按照该金融资产经信用调整的实际利率折现。</w:t>
      </w:r>
    </w:p>
    <w:p>
      <w:pPr>
        <w:pStyle w:val="BodyText"/>
        <w:spacing w:line="319" w:lineRule="auto" w:before="59"/>
        <w:ind w:right="1132" w:firstLine="360"/>
        <w:jc w:val="both"/>
      </w:pPr>
      <w:r>
        <w:rPr>
          <w:spacing w:val="-2"/>
        </w:rPr>
        <w:t>对于购买或源生的已发生信用减值的金融资产，公司在资产负债表日仅将自初始确认后整个存续期内预期信用损失的累</w:t>
      </w:r>
      <w:r>
        <w:rPr/>
        <w:t> 计变动确认为损失准备。</w:t>
      </w:r>
    </w:p>
    <w:p>
      <w:pPr>
        <w:pStyle w:val="BodyText"/>
        <w:spacing w:line="240" w:lineRule="auto" w:before="55"/>
        <w:ind w:left="525" w:right="967"/>
        <w:jc w:val="left"/>
      </w:pPr>
      <w:r>
        <w:rPr/>
        <w:t>对于不含重大融资成分或者公司不考虑不超过一年的合同中的融资成分的应收账款，公司运用简化计量方法，按照相</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4"/>
        <w:ind w:left="573" w:right="967" w:hanging="421"/>
        <w:jc w:val="left"/>
      </w:pPr>
      <w:r>
        <w:rPr/>
        <w:t>当于整个存续期内的预期信用损失金额计量损失准备。 对于租赁应收款、包含重大融资成分的应收账款，公司运用简化计量方法，按照相当于整个存续期内的预期信用损失</w:t>
      </w:r>
    </w:p>
    <w:p>
      <w:pPr>
        <w:pStyle w:val="BodyText"/>
        <w:spacing w:line="360" w:lineRule="auto" w:before="19"/>
        <w:ind w:left="513" w:right="967" w:hanging="361"/>
        <w:jc w:val="left"/>
      </w:pPr>
      <w:r>
        <w:rPr/>
        <w:t>金额计量损失准备。 </w:t>
      </w:r>
      <w:r>
        <w:rPr>
          <w:spacing w:val="-2"/>
        </w:rPr>
        <w:t>除上述计量方法以外的金融资产，公司在每个资产负债表日评估其信用风险自初始确认后是否已经显著增加。如果信用</w:t>
      </w:r>
    </w:p>
    <w:p>
      <w:pPr>
        <w:pStyle w:val="BodyText"/>
        <w:spacing w:line="222" w:lineRule="exact"/>
        <w:ind w:right="967"/>
        <w:jc w:val="left"/>
      </w:pPr>
      <w:r>
        <w:rPr/>
        <w:t>风险自初始确认后已显著增加，公司按照整个存续期内预期信用损失的金额计量损失准备；如果信用风险自初始确认后未显</w:t>
      </w:r>
    </w:p>
    <w:p>
      <w:pPr>
        <w:pStyle w:val="BodyText"/>
        <w:spacing w:line="338" w:lineRule="auto" w:before="76"/>
        <w:ind w:left="513" w:right="967" w:hanging="361"/>
        <w:jc w:val="left"/>
      </w:pPr>
      <w:r>
        <w:rPr/>
        <w:t>著增加，公司按照该金融工具未来</w:t>
      </w:r>
      <w:r>
        <w:rPr>
          <w:rFonts w:ascii="Times New Roman" w:hAnsi="Times New Roman" w:cs="Times New Roman" w:eastAsia="Times New Roman" w:hint="default"/>
        </w:rPr>
        <w:t>12</w:t>
      </w:r>
      <w:r>
        <w:rPr/>
        <w:t>个月内预期信用损失的金额计量损失准备。 </w:t>
      </w:r>
      <w:r>
        <w:rPr>
          <w:spacing w:val="-2"/>
        </w:rPr>
        <w:t>公司利用可获得的合理且有依据的信息，包括前瞻性信息，通过比较金融工具在资产负债表日发生违约的风险与在初始</w:t>
      </w:r>
    </w:p>
    <w:p>
      <w:pPr>
        <w:pStyle w:val="BodyText"/>
        <w:spacing w:line="360" w:lineRule="auto" w:before="2"/>
        <w:ind w:left="513" w:right="967" w:hanging="361"/>
        <w:jc w:val="left"/>
      </w:pPr>
      <w:r>
        <w:rPr/>
        <w:t>确认日发生违约的风险，以确定金融工具的信用风险自初始确认后是否已显著增加。 </w:t>
      </w:r>
      <w:r>
        <w:rPr>
          <w:spacing w:val="-2"/>
        </w:rPr>
        <w:t>于资产负债表日，若公司判断金融工具只具有较低的信用风险，则假定该金融工具的信用风险自初始确认后并未显著增</w:t>
      </w:r>
    </w:p>
    <w:p>
      <w:pPr>
        <w:pStyle w:val="BodyText"/>
        <w:spacing w:line="222" w:lineRule="exact"/>
        <w:ind w:right="967"/>
        <w:jc w:val="left"/>
      </w:pPr>
      <w:r>
        <w:rPr/>
        <w:t>加。</w:t>
      </w:r>
    </w:p>
    <w:p>
      <w:pPr>
        <w:pStyle w:val="BodyText"/>
        <w:spacing w:line="240" w:lineRule="auto" w:before="118"/>
        <w:ind w:left="513" w:right="967"/>
        <w:jc w:val="left"/>
      </w:pPr>
      <w:r>
        <w:rPr/>
        <w:t>公司以单项金融工具或金融工具组合为基础评估预期信用风险和计量预期信用损失。当以金融工具组合为基础时，公司</w:t>
      </w:r>
    </w:p>
    <w:p>
      <w:pPr>
        <w:pStyle w:val="BodyText"/>
        <w:spacing w:line="316" w:lineRule="auto" w:before="76"/>
        <w:ind w:left="513" w:right="967" w:hanging="361"/>
        <w:jc w:val="left"/>
      </w:pPr>
      <w:r>
        <w:rPr/>
        <w:t>以共同风险特征为依据，将金融工具划分为不同组合。 </w:t>
      </w:r>
      <w:r>
        <w:rPr>
          <w:spacing w:val="-2"/>
        </w:rPr>
        <w:t>公司在每个资产负债表日重新计量预期信用损失，由此形成的损失准备的增加或转回金额，作为减值损失或利得计入当</w:t>
      </w:r>
    </w:p>
    <w:p>
      <w:pPr>
        <w:pStyle w:val="BodyText"/>
        <w:spacing w:line="316" w:lineRule="auto" w:before="19"/>
        <w:ind w:right="967"/>
        <w:jc w:val="left"/>
      </w:pPr>
      <w:r>
        <w:rPr>
          <w:spacing w:val="-2"/>
        </w:rPr>
        <w:t>期损益。对于以摊余成本计量的金融资产，损失准备抵减该金融资产在资产负债表中列示的账面价值；对于以公允价值计量</w:t>
      </w:r>
      <w:r>
        <w:rPr>
          <w:spacing w:val="-62"/>
        </w:rPr>
        <w:t> </w:t>
      </w:r>
      <w:r>
        <w:rPr>
          <w:spacing w:val="-62"/>
        </w:rPr>
      </w:r>
      <w:r>
        <w:rPr/>
        <w:t>且其变动计入其他综合收益的债权投资，公司在其他综合收益中确认其损失准备，不抵减该金融资产的账面价值。</w:t>
      </w:r>
    </w:p>
    <w:p>
      <w:pPr>
        <w:pStyle w:val="BodyText"/>
        <w:spacing w:line="300" w:lineRule="auto" w:before="19"/>
        <w:ind w:left="573" w:right="967"/>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27"/>
        </w:rPr>
        <w:t> </w:t>
      </w:r>
      <w:r>
        <w:rPr/>
        <w:t>金融资产和金融负债的抵销 金融资产和金融负债在资产负债表内分别列示，不相互抵销。但同时满足下列条件的，公司以相互抵销后的净额在资</w:t>
      </w:r>
    </w:p>
    <w:p>
      <w:pPr>
        <w:pStyle w:val="BodyText"/>
        <w:spacing w:line="300" w:lineRule="auto" w:before="31"/>
        <w:ind w:right="967"/>
        <w:jc w:val="left"/>
      </w:pPr>
      <w:r>
        <w:rPr/>
        <w:t>产负债表内列示：</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公司具有抵销已确认金额的法定权利，且该种法定权利是当前可执行的；</w:t>
      </w: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t>公司计划以净额结算，</w:t>
      </w:r>
      <w:r>
        <w:rPr>
          <w:spacing w:val="-85"/>
        </w:rPr>
        <w:t> </w:t>
      </w:r>
      <w:r>
        <w:rPr>
          <w:spacing w:val="-85"/>
        </w:rPr>
      </w:r>
      <w:r>
        <w:rPr/>
        <w:t>或同时变现该金融资产和清偿该金融负债。</w:t>
      </w:r>
    </w:p>
    <w:p>
      <w:pPr>
        <w:pStyle w:val="BodyText"/>
        <w:spacing w:line="240" w:lineRule="auto" w:before="31"/>
        <w:ind w:left="573" w:right="967"/>
        <w:jc w:val="left"/>
      </w:pPr>
      <w:r>
        <w:rPr/>
        <w:t>不满足终止确认条件的金融资产转移，公司不对已转移的金融资产和相关负债进行抵销。</w:t>
      </w:r>
    </w:p>
    <w:p>
      <w:pPr>
        <w:spacing w:line="240" w:lineRule="auto" w:before="2"/>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11</w:t>
      </w:r>
      <w:r>
        <w:rPr/>
        <w:t>、应收票据</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67"/>
        <w:jc w:val="left"/>
      </w:pPr>
      <w:r>
        <w:rPr/>
        <w:t>按应收票据的类别划分若干组合，在组合基础上计算预期信用损失，确定组合的依据如下：</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127"/>
        <w:gridCol w:w="1702"/>
        <w:gridCol w:w="5389"/>
      </w:tblGrid>
      <w:tr>
        <w:trPr>
          <w:trHeight w:val="42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90"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5"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699" w:right="0"/>
              <w:jc w:val="left"/>
              <w:rPr>
                <w:rFonts w:ascii="宋体" w:hAnsi="宋体" w:cs="宋体" w:eastAsia="宋体" w:hint="default"/>
                <w:sz w:val="18"/>
                <w:szCs w:val="18"/>
              </w:rPr>
            </w:pPr>
            <w:r>
              <w:rPr>
                <w:rFonts w:ascii="宋体" w:hAnsi="宋体" w:cs="宋体" w:eastAsia="宋体" w:hint="default"/>
                <w:sz w:val="18"/>
                <w:szCs w:val="18"/>
              </w:rPr>
              <w:t>计量预期信用损失的方法</w:t>
            </w:r>
          </w:p>
        </w:tc>
      </w:tr>
      <w:tr>
        <w:trPr>
          <w:trHeight w:val="315" w:hRule="exact"/>
        </w:trPr>
        <w:tc>
          <w:tcPr>
            <w:tcW w:w="2127"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c>
          <w:tcPr>
            <w:tcW w:w="53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4"/>
                <w:sz w:val="18"/>
                <w:szCs w:val="18"/>
              </w:rPr>
              <w:t>参考历史信用损失经验，结合当前状况以及对未来经济状况的预</w:t>
            </w:r>
            <w:r>
              <w:rPr>
                <w:rFonts w:ascii="宋体" w:hAnsi="宋体" w:cs="宋体" w:eastAsia="宋体" w:hint="default"/>
                <w:sz w:val="18"/>
                <w:szCs w:val="18"/>
              </w:rPr>
            </w:r>
          </w:p>
        </w:tc>
      </w:tr>
      <w:tr>
        <w:trPr>
          <w:trHeight w:val="313" w:hRule="exact"/>
        </w:trPr>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应收银行承兑汇票</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票据类型</w:t>
            </w:r>
          </w:p>
        </w:tc>
        <w:tc>
          <w:tcPr>
            <w:tcW w:w="53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测，通过违约风险敞口和整个存续期预期信用损失率，计算预期信</w:t>
            </w:r>
          </w:p>
        </w:tc>
      </w:tr>
      <w:tr>
        <w:trPr>
          <w:trHeight w:val="318" w:hRule="exact"/>
        </w:trPr>
        <w:tc>
          <w:tcPr>
            <w:tcW w:w="2127"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538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用损失</w:t>
            </w:r>
          </w:p>
        </w:tc>
      </w:tr>
      <w:tr>
        <w:trPr>
          <w:trHeight w:val="315" w:hRule="exact"/>
        </w:trPr>
        <w:tc>
          <w:tcPr>
            <w:tcW w:w="2127"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c>
          <w:tcPr>
            <w:tcW w:w="53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参考历史信用损失经验，结合当前状况以及对未来经济状况的预</w:t>
            </w:r>
          </w:p>
        </w:tc>
      </w:tr>
      <w:tr>
        <w:trPr>
          <w:trHeight w:val="313" w:hRule="exact"/>
        </w:trPr>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应收商业承兑汇票</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53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测，编制应收款项账龄与整个存续期预期信用损失率对照表，计算</w:t>
            </w:r>
          </w:p>
        </w:tc>
      </w:tr>
      <w:tr>
        <w:trPr>
          <w:trHeight w:val="320" w:hRule="exact"/>
        </w:trPr>
        <w:tc>
          <w:tcPr>
            <w:tcW w:w="2127"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538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预期信用损失</w:t>
            </w: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rFonts w:ascii="Times New Roman" w:hAnsi="Times New Roman" w:cs="Times New Roman" w:eastAsia="Times New Roman" w:hint="default"/>
        </w:rPr>
        <w:t>12</w:t>
      </w:r>
      <w:r>
        <w:rPr/>
        <w:t>、应收账款</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67"/>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）按信用风险特征组合计提坏账准备的应收账款</w:t>
      </w:r>
      <w:r>
        <w:rPr>
          <w:rFonts w:ascii="Times New Roman" w:hAnsi="Times New Roman" w:cs="Times New Roman" w:eastAsia="Times New Roman" w:hint="default"/>
        </w:rPr>
        <w:t>:</w:t>
      </w:r>
    </w:p>
    <w:p>
      <w:pPr>
        <w:spacing w:line="240" w:lineRule="auto" w:before="9"/>
        <w:rPr>
          <w:rFonts w:ascii="Times New Roman" w:hAnsi="Times New Roman" w:cs="Times New Roman" w:eastAsia="Times New Roman"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2127"/>
        <w:gridCol w:w="1702"/>
        <w:gridCol w:w="5389"/>
      </w:tblGrid>
      <w:tr>
        <w:trPr>
          <w:trHeight w:val="42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905"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3"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5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697" w:right="0"/>
              <w:jc w:val="left"/>
              <w:rPr>
                <w:rFonts w:ascii="宋体" w:hAnsi="宋体" w:cs="宋体" w:eastAsia="宋体" w:hint="default"/>
                <w:sz w:val="18"/>
                <w:szCs w:val="18"/>
              </w:rPr>
            </w:pPr>
            <w:r>
              <w:rPr>
                <w:rFonts w:ascii="宋体" w:hAnsi="宋体" w:cs="宋体" w:eastAsia="宋体" w:hint="default"/>
                <w:sz w:val="18"/>
                <w:szCs w:val="18"/>
              </w:rPr>
              <w:t>计量预期信用损失的方法</w:t>
            </w:r>
          </w:p>
        </w:tc>
      </w:tr>
      <w:tr>
        <w:trPr>
          <w:trHeight w:val="372" w:hRule="exact"/>
        </w:trPr>
        <w:tc>
          <w:tcPr>
            <w:tcW w:w="212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货款账龄组合</w:t>
            </w:r>
          </w:p>
        </w:tc>
        <w:tc>
          <w:tcPr>
            <w:tcW w:w="170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538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8"/>
              <w:ind w:left="4" w:right="-31"/>
              <w:jc w:val="left"/>
              <w:rPr>
                <w:rFonts w:ascii="宋体" w:hAnsi="宋体" w:cs="宋体" w:eastAsia="宋体" w:hint="default"/>
                <w:sz w:val="18"/>
                <w:szCs w:val="18"/>
              </w:rPr>
            </w:pPr>
            <w:r>
              <w:rPr>
                <w:rFonts w:ascii="宋体" w:hAnsi="宋体" w:cs="宋体" w:eastAsia="宋体" w:hint="default"/>
                <w:sz w:val="18"/>
                <w:szCs w:val="18"/>
              </w:rPr>
              <w:t>参考历史信用损失经验，结合当前状况以及对未来经济状况的预测，</w:t>
            </w:r>
          </w:p>
        </w:tc>
      </w:tr>
      <w:tr>
        <w:trPr>
          <w:trHeight w:val="307" w:hRule="exact"/>
        </w:trPr>
        <w:tc>
          <w:tcPr>
            <w:tcW w:w="2127"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5389"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pacing w:val="-2"/>
                <w:sz w:val="18"/>
                <w:szCs w:val="18"/>
              </w:rPr>
              <w:t>编制应收账款账龄与整个存续期预期信用损失率对照表，计算预期信</w:t>
            </w:r>
          </w:p>
        </w:tc>
      </w:tr>
      <w:tr>
        <w:trPr>
          <w:trHeight w:val="372" w:hRule="exact"/>
        </w:trPr>
        <w:tc>
          <w:tcPr>
            <w:tcW w:w="2127" w:type="dxa"/>
            <w:tcBorders>
              <w:top w:val="nil" w:sz="6" w:space="0" w:color="auto"/>
              <w:left w:val="single" w:sz="6" w:space="0" w:color="000000"/>
              <w:bottom w:val="single" w:sz="6" w:space="0" w:color="000000"/>
              <w:right w:val="single" w:sz="6" w:space="0" w:color="000000"/>
            </w:tcBorders>
          </w:tcPr>
          <w:p>
            <w:pPr/>
          </w:p>
        </w:tc>
        <w:tc>
          <w:tcPr>
            <w:tcW w:w="1702" w:type="dxa"/>
            <w:tcBorders>
              <w:top w:val="nil" w:sz="6" w:space="0" w:color="auto"/>
              <w:left w:val="single" w:sz="6" w:space="0" w:color="000000"/>
              <w:bottom w:val="single" w:sz="6" w:space="0" w:color="000000"/>
              <w:right w:val="single" w:sz="6" w:space="0" w:color="000000"/>
            </w:tcBorders>
          </w:tcPr>
          <w:p>
            <w:pPr/>
          </w:p>
        </w:tc>
        <w:tc>
          <w:tcPr>
            <w:tcW w:w="538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用损失</w:t>
            </w:r>
          </w:p>
        </w:tc>
      </w:tr>
      <w:tr>
        <w:trPr>
          <w:trHeight w:val="352" w:hRule="exact"/>
        </w:trPr>
        <w:tc>
          <w:tcPr>
            <w:tcW w:w="212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质保金组合</w:t>
            </w:r>
          </w:p>
        </w:tc>
        <w:tc>
          <w:tcPr>
            <w:tcW w:w="170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逾期天数</w:t>
            </w:r>
          </w:p>
        </w:tc>
        <w:tc>
          <w:tcPr>
            <w:tcW w:w="538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7"/>
              <w:ind w:left="4" w:right="-31"/>
              <w:jc w:val="left"/>
              <w:rPr>
                <w:rFonts w:ascii="宋体" w:hAnsi="宋体" w:cs="宋体" w:eastAsia="宋体" w:hint="default"/>
                <w:sz w:val="18"/>
                <w:szCs w:val="18"/>
              </w:rPr>
            </w:pPr>
            <w:r>
              <w:rPr>
                <w:rFonts w:ascii="宋体" w:hAnsi="宋体" w:cs="宋体" w:eastAsia="宋体" w:hint="default"/>
                <w:sz w:val="18"/>
                <w:szCs w:val="18"/>
              </w:rPr>
              <w:t>参考历史信用损失经验，结合当前状况以及对未来经济状况的预测，</w:t>
            </w:r>
          </w:p>
        </w:tc>
      </w:tr>
      <w:tr>
        <w:trPr>
          <w:trHeight w:val="287" w:hRule="exact"/>
        </w:trPr>
        <w:tc>
          <w:tcPr>
            <w:tcW w:w="2127"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5389" w:type="dxa"/>
            <w:tcBorders>
              <w:top w:val="nil" w:sz="6" w:space="0" w:color="auto"/>
              <w:left w:val="single" w:sz="6" w:space="0" w:color="000000"/>
              <w:bottom w:val="nil" w:sz="6" w:space="0" w:color="auto"/>
              <w:right w:val="single" w:sz="6" w:space="0" w:color="000000"/>
            </w:tcBorders>
          </w:tcPr>
          <w:p>
            <w:pPr>
              <w:pStyle w:val="TableParagraph"/>
              <w:spacing w:line="221" w:lineRule="exact"/>
              <w:ind w:left="4" w:right="0"/>
              <w:jc w:val="left"/>
              <w:rPr>
                <w:rFonts w:ascii="宋体" w:hAnsi="宋体" w:cs="宋体" w:eastAsia="宋体" w:hint="default"/>
                <w:sz w:val="18"/>
                <w:szCs w:val="18"/>
              </w:rPr>
            </w:pPr>
            <w:r>
              <w:rPr>
                <w:rFonts w:ascii="宋体" w:hAnsi="宋体" w:cs="宋体" w:eastAsia="宋体" w:hint="default"/>
                <w:spacing w:val="-2"/>
                <w:sz w:val="18"/>
                <w:szCs w:val="18"/>
              </w:rPr>
              <w:t>编制应收账款逾期天数与整个存续期预期信用损失率对照表，计算预</w:t>
            </w:r>
          </w:p>
        </w:tc>
      </w:tr>
      <w:tr>
        <w:trPr>
          <w:trHeight w:val="334" w:hRule="exact"/>
        </w:trPr>
        <w:tc>
          <w:tcPr>
            <w:tcW w:w="2127" w:type="dxa"/>
            <w:tcBorders>
              <w:top w:val="nil" w:sz="6" w:space="0" w:color="auto"/>
              <w:left w:val="single" w:sz="6" w:space="0" w:color="000000"/>
              <w:bottom w:val="single" w:sz="6" w:space="0" w:color="000000"/>
              <w:right w:val="single" w:sz="6" w:space="0" w:color="000000"/>
            </w:tcBorders>
          </w:tcPr>
          <w:p>
            <w:pPr/>
          </w:p>
        </w:tc>
        <w:tc>
          <w:tcPr>
            <w:tcW w:w="1702" w:type="dxa"/>
            <w:tcBorders>
              <w:top w:val="nil" w:sz="6" w:space="0" w:color="auto"/>
              <w:left w:val="single" w:sz="6" w:space="0" w:color="000000"/>
              <w:bottom w:val="single" w:sz="6" w:space="0" w:color="000000"/>
              <w:right w:val="single" w:sz="6" w:space="0" w:color="000000"/>
            </w:tcBorders>
          </w:tcPr>
          <w:p>
            <w:pPr/>
          </w:p>
        </w:tc>
        <w:tc>
          <w:tcPr>
            <w:tcW w:w="538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期信用损失</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5" w:type="dxa"/>
        <w:tblLayout w:type="fixed"/>
        <w:tblCellMar>
          <w:top w:w="0" w:type="dxa"/>
          <w:left w:w="0" w:type="dxa"/>
          <w:bottom w:w="0" w:type="dxa"/>
          <w:right w:w="0" w:type="dxa"/>
        </w:tblCellMar>
        <w:tblLook w:val="01E0"/>
      </w:tblPr>
      <w:tblGrid>
        <w:gridCol w:w="2127"/>
        <w:gridCol w:w="1702"/>
        <w:gridCol w:w="5389"/>
      </w:tblGrid>
      <w:tr>
        <w:trPr>
          <w:trHeight w:val="74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9"/>
              <w:ind w:left="4" w:right="1"/>
              <w:jc w:val="left"/>
              <w:rPr>
                <w:rFonts w:ascii="宋体" w:hAnsi="宋体" w:cs="宋体" w:eastAsia="宋体" w:hint="default"/>
                <w:sz w:val="18"/>
                <w:szCs w:val="18"/>
              </w:rPr>
            </w:pPr>
            <w:r>
              <w:rPr>
                <w:rFonts w:ascii="宋体" w:hAnsi="宋体" w:cs="宋体" w:eastAsia="宋体" w:hint="default"/>
                <w:spacing w:val="10"/>
                <w:sz w:val="18"/>
                <w:szCs w:val="18"/>
              </w:rPr>
              <w:t>应收账款</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合并范围内关</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联方组合</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合并范围内的关联方</w:t>
            </w:r>
          </w:p>
        </w:tc>
        <w:tc>
          <w:tcPr>
            <w:tcW w:w="538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4" w:right="-31"/>
              <w:jc w:val="left"/>
              <w:rPr>
                <w:rFonts w:ascii="宋体" w:hAnsi="宋体" w:cs="宋体" w:eastAsia="宋体" w:hint="default"/>
                <w:sz w:val="18"/>
                <w:szCs w:val="18"/>
              </w:rPr>
            </w:pPr>
            <w:r>
              <w:rPr>
                <w:rFonts w:ascii="宋体" w:hAnsi="宋体" w:cs="宋体" w:eastAsia="宋体" w:hint="default"/>
                <w:sz w:val="18"/>
                <w:szCs w:val="18"/>
              </w:rPr>
              <w:t>参考历史信用损失经验，结合当前状况以及对未来经济状况的预测， </w:t>
            </w:r>
            <w:r>
              <w:rPr>
                <w:rFonts w:ascii="宋体" w:hAnsi="宋体" w:cs="宋体" w:eastAsia="宋体" w:hint="default"/>
                <w:spacing w:val="-2"/>
                <w:sz w:val="18"/>
                <w:szCs w:val="18"/>
              </w:rPr>
              <w:t>通过违约风险敞口和整个存续期预期信用损失率，计算预期信用损失</w:t>
            </w:r>
          </w:p>
        </w:tc>
      </w:tr>
    </w:tbl>
    <w:p>
      <w:pPr>
        <w:spacing w:line="240" w:lineRule="auto" w:before="11"/>
        <w:rPr>
          <w:rFonts w:ascii="Times New Roman" w:hAnsi="Times New Roman" w:cs="Times New Roman" w:eastAsia="Times New Roman" w:hint="default"/>
          <w:sz w:val="23"/>
          <w:szCs w:val="23"/>
        </w:rPr>
      </w:pPr>
    </w:p>
    <w:p>
      <w:pPr>
        <w:pStyle w:val="BodyText"/>
        <w:spacing w:line="240" w:lineRule="auto" w:before="44"/>
        <w:ind w:right="967"/>
        <w:jc w:val="left"/>
      </w:pPr>
      <w:r>
        <w:rPr/>
        <w:t>（</w:t>
      </w:r>
      <w:r>
        <w:rPr>
          <w:rFonts w:ascii="Times New Roman" w:hAnsi="Times New Roman" w:cs="Times New Roman" w:eastAsia="Times New Roman" w:hint="default"/>
        </w:rPr>
        <w:t>2</w:t>
      </w:r>
      <w:r>
        <w:rPr/>
        <w:t>）应收账款</w:t>
      </w:r>
      <w:r>
        <w:rPr>
          <w:rFonts w:ascii="Times New Roman" w:hAnsi="Times New Roman" w:cs="Times New Roman" w:eastAsia="Times New Roman" w:hint="default"/>
        </w:rPr>
        <w:t>—</w:t>
      </w:r>
      <w:r>
        <w:rPr/>
        <w:t>货款账龄组合的账龄与整个存续期预期信用损失率对照表</w:t>
      </w:r>
    </w:p>
    <w:p>
      <w:pPr>
        <w:spacing w:line="240" w:lineRule="auto" w:before="8"/>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4820"/>
        <w:gridCol w:w="4398"/>
      </w:tblGrid>
      <w:tr>
        <w:trPr>
          <w:trHeight w:val="659" w:hRule="exact"/>
        </w:trPr>
        <w:tc>
          <w:tcPr>
            <w:tcW w:w="48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3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4"/>
              <w:ind w:left="1428" w:right="1424" w:firstLine="403"/>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 预期信用损失率</w:t>
            </w:r>
            <w:r>
              <w:rPr>
                <w:rFonts w:ascii="Times New Roman" w:hAnsi="Times New Roman" w:cs="Times New Roman" w:eastAsia="Times New Roman" w:hint="default"/>
                <w:sz w:val="18"/>
                <w:szCs w:val="18"/>
              </w:rPr>
              <w:t>(%)</w:t>
            </w:r>
          </w:p>
        </w:tc>
      </w:tr>
      <w:tr>
        <w:trPr>
          <w:trHeight w:val="342" w:hRule="exact"/>
        </w:trPr>
        <w:tc>
          <w:tcPr>
            <w:tcW w:w="48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4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5.00</w:t>
            </w:r>
          </w:p>
        </w:tc>
      </w:tr>
      <w:tr>
        <w:trPr>
          <w:trHeight w:val="347" w:hRule="exact"/>
        </w:trPr>
        <w:tc>
          <w:tcPr>
            <w:tcW w:w="48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4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w:t>
            </w:r>
          </w:p>
        </w:tc>
      </w:tr>
      <w:tr>
        <w:trPr>
          <w:trHeight w:val="347" w:hRule="exact"/>
        </w:trPr>
        <w:tc>
          <w:tcPr>
            <w:tcW w:w="48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4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30.00</w:t>
            </w:r>
          </w:p>
        </w:tc>
      </w:tr>
      <w:tr>
        <w:trPr>
          <w:trHeight w:val="347" w:hRule="exact"/>
        </w:trPr>
        <w:tc>
          <w:tcPr>
            <w:tcW w:w="48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4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50.00</w:t>
            </w:r>
          </w:p>
        </w:tc>
      </w:tr>
      <w:tr>
        <w:trPr>
          <w:trHeight w:val="347" w:hRule="exact"/>
        </w:trPr>
        <w:tc>
          <w:tcPr>
            <w:tcW w:w="48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4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80.00</w:t>
            </w:r>
          </w:p>
        </w:tc>
      </w:tr>
      <w:tr>
        <w:trPr>
          <w:trHeight w:val="347" w:hRule="exact"/>
        </w:trPr>
        <w:tc>
          <w:tcPr>
            <w:tcW w:w="48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4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8"/>
        <w:ind w:right="967"/>
        <w:jc w:val="left"/>
      </w:pPr>
      <w:r>
        <w:rPr/>
        <w:t>（</w:t>
      </w:r>
      <w:r>
        <w:rPr>
          <w:rFonts w:ascii="Times New Roman" w:hAnsi="Times New Roman" w:cs="Times New Roman" w:eastAsia="Times New Roman" w:hint="default"/>
        </w:rPr>
        <w:t>3</w:t>
      </w:r>
      <w:r>
        <w:rPr/>
        <w:t>）应收账款</w:t>
      </w:r>
      <w:r>
        <w:rPr>
          <w:rFonts w:ascii="Times New Roman" w:hAnsi="Times New Roman" w:cs="Times New Roman" w:eastAsia="Times New Roman" w:hint="default"/>
        </w:rPr>
        <w:t>—</w:t>
      </w:r>
      <w:r>
        <w:rPr/>
        <w:t>质保金组合的逾期天数与整个存续期预期信用损失率对照表</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4820"/>
        <w:gridCol w:w="4398"/>
      </w:tblGrid>
      <w:tr>
        <w:trPr>
          <w:trHeight w:val="660"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逾期天数</w:t>
            </w:r>
          </w:p>
        </w:tc>
        <w:tc>
          <w:tcPr>
            <w:tcW w:w="439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428" w:right="1424" w:firstLine="403"/>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 预期信用损失率</w:t>
            </w:r>
            <w:r>
              <w:rPr>
                <w:rFonts w:ascii="Times New Roman" w:hAnsi="Times New Roman" w:cs="Times New Roman" w:eastAsia="Times New Roman" w:hint="default"/>
                <w:sz w:val="18"/>
                <w:szCs w:val="18"/>
              </w:rPr>
              <w:t>(%)</w:t>
            </w:r>
          </w:p>
        </w:tc>
      </w:tr>
      <w:tr>
        <w:trPr>
          <w:trHeight w:val="348"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质保期以内</w:t>
            </w:r>
          </w:p>
        </w:tc>
        <w:tc>
          <w:tcPr>
            <w:tcW w:w="4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10.00</w:t>
            </w:r>
          </w:p>
        </w:tc>
      </w:tr>
      <w:tr>
        <w:trPr>
          <w:trHeight w:val="346"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超质保期</w:t>
            </w: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4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50.00</w:t>
            </w:r>
          </w:p>
        </w:tc>
      </w:tr>
      <w:tr>
        <w:trPr>
          <w:trHeight w:val="348"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超质保期</w:t>
            </w:r>
            <w:r>
              <w:rPr>
                <w:rFonts w:ascii="Times New Roman" w:hAnsi="Times New Roman" w:cs="Times New Roman" w:eastAsia="Times New Roman" w:hint="default"/>
                <w:sz w:val="18"/>
                <w:szCs w:val="18"/>
              </w:rPr>
              <w:t>1</w:t>
            </w:r>
            <w:r>
              <w:rPr>
                <w:rFonts w:ascii="宋体" w:hAnsi="宋体" w:cs="宋体" w:eastAsia="宋体" w:hint="default"/>
                <w:sz w:val="18"/>
                <w:szCs w:val="18"/>
              </w:rPr>
              <w:t>年以上</w:t>
            </w:r>
          </w:p>
        </w:tc>
        <w:tc>
          <w:tcPr>
            <w:tcW w:w="4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967"/>
        <w:jc w:val="left"/>
      </w:pPr>
      <w:r>
        <w:rPr/>
        <w:t>（</w:t>
      </w:r>
      <w:r>
        <w:rPr>
          <w:rFonts w:ascii="Times New Roman" w:hAnsi="Times New Roman" w:cs="Times New Roman" w:eastAsia="Times New Roman" w:hint="default"/>
        </w:rPr>
        <w:t>4</w:t>
      </w:r>
      <w:r>
        <w:rPr/>
        <w:t>）应收账款</w:t>
      </w:r>
      <w:r>
        <w:rPr>
          <w:rFonts w:ascii="Times New Roman" w:hAnsi="Times New Roman" w:cs="Times New Roman" w:eastAsia="Times New Roman" w:hint="default"/>
        </w:rPr>
        <w:t>—</w:t>
      </w:r>
      <w:r>
        <w:rPr/>
        <w:t>合并范围内关联方组合与整个存续期预期信用损失率对照表</w:t>
      </w:r>
    </w:p>
    <w:p>
      <w:pPr>
        <w:spacing w:line="240" w:lineRule="auto" w:before="1"/>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4820"/>
        <w:gridCol w:w="4398"/>
      </w:tblGrid>
      <w:tr>
        <w:trPr>
          <w:trHeight w:val="660"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439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428" w:right="1424" w:firstLine="403"/>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 预期信用损失率</w:t>
            </w:r>
            <w:r>
              <w:rPr>
                <w:rFonts w:ascii="Times New Roman" w:hAnsi="Times New Roman" w:cs="Times New Roman" w:eastAsia="Times New Roman" w:hint="default"/>
                <w:sz w:val="18"/>
                <w:szCs w:val="18"/>
              </w:rPr>
              <w:t>(%)</w:t>
            </w:r>
          </w:p>
        </w:tc>
      </w:tr>
      <w:tr>
        <w:trPr>
          <w:trHeight w:val="348"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4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335" w:lineRule="exact"/>
        <w:ind w:right="967"/>
        <w:jc w:val="left"/>
        <w:rPr>
          <w:b w:val="0"/>
          <w:bCs w:val="0"/>
        </w:rPr>
      </w:pPr>
      <w:r>
        <w:rPr>
          <w:rFonts w:ascii="Times New Roman" w:hAnsi="Times New Roman" w:cs="Times New Roman" w:eastAsia="Times New Roman" w:hint="default"/>
        </w:rPr>
        <w:t>13</w:t>
      </w:r>
      <w:r>
        <w:rPr/>
        <w:t>、应收款项融资</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513" w:right="967"/>
        <w:jc w:val="left"/>
      </w:pPr>
      <w:r>
        <w:rPr/>
        <w:t>按组合评估预期信用风险和计量预期信用损失的应收款项融资</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410"/>
        <w:gridCol w:w="2269"/>
        <w:gridCol w:w="4539"/>
      </w:tblGrid>
      <w:tr>
        <w:trPr>
          <w:trHeight w:val="427" w:hRule="exact"/>
        </w:trPr>
        <w:tc>
          <w:tcPr>
            <w:tcW w:w="241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1"/>
              <w:ind w:left="202"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226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1"/>
              <w:ind w:left="499"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453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1"/>
              <w:ind w:left="1272" w:right="0"/>
              <w:jc w:val="left"/>
              <w:rPr>
                <w:rFonts w:ascii="宋体" w:hAnsi="宋体" w:cs="宋体" w:eastAsia="宋体" w:hint="default"/>
                <w:sz w:val="18"/>
                <w:szCs w:val="18"/>
              </w:rPr>
            </w:pPr>
            <w:r>
              <w:rPr>
                <w:rFonts w:ascii="宋体" w:hAnsi="宋体" w:cs="宋体" w:eastAsia="宋体" w:hint="default"/>
                <w:sz w:val="18"/>
                <w:szCs w:val="18"/>
              </w:rPr>
              <w:t>计量预期信用损失的方法</w:t>
            </w:r>
          </w:p>
        </w:tc>
      </w:tr>
      <w:tr>
        <w:trPr>
          <w:trHeight w:val="369" w:hRule="exact"/>
        </w:trPr>
        <w:tc>
          <w:tcPr>
            <w:tcW w:w="2410" w:type="dxa"/>
            <w:tcBorders>
              <w:top w:val="single" w:sz="6" w:space="0" w:color="000000"/>
              <w:left w:val="single" w:sz="6" w:space="0" w:color="000000"/>
              <w:bottom w:val="nil" w:sz="6" w:space="0" w:color="auto"/>
              <w:right w:val="single" w:sz="6" w:space="0" w:color="000000"/>
            </w:tcBorders>
          </w:tcPr>
          <w:p>
            <w:pPr/>
          </w:p>
        </w:tc>
        <w:tc>
          <w:tcPr>
            <w:tcW w:w="2269" w:type="dxa"/>
            <w:tcBorders>
              <w:top w:val="single" w:sz="6" w:space="0" w:color="000000"/>
              <w:left w:val="single" w:sz="6" w:space="0" w:color="000000"/>
              <w:bottom w:val="nil" w:sz="6" w:space="0" w:color="auto"/>
              <w:right w:val="single" w:sz="6" w:space="0" w:color="000000"/>
            </w:tcBorders>
          </w:tcPr>
          <w:p>
            <w:pPr/>
          </w:p>
        </w:tc>
        <w:tc>
          <w:tcPr>
            <w:tcW w:w="453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参考历史信用损失经验，结合当前状况以及对未来经济状</w:t>
            </w:r>
          </w:p>
        </w:tc>
      </w:tr>
      <w:tr>
        <w:trPr>
          <w:trHeight w:val="312" w:hRule="exact"/>
        </w:trPr>
        <w:tc>
          <w:tcPr>
            <w:tcW w:w="2410"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4" w:right="0"/>
              <w:jc w:val="left"/>
              <w:rPr>
                <w:rFonts w:ascii="宋体" w:hAnsi="宋体" w:cs="宋体" w:eastAsia="宋体" w:hint="default"/>
                <w:sz w:val="18"/>
                <w:szCs w:val="18"/>
              </w:rPr>
            </w:pPr>
            <w:r>
              <w:rPr>
                <w:rFonts w:ascii="宋体" w:hAnsi="宋体" w:cs="宋体" w:eastAsia="宋体" w:hint="default"/>
                <w:sz w:val="18"/>
                <w:szCs w:val="18"/>
              </w:rPr>
              <w:t>银行承兑汇票组合</w:t>
            </w:r>
          </w:p>
        </w:tc>
        <w:tc>
          <w:tcPr>
            <w:tcW w:w="2269"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4" w:right="0"/>
              <w:jc w:val="left"/>
              <w:rPr>
                <w:rFonts w:ascii="宋体" w:hAnsi="宋体" w:cs="宋体" w:eastAsia="宋体" w:hint="default"/>
                <w:sz w:val="18"/>
                <w:szCs w:val="18"/>
              </w:rPr>
            </w:pPr>
            <w:r>
              <w:rPr>
                <w:rFonts w:ascii="宋体" w:hAnsi="宋体" w:cs="宋体" w:eastAsia="宋体" w:hint="default"/>
                <w:sz w:val="18"/>
                <w:szCs w:val="18"/>
              </w:rPr>
              <w:t>承兑人为银行</w:t>
            </w:r>
          </w:p>
        </w:tc>
        <w:tc>
          <w:tcPr>
            <w:tcW w:w="4539"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left="4" w:right="0"/>
              <w:jc w:val="left"/>
              <w:rPr>
                <w:rFonts w:ascii="宋体" w:hAnsi="宋体" w:cs="宋体" w:eastAsia="宋体" w:hint="default"/>
                <w:sz w:val="18"/>
                <w:szCs w:val="18"/>
              </w:rPr>
            </w:pPr>
            <w:r>
              <w:rPr>
                <w:rFonts w:ascii="宋体" w:hAnsi="宋体" w:cs="宋体" w:eastAsia="宋体" w:hint="default"/>
                <w:sz w:val="18"/>
                <w:szCs w:val="18"/>
              </w:rPr>
              <w:t>况的预测，通过违约风险敞口和整个存续期预期信用损失</w:t>
            </w:r>
          </w:p>
        </w:tc>
      </w:tr>
      <w:tr>
        <w:trPr>
          <w:trHeight w:val="371" w:hRule="exact"/>
        </w:trPr>
        <w:tc>
          <w:tcPr>
            <w:tcW w:w="2410" w:type="dxa"/>
            <w:tcBorders>
              <w:top w:val="nil" w:sz="6" w:space="0" w:color="auto"/>
              <w:left w:val="single" w:sz="6" w:space="0" w:color="000000"/>
              <w:bottom w:val="single" w:sz="6" w:space="0" w:color="000000"/>
              <w:right w:val="single" w:sz="6" w:space="0" w:color="000000"/>
            </w:tcBorders>
          </w:tcPr>
          <w:p>
            <w:pPr/>
          </w:p>
        </w:tc>
        <w:tc>
          <w:tcPr>
            <w:tcW w:w="2269" w:type="dxa"/>
            <w:tcBorders>
              <w:top w:val="nil" w:sz="6" w:space="0" w:color="auto"/>
              <w:left w:val="single" w:sz="6" w:space="0" w:color="000000"/>
              <w:bottom w:val="single" w:sz="6" w:space="0" w:color="000000"/>
              <w:right w:val="single" w:sz="6" w:space="0" w:color="000000"/>
            </w:tcBorders>
          </w:tcPr>
          <w:p>
            <w:pPr/>
          </w:p>
        </w:tc>
        <w:tc>
          <w:tcPr>
            <w:tcW w:w="453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9"/>
              <w:ind w:left="4" w:right="0"/>
              <w:jc w:val="left"/>
              <w:rPr>
                <w:rFonts w:ascii="宋体" w:hAnsi="宋体" w:cs="宋体" w:eastAsia="宋体" w:hint="default"/>
                <w:sz w:val="18"/>
                <w:szCs w:val="18"/>
              </w:rPr>
            </w:pPr>
            <w:r>
              <w:rPr>
                <w:rFonts w:ascii="宋体" w:hAnsi="宋体" w:cs="宋体" w:eastAsia="宋体" w:hint="default"/>
                <w:sz w:val="18"/>
                <w:szCs w:val="18"/>
              </w:rPr>
              <w:t>率，计算预期信用损失</w:t>
            </w:r>
          </w:p>
        </w:tc>
      </w:tr>
    </w:tbl>
    <w:p>
      <w:pPr>
        <w:pStyle w:val="BodyText"/>
        <w:spacing w:line="240" w:lineRule="auto" w:before="8"/>
        <w:ind w:right="967"/>
        <w:jc w:val="left"/>
      </w:pPr>
      <w:r>
        <w:rPr/>
        <w:t>本公司认为银行承兑汇票的承兑人信用较好，到期无法收回合同现金流量的可能性极低，因此本公司不对其计提损失准备。</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14</w:t>
      </w:r>
      <w:r>
        <w:rPr/>
        <w:t>、其他应收款</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60" w:lineRule="auto"/>
        <w:ind w:right="6074"/>
        <w:jc w:val="left"/>
      </w:pPr>
      <w:r>
        <w:rPr/>
        <w:t>其他应收款的预期信用损失的确定方法及会计处理方法 按组合评估预期信用风险和计量预期信用损失的其他应收款</w:t>
      </w:r>
    </w:p>
    <w:tbl>
      <w:tblPr>
        <w:tblW w:w="0" w:type="auto"/>
        <w:jc w:val="left"/>
        <w:tblInd w:w="145" w:type="dxa"/>
        <w:tblLayout w:type="fixed"/>
        <w:tblCellMar>
          <w:top w:w="0" w:type="dxa"/>
          <w:left w:w="0" w:type="dxa"/>
          <w:bottom w:w="0" w:type="dxa"/>
          <w:right w:w="0" w:type="dxa"/>
        </w:tblCellMar>
        <w:tblLook w:val="01E0"/>
      </w:tblPr>
      <w:tblGrid>
        <w:gridCol w:w="4112"/>
        <w:gridCol w:w="1716"/>
        <w:gridCol w:w="3389"/>
      </w:tblGrid>
      <w:tr>
        <w:trPr>
          <w:trHeight w:val="427"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03"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23"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33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98" w:right="0"/>
              <w:jc w:val="left"/>
              <w:rPr>
                <w:rFonts w:ascii="宋体" w:hAnsi="宋体" w:cs="宋体" w:eastAsia="宋体" w:hint="default"/>
                <w:sz w:val="18"/>
                <w:szCs w:val="18"/>
              </w:rPr>
            </w:pPr>
            <w:r>
              <w:rPr>
                <w:rFonts w:ascii="宋体" w:hAnsi="宋体" w:cs="宋体" w:eastAsia="宋体" w:hint="default"/>
                <w:sz w:val="18"/>
                <w:szCs w:val="18"/>
              </w:rPr>
              <w:t>计量预期信用损失的方法</w:t>
            </w:r>
          </w:p>
        </w:tc>
      </w:tr>
      <w:tr>
        <w:trPr>
          <w:trHeight w:val="428"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账龄组合</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3389" w:type="dxa"/>
            <w:vMerge w:val="restart"/>
            <w:tcBorders>
              <w:top w:val="single" w:sz="6" w:space="0" w:color="000000"/>
              <w:left w:val="single" w:sz="6" w:space="0" w:color="000000"/>
              <w:right w:val="single" w:sz="6" w:space="0" w:color="000000"/>
            </w:tcBorders>
          </w:tcPr>
          <w:p>
            <w:pPr>
              <w:pStyle w:val="TableParagraph"/>
              <w:spacing w:line="316" w:lineRule="auto" w:before="61"/>
              <w:ind w:left="4" w:right="0"/>
              <w:jc w:val="left"/>
              <w:rPr>
                <w:rFonts w:ascii="宋体" w:hAnsi="宋体" w:cs="宋体" w:eastAsia="宋体" w:hint="default"/>
                <w:sz w:val="18"/>
                <w:szCs w:val="18"/>
              </w:rPr>
            </w:pPr>
            <w:r>
              <w:rPr>
                <w:rFonts w:ascii="宋体" w:hAnsi="宋体" w:cs="宋体" w:eastAsia="宋体" w:hint="default"/>
                <w:spacing w:val="-3"/>
                <w:sz w:val="18"/>
                <w:szCs w:val="18"/>
              </w:rPr>
              <w:t>参考历史信用损失经验，结合当前状况以及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对未来经济状况的预测，通过违约风险敞口</w:t>
            </w:r>
          </w:p>
        </w:tc>
      </w:tr>
      <w:tr>
        <w:trPr>
          <w:trHeight w:val="427"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合并范围内的关联往来组合</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3389" w:type="dxa"/>
            <w:vMerge/>
            <w:tcBorders>
              <w:left w:val="single" w:sz="6" w:space="0" w:color="000000"/>
              <w:bottom w:val="single" w:sz="6" w:space="0" w:color="000000"/>
              <w:right w:val="single" w:sz="6" w:space="0" w:color="000000"/>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4112"/>
        <w:gridCol w:w="1716"/>
        <w:gridCol w:w="3389"/>
      </w:tblGrid>
      <w:tr>
        <w:trPr>
          <w:trHeight w:val="699" w:hRule="exact"/>
        </w:trPr>
        <w:tc>
          <w:tcPr>
            <w:tcW w:w="4112"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
        </w:tc>
        <w:tc>
          <w:tcPr>
            <w:tcW w:w="338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8"/>
              <w:ind w:left="4" w:right="-4"/>
              <w:jc w:val="left"/>
              <w:rPr>
                <w:rFonts w:ascii="宋体" w:hAnsi="宋体" w:cs="宋体" w:eastAsia="宋体" w:hint="default"/>
                <w:sz w:val="18"/>
                <w:szCs w:val="18"/>
              </w:rPr>
            </w:pPr>
            <w:r>
              <w:rPr>
                <w:rFonts w:ascii="宋体" w:hAnsi="宋体" w:cs="宋体" w:eastAsia="宋体" w:hint="default"/>
                <w:spacing w:val="6"/>
                <w:sz w:val="18"/>
                <w:szCs w:val="18"/>
              </w:rPr>
              <w:t>和未来</w:t>
            </w:r>
            <w:r>
              <w:rPr>
                <w:rFonts w:ascii="Times New Roman" w:hAnsi="Times New Roman" w:cs="Times New Roman" w:eastAsia="Times New Roman" w:hint="default"/>
                <w:spacing w:val="6"/>
                <w:sz w:val="18"/>
                <w:szCs w:val="18"/>
              </w:rPr>
              <w:t>12</w:t>
            </w:r>
            <w:r>
              <w:rPr>
                <w:rFonts w:ascii="宋体" w:hAnsi="宋体" w:cs="宋体" w:eastAsia="宋体" w:hint="default"/>
                <w:spacing w:val="6"/>
                <w:sz w:val="18"/>
                <w:szCs w:val="18"/>
              </w:rPr>
              <w:t>个月内或整个存续期预期信用损</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失率，计算预期信用损失</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335" w:lineRule="exact"/>
        <w:ind w:right="967"/>
        <w:jc w:val="left"/>
        <w:rPr>
          <w:b w:val="0"/>
          <w:bCs w:val="0"/>
        </w:rPr>
      </w:pPr>
      <w:r>
        <w:rPr>
          <w:rFonts w:ascii="Times New Roman" w:hAnsi="Times New Roman" w:cs="Times New Roman" w:eastAsia="Times New Roman" w:hint="default"/>
        </w:rPr>
        <w:t>15</w:t>
      </w:r>
      <w:r>
        <w:rPr/>
        <w:t>、存货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left="573" w:right="96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存货的分类 存货包括在日常活动中持有以备出售的产成品或商品、处在生产过程中的在产品、在生产过程或提供劳务过程中耗用</w:t>
      </w:r>
    </w:p>
    <w:p>
      <w:pPr>
        <w:pStyle w:val="BodyText"/>
        <w:spacing w:line="240" w:lineRule="auto" w:before="31"/>
        <w:ind w:left="134" w:right="9312"/>
        <w:jc w:val="center"/>
      </w:pPr>
      <w:r>
        <w:rPr/>
        <w:t>的材料和物料等。</w:t>
      </w:r>
    </w:p>
    <w:p>
      <w:pPr>
        <w:pStyle w:val="BodyText"/>
        <w:spacing w:line="309" w:lineRule="auto" w:before="76"/>
        <w:ind w:left="573" w:right="745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发出存货的计价方法 发出存货采用月末一次加权平均法。 </w:t>
      </w: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存货可变现净值的确定依据</w:t>
      </w:r>
    </w:p>
    <w:p>
      <w:pPr>
        <w:pStyle w:val="BodyText"/>
        <w:spacing w:line="316" w:lineRule="auto" w:before="5"/>
        <w:ind w:right="1130" w:firstLine="420"/>
        <w:jc w:val="both"/>
      </w:pPr>
      <w:r>
        <w:rPr/>
        <w:t>资产负债表日，存货采用成本与可变现净值孰低计量，按照单个存货成本高于可变现净值的差额计提存货跌价准备。 </w:t>
      </w:r>
      <w:r>
        <w:rPr>
          <w:spacing w:val="-2"/>
        </w:rPr>
        <w:t>直接用于出售的存货，在正常生产经营过程中以该存货的估计售价减去估计的销售费用和相关税费后的金额确定其可变现净</w:t>
      </w:r>
      <w:r>
        <w:rPr>
          <w:spacing w:val="-64"/>
        </w:rPr>
        <w:t> </w:t>
      </w:r>
      <w:r>
        <w:rPr>
          <w:spacing w:val="-64"/>
        </w:rPr>
      </w:r>
      <w:r>
        <w:rPr>
          <w:spacing w:val="-2"/>
        </w:rPr>
        <w:t>值；需要经过加工的存货，在正常生产经营过程中以所生产的产成品的估计售价减去至完工时估计将要发生的成本、估计的</w:t>
      </w:r>
      <w:r>
        <w:rPr>
          <w:spacing w:val="-66"/>
        </w:rPr>
        <w:t> </w:t>
      </w:r>
      <w:r>
        <w:rPr>
          <w:spacing w:val="-66"/>
        </w:rPr>
      </w:r>
      <w:r>
        <w:rPr>
          <w:spacing w:val="-2"/>
        </w:rPr>
        <w:t>销售费用和相关税费后的金额确定其可变现净值；资产负债表日，同一项存货中一部分有合同价格约定、其他部分不存在合</w:t>
      </w:r>
      <w:r>
        <w:rPr>
          <w:spacing w:val="-63"/>
        </w:rPr>
        <w:t> </w:t>
      </w:r>
      <w:r>
        <w:rPr>
          <w:spacing w:val="-63"/>
        </w:rPr>
      </w:r>
      <w:r>
        <w:rPr/>
        <w:t>同价格的，分别确定其可变现净值，并与其对应的成本进行比较，分别确定存货跌价准备的计提或转回的金额。</w:t>
      </w:r>
    </w:p>
    <w:p>
      <w:pPr>
        <w:pStyle w:val="BodyText"/>
        <w:spacing w:line="300" w:lineRule="auto" w:before="19"/>
        <w:ind w:left="573" w:right="7813"/>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存货的盘存制度 存货的盘存制度为永续盘存制。</w:t>
      </w:r>
    </w:p>
    <w:p>
      <w:pPr>
        <w:pStyle w:val="BodyText"/>
        <w:spacing w:line="240" w:lineRule="auto" w:before="31"/>
        <w:ind w:left="573" w:right="967"/>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5"/>
        </w:rPr>
        <w:t> </w:t>
      </w:r>
      <w:r>
        <w:rPr/>
        <w:t>低值易耗品和包装物的摊销方法</w:t>
      </w:r>
    </w:p>
    <w:p>
      <w:pPr>
        <w:pStyle w:val="BodyText"/>
        <w:spacing w:line="307" w:lineRule="auto" w:before="63"/>
        <w:ind w:left="573" w:right="817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低值易耗品</w:t>
      </w:r>
      <w:r>
        <w:rPr>
          <w:w w:val="99"/>
        </w:rPr>
        <w:t> </w:t>
      </w:r>
      <w:r>
        <w:rPr/>
        <w:t>按照一次转销法进行摊销。</w:t>
      </w:r>
      <w:r>
        <w:rPr>
          <w:w w:val="99"/>
        </w:rPr>
        <w:t> </w:t>
      </w: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包装物</w:t>
      </w:r>
      <w:r>
        <w:rPr>
          <w:w w:val="99"/>
        </w:rPr>
        <w:t> </w:t>
      </w:r>
      <w:r>
        <w:rPr/>
        <w:t>按照一次转销法进行摊销。</w:t>
      </w:r>
    </w:p>
    <w:p>
      <w:pPr>
        <w:spacing w:line="240" w:lineRule="auto" w:before="3"/>
        <w:rPr>
          <w:rFonts w:ascii="宋体" w:hAnsi="宋体" w:cs="宋体" w:eastAsia="宋体" w:hint="default"/>
          <w:sz w:val="18"/>
          <w:szCs w:val="18"/>
        </w:rPr>
      </w:pPr>
    </w:p>
    <w:p>
      <w:pPr>
        <w:pStyle w:val="Heading4"/>
        <w:spacing w:line="240" w:lineRule="auto"/>
        <w:ind w:left="134" w:right="9487"/>
        <w:jc w:val="center"/>
        <w:rPr>
          <w:b w:val="0"/>
          <w:bCs w:val="0"/>
        </w:rPr>
      </w:pPr>
      <w:r>
        <w:rPr>
          <w:rFonts w:ascii="Times New Roman" w:hAnsi="Times New Roman" w:cs="Times New Roman" w:eastAsia="Times New Roman" w:hint="default"/>
        </w:rPr>
        <w:t>16</w:t>
      </w:r>
      <w:r>
        <w:rPr/>
        <w:t>、合同资产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85" w:right="967"/>
        <w:jc w:val="left"/>
      </w:pPr>
      <w:r>
        <w:rPr/>
        <w:t>不适用</w:t>
      </w:r>
    </w:p>
    <w:p>
      <w:pPr>
        <w:spacing w:line="240" w:lineRule="auto" w:before="1"/>
        <w:rPr>
          <w:rFonts w:ascii="宋体" w:hAnsi="宋体" w:cs="宋体" w:eastAsia="宋体" w:hint="default"/>
          <w:sz w:val="22"/>
          <w:szCs w:val="22"/>
        </w:rPr>
      </w:pPr>
    </w:p>
    <w:p>
      <w:pPr>
        <w:pStyle w:val="Heading4"/>
        <w:spacing w:line="240" w:lineRule="auto"/>
        <w:ind w:left="134" w:right="9487"/>
        <w:jc w:val="center"/>
        <w:rPr>
          <w:b w:val="0"/>
          <w:bCs w:val="0"/>
        </w:rPr>
      </w:pPr>
      <w:r>
        <w:rPr>
          <w:rFonts w:ascii="Times New Roman" w:hAnsi="Times New Roman" w:cs="Times New Roman" w:eastAsia="Times New Roman" w:hint="default"/>
        </w:rPr>
        <w:t>17</w:t>
      </w:r>
      <w:r>
        <w:rPr/>
        <w:t>、合同成本</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585" w:right="967"/>
        <w:jc w:val="left"/>
      </w:pPr>
      <w:r>
        <w:rPr/>
        <w:t>不适用</w:t>
      </w:r>
    </w:p>
    <w:p>
      <w:pPr>
        <w:spacing w:line="240" w:lineRule="auto" w:before="2"/>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18</w:t>
      </w:r>
      <w:r>
        <w:rPr/>
        <w:t>、持有待售资产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134" w:right="9635"/>
        <w:jc w:val="center"/>
      </w:pPr>
      <w:r>
        <w:rPr/>
        <w:t>不适用</w:t>
      </w:r>
    </w:p>
    <w:p>
      <w:pPr>
        <w:spacing w:line="240" w:lineRule="auto" w:before="12"/>
        <w:rPr>
          <w:rFonts w:ascii="宋体" w:hAnsi="宋体" w:cs="宋体" w:eastAsia="宋体" w:hint="default"/>
          <w:sz w:val="21"/>
          <w:szCs w:val="21"/>
        </w:rPr>
      </w:pPr>
    </w:p>
    <w:p>
      <w:pPr>
        <w:pStyle w:val="Heading4"/>
        <w:spacing w:line="240" w:lineRule="auto"/>
        <w:ind w:left="134" w:right="9487"/>
        <w:jc w:val="center"/>
        <w:rPr>
          <w:b w:val="0"/>
          <w:bCs w:val="0"/>
        </w:rPr>
      </w:pPr>
      <w:r>
        <w:rPr>
          <w:rFonts w:ascii="Times New Roman" w:hAnsi="Times New Roman" w:cs="Times New Roman" w:eastAsia="Times New Roman" w:hint="default"/>
        </w:rPr>
        <w:t>19</w:t>
      </w:r>
      <w:r>
        <w:rPr/>
        <w:t>、债权投资</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85" w:right="967"/>
        <w:jc w:val="left"/>
      </w:pPr>
      <w:r>
        <w:rPr/>
        <w:t>不适用</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20</w:t>
      </w:r>
      <w:r>
        <w:rPr/>
        <w:t>、其他债权投资</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85" w:right="967"/>
        <w:jc w:val="left"/>
      </w:pPr>
      <w:r>
        <w:rPr/>
        <w:t>不适用</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335" w:lineRule="exact"/>
        <w:ind w:left="585" w:right="967" w:hanging="433"/>
        <w:jc w:val="left"/>
        <w:rPr>
          <w:b w:val="0"/>
          <w:bCs w:val="0"/>
        </w:rPr>
      </w:pPr>
      <w:r>
        <w:rPr>
          <w:rFonts w:ascii="Times New Roman" w:hAnsi="Times New Roman" w:cs="Times New Roman" w:eastAsia="Times New Roman" w:hint="default"/>
        </w:rPr>
        <w:t>21</w:t>
      </w:r>
      <w:r>
        <w:rPr/>
        <w:t>、长期应收款</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85" w:right="967"/>
        <w:jc w:val="left"/>
      </w:pPr>
      <w:r>
        <w:rPr/>
        <w:t>不适用</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22</w:t>
      </w:r>
      <w:r>
        <w:rPr/>
        <w:t>、长期股权投资</w:t>
      </w:r>
      <w:r>
        <w:rPr>
          <w:b w:val="0"/>
          <w:bCs w:val="0"/>
        </w:rPr>
      </w:r>
    </w:p>
    <w:p>
      <w:pPr>
        <w:spacing w:line="240" w:lineRule="auto" w:before="16"/>
        <w:rPr>
          <w:rFonts w:ascii="Microsoft JhengHei" w:hAnsi="Microsoft JhengHei" w:cs="Microsoft JhengHei" w:eastAsia="Microsoft JhengHei" w:hint="default"/>
          <w:b/>
          <w:bCs/>
          <w:sz w:val="15"/>
          <w:szCs w:val="15"/>
        </w:rPr>
      </w:pPr>
    </w:p>
    <w:p>
      <w:pPr>
        <w:spacing w:line="283" w:lineRule="auto" w:before="0"/>
        <w:ind w:left="573" w:right="1025"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32"/>
          <w:sz w:val="18"/>
          <w:szCs w:val="18"/>
        </w:rPr>
        <w:t> </w:t>
      </w:r>
      <w:r>
        <w:rPr>
          <w:rFonts w:ascii="Microsoft JhengHei" w:hAnsi="Microsoft JhengHei" w:cs="Microsoft JhengHei" w:eastAsia="Microsoft JhengHei" w:hint="default"/>
          <w:b/>
          <w:bCs/>
          <w:sz w:val="18"/>
          <w:szCs w:val="18"/>
        </w:rPr>
        <w:t>共同控制、重要影响的判断</w:t>
      </w:r>
      <w:r>
        <w:rPr>
          <w:rFonts w:ascii="Microsoft JhengHei" w:hAnsi="Microsoft JhengHei" w:cs="Microsoft JhengHei" w:eastAsia="Microsoft JhengHei" w:hint="default"/>
          <w:b/>
          <w:bCs/>
          <w:spacing w:val="-39"/>
          <w:sz w:val="18"/>
          <w:szCs w:val="18"/>
        </w:rPr>
        <w:t> </w:t>
      </w:r>
      <w:r>
        <w:rPr>
          <w:rFonts w:ascii="Microsoft JhengHei" w:hAnsi="Microsoft JhengHei" w:cs="Microsoft JhengHei" w:eastAsia="Microsoft JhengHei" w:hint="default"/>
          <w:b/>
          <w:bCs/>
          <w:spacing w:val="-39"/>
          <w:sz w:val="18"/>
          <w:szCs w:val="18"/>
        </w:rPr>
      </w:r>
      <w:r>
        <w:rPr>
          <w:rFonts w:ascii="宋体" w:hAnsi="宋体" w:cs="宋体" w:eastAsia="宋体" w:hint="default"/>
          <w:spacing w:val="-1"/>
          <w:sz w:val="18"/>
          <w:szCs w:val="18"/>
        </w:rPr>
        <w:t>按照相关约定对某项安排存在共有的控制，并且该安排的相关活动必须经过分享控制权的参与方一致同意后才能决策，</w:t>
      </w:r>
    </w:p>
    <w:p>
      <w:pPr>
        <w:pStyle w:val="BodyText"/>
        <w:spacing w:line="316" w:lineRule="auto" w:before="44"/>
        <w:ind w:right="967"/>
        <w:jc w:val="left"/>
      </w:pPr>
      <w:r>
        <w:rPr>
          <w:spacing w:val="-2"/>
        </w:rPr>
        <w:t>认定为共同控制。对被投资单位的财务和经营政策有参与决策的权力，但并不能够控制或者与其他方一起共同控制这些政策</w:t>
      </w:r>
      <w:r>
        <w:rPr>
          <w:spacing w:val="-64"/>
        </w:rPr>
        <w:t> </w:t>
      </w:r>
      <w:r>
        <w:rPr>
          <w:spacing w:val="-64"/>
        </w:rPr>
      </w:r>
      <w:r>
        <w:rPr/>
        <w:t>的制定，认定为重大影响。</w:t>
      </w:r>
    </w:p>
    <w:p>
      <w:pPr>
        <w:pStyle w:val="Heading5"/>
        <w:spacing w:line="275" w:lineRule="exact"/>
        <w:ind w:left="573" w:right="967"/>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35"/>
        </w:rPr>
        <w:t> </w:t>
      </w:r>
      <w:r>
        <w:rPr/>
        <w:t>投资成本的确定</w:t>
      </w:r>
      <w:r>
        <w:rPr>
          <w:b w:val="0"/>
          <w:bCs w:val="0"/>
        </w:rPr>
      </w:r>
    </w:p>
    <w:p>
      <w:pPr>
        <w:pStyle w:val="BodyText"/>
        <w:spacing w:line="312" w:lineRule="auto" w:before="56"/>
        <w:ind w:right="967"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spacing w:val="-4"/>
        </w:rPr>
        <w:t>同一控制下的企业合并形成的，合并方以支付现金、转让非现金资产、承担债务或发行权益性证券作为合并对价的，</w:t>
      </w:r>
      <w:r>
        <w:rPr>
          <w:w w:val="99"/>
        </w:rPr>
        <w:t> </w:t>
      </w:r>
      <w:r>
        <w:rPr>
          <w:spacing w:val="-2"/>
          <w:w w:val="99"/>
        </w:rPr>
        <w:t>在合并日按照取得被合并方所有者权益在最终控制方合并财务报表中的账面价值的份额作为其初始投资成本。长期股权投资</w:t>
      </w:r>
      <w:r>
        <w:rPr>
          <w:spacing w:val="-64"/>
          <w:w w:val="99"/>
        </w:rPr>
        <w:t> </w:t>
      </w:r>
      <w:r>
        <w:rPr>
          <w:spacing w:val="-64"/>
          <w:w w:val="99"/>
        </w:rPr>
      </w:r>
      <w:r>
        <w:rPr>
          <w:spacing w:val="-2"/>
        </w:rPr>
        <w:t>初始投资成本与支付的合并对价的账面价值或发行股份的面值总额之间的差额调整资本公积；资本公积不足冲减的，调整留</w:t>
      </w:r>
      <w:r>
        <w:rPr>
          <w:spacing w:val="-65"/>
        </w:rPr>
        <w:t> </w:t>
      </w:r>
      <w:r>
        <w:rPr>
          <w:spacing w:val="-65"/>
        </w:rPr>
      </w:r>
      <w:r>
        <w:rPr/>
        <w:t>存收益。</w:t>
      </w:r>
    </w:p>
    <w:p>
      <w:pPr>
        <w:pStyle w:val="BodyText"/>
        <w:spacing w:line="309" w:lineRule="auto" w:before="22"/>
        <w:ind w:right="1129" w:firstLine="420"/>
        <w:jc w:val="both"/>
      </w:pPr>
      <w:r>
        <w:rPr>
          <w:spacing w:val="-2"/>
        </w:rPr>
        <w:t>公司通过多次交易分步实现同一控制下企业合并形成的长期股权投资，判断是否属于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rFonts w:ascii="Times New Roman" w:hAnsi="Times New Roman" w:cs="Times New Roman" w:eastAsia="Times New Roman" w:hint="default"/>
          <w:w w:val="100"/>
        </w:rPr>
        <w:t> </w:t>
      </w:r>
      <w:r>
        <w:rPr>
          <w:spacing w:val="-2"/>
        </w:rPr>
        <w:t>的，把各项交易作为一项取得控制权的交易进行会计处理。不属于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的，在合并日，根据合并后应享有被合并方</w:t>
      </w:r>
      <w:r>
        <w:rPr>
          <w:spacing w:val="-41"/>
        </w:rPr>
        <w:t> </w:t>
      </w:r>
      <w:r>
        <w:rPr>
          <w:spacing w:val="-41"/>
        </w:rPr>
      </w:r>
      <w:r>
        <w:rPr>
          <w:spacing w:val="-2"/>
        </w:rPr>
        <w:t>净资产在最终控制方合并财务报表中的账面价值的份额确定初始投资成本。合并日长期股权投资的初始投资成本，与达到合</w:t>
      </w:r>
      <w:r>
        <w:rPr>
          <w:spacing w:val="-62"/>
        </w:rPr>
        <w:t> </w:t>
      </w:r>
      <w:r>
        <w:rPr>
          <w:spacing w:val="-62"/>
        </w:rPr>
      </w:r>
      <w:r>
        <w:rPr>
          <w:spacing w:val="-2"/>
        </w:rPr>
        <w:t>并前的长期股权投资账面价值加上合并日进一步取得股份新支付对价的账面价值之和的差额，调整资本公积；资本公积不足</w:t>
      </w:r>
      <w:r>
        <w:rPr>
          <w:spacing w:val="-64"/>
        </w:rPr>
        <w:t> </w:t>
      </w:r>
      <w:r>
        <w:rPr>
          <w:spacing w:val="-64"/>
        </w:rPr>
      </w:r>
      <w:r>
        <w:rPr/>
        <w:t>冲减的，调整留存收益。</w:t>
      </w:r>
    </w:p>
    <w:p>
      <w:pPr>
        <w:pStyle w:val="BodyText"/>
        <w:spacing w:line="300" w:lineRule="auto" w:before="24"/>
        <w:ind w:left="573" w:right="96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非同一控制下的企业合并形成的，在购买日按照支付的合并对价的公允价值作为其初始投资成本。</w:t>
      </w:r>
      <w:r>
        <w:rPr>
          <w:w w:val="99"/>
        </w:rPr>
        <w:t> </w:t>
      </w:r>
      <w:r>
        <w:rPr/>
        <w:t>公司通过多次交易分步实现非同一控制下企业合并形成的长期股权投资，区分个别财务报表和合并财务报表进行相关</w:t>
      </w:r>
    </w:p>
    <w:p>
      <w:pPr>
        <w:pStyle w:val="BodyText"/>
        <w:spacing w:line="240" w:lineRule="auto" w:before="31"/>
        <w:ind w:right="967"/>
        <w:jc w:val="left"/>
      </w:pPr>
      <w:r>
        <w:rPr/>
        <w:t>会计处理：</w:t>
      </w:r>
    </w:p>
    <w:p>
      <w:pPr>
        <w:pStyle w:val="BodyText"/>
        <w:spacing w:line="240" w:lineRule="auto" w:before="76"/>
        <w:ind w:left="573" w:right="96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在个别财务报表中，按照原持有的股权投资的账面价值加上新增投资成本之和，作为改按成本法核算的初始投资成</w:t>
      </w:r>
    </w:p>
    <w:p>
      <w:pPr>
        <w:pStyle w:val="BodyText"/>
        <w:spacing w:line="240" w:lineRule="auto" w:before="63"/>
        <w:ind w:right="967"/>
        <w:jc w:val="left"/>
      </w:pPr>
      <w:r>
        <w:rPr/>
        <w:t>本。</w:t>
      </w:r>
    </w:p>
    <w:p>
      <w:pPr>
        <w:pStyle w:val="BodyText"/>
        <w:spacing w:line="240" w:lineRule="auto" w:before="76"/>
        <w:ind w:left="573" w:right="967"/>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9"/>
        </w:rPr>
        <w:t> </w:t>
      </w:r>
      <w:r>
        <w:rPr/>
        <w:t>在合并财务报表中，判断是否属于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的，把各项交易作为一项取得控制权的交易进</w:t>
      </w:r>
    </w:p>
    <w:p>
      <w:pPr>
        <w:pStyle w:val="BodyText"/>
        <w:spacing w:line="312" w:lineRule="auto" w:before="63"/>
        <w:ind w:right="1133"/>
        <w:jc w:val="both"/>
      </w:pPr>
      <w:r>
        <w:rPr>
          <w:spacing w:val="-2"/>
        </w:rPr>
        <w:t>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的，对于购买日之前持有的被购买方的股权，按照该股权在购买日的公允价值进行重新计</w:t>
      </w:r>
      <w:r>
        <w:rPr>
          <w:spacing w:val="-44"/>
        </w:rPr>
        <w:t> </w:t>
      </w:r>
      <w:r>
        <w:rPr>
          <w:spacing w:val="-44"/>
        </w:rPr>
      </w:r>
      <w:r>
        <w:rPr>
          <w:spacing w:val="-2"/>
        </w:rPr>
        <w:t>量，公允价值与其账面价值的差额计入当期投资收益；购买日之前持有的被购买方的股权涉及权益法核算下的其他综合收益</w:t>
      </w:r>
      <w:r>
        <w:rPr>
          <w:spacing w:val="-64"/>
        </w:rPr>
        <w:t> </w:t>
      </w:r>
      <w:r>
        <w:rPr>
          <w:spacing w:val="-64"/>
        </w:rPr>
      </w:r>
      <w:r>
        <w:rPr>
          <w:spacing w:val="-2"/>
        </w:rPr>
        <w:t>等的，与其相关的其他综合收益等转为购买日所属当期收益。但由于被投资方重新计量设定受益计划净负债或净资产变动而</w:t>
      </w:r>
      <w:r>
        <w:rPr>
          <w:spacing w:val="-64"/>
        </w:rPr>
        <w:t> </w:t>
      </w:r>
      <w:r>
        <w:rPr>
          <w:spacing w:val="-64"/>
        </w:rPr>
      </w:r>
      <w:r>
        <w:rPr/>
        <w:t>产生的其他综合收益除外。</w:t>
      </w:r>
    </w:p>
    <w:p>
      <w:pPr>
        <w:pStyle w:val="BodyText"/>
        <w:spacing w:line="300" w:lineRule="auto" w:before="22"/>
        <w:ind w:right="1128"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spacing w:val="-2"/>
        </w:rPr>
        <w:t>除企业合并形成以外的：以支付现金取得的，按照实际支付的购买价款作为其初始投资成本；以发行权益性证券取</w:t>
      </w:r>
      <w:r>
        <w:rPr>
          <w:w w:val="99"/>
        </w:rPr>
        <w:t> </w:t>
      </w:r>
      <w:r>
        <w:rPr>
          <w:spacing w:val="-2"/>
        </w:rPr>
        <w:t>得的，按照发行权益性证券的公允价值作为其初始投资成本；以债务重组方式取得的，按《企业会计准则第</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债务重</w:t>
      </w:r>
      <w:r>
        <w:rPr>
          <w:spacing w:val="-61"/>
        </w:rPr>
        <w:t> </w:t>
      </w:r>
      <w:r>
        <w:rPr/>
        <w:t>组》确定其初始投资成本；以非货币性资产交换取得的，按《企业会计准则第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非货币性资产交换》确定其初始投资</w:t>
      </w:r>
      <w:r>
        <w:rPr>
          <w:spacing w:val="-83"/>
        </w:rPr>
        <w:t> </w:t>
      </w:r>
      <w:r>
        <w:rPr>
          <w:spacing w:val="-83"/>
        </w:rPr>
      </w:r>
      <w:r>
        <w:rPr/>
        <w:t>成本。</w:t>
      </w:r>
    </w:p>
    <w:p>
      <w:pPr>
        <w:pStyle w:val="Heading5"/>
        <w:spacing w:line="287" w:lineRule="exact"/>
        <w:ind w:left="573" w:right="967"/>
        <w:jc w:val="left"/>
        <w:rPr>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39"/>
        </w:rPr>
        <w:t> </w:t>
      </w:r>
      <w:r>
        <w:rPr/>
        <w:t>后续计量及损益确认方法</w:t>
      </w:r>
      <w:r>
        <w:rPr>
          <w:b w:val="0"/>
          <w:bCs w:val="0"/>
        </w:rPr>
      </w:r>
    </w:p>
    <w:p>
      <w:pPr>
        <w:pStyle w:val="BodyText"/>
        <w:spacing w:line="240" w:lineRule="auto" w:before="56"/>
        <w:ind w:left="573" w:right="967"/>
        <w:jc w:val="left"/>
      </w:pPr>
      <w:r>
        <w:rPr/>
        <w:t>对被投资单位实施控制的长期股权投资采用成本法核算；对联营企业和合营企业的长期股权投资，采用权益法核算。</w:t>
      </w:r>
    </w:p>
    <w:p>
      <w:pPr>
        <w:pStyle w:val="Heading5"/>
        <w:spacing w:line="240" w:lineRule="auto" w:before="19"/>
        <w:ind w:left="573" w:right="967"/>
        <w:jc w:val="left"/>
        <w:rPr>
          <w:b w:val="0"/>
          <w:bCs w:val="0"/>
        </w:rPr>
      </w:pPr>
      <w:r>
        <w:rPr>
          <w:rFonts w:ascii="Times New Roman" w:hAnsi="Times New Roman" w:cs="Times New Roman" w:eastAsia="Times New Roman" w:hint="default"/>
        </w:rPr>
        <w:t>4. </w:t>
      </w:r>
      <w:r>
        <w:rPr>
          <w:rFonts w:ascii="Times New Roman" w:hAnsi="Times New Roman" w:cs="Times New Roman" w:eastAsia="Times New Roman" w:hint="default"/>
          <w:spacing w:val="3"/>
        </w:rPr>
        <w:t> </w:t>
      </w:r>
      <w:r>
        <w:rPr/>
        <w:t>通过多次交易分步处置对子公司投资至丧失控制权的处理方法</w:t>
      </w:r>
      <w:r>
        <w:rPr>
          <w:b w:val="0"/>
          <w:bCs w:val="0"/>
        </w:rPr>
      </w:r>
    </w:p>
    <w:p>
      <w:pPr>
        <w:pStyle w:val="BodyText"/>
        <w:spacing w:line="300" w:lineRule="auto" w:before="56"/>
        <w:ind w:left="573" w:right="96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个别财务报表</w:t>
      </w:r>
      <w:r>
        <w:rPr>
          <w:w w:val="99"/>
        </w:rPr>
        <w:t> </w:t>
      </w:r>
      <w:r>
        <w:rPr/>
        <w:t>对处置的股权，其账面价值与实际取得价款之间的差额，计入当期损益。对于剩余股权，对被投资单位仍具有重大影</w:t>
      </w:r>
    </w:p>
    <w:p>
      <w:pPr>
        <w:pStyle w:val="BodyText"/>
        <w:spacing w:line="316" w:lineRule="auto" w:before="31"/>
        <w:ind w:right="1131"/>
        <w:jc w:val="both"/>
      </w:pPr>
      <w:r>
        <w:rPr>
          <w:spacing w:val="-2"/>
        </w:rPr>
        <w:t>响或者与其他方一起实施共同控制的，转为权益法核算；不能再对被投资单位实施控制、共同控制或重大影响的，确认为金</w:t>
      </w:r>
      <w:r>
        <w:rPr>
          <w:spacing w:val="-64"/>
        </w:rPr>
        <w:t> </w:t>
      </w:r>
      <w:r>
        <w:rPr>
          <w:spacing w:val="-64"/>
        </w:rPr>
      </w:r>
      <w:r>
        <w:rPr/>
        <w:t>融资产，按照《企业会计准则第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金融工具确认和计量》的相关规定进行核算。</w:t>
      </w:r>
    </w:p>
    <w:p>
      <w:pPr>
        <w:pStyle w:val="BodyText"/>
        <w:spacing w:line="248" w:lineRule="exact"/>
        <w:ind w:left="573" w:right="96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合并财务报表</w:t>
      </w:r>
    </w:p>
    <w:p>
      <w:pPr>
        <w:pStyle w:val="BodyText"/>
        <w:spacing w:line="300" w:lineRule="auto" w:before="63"/>
        <w:ind w:left="573" w:right="96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通过多次交易分步处置对子公司投资至丧失控制权，且不属于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 在丧失控制权之前，处置价款与处置长期股权投资相对应享有子公司自购买日或合并日开始持续计算的净资产份额之</w:t>
      </w:r>
    </w:p>
    <w:p>
      <w:pPr>
        <w:spacing w:after="0" w:line="30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4"/>
        <w:ind w:left="573" w:right="967" w:hanging="421"/>
        <w:jc w:val="left"/>
      </w:pPr>
      <w:r>
        <w:rPr/>
        <w:t>间的差额，调整资本公积（资本溢价），资本溢价不足冲减的，冲减留存收益。 丧失对原子公司控制权时，对于剩余股权，按照其在丧失控制权日的公允价值进行重新计量。处置股权取得的对价与</w:t>
      </w:r>
    </w:p>
    <w:p>
      <w:pPr>
        <w:pStyle w:val="BodyText"/>
        <w:spacing w:line="316" w:lineRule="auto" w:before="19"/>
        <w:ind w:right="1131"/>
        <w:jc w:val="both"/>
      </w:pPr>
      <w:r>
        <w:rPr>
          <w:spacing w:val="-2"/>
        </w:rPr>
        <w:t>剩余股权公允价值之和，减去按原持股比例计算应享有原有子公司自购买日或合并日开始持续计算的净资产的份额之间的差</w:t>
      </w:r>
      <w:r>
        <w:rPr>
          <w:spacing w:val="-64"/>
        </w:rPr>
        <w:t> </w:t>
      </w:r>
      <w:r>
        <w:rPr>
          <w:spacing w:val="-64"/>
        </w:rPr>
      </w:r>
      <w:r>
        <w:rPr>
          <w:spacing w:val="-2"/>
        </w:rPr>
        <w:t>额，计入丧失控制权当期的投资收益，同时冲减商誉。与原有子公司股权投资相关的其他综合收益等，应当在丧失控制权时</w:t>
      </w:r>
      <w:r>
        <w:rPr>
          <w:spacing w:val="-64"/>
        </w:rPr>
        <w:t> </w:t>
      </w:r>
      <w:r>
        <w:rPr>
          <w:spacing w:val="-64"/>
        </w:rPr>
      </w:r>
      <w:r>
        <w:rPr/>
        <w:t>转为当期投资收益。</w:t>
      </w:r>
    </w:p>
    <w:p>
      <w:pPr>
        <w:pStyle w:val="BodyText"/>
        <w:spacing w:line="300" w:lineRule="auto" w:before="19"/>
        <w:ind w:left="573" w:right="96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通过多次交易分步处置对子公司投资至丧失控制权，且属于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 将各项交易作为一项处置子公司并丧失控制权的交易进行会计处理。但是，在丧失控制权之前每一次处置价款与处置</w:t>
      </w:r>
    </w:p>
    <w:p>
      <w:pPr>
        <w:pStyle w:val="BodyText"/>
        <w:spacing w:line="316" w:lineRule="auto" w:before="31"/>
        <w:ind w:right="967"/>
        <w:jc w:val="left"/>
      </w:pPr>
      <w:r>
        <w:rPr>
          <w:spacing w:val="-2"/>
        </w:rPr>
        <w:t>投资对应的享有该子公司净资产份额的差额，在合并财务报表中确认为其他综合收益，在丧失控制权时一并转入丧失控制权</w:t>
      </w:r>
      <w:r>
        <w:rPr>
          <w:spacing w:val="-64"/>
        </w:rPr>
        <w:t> </w:t>
      </w:r>
      <w:r>
        <w:rPr>
          <w:spacing w:val="-64"/>
        </w:rPr>
      </w:r>
      <w:r>
        <w:rPr/>
        <w:t>当期的损益。</w:t>
      </w:r>
    </w:p>
    <w:p>
      <w:pPr>
        <w:spacing w:line="240" w:lineRule="auto" w:before="9"/>
        <w:rPr>
          <w:rFonts w:ascii="宋体" w:hAnsi="宋体" w:cs="宋体" w:eastAsia="宋体" w:hint="default"/>
          <w:sz w:val="17"/>
          <w:szCs w:val="17"/>
        </w:rPr>
      </w:pPr>
    </w:p>
    <w:p>
      <w:pPr>
        <w:pStyle w:val="Heading4"/>
        <w:spacing w:line="240" w:lineRule="auto"/>
        <w:ind w:right="0"/>
        <w:jc w:val="both"/>
        <w:rPr>
          <w:b w:val="0"/>
          <w:bCs w:val="0"/>
        </w:rPr>
      </w:pPr>
      <w:r>
        <w:rPr>
          <w:rFonts w:ascii="Times New Roman" w:hAnsi="Times New Roman" w:cs="Times New Roman" w:eastAsia="Times New Roman" w:hint="default"/>
        </w:rPr>
        <w:t>23</w:t>
      </w:r>
      <w:r>
        <w:rPr/>
        <w:t>、投资性房地产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8954"/>
        <w:jc w:val="left"/>
      </w:pPr>
      <w:r>
        <w:rPr/>
        <w:t>投资性房地产计量模式 不适用</w:t>
      </w:r>
    </w:p>
    <w:p>
      <w:pPr>
        <w:spacing w:line="240" w:lineRule="auto" w:before="5"/>
        <w:rPr>
          <w:rFonts w:ascii="宋体" w:hAnsi="宋体" w:cs="宋体" w:eastAsia="宋体" w:hint="default"/>
          <w:sz w:val="15"/>
          <w:szCs w:val="15"/>
        </w:rPr>
      </w:pPr>
    </w:p>
    <w:p>
      <w:pPr>
        <w:pStyle w:val="Heading4"/>
        <w:spacing w:line="240" w:lineRule="auto"/>
        <w:ind w:right="0"/>
        <w:jc w:val="both"/>
        <w:rPr>
          <w:b w:val="0"/>
          <w:bCs w:val="0"/>
        </w:rPr>
      </w:pPr>
      <w:r>
        <w:rPr>
          <w:rFonts w:ascii="Times New Roman" w:hAnsi="Times New Roman" w:cs="Times New Roman" w:eastAsia="Times New Roman" w:hint="default"/>
        </w:rPr>
        <w:t>24</w:t>
      </w:r>
      <w:r>
        <w:rPr/>
        <w:t>、固定资产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1120" w:firstLine="634"/>
        <w:jc w:val="left"/>
      </w:pPr>
      <w:r>
        <w:rPr/>
        <w:t>固定资产是指为生产商品、提供劳务、出租或经营管理而持有的，使用年限超过一个会计年度的有形资产。固定资 产在同时满足经济利益很可能流入、成本能够可靠计量时予以确认。</w:t>
      </w:r>
    </w:p>
    <w:p>
      <w:pPr>
        <w:spacing w:line="240" w:lineRule="auto" w:before="9"/>
        <w:rPr>
          <w:rFonts w:ascii="宋体" w:hAnsi="宋体" w:cs="宋体" w:eastAsia="宋体" w:hint="default"/>
          <w:sz w:val="17"/>
          <w:szCs w:val="17"/>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1.90%-4.75%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8"/>
        <w:rPr>
          <w:rFonts w:ascii="Microsoft JhengHei" w:hAnsi="Microsoft JhengHei" w:cs="Microsoft JhengHei" w:eastAsia="Microsoft JhengHei" w:hint="default"/>
          <w:b/>
          <w:bCs/>
          <w:sz w:val="14"/>
          <w:szCs w:val="14"/>
        </w:rPr>
      </w:pPr>
    </w:p>
    <w:p>
      <w:pPr>
        <w:pStyle w:val="Heading4"/>
        <w:spacing w:line="335" w:lineRule="exact"/>
        <w:ind w:right="967"/>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695" w:right="967"/>
        <w:jc w:val="left"/>
      </w:pPr>
      <w:r>
        <w:rPr/>
        <w:t>不适用</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25</w:t>
      </w:r>
      <w:r>
        <w:rPr/>
        <w:t>、在建工程</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right="1121"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3"/>
        </w:rPr>
        <w:t> </w:t>
      </w:r>
      <w:r>
        <w:rPr/>
        <w:t>在建工程同时满足经济利益很可能流入、成本能够可靠计量则予以确认。在建工程按建造该项资产达到预定可使用 状态前所发生的实际成本计量。</w:t>
      </w:r>
    </w:p>
    <w:p>
      <w:pPr>
        <w:pStyle w:val="BodyText"/>
        <w:spacing w:line="300" w:lineRule="auto" w:before="31"/>
        <w:ind w:right="1121"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3"/>
        </w:rPr>
        <w:t> </w:t>
      </w:r>
      <w:r>
        <w:rPr/>
        <w:t>在建工程达到预定可使用状态时，按工程实际成本转入固定资产。已达到预定可使用状态但尚未办理竣工决算的， 先按估计价值转入固定资产，待办理竣工决算后再按实际成本调整原暂估价值，但不再调整原已计提的折旧。</w:t>
      </w:r>
    </w:p>
    <w:p>
      <w:pPr>
        <w:spacing w:after="0" w:line="30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335" w:lineRule="exact"/>
        <w:ind w:right="0"/>
        <w:jc w:val="both"/>
        <w:rPr>
          <w:b w:val="0"/>
          <w:bCs w:val="0"/>
        </w:rPr>
      </w:pPr>
      <w:r>
        <w:rPr>
          <w:rFonts w:ascii="Times New Roman" w:hAnsi="Times New Roman" w:cs="Times New Roman" w:eastAsia="Times New Roman" w:hint="default"/>
        </w:rPr>
        <w:t>26</w:t>
      </w:r>
      <w:r>
        <w:rPr/>
        <w:t>、借款费用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left="573" w:right="96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借款费用资本化的确认原则 公司发生的借款费用，可直接归属于符合资本化条件的资产的购建或者生产的，予以资本化，计入相关资产成本；其</w:t>
      </w:r>
    </w:p>
    <w:p>
      <w:pPr>
        <w:pStyle w:val="BodyText"/>
        <w:spacing w:line="240" w:lineRule="auto" w:before="31"/>
        <w:ind w:right="0"/>
        <w:jc w:val="both"/>
      </w:pPr>
      <w:r>
        <w:rPr/>
        <w:t>他借款费用，在发生时确认为费用，计入当期损益。</w:t>
      </w:r>
    </w:p>
    <w:p>
      <w:pPr>
        <w:pStyle w:val="BodyText"/>
        <w:spacing w:line="240" w:lineRule="auto" w:before="76"/>
        <w:ind w:left="573" w:right="96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借款费用资本化期间</w:t>
      </w:r>
    </w:p>
    <w:p>
      <w:pPr>
        <w:pStyle w:val="BodyText"/>
        <w:spacing w:line="300" w:lineRule="auto" w:before="63"/>
        <w:ind w:right="967" w:firstLine="420"/>
        <w:jc w:val="left"/>
      </w:pPr>
      <w:r>
        <w:rPr>
          <w:rFonts w:ascii="Times New Roman" w:hAnsi="Times New Roman" w:cs="Times New Roman" w:eastAsia="Times New Roman" w:hint="default"/>
        </w:rPr>
        <w:t>(1) </w:t>
      </w:r>
      <w:r>
        <w:rPr/>
        <w:t>当借款费用同时满足下列条件时，开始资本化：</w:t>
      </w:r>
      <w:r>
        <w:rPr>
          <w:rFonts w:ascii="Times New Roman" w:hAnsi="Times New Roman" w:cs="Times New Roman" w:eastAsia="Times New Roman" w:hint="default"/>
        </w:rPr>
        <w:t>1) </w:t>
      </w:r>
      <w:r>
        <w:rPr/>
        <w:t>资产支出已经发生；</w:t>
      </w:r>
      <w:r>
        <w:rPr>
          <w:rFonts w:ascii="Times New Roman" w:hAnsi="Times New Roman" w:cs="Times New Roman" w:eastAsia="Times New Roman" w:hint="default"/>
        </w:rPr>
        <w:t>2) </w:t>
      </w:r>
      <w:r>
        <w:rPr/>
        <w:t>借款费用已经发生；</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为使资产达到预</w:t>
      </w:r>
      <w:r>
        <w:rPr>
          <w:w w:val="99"/>
        </w:rPr>
        <w:t> </w:t>
      </w:r>
      <w:r>
        <w:rPr/>
        <w:t>定可使用或可销售状态所必要的购建或者生产活动已经开始。</w:t>
      </w:r>
    </w:p>
    <w:p>
      <w:pPr>
        <w:pStyle w:val="BodyText"/>
        <w:spacing w:line="300" w:lineRule="auto" w:before="31"/>
        <w:ind w:right="967"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若符合资本化条件的资产在购建或者生产过程中发生非正常中断，并且中断时间连续超过</w:t>
      </w:r>
      <w:r>
        <w:rPr>
          <w:rFonts w:ascii="Times New Roman" w:hAnsi="Times New Roman" w:cs="Times New Roman" w:eastAsia="Times New Roman" w:hint="default"/>
        </w:rPr>
        <w:t>3</w:t>
      </w:r>
      <w:r>
        <w:rPr/>
        <w:t>个月，暂停借款费用的</w:t>
      </w:r>
      <w:r>
        <w:rPr>
          <w:w w:val="99"/>
        </w:rPr>
        <w:t> </w:t>
      </w:r>
      <w:r>
        <w:rPr/>
        <w:t>资本化；中断期间发生的借款费用确认为当期费用，直至资产的购建或者生产活动重新开始。</w:t>
      </w:r>
    </w:p>
    <w:p>
      <w:pPr>
        <w:pStyle w:val="BodyText"/>
        <w:spacing w:line="240" w:lineRule="auto" w:before="31"/>
        <w:ind w:left="573" w:right="96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当所购建或者生产符合资本化条件的资产达到预定可使用或可销售状态时，借款费用停止资本化。</w:t>
      </w:r>
    </w:p>
    <w:p>
      <w:pPr>
        <w:pStyle w:val="BodyText"/>
        <w:spacing w:line="300" w:lineRule="auto" w:before="63"/>
        <w:ind w:left="573" w:right="96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借款费用资本化率以及资本化金额 为购建或者生产符合资本化条件的资产而借入专门借款的，以专门借款当期实际发生的利息费用（包括按照实际利率</w:t>
      </w:r>
    </w:p>
    <w:p>
      <w:pPr>
        <w:pStyle w:val="BodyText"/>
        <w:spacing w:line="316" w:lineRule="auto" w:before="31"/>
        <w:ind w:right="1130"/>
        <w:jc w:val="both"/>
      </w:pPr>
      <w:r>
        <w:rPr>
          <w:spacing w:val="-2"/>
        </w:rPr>
        <w:t>法确定的折价或溢价的摊销），减去将尚未动用的借款资金存入银行取得的利息收入或进行暂时性投资取得的投资收益后的</w:t>
      </w:r>
      <w:r>
        <w:rPr>
          <w:spacing w:val="-64"/>
        </w:rPr>
        <w:t> </w:t>
      </w:r>
      <w:r>
        <w:rPr>
          <w:spacing w:val="-64"/>
        </w:rPr>
      </w:r>
      <w:r>
        <w:rPr>
          <w:spacing w:val="-2"/>
        </w:rPr>
        <w:t>金额，确定应予资本化的利息金额；为购建或者生产符合资本化条件的资产占用了一般借款的，根据累计资产支出超过专门</w:t>
      </w:r>
      <w:r>
        <w:rPr>
          <w:spacing w:val="-63"/>
        </w:rPr>
        <w:t> </w:t>
      </w:r>
      <w:r>
        <w:rPr>
          <w:spacing w:val="-63"/>
        </w:rPr>
      </w:r>
      <w:r>
        <w:rPr/>
        <w:t>借款的资产支出加权平均数乘以占用一般借款的资本化率，计算确定一般借款应予资本化的利息金额。</w:t>
      </w:r>
    </w:p>
    <w:p>
      <w:pPr>
        <w:spacing w:line="240" w:lineRule="auto" w:before="9"/>
        <w:rPr>
          <w:rFonts w:ascii="宋体" w:hAnsi="宋体" w:cs="宋体" w:eastAsia="宋体" w:hint="default"/>
          <w:sz w:val="17"/>
          <w:szCs w:val="17"/>
        </w:rPr>
      </w:pPr>
    </w:p>
    <w:p>
      <w:pPr>
        <w:pStyle w:val="Heading4"/>
        <w:spacing w:line="240" w:lineRule="auto"/>
        <w:ind w:right="0"/>
        <w:jc w:val="both"/>
        <w:rPr>
          <w:b w:val="0"/>
          <w:bCs w:val="0"/>
        </w:rPr>
      </w:pPr>
      <w:r>
        <w:rPr>
          <w:rFonts w:ascii="Times New Roman" w:hAnsi="Times New Roman" w:cs="Times New Roman" w:eastAsia="Times New Roman" w:hint="default"/>
        </w:rPr>
        <w:t>27</w:t>
      </w:r>
      <w:r>
        <w:rPr/>
        <w:t>、生物资产</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513" w:right="967"/>
        <w:jc w:val="left"/>
      </w:pPr>
      <w:r>
        <w:rPr/>
        <w:t>不适用</w:t>
      </w:r>
    </w:p>
    <w:p>
      <w:pPr>
        <w:spacing w:line="240" w:lineRule="auto" w:before="2"/>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28</w:t>
      </w:r>
      <w:r>
        <w:rPr/>
        <w:t>、油气资产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13" w:right="967"/>
        <w:jc w:val="left"/>
      </w:pPr>
      <w:r>
        <w:rPr/>
        <w:t>不适用</w:t>
      </w:r>
    </w:p>
    <w:p>
      <w:pPr>
        <w:spacing w:line="240" w:lineRule="auto" w:before="12"/>
        <w:rPr>
          <w:rFonts w:ascii="宋体" w:hAnsi="宋体" w:cs="宋体" w:eastAsia="宋体" w:hint="default"/>
          <w:sz w:val="21"/>
          <w:szCs w:val="21"/>
        </w:rPr>
      </w:pPr>
    </w:p>
    <w:p>
      <w:pPr>
        <w:pStyle w:val="Heading4"/>
        <w:spacing w:line="240" w:lineRule="auto"/>
        <w:ind w:right="0"/>
        <w:jc w:val="both"/>
        <w:rPr>
          <w:b w:val="0"/>
          <w:bCs w:val="0"/>
        </w:rPr>
      </w:pPr>
      <w:r>
        <w:rPr>
          <w:rFonts w:ascii="Times New Roman" w:hAnsi="Times New Roman" w:cs="Times New Roman" w:eastAsia="Times New Roman" w:hint="default"/>
        </w:rPr>
        <w:t>29</w:t>
      </w:r>
      <w:r>
        <w:rPr/>
        <w:t>、使用权资产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85" w:right="967"/>
        <w:jc w:val="left"/>
      </w:pPr>
      <w:r>
        <w:rPr/>
        <w:t>不适用</w:t>
      </w:r>
    </w:p>
    <w:p>
      <w:pPr>
        <w:spacing w:line="240" w:lineRule="auto" w:before="1"/>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30</w:t>
      </w:r>
      <w:r>
        <w:rPr/>
        <w:t>、无形资产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left="513" w:right="96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无形资产包括土地使用权、办公软件等，按成本进行初始计量。</w:t>
      </w:r>
    </w:p>
    <w:p>
      <w:pPr>
        <w:pStyle w:val="BodyText"/>
        <w:spacing w:line="300" w:lineRule="auto" w:before="63"/>
        <w:ind w:right="967" w:firstLine="360"/>
        <w:jc w:val="left"/>
      </w:pPr>
      <w:r>
        <w:rPr>
          <w:rFonts w:ascii="Times New Roman" w:hAnsi="Times New Roman" w:cs="Times New Roman" w:eastAsia="Times New Roman" w:hint="default"/>
          <w:spacing w:val="-1"/>
        </w:rPr>
        <w:t>2.</w:t>
      </w:r>
      <w:r>
        <w:rPr>
          <w:spacing w:val="-1"/>
        </w:rPr>
        <w:t>使用寿命有限的无形资产，在使用寿命内按照与该项无形资产有关的经济利益的预期实现方式系统合理地摊销，无法</w:t>
      </w:r>
      <w:r>
        <w:rPr/>
        <w:t> 可靠确定预期实现方式的，采用直线法摊销。具体年限如下：</w:t>
      </w:r>
    </w:p>
    <w:p>
      <w:pPr>
        <w:spacing w:line="240" w:lineRule="auto" w:before="3"/>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4820"/>
        <w:gridCol w:w="4398"/>
      </w:tblGrid>
      <w:tr>
        <w:trPr>
          <w:trHeight w:val="342" w:hRule="exact"/>
        </w:trPr>
        <w:tc>
          <w:tcPr>
            <w:tcW w:w="48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3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摊销年限</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r>
      <w:tr>
        <w:trPr>
          <w:trHeight w:val="347" w:hRule="exact"/>
        </w:trPr>
        <w:tc>
          <w:tcPr>
            <w:tcW w:w="48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4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50</w:t>
            </w:r>
          </w:p>
        </w:tc>
      </w:tr>
      <w:tr>
        <w:trPr>
          <w:trHeight w:val="347" w:hRule="exact"/>
        </w:trPr>
        <w:tc>
          <w:tcPr>
            <w:tcW w:w="48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4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3-5</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335" w:lineRule="exact"/>
        <w:ind w:right="967"/>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453" w:right="967"/>
        <w:jc w:val="left"/>
      </w:pPr>
      <w:r>
        <w:rPr>
          <w:spacing w:val="-3"/>
        </w:rPr>
        <w:t>内部研究开发项目研究阶段的支出，于发生时计入当期损益。内部研究开发项目开发阶段的支出，同时满足下列条件的，</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09" w:lineRule="auto" w:before="44"/>
        <w:ind w:left="453" w:right="5383" w:hanging="301"/>
        <w:jc w:val="left"/>
      </w:pPr>
      <w:r>
        <w:rPr/>
        <w:t>确认为无形资产： </w:t>
      </w:r>
      <w:r>
        <w:rPr>
          <w:rFonts w:ascii="Times New Roman" w:hAnsi="Times New Roman" w:cs="Times New Roman" w:eastAsia="Times New Roman" w:hint="default"/>
        </w:rPr>
        <w:t>(1)</w:t>
      </w:r>
      <w:r>
        <w:rPr/>
        <w:t>完成该无形资产以使其能够使用或出售在技术上具有可行性； </w:t>
      </w:r>
      <w:r>
        <w:rPr>
          <w:rFonts w:ascii="Times New Roman" w:hAnsi="Times New Roman" w:cs="Times New Roman" w:eastAsia="Times New Roman" w:hint="default"/>
        </w:rPr>
        <w:t>(2)</w:t>
      </w:r>
      <w:r>
        <w:rPr/>
        <w:t>具有完成该无形资产并使用或出售的意图；</w:t>
      </w:r>
    </w:p>
    <w:p>
      <w:pPr>
        <w:pStyle w:val="BodyText"/>
        <w:spacing w:line="300" w:lineRule="auto" w:before="5"/>
        <w:ind w:right="1118" w:firstLine="300"/>
        <w:jc w:val="left"/>
      </w:pPr>
      <w:r>
        <w:rPr>
          <w:rFonts w:ascii="Times New Roman" w:hAnsi="Times New Roman" w:cs="Times New Roman" w:eastAsia="Times New Roman" w:hint="default"/>
          <w:spacing w:val="-1"/>
        </w:rPr>
        <w:t>(3)</w:t>
      </w:r>
      <w:r>
        <w:rPr>
          <w:spacing w:val="-1"/>
        </w:rPr>
        <w:t>无形资产产生经济利益的方式，包括能够证明运用该无形资产生产的产品存在市场或无形资产自身存在市场，无形资</w:t>
      </w:r>
      <w:r>
        <w:rPr>
          <w:w w:val="99"/>
        </w:rPr>
        <w:t> </w:t>
      </w:r>
      <w:r>
        <w:rPr/>
        <w:t>产将在内部使用的，能证明其有用性；</w:t>
      </w:r>
    </w:p>
    <w:p>
      <w:pPr>
        <w:pStyle w:val="BodyText"/>
        <w:spacing w:line="300" w:lineRule="auto" w:before="31"/>
        <w:ind w:left="453" w:right="1963"/>
        <w:jc w:val="left"/>
      </w:pPr>
      <w:r>
        <w:rPr>
          <w:rFonts w:ascii="Times New Roman" w:hAnsi="Times New Roman" w:cs="Times New Roman" w:eastAsia="Times New Roman" w:hint="default"/>
        </w:rPr>
        <w:t>(4)</w:t>
      </w:r>
      <w:r>
        <w:rPr/>
        <w:t>有足够的技术、财务资源和其他资源支持，以完成该无形资产的开发，并有能力使用或出售该无形资产；</w:t>
      </w:r>
      <w:r>
        <w:rPr>
          <w:w w:val="99"/>
        </w:rPr>
        <w:t> </w:t>
      </w:r>
      <w:r>
        <w:rPr>
          <w:rFonts w:ascii="Times New Roman" w:hAnsi="Times New Roman" w:cs="Times New Roman" w:eastAsia="Times New Roman" w:hint="default"/>
        </w:rPr>
        <w:t>(5)</w:t>
      </w:r>
      <w:r>
        <w:rPr>
          <w:rFonts w:ascii="Times New Roman" w:hAnsi="Times New Roman" w:cs="Times New Roman" w:eastAsia="Times New Roman" w:hint="default"/>
          <w:spacing w:val="27"/>
        </w:rPr>
        <w:t> </w:t>
      </w:r>
      <w:r>
        <w:rPr/>
        <w:t>归属于该无形资产开发阶段的支出能够可靠地计量。</w:t>
      </w:r>
    </w:p>
    <w:p>
      <w:pPr>
        <w:spacing w:line="240" w:lineRule="auto" w:before="3"/>
        <w:rPr>
          <w:rFonts w:ascii="宋体" w:hAnsi="宋体" w:cs="宋体" w:eastAsia="宋体" w:hint="default"/>
          <w:sz w:val="17"/>
          <w:szCs w:val="17"/>
        </w:rPr>
      </w:pPr>
    </w:p>
    <w:p>
      <w:pPr>
        <w:pStyle w:val="Heading4"/>
        <w:spacing w:line="240" w:lineRule="auto"/>
        <w:ind w:right="967"/>
        <w:jc w:val="left"/>
        <w:rPr>
          <w:b w:val="0"/>
          <w:bCs w:val="0"/>
        </w:rPr>
      </w:pPr>
      <w:r>
        <w:rPr>
          <w:rFonts w:ascii="Times New Roman" w:hAnsi="Times New Roman" w:cs="Times New Roman" w:eastAsia="Times New Roman" w:hint="default"/>
        </w:rPr>
        <w:t>31</w:t>
      </w:r>
      <w:r>
        <w:rPr/>
        <w:t>、长期资产减值</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9" w:lineRule="auto"/>
        <w:ind w:right="1035" w:firstLine="420"/>
        <w:jc w:val="left"/>
      </w:pPr>
      <w:r>
        <w:rPr>
          <w:spacing w:val="-2"/>
        </w:rPr>
        <w:t>对长期股权投资、固定资产、在建工程、使用寿命有限的无形资产等长期资产</w:t>
      </w:r>
      <w:r>
        <w:rPr>
          <w:rFonts w:ascii="Times New Roman" w:hAnsi="Times New Roman" w:cs="Times New Roman" w:eastAsia="Times New Roman" w:hint="default"/>
          <w:spacing w:val="-2"/>
        </w:rPr>
        <w:t>,</w:t>
      </w:r>
      <w:r>
        <w:rPr>
          <w:spacing w:val="-2"/>
        </w:rPr>
        <w:t>在资产负债表日有迹象表明发生减值的，</w:t>
      </w:r>
      <w:r>
        <w:rPr/>
        <w:t> </w:t>
      </w:r>
      <w:r>
        <w:rPr>
          <w:spacing w:val="-2"/>
        </w:rPr>
        <w:t>估计其可收回金额。对因企业合并所形成的商誉和使用寿命不确定的无形资产，无论是否存在减值迹象，每年都进行减值测</w:t>
      </w:r>
      <w:r>
        <w:rPr>
          <w:spacing w:val="-63"/>
        </w:rPr>
        <w:t> </w:t>
      </w:r>
      <w:r>
        <w:rPr>
          <w:spacing w:val="-63"/>
        </w:rPr>
      </w:r>
      <w:r>
        <w:rPr/>
        <w:t>试。商誉结合与其相关的资产组或者资产组组合进行减值测试。</w:t>
      </w:r>
    </w:p>
    <w:p>
      <w:pPr>
        <w:pStyle w:val="BodyText"/>
        <w:spacing w:line="240" w:lineRule="auto" w:before="24"/>
        <w:ind w:left="573" w:right="967"/>
        <w:jc w:val="left"/>
      </w:pPr>
      <w:r>
        <w:rPr/>
        <w:t>若上述长期资产的可收回金额低于其账面价值的，按其差额确认资产减值准备并计入当期损益。</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32</w:t>
      </w:r>
      <w:r>
        <w:rPr/>
        <w:t>、长期待摊费用</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09" w:lineRule="auto"/>
        <w:ind w:right="1133" w:firstLine="420"/>
        <w:jc w:val="both"/>
      </w:pPr>
      <w:r>
        <w:rPr/>
        <w:t>长期待摊费用核算已经支出，摊销期限在</w:t>
      </w:r>
      <w:r>
        <w:rPr>
          <w:rFonts w:ascii="Times New Roman" w:hAnsi="Times New Roman" w:cs="Times New Roman" w:eastAsia="Times New Roman" w:hint="default"/>
        </w:rPr>
        <w:t>1</w:t>
      </w:r>
      <w:r>
        <w:rPr/>
        <w:t>年以上（不含</w:t>
      </w:r>
      <w:r>
        <w:rPr>
          <w:rFonts w:ascii="Times New Roman" w:hAnsi="Times New Roman" w:cs="Times New Roman" w:eastAsia="Times New Roman" w:hint="default"/>
        </w:rPr>
        <w:t>1</w:t>
      </w:r>
      <w:r>
        <w:rPr/>
        <w:t>年）的各项费用。长期待摊费用按实际发生额入账，在受益 </w:t>
      </w:r>
      <w:r>
        <w:rPr>
          <w:spacing w:val="-2"/>
        </w:rPr>
        <w:t>期或规定的期限内分期平均摊销。如果长期待摊的费用项目不能使以后会计期间受益则将尚未摊销的该项目的摊余价值全部</w:t>
      </w:r>
      <w:r>
        <w:rPr>
          <w:spacing w:val="-64"/>
        </w:rPr>
        <w:t> </w:t>
      </w:r>
      <w:r>
        <w:rPr>
          <w:spacing w:val="-64"/>
        </w:rPr>
      </w:r>
      <w:r>
        <w:rPr/>
        <w:t>转入当期损益。</w:t>
      </w:r>
    </w:p>
    <w:p>
      <w:pPr>
        <w:spacing w:line="240" w:lineRule="auto" w:before="1"/>
        <w:rPr>
          <w:rFonts w:ascii="宋体" w:hAnsi="宋体" w:cs="宋体" w:eastAsia="宋体" w:hint="default"/>
          <w:sz w:val="18"/>
          <w:szCs w:val="18"/>
        </w:rPr>
      </w:pPr>
    </w:p>
    <w:p>
      <w:pPr>
        <w:pStyle w:val="Heading4"/>
        <w:spacing w:line="240" w:lineRule="auto"/>
        <w:ind w:right="967"/>
        <w:jc w:val="left"/>
        <w:rPr>
          <w:b w:val="0"/>
          <w:bCs w:val="0"/>
        </w:rPr>
      </w:pPr>
      <w:r>
        <w:rPr>
          <w:rFonts w:ascii="Times New Roman" w:hAnsi="Times New Roman" w:cs="Times New Roman" w:eastAsia="Times New Roman" w:hint="default"/>
        </w:rPr>
        <w:t>33</w:t>
      </w:r>
      <w:r>
        <w:rPr/>
        <w:t>、合同负债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85" w:right="967"/>
        <w:jc w:val="left"/>
      </w:pPr>
      <w:r>
        <w:rPr/>
        <w:t>不适用</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34</w:t>
      </w:r>
      <w:r>
        <w:rPr/>
        <w:t>、职工薪酬</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4"/>
        <w:spacing w:line="240" w:lineRule="auto"/>
        <w:ind w:right="967"/>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73" w:right="967"/>
        <w:jc w:val="left"/>
      </w:pPr>
      <w:r>
        <w:rPr/>
        <w:t>在职工为公司提供服务的会计期间，将实际发生的短期薪酬确认为负债，并计入当期损益或相关资产成本。</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left="573" w:right="967"/>
        <w:jc w:val="left"/>
      </w:pPr>
      <w:r>
        <w:rPr/>
        <w:t>离职后福利分为设定提存计划和设定受益计划。</w:t>
      </w:r>
    </w:p>
    <w:p>
      <w:pPr>
        <w:pStyle w:val="BodyText"/>
        <w:spacing w:line="300" w:lineRule="auto" w:before="76"/>
        <w:ind w:right="1130"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spacing w:val="-2"/>
        </w:rPr>
        <w:t>在职工为公司提供服务的会计期间，根据设定提存计划计算的应缴存金额确认为负债，并计入当期损益或相关资产</w:t>
      </w:r>
      <w:r>
        <w:rPr>
          <w:w w:val="99"/>
        </w:rPr>
        <w:t> </w:t>
      </w:r>
      <w:r>
        <w:rPr/>
        <w:t>成本。</w:t>
      </w:r>
    </w:p>
    <w:p>
      <w:pPr>
        <w:pStyle w:val="BodyText"/>
        <w:spacing w:line="240" w:lineRule="auto" w:before="31"/>
        <w:ind w:left="573" w:right="96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对设定受益计划的会计处理通常包括下列步骤：</w:t>
      </w:r>
    </w:p>
    <w:p>
      <w:pPr>
        <w:pStyle w:val="BodyText"/>
        <w:spacing w:line="309" w:lineRule="auto" w:before="63"/>
        <w:ind w:right="113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根据预期累计福利单位法，采用无偏且相互一致的精算假设对有关人口统计变量和财务变量等作出估计，计量设定 </w:t>
      </w:r>
      <w:r>
        <w:rPr>
          <w:spacing w:val="-2"/>
        </w:rPr>
        <w:t>受益计划所产生的义务，并确定相关义务的所属期间。同时，对设定受益计划所产生的义务予以折现，以确定设定受益计划</w:t>
      </w:r>
      <w:r>
        <w:rPr>
          <w:spacing w:val="-65"/>
        </w:rPr>
        <w:t> </w:t>
      </w:r>
      <w:r>
        <w:rPr>
          <w:spacing w:val="-65"/>
        </w:rPr>
      </w:r>
      <w:r>
        <w:rPr/>
        <w:t>义务的现值和当期服务成本；</w:t>
      </w:r>
    </w:p>
    <w:p>
      <w:pPr>
        <w:pStyle w:val="BodyText"/>
        <w:spacing w:line="309" w:lineRule="auto" w:before="24"/>
        <w:ind w:right="113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3"/>
        </w:rPr>
        <w:t> </w:t>
      </w:r>
      <w:r>
        <w:rPr/>
        <w:t>设定受益计划存在资产的，将设定受益计划义务现值减去设定受益计划资产公允价值所形成的赤字或盈余确认为一 </w:t>
      </w:r>
      <w:r>
        <w:rPr>
          <w:spacing w:val="-2"/>
        </w:rPr>
        <w:t>项设定受益计划净负债或净资产。设定受益计划存在盈余的，以设定受益计划的盈余和资产上限两项的孰低者计量设定受益</w:t>
      </w:r>
      <w:r>
        <w:rPr>
          <w:spacing w:val="-64"/>
        </w:rPr>
        <w:t> </w:t>
      </w:r>
      <w:r>
        <w:rPr>
          <w:spacing w:val="-64"/>
        </w:rPr>
      </w:r>
      <w:r>
        <w:rPr/>
        <w:t>计划净资产；</w:t>
      </w:r>
    </w:p>
    <w:p>
      <w:pPr>
        <w:pStyle w:val="BodyText"/>
        <w:spacing w:line="300" w:lineRule="auto" w:before="24"/>
        <w:ind w:right="1132"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2"/>
        </w:rPr>
        <w:t> </w:t>
      </w:r>
      <w:r>
        <w:rPr/>
        <w:t>期末，将设定受益计划产生的职工薪酬成本确认为服务成本、设定受益计划净负债或净资产的利息净额以及重新计 </w:t>
      </w:r>
      <w:r>
        <w:rPr>
          <w:spacing w:val="-2"/>
        </w:rPr>
        <w:t>量设定受益计划净负债或净资产所产生的变动等三部分，其中服务成本和设定受益计划净负债或净资产的利息净额计入当期</w:t>
      </w:r>
    </w:p>
    <w:p>
      <w:pPr>
        <w:spacing w:after="0" w:line="300" w:lineRule="auto"/>
        <w:jc w:val="both"/>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4"/>
        <w:ind w:right="1133"/>
        <w:jc w:val="both"/>
      </w:pPr>
      <w:r>
        <w:rPr>
          <w:spacing w:val="-2"/>
        </w:rPr>
        <w:t>损益或相关资产成本，重新计量设定受益计划净负债或净资产所产生的变动计入其他综合收益，并且在后续会计期间不允许</w:t>
      </w:r>
      <w:r>
        <w:rPr>
          <w:spacing w:val="-64"/>
        </w:rPr>
        <w:t> </w:t>
      </w:r>
      <w:r>
        <w:rPr>
          <w:spacing w:val="-64"/>
        </w:rPr>
      </w:r>
      <w:r>
        <w:rPr/>
        <w:t>转回至损益，但可以在权益范围内转移这些在其他综合收益确认的金额。</w:t>
      </w:r>
    </w:p>
    <w:p>
      <w:pPr>
        <w:spacing w:line="240" w:lineRule="auto" w:before="9"/>
        <w:rPr>
          <w:rFonts w:ascii="宋体" w:hAnsi="宋体" w:cs="宋体" w:eastAsia="宋体" w:hint="default"/>
          <w:sz w:val="17"/>
          <w:szCs w:val="17"/>
        </w:rPr>
      </w:pPr>
    </w:p>
    <w:p>
      <w:pPr>
        <w:pStyle w:val="Heading4"/>
        <w:spacing w:line="240" w:lineRule="auto"/>
        <w:ind w:right="0"/>
        <w:jc w:val="both"/>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right="1110" w:firstLine="420"/>
        <w:jc w:val="left"/>
      </w:pPr>
      <w:r>
        <w:rPr>
          <w:spacing w:val="-2"/>
        </w:rPr>
        <w:t>向职工提供的辞退福利，在下列两者孰早日确认辞退福利产生的职工薪酬负债，并计入当期损益：</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5"/>
        </w:rPr>
        <w:t> </w:t>
      </w:r>
      <w:r>
        <w:rPr/>
        <w:t>公司不能单方面 撤回因解除劳动关系计划或裁减建议所提供的辞退福利时；</w:t>
      </w: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公司确认与涉及支付辞退福利的重组相关的成本或费用时。</w:t>
      </w:r>
    </w:p>
    <w:p>
      <w:pPr>
        <w:spacing w:line="240" w:lineRule="auto" w:before="3"/>
        <w:rPr>
          <w:rFonts w:ascii="宋体" w:hAnsi="宋体" w:cs="宋体" w:eastAsia="宋体" w:hint="default"/>
          <w:sz w:val="17"/>
          <w:szCs w:val="17"/>
        </w:rPr>
      </w:pPr>
    </w:p>
    <w:p>
      <w:pPr>
        <w:pStyle w:val="Heading4"/>
        <w:spacing w:line="240" w:lineRule="auto"/>
        <w:ind w:right="0"/>
        <w:jc w:val="both"/>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9" w:lineRule="auto"/>
        <w:ind w:right="967" w:firstLine="420"/>
        <w:jc w:val="left"/>
      </w:pPr>
      <w:r>
        <w:rPr/>
        <w:t>向职工提供的其他长期福利，符合设定提存计划条件的，按照设定提存计划的有关规定进行会计处理；除此之外的其 </w:t>
      </w:r>
      <w:r>
        <w:rPr>
          <w:spacing w:val="-4"/>
        </w:rPr>
        <w:t>他长期福利，按照设定受益计划的有关规定进行会计处理，为简化相关会计处理，将其产生的职工薪酬成本确认为服务成本、</w:t>
      </w:r>
      <w:r>
        <w:rPr>
          <w:spacing w:val="-43"/>
        </w:rPr>
        <w:t> </w:t>
      </w:r>
      <w:r>
        <w:rPr>
          <w:spacing w:val="-43"/>
        </w:rPr>
      </w:r>
      <w:r>
        <w:rPr/>
        <w:t>其他长期职工福利净负债或净资产的利息净额以及重新计量其他长期职工福利净负债或净资产所产生的变动等组成项目的</w:t>
      </w:r>
      <w:r>
        <w:rPr>
          <w:spacing w:val="-11"/>
        </w:rPr>
        <w:t> </w:t>
      </w:r>
      <w:r>
        <w:rPr>
          <w:spacing w:val="-11"/>
        </w:rPr>
      </w:r>
      <w:r>
        <w:rPr/>
        <w:t>总净额计入当期损益或相关资产成本。</w:t>
      </w:r>
    </w:p>
    <w:p>
      <w:pPr>
        <w:spacing w:line="240" w:lineRule="auto" w:before="7"/>
        <w:rPr>
          <w:rFonts w:ascii="宋体" w:hAnsi="宋体" w:cs="宋体" w:eastAsia="宋体" w:hint="default"/>
          <w:sz w:val="17"/>
          <w:szCs w:val="17"/>
        </w:rPr>
      </w:pPr>
    </w:p>
    <w:p>
      <w:pPr>
        <w:pStyle w:val="Heading4"/>
        <w:spacing w:line="240" w:lineRule="auto"/>
        <w:ind w:right="0"/>
        <w:jc w:val="both"/>
        <w:rPr>
          <w:b w:val="0"/>
          <w:bCs w:val="0"/>
        </w:rPr>
      </w:pPr>
      <w:r>
        <w:rPr>
          <w:rFonts w:ascii="Times New Roman" w:hAnsi="Times New Roman" w:cs="Times New Roman" w:eastAsia="Times New Roman" w:hint="default"/>
        </w:rPr>
        <w:t>35</w:t>
      </w:r>
      <w:r>
        <w:rPr/>
        <w:t>、租赁负债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85" w:right="967"/>
        <w:jc w:val="left"/>
      </w:pPr>
      <w:r>
        <w:rPr/>
        <w:t>不适用</w:t>
      </w:r>
    </w:p>
    <w:p>
      <w:pPr>
        <w:spacing w:line="240" w:lineRule="auto" w:before="1"/>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36</w:t>
      </w:r>
      <w:r>
        <w:rPr/>
        <w:t>、预计负债</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00" w:lineRule="auto"/>
        <w:ind w:right="1121"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3"/>
        </w:rPr>
        <w:t> </w:t>
      </w:r>
      <w:r>
        <w:rPr/>
        <w:t>因对外提供担保、诉讼事项、产品质量保证、亏损合同等或有事项形成的义务成为公司承担的现时义务，履行该义 务很可能导致经济利益流出公司，且该义务的金额能够可靠的计量时，公司将该项义务确认为预计负债。</w:t>
      </w:r>
    </w:p>
    <w:p>
      <w:pPr>
        <w:pStyle w:val="BodyText"/>
        <w:spacing w:line="300" w:lineRule="auto" w:before="31"/>
        <w:ind w:right="1120"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4"/>
        </w:rPr>
        <w:t> </w:t>
      </w:r>
      <w:r>
        <w:rPr/>
        <w:t>公司按照履行相关现时义务所需支出的最佳估计数对预计负债进行初始计量，并在资产负债表日对预计负债的账面 价值进行复核。</w:t>
      </w:r>
    </w:p>
    <w:p>
      <w:pPr>
        <w:spacing w:line="240" w:lineRule="auto" w:before="8"/>
        <w:rPr>
          <w:rFonts w:ascii="宋体" w:hAnsi="宋体" w:cs="宋体" w:eastAsia="宋体" w:hint="default"/>
          <w:sz w:val="18"/>
          <w:szCs w:val="18"/>
        </w:rPr>
      </w:pPr>
    </w:p>
    <w:p>
      <w:pPr>
        <w:pStyle w:val="Heading4"/>
        <w:spacing w:line="240" w:lineRule="auto"/>
        <w:ind w:right="0"/>
        <w:jc w:val="both"/>
        <w:rPr>
          <w:b w:val="0"/>
          <w:bCs w:val="0"/>
        </w:rPr>
      </w:pPr>
      <w:r>
        <w:rPr>
          <w:rFonts w:ascii="Times New Roman" w:hAnsi="Times New Roman" w:cs="Times New Roman" w:eastAsia="Times New Roman" w:hint="default"/>
        </w:rPr>
        <w:t>37</w:t>
      </w:r>
      <w:r>
        <w:rPr/>
        <w:t>、股份支付</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9" w:lineRule="auto"/>
        <w:ind w:left="573" w:right="601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股份支付的种类 包括以权益结算的股份支付和以现金结算的股份支付。 </w:t>
      </w: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实施、修改、终止股份支付计划的相关会计处理</w:t>
      </w:r>
    </w:p>
    <w:p>
      <w:pPr>
        <w:pStyle w:val="BodyText"/>
        <w:spacing w:line="300" w:lineRule="auto" w:before="5"/>
        <w:ind w:left="573" w:right="1025" w:hanging="6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以权益结算的股份支付</w:t>
      </w:r>
      <w:r>
        <w:rPr>
          <w:w w:val="99"/>
        </w:rPr>
        <w:t> </w:t>
      </w:r>
      <w:r>
        <w:rPr>
          <w:spacing w:val="-1"/>
        </w:rPr>
        <w:t>授予后立即可行权的换取职工服务的以权益结算的股份支付，在授予日按照权益工具的公允价值计入相关成本或费用，</w:t>
      </w:r>
    </w:p>
    <w:p>
      <w:pPr>
        <w:pStyle w:val="BodyText"/>
        <w:spacing w:line="316" w:lineRule="auto" w:before="31"/>
        <w:ind w:right="1128"/>
        <w:jc w:val="both"/>
      </w:pPr>
      <w:r>
        <w:rPr>
          <w:spacing w:val="-2"/>
        </w:rPr>
        <w:t>相应调整资本公积。完成等待期内的服务或达到规定业绩条件才可行权的换取职工服务的以权益结算的股份支付，在等待期</w:t>
      </w:r>
      <w:r>
        <w:rPr>
          <w:spacing w:val="-64"/>
        </w:rPr>
        <w:t> </w:t>
      </w:r>
      <w:r>
        <w:rPr>
          <w:spacing w:val="-64"/>
        </w:rPr>
      </w:r>
      <w:r>
        <w:rPr>
          <w:spacing w:val="-2"/>
        </w:rPr>
        <w:t>内的每个资产负债表日，以对可行权权益工具数量的最佳估计为基础，按权益工具授予日的公允价值，将当期取得的服务计</w:t>
      </w:r>
      <w:r>
        <w:rPr>
          <w:spacing w:val="-61"/>
        </w:rPr>
        <w:t> </w:t>
      </w:r>
      <w:r>
        <w:rPr>
          <w:spacing w:val="-61"/>
        </w:rPr>
      </w:r>
      <w:r>
        <w:rPr/>
        <w:t>入相关成本或费用，相应调整资本公积。</w:t>
      </w:r>
    </w:p>
    <w:p>
      <w:pPr>
        <w:pStyle w:val="BodyText"/>
        <w:spacing w:line="316" w:lineRule="auto" w:before="19"/>
        <w:ind w:right="1130" w:firstLine="360"/>
        <w:jc w:val="both"/>
      </w:pPr>
      <w:r>
        <w:rPr>
          <w:spacing w:val="-2"/>
        </w:rPr>
        <w:t>换取其他方服务的权益结算的股份支付，如果其他方服务的公允价值能够可靠计量的，按照其他方服务在取得日的公允</w:t>
      </w:r>
      <w:r>
        <w:rPr/>
        <w:t> </w:t>
      </w:r>
      <w:r>
        <w:rPr>
          <w:spacing w:val="-2"/>
        </w:rPr>
        <w:t>价值计量；如果其他方服务的公允价值不能可靠计量，但权益工具的公允价值能够可靠计量的，按照权益工具在服务取得日</w:t>
      </w:r>
      <w:r>
        <w:rPr>
          <w:spacing w:val="-63"/>
        </w:rPr>
        <w:t> </w:t>
      </w:r>
      <w:r>
        <w:rPr>
          <w:spacing w:val="-63"/>
        </w:rPr>
      </w:r>
      <w:r>
        <w:rPr/>
        <w:t>的公允价值计量，计入相关成本或费用，相应增加所有者权益。</w:t>
      </w:r>
    </w:p>
    <w:p>
      <w:pPr>
        <w:pStyle w:val="BodyText"/>
        <w:spacing w:line="300" w:lineRule="auto" w:before="19"/>
        <w:ind w:left="513" w:right="96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以现金结算的股份支付</w:t>
      </w:r>
      <w:r>
        <w:rPr>
          <w:w w:val="99"/>
        </w:rPr>
        <w:t> </w:t>
      </w:r>
      <w:r>
        <w:rPr/>
        <w:t>授予后立即可行权的换取职工服务的以现金结算的股份支付，在授予日按公司承担负债的公允价值计入相关成本或费</w:t>
      </w:r>
    </w:p>
    <w:p>
      <w:pPr>
        <w:pStyle w:val="BodyText"/>
        <w:spacing w:line="319" w:lineRule="auto" w:before="31"/>
        <w:ind w:right="1130"/>
        <w:jc w:val="both"/>
      </w:pPr>
      <w:r>
        <w:rPr>
          <w:spacing w:val="-2"/>
        </w:rPr>
        <w:t>用，相应增加负债。完成等待期内的服务或达到规定业绩条件才可行权的换取职工服务的以现金结算的股份支付，在等待期</w:t>
      </w:r>
      <w:r>
        <w:rPr>
          <w:spacing w:val="-65"/>
        </w:rPr>
        <w:t> </w:t>
      </w:r>
      <w:r>
        <w:rPr>
          <w:spacing w:val="-65"/>
        </w:rPr>
      </w:r>
      <w:r>
        <w:rPr>
          <w:spacing w:val="-2"/>
        </w:rPr>
        <w:t>内的每个资产负债表日，以对可行权情况的最佳估计为基础，按公司承担负债的公允价值，将当期取得的服务计入相关成本</w:t>
      </w:r>
      <w:r>
        <w:rPr>
          <w:spacing w:val="-63"/>
        </w:rPr>
        <w:t> </w:t>
      </w:r>
      <w:r>
        <w:rPr>
          <w:spacing w:val="-63"/>
        </w:rPr>
      </w:r>
      <w:r>
        <w:rPr/>
        <w:t>或费用和相应的负债。</w:t>
      </w:r>
    </w:p>
    <w:p>
      <w:pPr>
        <w:pStyle w:val="BodyText"/>
        <w:spacing w:line="240" w:lineRule="auto" w:before="17"/>
        <w:ind w:left="513" w:right="96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修改、终止股份支付计划</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4"/>
        <w:ind w:right="1132" w:firstLine="360"/>
        <w:jc w:val="both"/>
      </w:pPr>
      <w:r>
        <w:rPr>
          <w:spacing w:val="-2"/>
        </w:rPr>
        <w:t>如果修改增加了所授予的权益工具的公允价值，公司按照权益工具公允价值的增加相应地确认取得服务的增加；如果修</w:t>
      </w:r>
      <w:r>
        <w:rPr/>
        <w:t> </w:t>
      </w:r>
      <w:r>
        <w:rPr>
          <w:spacing w:val="-2"/>
        </w:rPr>
        <w:t>改增加了所授予的权益工具的数量，公司将增加的权益工具的公允价值相应地确认为取得服务的增加；如果公司按照有利于</w:t>
      </w:r>
      <w:r>
        <w:rPr>
          <w:spacing w:val="-64"/>
        </w:rPr>
        <w:t> </w:t>
      </w:r>
      <w:r>
        <w:rPr>
          <w:spacing w:val="-64"/>
        </w:rPr>
      </w:r>
      <w:r>
        <w:rPr/>
        <w:t>职工的方式修改可行权条件，公司在处理可行权条件时，考虑修改后的可行权条件。</w:t>
      </w:r>
    </w:p>
    <w:p>
      <w:pPr>
        <w:pStyle w:val="BodyText"/>
        <w:spacing w:line="316" w:lineRule="auto" w:before="19"/>
        <w:ind w:right="1034" w:firstLine="360"/>
        <w:jc w:val="left"/>
      </w:pPr>
      <w:r>
        <w:rPr/>
        <w:t>如果修改减少了授予的权益工具的公允价值，公司继续以权益工具在授予日的公允价值为基础，确认取得服务的金额， </w:t>
      </w:r>
      <w:r>
        <w:rPr>
          <w:spacing w:val="-2"/>
        </w:rPr>
        <w:t>而不考虑权益工具公允价值的减少；如果修改减少了授予的权益工具的数量，公司将减少部分作为已授予的权益工具的取消</w:t>
      </w:r>
      <w:r>
        <w:rPr>
          <w:spacing w:val="-64"/>
        </w:rPr>
        <w:t> </w:t>
      </w:r>
      <w:r>
        <w:rPr>
          <w:spacing w:val="-64"/>
        </w:rPr>
      </w:r>
      <w:r>
        <w:rPr/>
        <w:t>来进行处理；如果以不利于职工的方式修改了可行权条件，在处理可行权条件时，不考虑修改后的可行权条件。</w:t>
      </w:r>
    </w:p>
    <w:p>
      <w:pPr>
        <w:pStyle w:val="BodyText"/>
        <w:spacing w:line="316" w:lineRule="auto" w:before="19"/>
        <w:ind w:right="1130" w:firstLine="360"/>
        <w:jc w:val="both"/>
      </w:pPr>
      <w:r>
        <w:rPr>
          <w:spacing w:val="-2"/>
        </w:rPr>
        <w:t>如果公司在等待期内取消了所授予的权益工具或结算了所授予的权益工具（因未满足可行权条件而被取消的除外），则</w:t>
      </w:r>
      <w:r>
        <w:rPr/>
        <w:t> 将取消或结算作为加速可行权处理，立即确认原本在剩余等待期内的金额。</w:t>
      </w:r>
    </w:p>
    <w:p>
      <w:pPr>
        <w:spacing w:line="240" w:lineRule="auto" w:before="9"/>
        <w:rPr>
          <w:rFonts w:ascii="宋体" w:hAnsi="宋体" w:cs="宋体" w:eastAsia="宋体" w:hint="default"/>
          <w:sz w:val="17"/>
          <w:szCs w:val="17"/>
        </w:rPr>
      </w:pPr>
    </w:p>
    <w:p>
      <w:pPr>
        <w:pStyle w:val="Heading4"/>
        <w:spacing w:line="240" w:lineRule="auto"/>
        <w:ind w:right="967"/>
        <w:jc w:val="left"/>
        <w:rPr>
          <w:b w:val="0"/>
          <w:bCs w:val="0"/>
        </w:rPr>
      </w:pPr>
      <w:r>
        <w:rPr>
          <w:rFonts w:ascii="Times New Roman" w:hAnsi="Times New Roman" w:cs="Times New Roman" w:eastAsia="Times New Roman" w:hint="default"/>
        </w:rPr>
        <w:t>38</w:t>
      </w:r>
      <w:r>
        <w:rPr/>
        <w:t>、优先股、永续债等其他金融工具</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13" w:right="967"/>
        <w:jc w:val="left"/>
      </w:pPr>
      <w:r>
        <w:rPr/>
        <w:t>不适用</w:t>
      </w:r>
    </w:p>
    <w:p>
      <w:pPr>
        <w:spacing w:line="240" w:lineRule="auto" w:before="12"/>
        <w:rPr>
          <w:rFonts w:ascii="宋体" w:hAnsi="宋体" w:cs="宋体" w:eastAsia="宋体" w:hint="default"/>
          <w:sz w:val="21"/>
          <w:szCs w:val="21"/>
        </w:rPr>
      </w:pPr>
    </w:p>
    <w:p>
      <w:pPr>
        <w:pStyle w:val="Heading4"/>
        <w:spacing w:line="240" w:lineRule="auto"/>
        <w:ind w:right="967"/>
        <w:jc w:val="left"/>
        <w:rPr>
          <w:b w:val="0"/>
          <w:bCs w:val="0"/>
        </w:rPr>
      </w:pPr>
      <w:r>
        <w:rPr>
          <w:rFonts w:ascii="Times New Roman" w:hAnsi="Times New Roman" w:cs="Times New Roman" w:eastAsia="Times New Roman" w:hint="default"/>
        </w:rPr>
        <w:t>39</w:t>
      </w:r>
      <w:r>
        <w:rPr/>
        <w:t>、收入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是否已执行新收入准则</w:t>
      </w:r>
    </w:p>
    <w:p>
      <w:pPr>
        <w:pStyle w:val="BodyText"/>
        <w:spacing w:line="240" w:lineRule="auto" w:before="117"/>
        <w:ind w:right="96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1"/>
        <w:ind w:left="573" w:right="96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收入确认原则</w:t>
      </w:r>
    </w:p>
    <w:p>
      <w:pPr>
        <w:pStyle w:val="BodyText"/>
        <w:spacing w:line="240" w:lineRule="auto" w:before="63"/>
        <w:ind w:left="573" w:right="96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销售商品</w:t>
      </w:r>
    </w:p>
    <w:p>
      <w:pPr>
        <w:pStyle w:val="BodyText"/>
        <w:spacing w:line="300" w:lineRule="auto" w:before="63"/>
        <w:ind w:right="1129" w:firstLine="420"/>
        <w:jc w:val="both"/>
      </w:pPr>
      <w:r>
        <w:rPr/>
        <w:t>销售商品收入在同时满足下列条件时予以确认：</w:t>
      </w:r>
      <w:r>
        <w:rPr>
          <w:rFonts w:ascii="Times New Roman" w:hAnsi="Times New Roman" w:cs="Times New Roman" w:eastAsia="Times New Roman" w:hint="default"/>
        </w:rPr>
        <w:t>1) </w:t>
      </w:r>
      <w:r>
        <w:rPr/>
        <w:t>将商品所有权上的主要风险和报酬转移给购货方；</w:t>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t>公司不再保留 通常与所有权相联系的继续管理权，也不再对已售出的商品实施有效控制；</w:t>
      </w:r>
      <w:r>
        <w:rPr>
          <w:rFonts w:ascii="Times New Roman" w:hAnsi="Times New Roman" w:cs="Times New Roman" w:eastAsia="Times New Roman" w:hint="default"/>
        </w:rPr>
        <w:t>3) </w:t>
      </w:r>
      <w:r>
        <w:rPr/>
        <w:t>收入的金额能够可靠地计量；</w:t>
      </w:r>
      <w:r>
        <w:rPr>
          <w:rFonts w:ascii="Times New Roman" w:hAnsi="Times New Roman" w:cs="Times New Roman" w:eastAsia="Times New Roman" w:hint="default"/>
        </w:rPr>
        <w:t>4)</w:t>
      </w:r>
      <w:r>
        <w:rPr>
          <w:rFonts w:ascii="Times New Roman" w:hAnsi="Times New Roman" w:cs="Times New Roman" w:eastAsia="Times New Roman" w:hint="default"/>
          <w:spacing w:val="24"/>
        </w:rPr>
        <w:t> </w:t>
      </w:r>
      <w:r>
        <w:rPr/>
        <w:t>相关的经济 利益很可能流入；</w:t>
      </w:r>
      <w:r>
        <w:rPr>
          <w:rFonts w:ascii="Times New Roman" w:hAnsi="Times New Roman" w:cs="Times New Roman" w:eastAsia="Times New Roman" w:hint="default"/>
        </w:rPr>
        <w:t>5)</w:t>
      </w:r>
      <w:r>
        <w:rPr>
          <w:rFonts w:ascii="Times New Roman" w:hAnsi="Times New Roman" w:cs="Times New Roman" w:eastAsia="Times New Roman" w:hint="default"/>
          <w:spacing w:val="28"/>
        </w:rPr>
        <w:t> </w:t>
      </w:r>
      <w:r>
        <w:rPr/>
        <w:t>相关的已发生或将发生的成本能够可靠地计量。</w:t>
      </w:r>
    </w:p>
    <w:p>
      <w:pPr>
        <w:pStyle w:val="BodyText"/>
        <w:spacing w:line="300" w:lineRule="auto" w:before="13"/>
        <w:ind w:left="573" w:right="127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提供劳务</w:t>
      </w:r>
      <w:r>
        <w:rPr>
          <w:w w:val="99"/>
        </w:rPr>
        <w:t> </w:t>
      </w:r>
      <w:r>
        <w:rPr/>
        <w:t>提供劳务交易的结果在资产负债表日能够可靠估计的</w:t>
      </w:r>
      <w:r>
        <w:rPr>
          <w:rFonts w:ascii="Times New Roman" w:hAnsi="Times New Roman" w:cs="Times New Roman" w:eastAsia="Times New Roman" w:hint="default"/>
        </w:rPr>
        <w:t>(</w:t>
      </w:r>
      <w:r>
        <w:rPr/>
        <w:t>同时满足收入的金额能够可靠地计量、相关经济利益很可能流</w:t>
      </w:r>
    </w:p>
    <w:p>
      <w:pPr>
        <w:pStyle w:val="BodyText"/>
        <w:spacing w:line="312" w:lineRule="auto" w:before="13"/>
        <w:ind w:right="1130"/>
        <w:jc w:val="both"/>
      </w:pPr>
      <w:r>
        <w:rPr/>
        <w:t>入、交易的完工进度能够可靠地确定、交易中已发生和将发生的成本能够可靠地计量</w:t>
      </w:r>
      <w:r>
        <w:rPr>
          <w:rFonts w:ascii="Times New Roman" w:hAnsi="Times New Roman" w:cs="Times New Roman" w:eastAsia="Times New Roman" w:hint="default"/>
        </w:rPr>
        <w:t>)</w:t>
      </w:r>
      <w:r>
        <w:rPr/>
        <w:t>，采用完工百分比法确认提供劳务的 </w:t>
      </w:r>
      <w:r>
        <w:rPr>
          <w:spacing w:val="-2"/>
        </w:rPr>
        <w:t>收入，并按已经提供劳务占应提供劳务总量的比例确定提供劳务交易的完工进度。提供劳务交易的结果在资产负债表日不能</w:t>
      </w:r>
      <w:r>
        <w:rPr>
          <w:spacing w:val="-64"/>
        </w:rPr>
        <w:t> </w:t>
      </w:r>
      <w:r>
        <w:rPr>
          <w:spacing w:val="-64"/>
        </w:rPr>
      </w:r>
      <w:r>
        <w:rPr>
          <w:spacing w:val="-2"/>
        </w:rPr>
        <w:t>够可靠估计的，若已经发生的劳务成本预计能够得到补偿，按已经发生的劳务成本金额确认提供劳务收入，并按相同金额结</w:t>
      </w:r>
      <w:r>
        <w:rPr>
          <w:spacing w:val="-63"/>
        </w:rPr>
        <w:t> </w:t>
      </w:r>
      <w:r>
        <w:rPr>
          <w:spacing w:val="-63"/>
        </w:rPr>
      </w:r>
      <w:r>
        <w:rPr/>
        <w:t>转劳务成本；若已经发生的劳务成本预计不能够得到补偿，将已经发生的劳务成本计入当期损益，不确认劳务收入。</w:t>
      </w:r>
    </w:p>
    <w:p>
      <w:pPr>
        <w:pStyle w:val="BodyText"/>
        <w:spacing w:line="300" w:lineRule="auto" w:before="22"/>
        <w:ind w:left="573" w:right="115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让渡资产使用权</w:t>
      </w:r>
      <w:r>
        <w:rPr>
          <w:w w:val="99"/>
        </w:rPr>
        <w:t> </w:t>
      </w:r>
      <w:r>
        <w:rPr/>
        <w:t>让渡资产使用权在同时满足相关的经济利益很可能流入、收入金额能够可靠计量时，确认让渡资产使用权的收入。利</w:t>
      </w:r>
    </w:p>
    <w:p>
      <w:pPr>
        <w:pStyle w:val="BodyText"/>
        <w:spacing w:line="316" w:lineRule="auto" w:before="31"/>
        <w:ind w:right="967"/>
        <w:jc w:val="left"/>
      </w:pPr>
      <w:r>
        <w:rPr>
          <w:spacing w:val="-2"/>
        </w:rPr>
        <w:t>息收入按照他人使用本公司货币资金的时间和实际利率计算确定；使用费收入按有关合同或协议约定的收费时间和方法计算</w:t>
      </w:r>
      <w:r>
        <w:rPr>
          <w:spacing w:val="-64"/>
        </w:rPr>
        <w:t> </w:t>
      </w:r>
      <w:r>
        <w:rPr>
          <w:spacing w:val="-64"/>
        </w:rPr>
      </w:r>
      <w:r>
        <w:rPr/>
        <w:t>确定。</w:t>
      </w:r>
    </w:p>
    <w:p>
      <w:pPr>
        <w:pStyle w:val="BodyText"/>
        <w:spacing w:line="300" w:lineRule="auto" w:before="19"/>
        <w:ind w:left="573" w:right="96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收入确认的具体方法 </w:t>
      </w:r>
      <w:r>
        <w:rPr>
          <w:spacing w:val="-1"/>
        </w:rPr>
        <w:t>公司主要销售与不停车收费系统相关的</w:t>
      </w:r>
      <w:r>
        <w:rPr>
          <w:rFonts w:ascii="Times New Roman" w:hAnsi="Times New Roman" w:cs="Times New Roman" w:eastAsia="Times New Roman" w:hint="default"/>
          <w:spacing w:val="-1"/>
        </w:rPr>
        <w:t>OBU</w:t>
      </w:r>
      <w:r>
        <w:rPr>
          <w:spacing w:val="-1"/>
        </w:rPr>
        <w:t>和</w:t>
      </w:r>
      <w:r>
        <w:rPr>
          <w:rFonts w:ascii="Times New Roman" w:hAnsi="Times New Roman" w:cs="Times New Roman" w:eastAsia="Times New Roman" w:hint="default"/>
          <w:spacing w:val="-1"/>
        </w:rPr>
        <w:t>RSU</w:t>
      </w:r>
      <w:r>
        <w:rPr>
          <w:spacing w:val="-1"/>
        </w:rPr>
        <w:t>、</w:t>
      </w:r>
      <w:r>
        <w:rPr>
          <w:rFonts w:ascii="Times New Roman" w:hAnsi="Times New Roman" w:cs="Times New Roman" w:eastAsia="Times New Roman" w:hint="default"/>
          <w:spacing w:val="-1"/>
        </w:rPr>
        <w:t>RFID</w:t>
      </w:r>
      <w:r>
        <w:rPr>
          <w:spacing w:val="-1"/>
        </w:rPr>
        <w:t>、停车场收费系统产品等。内销产品收入确认需满足以下条</w:t>
      </w:r>
    </w:p>
    <w:p>
      <w:pPr>
        <w:pStyle w:val="BodyText"/>
        <w:spacing w:line="309" w:lineRule="auto" w:before="13"/>
        <w:ind w:right="967"/>
        <w:jc w:val="left"/>
      </w:pPr>
      <w:r>
        <w:rPr>
          <w:spacing w:val="-4"/>
        </w:rPr>
        <w:t>件：</w:t>
      </w:r>
      <w:r>
        <w:rPr>
          <w:rFonts w:ascii="Times New Roman" w:hAnsi="Times New Roman" w:cs="Times New Roman" w:eastAsia="Times New Roman" w:hint="default"/>
          <w:spacing w:val="-4"/>
        </w:rPr>
        <w:t>1</w:t>
      </w:r>
      <w:r>
        <w:rPr>
          <w:spacing w:val="-4"/>
        </w:rPr>
        <w:t>）公司已根据合同约定将产品交付给购货方，取得客户签收并接受产品的凭证；</w:t>
      </w:r>
      <w:r>
        <w:rPr>
          <w:rFonts w:ascii="Times New Roman" w:hAnsi="Times New Roman" w:cs="Times New Roman" w:eastAsia="Times New Roman" w:hint="default"/>
          <w:spacing w:val="-4"/>
        </w:rPr>
        <w:t>2</w:t>
      </w:r>
      <w:r>
        <w:rPr>
          <w:spacing w:val="-4"/>
        </w:rPr>
        <w:t>）未取得客户签收并接受产品凭证的，</w:t>
      </w:r>
      <w:r>
        <w:rPr>
          <w:spacing w:val="-39"/>
        </w:rPr>
        <w:t> </w:t>
      </w:r>
      <w:r>
        <w:rPr>
          <w:spacing w:val="-39"/>
        </w:rPr>
      </w:r>
      <w:r>
        <w:rPr/>
        <w:t>满足合同约定视同接受产品条件或客户实际接受产品；</w:t>
      </w:r>
      <w:r>
        <w:rPr>
          <w:rFonts w:ascii="Times New Roman" w:hAnsi="Times New Roman" w:cs="Times New Roman" w:eastAsia="Times New Roman" w:hint="default"/>
        </w:rPr>
        <w:t>3</w:t>
      </w:r>
      <w:r>
        <w:rPr/>
        <w:t>）产品销售收入金额已确定，已经收回货款或取得了收款凭证且相</w:t>
      </w:r>
      <w:r>
        <w:rPr>
          <w:spacing w:val="-83"/>
        </w:rPr>
        <w:t> </w:t>
      </w:r>
      <w:r>
        <w:rPr>
          <w:spacing w:val="-83"/>
        </w:rPr>
      </w:r>
      <w:r>
        <w:rPr>
          <w:spacing w:val="-2"/>
        </w:rPr>
        <w:t>关的经济利益很可能流入，产品相关的成本能够可靠地计量。外销产品收入确认需满足以下条件：公司已根据合同约定将产</w:t>
      </w:r>
      <w:r>
        <w:rPr>
          <w:spacing w:val="-63"/>
        </w:rPr>
        <w:t> </w:t>
      </w:r>
      <w:r>
        <w:rPr>
          <w:spacing w:val="-63"/>
        </w:rPr>
      </w:r>
      <w:r>
        <w:rPr>
          <w:spacing w:val="-2"/>
        </w:rPr>
        <w:t>品交付给承运人并报关，取得报关单，且产品销售收入金额已确定，已经收回货款或取得了收款凭证且相关的经济利益很可</w:t>
      </w:r>
      <w:r>
        <w:rPr>
          <w:spacing w:val="-63"/>
        </w:rPr>
        <w:t> </w:t>
      </w:r>
      <w:r>
        <w:rPr>
          <w:spacing w:val="-63"/>
        </w:rPr>
      </w:r>
      <w:r>
        <w:rPr/>
        <w:t>能流入，产品相关的成本能够可靠地计量。委托代销产品收入于取得受托方提供的受托代销商品清单时确认收入。</w:t>
      </w:r>
    </w:p>
    <w:p>
      <w:pPr>
        <w:spacing w:line="240" w:lineRule="auto" w:before="1"/>
        <w:rPr>
          <w:rFonts w:ascii="宋体" w:hAnsi="宋体" w:cs="宋体" w:eastAsia="宋体" w:hint="default"/>
          <w:sz w:val="18"/>
          <w:szCs w:val="18"/>
        </w:rPr>
      </w:pPr>
    </w:p>
    <w:p>
      <w:pPr>
        <w:pStyle w:val="Heading4"/>
        <w:spacing w:line="240" w:lineRule="auto"/>
        <w:ind w:right="967"/>
        <w:jc w:val="left"/>
        <w:rPr>
          <w:b w:val="0"/>
          <w:bCs w:val="0"/>
        </w:rPr>
      </w:pPr>
      <w:r>
        <w:rPr>
          <w:rFonts w:ascii="Times New Roman" w:hAnsi="Times New Roman" w:cs="Times New Roman" w:eastAsia="Times New Roman" w:hint="default"/>
        </w:rPr>
        <w:t>40</w:t>
      </w:r>
      <w:r>
        <w:rPr/>
        <w:t>、政府补助</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right="1129" w:firstLine="360"/>
        <w:jc w:val="both"/>
      </w:pPr>
      <w:r>
        <w:rPr>
          <w:rFonts w:ascii="Times New Roman" w:hAnsi="Times New Roman" w:cs="Times New Roman" w:eastAsia="Times New Roman" w:hint="default"/>
        </w:rPr>
        <w:t>1. </w:t>
      </w:r>
      <w:r>
        <w:rPr/>
        <w:t>政府补助在同时满足下列条件时予以确认：</w:t>
      </w:r>
      <w:r>
        <w:rPr>
          <w:rFonts w:ascii="Times New Roman" w:hAnsi="Times New Roman" w:cs="Times New Roman" w:eastAsia="Times New Roman" w:hint="default"/>
        </w:rPr>
        <w:t>(1) </w:t>
      </w:r>
      <w:r>
        <w:rPr/>
        <w:t>公司能够满足政府补助所附的条件；</w:t>
      </w: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公司能够收到政府补助。政 </w:t>
      </w:r>
      <w:r>
        <w:rPr>
          <w:spacing w:val="-2"/>
        </w:rPr>
        <w:t>府补助为货币性资产的，按照收到或应收的金额计量。政府补助为非货币性资产的，按照公允价值计量；公允价值不能可靠</w:t>
      </w:r>
    </w:p>
    <w:p>
      <w:pPr>
        <w:spacing w:after="0" w:line="300" w:lineRule="auto"/>
        <w:jc w:val="both"/>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967"/>
        <w:jc w:val="left"/>
      </w:pPr>
      <w:r>
        <w:rPr/>
        <w:t>取得的，按照名义金额计量。</w:t>
      </w:r>
    </w:p>
    <w:p>
      <w:pPr>
        <w:pStyle w:val="BodyText"/>
        <w:spacing w:line="300" w:lineRule="auto" w:before="76"/>
        <w:ind w:left="513" w:right="96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与资产相关的政府补助判断依据及会计处理方法 </w:t>
      </w:r>
      <w:r>
        <w:rPr>
          <w:spacing w:val="-2"/>
        </w:rPr>
        <w:t>政府文件规定用于购建或以其他方式形成长期资产的政府补助划分为与资产相关的政府补助。政府文件不明确的，以取</w:t>
      </w:r>
    </w:p>
    <w:p>
      <w:pPr>
        <w:pStyle w:val="BodyText"/>
        <w:spacing w:line="316" w:lineRule="auto" w:before="31"/>
        <w:ind w:right="1034"/>
        <w:jc w:val="left"/>
      </w:pPr>
      <w:r>
        <w:rPr/>
        <w:t>得该补助必须具备的基本条件为基础进行判断，以购建或其他方式形成长期资产为基本条件的作为与资产相关的政府补助。 </w:t>
      </w:r>
      <w:r>
        <w:rPr>
          <w:spacing w:val="-2"/>
        </w:rPr>
        <w:t>与资产相关的政府补助，冲减相关资产的账面价值或确认为递延收益。与资产相关的政府补助确认为递延收益的，在相关资</w:t>
      </w:r>
      <w:r>
        <w:rPr>
          <w:spacing w:val="-63"/>
        </w:rPr>
        <w:t> </w:t>
      </w:r>
      <w:r>
        <w:rPr>
          <w:spacing w:val="-63"/>
        </w:rPr>
      </w:r>
      <w:r>
        <w:rPr>
          <w:spacing w:val="-2"/>
        </w:rPr>
        <w:t>产使用寿命内按照合理、系统的方法分期计入损益。按照名义金额计量的政府补助，直接计入当期损益。相关资产在使用寿</w:t>
      </w:r>
      <w:r>
        <w:rPr>
          <w:spacing w:val="-64"/>
        </w:rPr>
        <w:t> </w:t>
      </w:r>
      <w:r>
        <w:rPr>
          <w:spacing w:val="-64"/>
        </w:rPr>
      </w:r>
      <w:r>
        <w:rPr/>
        <w:t>命结束前被出售、转让、报废或发生毁损的，将尚未分配的相关递延收益余额转入资产处置当期的损益。</w:t>
      </w:r>
    </w:p>
    <w:p>
      <w:pPr>
        <w:pStyle w:val="BodyText"/>
        <w:spacing w:line="300" w:lineRule="auto" w:before="19"/>
        <w:ind w:left="513" w:right="96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与收益相关的政府补助判断依据及会计处理方法 </w:t>
      </w:r>
      <w:r>
        <w:rPr>
          <w:spacing w:val="-2"/>
        </w:rPr>
        <w:t>除与资产相关的政府补助之外的政府补助划分为与收益相关的政府补助。对于同时包含与资产相关部分和与收益相关部</w:t>
      </w:r>
    </w:p>
    <w:p>
      <w:pPr>
        <w:pStyle w:val="BodyText"/>
        <w:spacing w:line="319" w:lineRule="auto" w:before="31"/>
        <w:ind w:right="967"/>
        <w:jc w:val="left"/>
      </w:pPr>
      <w:r>
        <w:rPr>
          <w:spacing w:val="-2"/>
        </w:rPr>
        <w:t>分的政府补助，难以区分与资产相关或与收益相关的，整体归类为与收益相关的政府补助。与收益相关的政府补助，用于补</w:t>
      </w:r>
      <w:r>
        <w:rPr>
          <w:spacing w:val="-64"/>
        </w:rPr>
        <w:t> </w:t>
      </w:r>
      <w:r>
        <w:rPr>
          <w:spacing w:val="-64"/>
        </w:rPr>
      </w:r>
      <w:r>
        <w:rPr>
          <w:spacing w:val="-4"/>
        </w:rPr>
        <w:t>偿以后期间的相关成本费用或损失的，确认为递延收益，在确认相关成本费用或损失的期间，计入当期损益或冲减相关成本；</w:t>
      </w:r>
      <w:r>
        <w:rPr>
          <w:spacing w:val="-44"/>
        </w:rPr>
        <w:t> </w:t>
      </w:r>
      <w:r>
        <w:rPr>
          <w:spacing w:val="-44"/>
        </w:rPr>
      </w:r>
      <w:r>
        <w:rPr/>
        <w:t>用于补偿已发生的相关成本费用或损失的，直接计入当期损益或冲减相关成本。</w:t>
      </w:r>
    </w:p>
    <w:p>
      <w:pPr>
        <w:pStyle w:val="BodyText"/>
        <w:spacing w:line="300" w:lineRule="auto" w:before="17"/>
        <w:ind w:right="1135" w:firstLine="36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37"/>
        </w:rPr>
        <w:t> </w:t>
      </w:r>
      <w:r>
        <w:rPr/>
        <w:t>与公司日常经营活动相关的政府补助，按照经济业务实质，计入其他收益或冲减相关成本费用。与公司日常活动无 关的政府补助，计入营业外收支。</w:t>
      </w:r>
    </w:p>
    <w:p>
      <w:pPr>
        <w:spacing w:line="240" w:lineRule="auto" w:before="8"/>
        <w:rPr>
          <w:rFonts w:ascii="宋体" w:hAnsi="宋体" w:cs="宋体" w:eastAsia="宋体" w:hint="default"/>
          <w:sz w:val="18"/>
          <w:szCs w:val="18"/>
        </w:rPr>
      </w:pPr>
    </w:p>
    <w:p>
      <w:pPr>
        <w:pStyle w:val="Heading4"/>
        <w:spacing w:line="240" w:lineRule="auto"/>
        <w:ind w:right="967"/>
        <w:jc w:val="left"/>
        <w:rPr>
          <w:b w:val="0"/>
          <w:bCs w:val="0"/>
        </w:rPr>
      </w:pPr>
      <w:r>
        <w:rPr>
          <w:rFonts w:ascii="Times New Roman" w:hAnsi="Times New Roman" w:cs="Times New Roman" w:eastAsia="Times New Roman" w:hint="default"/>
        </w:rPr>
        <w:t>41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9" w:lineRule="auto"/>
        <w:ind w:right="1133"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3"/>
        </w:rPr>
        <w:t> </w:t>
      </w:r>
      <w:r>
        <w:rPr/>
        <w:t>根据资产、负债的账面价值与其计税基础之间的差额（未作为资产和负债确认的项目按照税法规定可以确定其计税 </w:t>
      </w:r>
      <w:r>
        <w:rPr>
          <w:spacing w:val="-2"/>
        </w:rPr>
        <w:t>基础的，该计税基础与其账面数之间的差额），按照预期收回该资产或清偿该负债期间的适用税率计算确认递延所得税资产</w:t>
      </w:r>
      <w:r>
        <w:rPr>
          <w:spacing w:val="-66"/>
        </w:rPr>
        <w:t> </w:t>
      </w:r>
      <w:r>
        <w:rPr>
          <w:spacing w:val="-66"/>
        </w:rPr>
      </w:r>
      <w:r>
        <w:rPr/>
        <w:t>或递延所得税负债。</w:t>
      </w:r>
    </w:p>
    <w:p>
      <w:pPr>
        <w:pStyle w:val="BodyText"/>
        <w:spacing w:line="300" w:lineRule="auto" w:before="24"/>
        <w:ind w:right="1135"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3"/>
        </w:rPr>
        <w:t> </w:t>
      </w:r>
      <w:r>
        <w:rPr/>
        <w:t>确认递延所得税资产以很可能取得用来抵扣可抵扣暂时性差异的应纳税所得额为限。资产负债表日，有确凿证据表 明未来期间很可能获得足够的应纳税所得额用来抵扣可抵扣暂时性差异的，确认以前会计期间未确认的递延所得税资产。</w:t>
      </w:r>
    </w:p>
    <w:p>
      <w:pPr>
        <w:pStyle w:val="BodyText"/>
        <w:spacing w:line="300" w:lineRule="auto" w:before="31"/>
        <w:ind w:right="1135"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3"/>
        </w:rPr>
        <w:t> </w:t>
      </w:r>
      <w:r>
        <w:rPr/>
        <w:t>资产负债表日，对递延所得税资产的账面价值进行复核，如果未来期间很可能无法获得足够的应纳税所得额用以抵 扣递延所得税资产的利益，则减记递延所得税资产的账面价值。在很可能获得足够的应纳税所得额时，转回减记的金额。</w:t>
      </w:r>
    </w:p>
    <w:p>
      <w:pPr>
        <w:pStyle w:val="BodyText"/>
        <w:spacing w:line="300" w:lineRule="auto" w:before="31"/>
        <w:ind w:right="1126" w:firstLine="420"/>
        <w:jc w:val="both"/>
      </w:pPr>
      <w:r>
        <w:rPr>
          <w:rFonts w:ascii="Times New Roman" w:hAnsi="Times New Roman" w:cs="Times New Roman" w:eastAsia="Times New Roman" w:hint="default"/>
        </w:rPr>
        <w:t>4. </w:t>
      </w:r>
      <w:r>
        <w:rPr/>
        <w:t>公司当期所得税和递延所得税作为所得税费用或收益计入当期损益，但不包括下列情况产生的所得税：</w:t>
      </w:r>
      <w:r>
        <w:rPr>
          <w:rFonts w:ascii="Times New Roman" w:hAnsi="Times New Roman" w:cs="Times New Roman" w:eastAsia="Times New Roman" w:hint="default"/>
        </w:rPr>
        <w:t>(1)</w:t>
      </w:r>
      <w:r>
        <w:rPr>
          <w:rFonts w:ascii="Times New Roman" w:hAnsi="Times New Roman" w:cs="Times New Roman" w:eastAsia="Times New Roman" w:hint="default"/>
          <w:spacing w:val="38"/>
        </w:rPr>
        <w:t> </w:t>
      </w:r>
      <w:r>
        <w:rPr>
          <w:spacing w:val="2"/>
        </w:rPr>
        <w:t>企业合 </w:t>
      </w:r>
      <w:r>
        <w:rPr/>
        <w:t>并；</w:t>
      </w: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直接在所有者权益中确认的交易或者事项。</w:t>
      </w:r>
    </w:p>
    <w:p>
      <w:pPr>
        <w:spacing w:line="240" w:lineRule="auto" w:before="3"/>
        <w:rPr>
          <w:rFonts w:ascii="宋体" w:hAnsi="宋体" w:cs="宋体" w:eastAsia="宋体" w:hint="default"/>
          <w:sz w:val="17"/>
          <w:szCs w:val="17"/>
        </w:rPr>
      </w:pPr>
    </w:p>
    <w:p>
      <w:pPr>
        <w:pStyle w:val="Heading4"/>
        <w:spacing w:line="240" w:lineRule="auto"/>
        <w:ind w:right="967"/>
        <w:jc w:val="left"/>
        <w:rPr>
          <w:b w:val="0"/>
          <w:bCs w:val="0"/>
        </w:rPr>
      </w:pPr>
      <w:r>
        <w:rPr>
          <w:rFonts w:ascii="Times New Roman" w:hAnsi="Times New Roman" w:cs="Times New Roman" w:eastAsia="Times New Roman" w:hint="default"/>
        </w:rPr>
        <w:t>42</w:t>
      </w:r>
      <w:r>
        <w:rPr/>
        <w:t>、租赁</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4"/>
        <w:spacing w:line="240" w:lineRule="auto"/>
        <w:ind w:right="967"/>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9" w:lineRule="auto"/>
        <w:ind w:right="1044" w:firstLine="420"/>
        <w:jc w:val="both"/>
      </w:pPr>
      <w:r>
        <w:rPr>
          <w:spacing w:val="-2"/>
        </w:rPr>
        <w:t>公司为承租人时，在租赁期内各个期间按照直线法将租金计入相关资产成本或确认为当期损益，发生的初始直接费用，</w:t>
      </w:r>
      <w:r>
        <w:rPr/>
        <w:t> 直接计入当期损益。或有租金在实际发生时计入当期损益。</w:t>
      </w:r>
    </w:p>
    <w:p>
      <w:pPr>
        <w:pStyle w:val="BodyText"/>
        <w:spacing w:line="316" w:lineRule="auto" w:before="17"/>
        <w:ind w:right="1171" w:firstLine="420"/>
        <w:jc w:val="both"/>
      </w:pPr>
      <w:r>
        <w:rPr/>
        <w:t>公司为出租人时，在租赁期内各个期间按照直线法将租金确认为当期损益，发生的初始直接费用，除金额较大的予以 资本化并分期计入损益外，均直接计入当期损益。或有租金在实际发生时计入当期损益。</w:t>
      </w:r>
    </w:p>
    <w:p>
      <w:pPr>
        <w:spacing w:line="240" w:lineRule="auto" w:before="9"/>
        <w:rPr>
          <w:rFonts w:ascii="宋体" w:hAnsi="宋体" w:cs="宋体" w:eastAsia="宋体" w:hint="default"/>
          <w:sz w:val="17"/>
          <w:szCs w:val="17"/>
        </w:rPr>
      </w:pPr>
    </w:p>
    <w:p>
      <w:pPr>
        <w:pStyle w:val="Heading4"/>
        <w:spacing w:line="240" w:lineRule="auto"/>
        <w:ind w:right="967"/>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1131" w:firstLine="420"/>
        <w:jc w:val="both"/>
      </w:pPr>
      <w:r>
        <w:rPr/>
        <w:t>公司为承租人时，在租赁期开始日，公司以租赁开始日租赁资产公允价值与最低租赁付款额现值中两者较低者作为租 </w:t>
      </w:r>
      <w:r>
        <w:rPr>
          <w:spacing w:val="-2"/>
        </w:rPr>
        <w:t>入资产的入账价值，将最低租赁付款额作为长期应付款的入账价值，其差额为未确认融资费用，发生的初始直接费用，计入</w:t>
      </w:r>
      <w:r>
        <w:rPr>
          <w:spacing w:val="-64"/>
        </w:rPr>
        <w:t> </w:t>
      </w:r>
      <w:r>
        <w:rPr>
          <w:spacing w:val="-64"/>
        </w:rPr>
      </w:r>
      <w:r>
        <w:rPr/>
        <w:t>租赁资产价值。在租赁期各个期间，采用实际利率法计算确认当期的融资费用。</w:t>
      </w:r>
    </w:p>
    <w:p>
      <w:pPr>
        <w:pStyle w:val="BodyText"/>
        <w:spacing w:line="319" w:lineRule="auto" w:before="19"/>
        <w:ind w:right="1133" w:firstLine="420"/>
        <w:jc w:val="both"/>
      </w:pPr>
      <w:r>
        <w:rPr/>
        <w:t>公司为出租人时，在租赁期开始日，公司以租赁开始日最低租赁收款额与初始直接费用之和作为应收融资租赁款的入 </w:t>
      </w:r>
      <w:r>
        <w:rPr>
          <w:spacing w:val="-2"/>
        </w:rPr>
        <w:t>账价值，同时记录未担保余值；将最低租赁收款额、初始直接费用及未担保余值之和与其现值之和的差额确认为未实现融资</w:t>
      </w:r>
      <w:r>
        <w:rPr>
          <w:spacing w:val="-66"/>
        </w:rPr>
        <w:t> </w:t>
      </w:r>
      <w:r>
        <w:rPr>
          <w:spacing w:val="-66"/>
        </w:rPr>
      </w:r>
      <w:r>
        <w:rPr/>
        <w:t>收益。在租赁期各个期间，采用实际利率法计算确认当期的融资收入。</w:t>
      </w:r>
    </w:p>
    <w:p>
      <w:pPr>
        <w:spacing w:after="0" w:line="319" w:lineRule="auto"/>
        <w:jc w:val="both"/>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335" w:lineRule="exact"/>
        <w:ind w:right="967"/>
        <w:jc w:val="left"/>
        <w:rPr>
          <w:b w:val="0"/>
          <w:bCs w:val="0"/>
        </w:rPr>
      </w:pPr>
      <w:r>
        <w:rPr>
          <w:rFonts w:ascii="Times New Roman" w:hAnsi="Times New Roman" w:cs="Times New Roman" w:eastAsia="Times New Roman" w:hint="default"/>
        </w:rPr>
        <w:t>43</w:t>
      </w:r>
      <w:r>
        <w:rPr/>
        <w:t>、其他重要的会计政策和会计估计</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441" w:right="967"/>
        <w:jc w:val="left"/>
      </w:pPr>
      <w:r>
        <w:rPr/>
        <w:t>无</w:t>
      </w:r>
    </w:p>
    <w:p>
      <w:pPr>
        <w:spacing w:line="240" w:lineRule="auto" w:before="12"/>
        <w:rPr>
          <w:rFonts w:ascii="宋体" w:hAnsi="宋体" w:cs="宋体" w:eastAsia="宋体" w:hint="default"/>
          <w:sz w:val="21"/>
          <w:szCs w:val="21"/>
        </w:rPr>
      </w:pPr>
    </w:p>
    <w:p>
      <w:pPr>
        <w:pStyle w:val="Heading4"/>
        <w:spacing w:line="240" w:lineRule="auto"/>
        <w:ind w:right="967"/>
        <w:jc w:val="left"/>
        <w:rPr>
          <w:b w:val="0"/>
          <w:bCs w:val="0"/>
        </w:rPr>
      </w:pPr>
      <w:r>
        <w:rPr>
          <w:rFonts w:ascii="Times New Roman" w:hAnsi="Times New Roman" w:cs="Times New Roman" w:eastAsia="Times New Roman" w:hint="default"/>
        </w:rPr>
        <w:t>44</w:t>
      </w:r>
      <w:r>
        <w:rPr/>
        <w:t>、重要会计政策和会计估计变更</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967"/>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6" w:hRule="exact"/>
        </w:trPr>
        <w:tc>
          <w:tcPr>
            <w:tcW w:w="3193" w:type="dxa"/>
            <w:tcBorders>
              <w:top w:val="single" w:sz="4" w:space="0" w:color="000000"/>
              <w:left w:val="single" w:sz="4" w:space="0" w:color="000000"/>
              <w:bottom w:val="nil" w:sz="6" w:space="0" w:color="auto"/>
              <w:right w:val="single" w:sz="4" w:space="0" w:color="000000"/>
            </w:tcBorders>
          </w:tcPr>
          <w:p>
            <w:pPr/>
          </w:p>
        </w:tc>
        <w:tc>
          <w:tcPr>
            <w:tcW w:w="3188"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94"/>
              <w:jc w:val="right"/>
              <w:rPr>
                <w:rFonts w:ascii="宋体" w:hAnsi="宋体" w:cs="宋体" w:eastAsia="宋体" w:hint="default"/>
                <w:sz w:val="18"/>
                <w:szCs w:val="18"/>
              </w:rPr>
            </w:pPr>
            <w:r>
              <w:rPr>
                <w:rFonts w:ascii="宋体" w:hAnsi="宋体" w:cs="宋体" w:eastAsia="宋体" w:hint="default"/>
                <w:spacing w:val="-1"/>
                <w:sz w:val="18"/>
                <w:szCs w:val="18"/>
              </w:rPr>
              <w:t>根据新金融工具准则中衔接规定</w:t>
            </w: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
        </w:tc>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相关要求，无需对比较财务报表数据进</w:t>
            </w:r>
          </w:p>
        </w:tc>
      </w:tr>
      <w:tr>
        <w:trPr>
          <w:trHeight w:val="3120"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58"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年颁布了修订后</w:t>
            </w:r>
          </w:p>
          <w:p>
            <w:pPr>
              <w:pStyle w:val="TableParagraph"/>
              <w:spacing w:line="300" w:lineRule="auto" w:before="63"/>
              <w:ind w:left="24" w:right="19"/>
              <w:jc w:val="both"/>
              <w:rPr>
                <w:rFonts w:ascii="宋体" w:hAnsi="宋体" w:cs="宋体" w:eastAsia="宋体" w:hint="default"/>
                <w:sz w:val="18"/>
                <w:szCs w:val="18"/>
              </w:rPr>
            </w:pPr>
            <w:r>
              <w:rPr>
                <w:rFonts w:ascii="宋体" w:hAnsi="宋体" w:cs="宋体" w:eastAsia="宋体" w:hint="default"/>
                <w:sz w:val="18"/>
                <w:szCs w:val="18"/>
              </w:rPr>
              <w:t>的《企业会计准则第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 </w:t>
            </w:r>
            <w:r>
              <w:rPr>
                <w:rFonts w:ascii="宋体" w:hAnsi="宋体" w:cs="宋体" w:eastAsia="宋体" w:hint="default"/>
                <w:spacing w:val="-1"/>
                <w:sz w:val="18"/>
                <w:szCs w:val="18"/>
              </w:rPr>
              <w:t>确认和计量》</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财会</w:t>
            </w:r>
            <w:r>
              <w:rPr>
                <w:rFonts w:ascii="Times New Roman" w:hAnsi="Times New Roman" w:cs="Times New Roman" w:eastAsia="Times New Roman" w:hint="default"/>
                <w:spacing w:val="-1"/>
                <w:sz w:val="18"/>
                <w:szCs w:val="18"/>
              </w:rPr>
              <w:t>[2017]7</w:t>
            </w:r>
            <w:r>
              <w:rPr>
                <w:rFonts w:ascii="Times New Roman" w:hAnsi="Times New Roman" w:cs="Times New Roman" w:eastAsia="Times New Roman" w:hint="default"/>
                <w:spacing w:val="6"/>
                <w:sz w:val="18"/>
                <w:szCs w:val="18"/>
              </w:rPr>
              <w:t> </w:t>
            </w:r>
            <w:r>
              <w:rPr>
                <w:rFonts w:ascii="宋体" w:hAnsi="宋体" w:cs="宋体" w:eastAsia="宋体" w:hint="default"/>
                <w:spacing w:val="-16"/>
                <w:sz w:val="18"/>
                <w:szCs w:val="18"/>
              </w:rPr>
              <w:t>号</w:t>
            </w:r>
            <w:r>
              <w:rPr>
                <w:rFonts w:ascii="Times New Roman" w:hAnsi="Times New Roman" w:cs="Times New Roman" w:eastAsia="Times New Roman" w:hint="default"/>
                <w:spacing w:val="-16"/>
                <w:sz w:val="18"/>
                <w:szCs w:val="18"/>
              </w:rPr>
              <w:t>)</w:t>
            </w:r>
            <w:r>
              <w:rPr>
                <w:rFonts w:ascii="宋体" w:hAnsi="宋体" w:cs="宋体" w:eastAsia="宋体" w:hint="default"/>
                <w:spacing w:val="-16"/>
                <w:sz w:val="18"/>
                <w:szCs w:val="18"/>
              </w:rPr>
              <w:t>、《企业会</w:t>
            </w:r>
            <w:r>
              <w:rPr>
                <w:rFonts w:ascii="宋体" w:hAnsi="宋体" w:cs="宋体" w:eastAsia="宋体" w:hint="default"/>
                <w:sz w:val="18"/>
                <w:szCs w:val="18"/>
              </w:rPr>
              <w:t> 计准则第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号</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金融资产转移》</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财会</w:t>
            </w:r>
          </w:p>
          <w:p>
            <w:pPr>
              <w:pStyle w:val="TableParagraph"/>
              <w:spacing w:line="300" w:lineRule="auto" w:before="13"/>
              <w:ind w:left="24" w:right="17"/>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[2017]8</w:t>
            </w:r>
            <w:r>
              <w:rPr>
                <w:rFonts w:ascii="Times New Roman" w:hAnsi="Times New Roman" w:cs="Times New Roman" w:eastAsia="Times New Roman" w:hint="default"/>
                <w:spacing w:val="4"/>
                <w:w w:val="99"/>
                <w:sz w:val="18"/>
                <w:szCs w:val="18"/>
              </w:rPr>
              <w:t> </w:t>
            </w:r>
            <w:r>
              <w:rPr>
                <w:rFonts w:ascii="宋体" w:hAnsi="宋体" w:cs="宋体" w:eastAsia="宋体" w:hint="default"/>
                <w:spacing w:val="-14"/>
                <w:w w:val="99"/>
                <w:sz w:val="18"/>
                <w:szCs w:val="18"/>
              </w:rPr>
              <w:t>号</w:t>
            </w:r>
            <w:r>
              <w:rPr>
                <w:rFonts w:ascii="Times New Roman" w:hAnsi="Times New Roman" w:cs="Times New Roman" w:eastAsia="Times New Roman" w:hint="default"/>
                <w:spacing w:val="-14"/>
                <w:w w:val="99"/>
                <w:sz w:val="18"/>
                <w:szCs w:val="18"/>
              </w:rPr>
              <w:t>)</w:t>
            </w:r>
            <w:r>
              <w:rPr>
                <w:rFonts w:ascii="宋体" w:hAnsi="宋体" w:cs="宋体" w:eastAsia="宋体" w:hint="default"/>
                <w:spacing w:val="-14"/>
                <w:w w:val="99"/>
                <w:sz w:val="18"/>
                <w:szCs w:val="18"/>
              </w:rPr>
              <w:t>、《企业会计准则第</w:t>
            </w:r>
            <w:r>
              <w:rPr>
                <w:rFonts w:ascii="宋体" w:hAnsi="宋体" w:cs="宋体" w:eastAsia="宋体" w:hint="default"/>
                <w:spacing w:val="-43"/>
                <w:w w:val="99"/>
                <w:sz w:val="18"/>
                <w:szCs w:val="18"/>
              </w:rPr>
              <w:t> </w:t>
            </w:r>
            <w:r>
              <w:rPr>
                <w:rFonts w:ascii="Times New Roman" w:hAnsi="Times New Roman" w:cs="Times New Roman" w:eastAsia="Times New Roman" w:hint="default"/>
                <w:w w:val="99"/>
                <w:sz w:val="18"/>
                <w:szCs w:val="18"/>
              </w:rPr>
              <w:t>24</w:t>
            </w:r>
            <w:r>
              <w:rPr>
                <w:rFonts w:ascii="Times New Roman" w:hAnsi="Times New Roman" w:cs="Times New Roman" w:eastAsia="Times New Roman" w:hint="default"/>
                <w:spacing w:val="3"/>
                <w:w w:val="99"/>
                <w:sz w:val="18"/>
                <w:szCs w:val="18"/>
              </w:rPr>
              <w:t> </w:t>
            </w:r>
            <w:r>
              <w:rPr>
                <w:rFonts w:ascii="宋体" w:hAnsi="宋体" w:cs="宋体" w:eastAsia="宋体" w:hint="default"/>
                <w:w w:val="99"/>
                <w:sz w:val="18"/>
                <w:szCs w:val="18"/>
              </w:rPr>
              <w:t>号</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套期会计》</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[2017]9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及《企业会</w:t>
            </w:r>
            <w:r>
              <w:rPr>
                <w:rFonts w:ascii="宋体" w:hAnsi="宋体" w:cs="宋体" w:eastAsia="宋体" w:hint="default"/>
                <w:w w:val="99"/>
                <w:sz w:val="18"/>
                <w:szCs w:val="18"/>
              </w:rPr>
              <w:t> 计准则第</w:t>
            </w:r>
            <w:r>
              <w:rPr>
                <w:rFonts w:ascii="宋体" w:hAnsi="宋体" w:cs="宋体" w:eastAsia="宋体" w:hint="default"/>
                <w:spacing w:val="-43"/>
                <w:w w:val="99"/>
                <w:sz w:val="18"/>
                <w:szCs w:val="18"/>
              </w:rPr>
              <w:t> </w:t>
            </w:r>
            <w:r>
              <w:rPr>
                <w:rFonts w:ascii="Times New Roman" w:hAnsi="Times New Roman" w:cs="Times New Roman" w:eastAsia="Times New Roman" w:hint="default"/>
                <w:w w:val="99"/>
                <w:sz w:val="18"/>
                <w:szCs w:val="18"/>
              </w:rPr>
              <w:t>37</w:t>
            </w:r>
            <w:r>
              <w:rPr>
                <w:rFonts w:ascii="Times New Roman" w:hAnsi="Times New Roman" w:cs="Times New Roman" w:eastAsia="Times New Roman" w:hint="default"/>
                <w:spacing w:val="2"/>
                <w:w w:val="99"/>
                <w:sz w:val="18"/>
                <w:szCs w:val="18"/>
              </w:rPr>
              <w:t> </w:t>
            </w:r>
            <w:r>
              <w:rPr>
                <w:rFonts w:ascii="宋体" w:hAnsi="宋体" w:cs="宋体" w:eastAsia="宋体" w:hint="default"/>
                <w:spacing w:val="-6"/>
                <w:w w:val="99"/>
                <w:sz w:val="18"/>
                <w:szCs w:val="18"/>
              </w:rPr>
              <w:t>号</w:t>
            </w:r>
            <w:r>
              <w:rPr>
                <w:rFonts w:ascii="Times New Roman" w:hAnsi="Times New Roman" w:cs="Times New Roman" w:eastAsia="Times New Roman" w:hint="default"/>
                <w:spacing w:val="-6"/>
                <w:w w:val="99"/>
                <w:sz w:val="18"/>
                <w:szCs w:val="18"/>
              </w:rPr>
              <w:t>——</w:t>
            </w:r>
            <w:r>
              <w:rPr>
                <w:rFonts w:ascii="宋体" w:hAnsi="宋体" w:cs="宋体" w:eastAsia="宋体" w:hint="default"/>
                <w:spacing w:val="-6"/>
                <w:w w:val="99"/>
                <w:sz w:val="18"/>
                <w:szCs w:val="18"/>
              </w:rPr>
              <w:t>金融工具列报》</w:t>
            </w:r>
            <w:r>
              <w:rPr>
                <w:rFonts w:ascii="Times New Roman" w:hAnsi="Times New Roman" w:cs="Times New Roman" w:eastAsia="Times New Roman" w:hint="default"/>
                <w:spacing w:val="-6"/>
                <w:w w:val="99"/>
                <w:sz w:val="18"/>
                <w:szCs w:val="18"/>
              </w:rPr>
              <w:t>(</w:t>
            </w:r>
            <w:r>
              <w:rPr>
                <w:rFonts w:ascii="宋体" w:hAnsi="宋体" w:cs="宋体" w:eastAsia="宋体" w:hint="default"/>
                <w:spacing w:val="-6"/>
                <w:w w:val="99"/>
                <w:sz w:val="18"/>
                <w:szCs w:val="18"/>
              </w:rPr>
              <w:t>财会</w:t>
            </w:r>
            <w:r>
              <w:rPr>
                <w:rFonts w:ascii="宋体" w:hAnsi="宋体" w:cs="宋体" w:eastAsia="宋体" w:hint="default"/>
                <w:spacing w:val="-6"/>
                <w:sz w:val="18"/>
                <w:szCs w:val="18"/>
              </w:rPr>
            </w:r>
          </w:p>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，并要求境内上市公司自</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日起施行。</w:t>
            </w:r>
          </w:p>
        </w:tc>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00" w:lineRule="auto"/>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日第二届董事会第三十一 次会议审议通过</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行调整，本次会计政策变更不对公司</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年度的财务状况、经营成果产生影</w:t>
            </w:r>
          </w:p>
          <w:p>
            <w:pPr>
              <w:pStyle w:val="TableParagraph"/>
              <w:spacing w:line="314"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响；同时衔接规定于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日之 前的金融工具确认和计量与新金融工具 准则要求不一致的，对金融工具的分类 和计量（含减值）进行追溯调整，将金 融工具原账面价值和在新金融工具准则 施行日（即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pacing w:val="-3"/>
                <w:sz w:val="18"/>
                <w:szCs w:val="18"/>
              </w:rPr>
              <w:t>日）的新账面</w:t>
            </w:r>
          </w:p>
          <w:p>
            <w:pPr>
              <w:pStyle w:val="TableParagraph"/>
              <w:spacing w:line="300" w:lineRule="auto" w:before="1"/>
              <w:ind w:left="23" w:right="17"/>
              <w:jc w:val="left"/>
              <w:rPr>
                <w:rFonts w:ascii="宋体" w:hAnsi="宋体" w:cs="宋体" w:eastAsia="宋体" w:hint="default"/>
                <w:sz w:val="18"/>
                <w:szCs w:val="18"/>
              </w:rPr>
            </w:pPr>
            <w:r>
              <w:rPr>
                <w:rFonts w:ascii="宋体" w:hAnsi="宋体" w:cs="宋体" w:eastAsia="宋体" w:hint="default"/>
                <w:sz w:val="18"/>
                <w:szCs w:val="18"/>
              </w:rPr>
              <w:t>价值之间的差额计入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日的 留存收益或其他综合收益。根据新准则</w:t>
            </w:r>
          </w:p>
        </w:tc>
      </w:tr>
      <w:tr>
        <w:trPr>
          <w:trHeight w:val="317" w:hRule="exact"/>
        </w:trPr>
        <w:tc>
          <w:tcPr>
            <w:tcW w:w="3193" w:type="dxa"/>
            <w:tcBorders>
              <w:top w:val="nil" w:sz="6" w:space="0" w:color="auto"/>
              <w:left w:val="single" w:sz="4" w:space="0" w:color="000000"/>
              <w:bottom w:val="nil" w:sz="6" w:space="0" w:color="auto"/>
              <w:right w:val="single" w:sz="4" w:space="0" w:color="000000"/>
            </w:tcBorders>
          </w:tcPr>
          <w:p>
            <w:pPr/>
          </w:p>
        </w:tc>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规定公司对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日期初调整的</w:t>
            </w:r>
          </w:p>
        </w:tc>
      </w:tr>
      <w:tr>
        <w:trPr>
          <w:trHeight w:val="353" w:hRule="exact"/>
        </w:trPr>
        <w:tc>
          <w:tcPr>
            <w:tcW w:w="3193" w:type="dxa"/>
            <w:tcBorders>
              <w:top w:val="nil" w:sz="6" w:space="0" w:color="auto"/>
              <w:left w:val="single" w:sz="4" w:space="0" w:color="000000"/>
              <w:bottom w:val="single" w:sz="4" w:space="0" w:color="000000"/>
              <w:right w:val="single" w:sz="4" w:space="0" w:color="000000"/>
            </w:tcBorders>
          </w:tcPr>
          <w:p>
            <w:pPr/>
          </w:p>
        </w:tc>
        <w:tc>
          <w:tcPr>
            <w:tcW w:w="3188"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报表项目及金额详见如下（</w:t>
            </w:r>
            <w:r>
              <w:rPr>
                <w:rFonts w:ascii="Times New Roman" w:hAnsi="Times New Roman" w:cs="Times New Roman" w:eastAsia="Times New Roman" w:hint="default"/>
                <w:sz w:val="18"/>
                <w:szCs w:val="18"/>
              </w:rPr>
              <w:t>3</w:t>
            </w:r>
            <w:r>
              <w:rPr>
                <w:rFonts w:ascii="宋体" w:hAnsi="宋体" w:cs="宋体" w:eastAsia="宋体" w:hint="default"/>
                <w:sz w:val="18"/>
                <w:szCs w:val="18"/>
              </w:rPr>
              <w:t>）中所述。</w:t>
            </w:r>
          </w:p>
        </w:tc>
      </w:tr>
      <w:tr>
        <w:trPr>
          <w:trHeight w:val="360" w:hRule="exact"/>
        </w:trPr>
        <w:tc>
          <w:tcPr>
            <w:tcW w:w="31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pacing w:val="-8"/>
                <w:sz w:val="18"/>
                <w:szCs w:val="18"/>
              </w:rPr>
              <w:t>日，财政部发布了</w:t>
            </w:r>
          </w:p>
        </w:tc>
        <w:tc>
          <w:tcPr>
            <w:tcW w:w="3188"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《关于修订印发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年度一般企业财务</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报表格式的通知</w:t>
            </w:r>
            <w:r>
              <w:rPr>
                <w:rFonts w:ascii="宋体" w:hAnsi="宋体" w:cs="宋体" w:eastAsia="宋体" w:hint="default"/>
                <w:spacing w:val="-113"/>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19</w:t>
            </w:r>
            <w:r>
              <w:rPr>
                <w:rFonts w:ascii="Times New Roman" w:hAnsi="Times New Roman" w:cs="Times New Roman" w:eastAsia="Times New Roman" w:hint="default"/>
                <w:sz w:val="18"/>
                <w:szCs w:val="18"/>
              </w:rPr>
              <w:t>] 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对</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94"/>
              <w:jc w:val="right"/>
              <w:rPr>
                <w:rFonts w:ascii="宋体" w:hAnsi="宋体" w:cs="宋体" w:eastAsia="宋体" w:hint="default"/>
                <w:sz w:val="18"/>
                <w:szCs w:val="18"/>
              </w:rPr>
            </w:pPr>
            <w:r>
              <w:rPr>
                <w:rFonts w:ascii="宋体" w:hAnsi="宋体" w:cs="宋体" w:eastAsia="宋体" w:hint="default"/>
                <w:spacing w:val="-1"/>
                <w:sz w:val="18"/>
                <w:szCs w:val="18"/>
              </w:rPr>
              <w:t>本次公司会计政策变更仅对财务</w:t>
            </w: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一般企业财务报表格式进行了修订，要</w:t>
            </w:r>
          </w:p>
        </w:tc>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日第二届董事会第三十一</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报表格式和部分科目列示产生影响，对</w:t>
            </w:r>
          </w:p>
        </w:tc>
      </w:tr>
      <w:tr>
        <w:trPr>
          <w:trHeight w:val="307"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求执行企业会计准则的非金融企业按照</w:t>
            </w:r>
          </w:p>
        </w:tc>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次会议审议通过</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公司财务状况、经营成果及现金流量没</w:t>
            </w:r>
          </w:p>
        </w:tc>
      </w:tr>
      <w:tr>
        <w:trPr>
          <w:trHeight w:val="317"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企业会计准则和本通知的要求编制</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有影响。</w:t>
            </w:r>
          </w:p>
        </w:tc>
      </w:tr>
      <w:tr>
        <w:trPr>
          <w:trHeight w:val="307"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年度中期财务报表和年度财务报表及以</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31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后期间的财务报表。</w:t>
            </w:r>
          </w:p>
        </w:tc>
        <w:tc>
          <w:tcPr>
            <w:tcW w:w="3188"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3193" w:type="dxa"/>
            <w:tcBorders>
              <w:top w:val="single" w:sz="4" w:space="0" w:color="000000"/>
              <w:left w:val="single" w:sz="4" w:space="0" w:color="000000"/>
              <w:bottom w:val="nil" w:sz="6" w:space="0" w:color="auto"/>
              <w:right w:val="single" w:sz="4" w:space="0" w:color="000000"/>
            </w:tcBorders>
          </w:tcPr>
          <w:p>
            <w:pPr/>
          </w:p>
        </w:tc>
        <w:tc>
          <w:tcPr>
            <w:tcW w:w="3188"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47"/>
              <w:jc w:val="right"/>
              <w:rPr>
                <w:rFonts w:ascii="Times New Roman" w:hAnsi="Times New Roman" w:cs="Times New Roman" w:eastAsia="Times New Roman" w:hint="default"/>
                <w:sz w:val="18"/>
                <w:szCs w:val="18"/>
              </w:rPr>
            </w:pPr>
            <w:r>
              <w:rPr>
                <w:rFonts w:ascii="宋体" w:hAnsi="宋体" w:cs="宋体" w:eastAsia="宋体" w:hint="default"/>
                <w:sz w:val="18"/>
                <w:szCs w:val="18"/>
              </w:rPr>
              <w:t>根据准则的规定企业对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pacing w:val="-6"/>
                <w:sz w:val="18"/>
                <w:szCs w:val="18"/>
              </w:rPr>
              <w:t>日、</w:t>
            </w:r>
            <w:r>
              <w:rPr>
                <w:rFonts w:ascii="Times New Roman" w:hAnsi="Times New Roman" w:cs="Times New Roman" w:eastAsia="Times New Roman" w:hint="default"/>
                <w:spacing w:val="-6"/>
                <w:sz w:val="18"/>
                <w:szCs w:val="18"/>
              </w:rPr>
              <w:t>5</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日财政</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日至准则施行日之间发生的非货币</w:t>
            </w: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部分别发布修订的《企业会计准则第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性资产交换及债务重组，应根据准则进</w:t>
            </w: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非货币性资产交换</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企业会计</w:t>
            </w:r>
          </w:p>
        </w:tc>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日第二届董事会第三十一</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行调整。企业对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日之前发</w:t>
            </w: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债务重组</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要求在所</w:t>
            </w:r>
          </w:p>
        </w:tc>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次会议审议通过</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生的非货币性资产交换及债务重组，不</w:t>
            </w:r>
          </w:p>
        </w:tc>
      </w:tr>
      <w:tr>
        <w:trPr>
          <w:trHeight w:val="307"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有执行企业会计准则的企业范围内施</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需要按照准则的规定进行追溯调整。根</w:t>
            </w: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据新准则规定公司无需对财务报表相关</w:t>
            </w:r>
          </w:p>
        </w:tc>
      </w:tr>
      <w:tr>
        <w:trPr>
          <w:trHeight w:val="357" w:hRule="exact"/>
        </w:trPr>
        <w:tc>
          <w:tcPr>
            <w:tcW w:w="3193" w:type="dxa"/>
            <w:tcBorders>
              <w:top w:val="nil" w:sz="6" w:space="0" w:color="auto"/>
              <w:left w:val="single" w:sz="4" w:space="0" w:color="000000"/>
              <w:bottom w:val="single" w:sz="4" w:space="0" w:color="000000"/>
              <w:right w:val="single" w:sz="4" w:space="0" w:color="000000"/>
            </w:tcBorders>
          </w:tcPr>
          <w:p>
            <w:pPr/>
          </w:p>
        </w:tc>
        <w:tc>
          <w:tcPr>
            <w:tcW w:w="3188"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项目及金额进行调整。</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361" w:hRule="exact"/>
        </w:trPr>
        <w:tc>
          <w:tcPr>
            <w:tcW w:w="31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日发布</w:t>
            </w:r>
          </w:p>
        </w:tc>
        <w:tc>
          <w:tcPr>
            <w:tcW w:w="3188"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
        </w:tc>
      </w:tr>
      <w:tr>
        <w:trPr>
          <w:trHeight w:val="1867"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了《关于修订印发合并财务报表格式</w:t>
            </w:r>
          </w:p>
          <w:p>
            <w:pPr>
              <w:pStyle w:val="TableParagraph"/>
              <w:spacing w:line="309" w:lineRule="auto" w:before="76"/>
              <w:ind w:left="24" w:right="1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pacing w:val="-31"/>
                <w:sz w:val="18"/>
                <w:szCs w:val="18"/>
              </w:rPr>
              <w:t>版）的通知》（财会</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[2019]</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16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 对企业合并财务报表格式进行了修订， 要求执行企业会计准则的企业按照企业 会计准则和该通知的要求编制</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 合并财务报表及以后期间的合并财务报</w:t>
            </w:r>
          </w:p>
        </w:tc>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58"/>
              <w:ind w:left="23"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日第二届董事会第三十 五次会议审议通过</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3" w:right="94" w:firstLine="542"/>
              <w:jc w:val="both"/>
              <w:rPr>
                <w:rFonts w:ascii="宋体" w:hAnsi="宋体" w:cs="宋体" w:eastAsia="宋体" w:hint="default"/>
                <w:sz w:val="18"/>
                <w:szCs w:val="18"/>
              </w:rPr>
            </w:pPr>
            <w:r>
              <w:rPr>
                <w:rFonts w:ascii="宋体" w:hAnsi="宋体" w:cs="宋体" w:eastAsia="宋体" w:hint="default"/>
                <w:sz w:val="18"/>
                <w:szCs w:val="18"/>
              </w:rPr>
              <w:t>本次公司会计政策变更仅对财务 报表格式和部分科目列示产生影响，不 涉及对公司以前年度损益的追溯调整， 不影响公司净资产、净利润等相关财务 指标。</w:t>
            </w:r>
          </w:p>
        </w:tc>
      </w:tr>
      <w:tr>
        <w:trPr>
          <w:trHeight w:val="360" w:hRule="exact"/>
        </w:trPr>
        <w:tc>
          <w:tcPr>
            <w:tcW w:w="31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表。</w:t>
            </w:r>
          </w:p>
        </w:tc>
        <w:tc>
          <w:tcPr>
            <w:tcW w:w="3188"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
        </w:tc>
      </w:tr>
    </w:tbl>
    <w:p>
      <w:pPr>
        <w:pStyle w:val="BodyText"/>
        <w:spacing w:line="300" w:lineRule="auto" w:before="8"/>
        <w:ind w:right="1128" w:firstLine="360"/>
        <w:jc w:val="both"/>
      </w:pPr>
      <w:r>
        <w:rPr/>
        <w:pict>
          <v:shape style="position:absolute;margin-left:210.406998pt;margin-top:-129.38826pt;width:165.15pt;height:128.8pt;mso-position-horizontal-relative:page;mso-position-vertical-relative:paragraph;z-index:-153097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pStyle w:val="BodyText"/>
                    <w:spacing w:line="240" w:lineRule="auto"/>
                    <w:ind w:left="0" w:right="0"/>
                    <w:jc w:val="left"/>
                  </w:pPr>
                  <w:r>
                    <w:rPr/>
                    <w:t>，</w:t>
                  </w:r>
                </w:p>
              </w:txbxContent>
            </v:textbox>
            <w10:wrap type="none"/>
          </v:shape>
        </w:pict>
      </w:r>
      <w:r>
        <w:rPr/>
        <w:pict>
          <v:group style="position:absolute;margin-left:216.529999pt;margin-top:-129.38826pt;width:159.050pt;height:46.85pt;mso-position-horizontal-relative:page;mso-position-vertical-relative:paragraph;z-index:-1530952" coordorigin="4331,-2588" coordsize="3181,937">
            <v:shape style="position:absolute;left:4331;top:-2588;width:3181;height:937" coordorigin="4331,-2588" coordsize="3181,937" path="m4331,-1651l7511,-1651,7511,-2588,4331,-2588,4331,-1651xe" filled="true" fillcolor="#ffffff" stroked="false">
              <v:path arrowok="t"/>
              <v:fill type="solid"/>
            </v:shape>
            <w10:wrap type="none"/>
          </v:group>
        </w:pict>
      </w:r>
      <w:r>
        <w:rPr/>
        <w:pict>
          <v:group style="position:absolute;margin-left:216.529999pt;margin-top:-47.408268pt;width:159.050pt;height:46.8pt;mso-position-horizontal-relative:page;mso-position-vertical-relative:paragraph;z-index:-1530928" coordorigin="4331,-948" coordsize="3181,936">
            <v:shape style="position:absolute;left:4331;top:-948;width:3181;height:936" coordorigin="4331,-948" coordsize="3181,936" path="m4331,-12l7511,-12,7511,-948,4331,-948,4331,-12xe" filled="true" fillcolor="#ffffff" stroked="false">
              <v:path arrowok="t"/>
              <v:fill type="solid"/>
            </v:shape>
            <w10:wrap type="none"/>
          </v:group>
        </w:pict>
      </w:r>
      <w:r>
        <w:rPr>
          <w:spacing w:val="-1"/>
        </w:rPr>
        <w:t>（</w:t>
      </w:r>
      <w:r>
        <w:rPr>
          <w:rFonts w:ascii="Times New Roman" w:hAnsi="Times New Roman" w:cs="Times New Roman" w:eastAsia="Times New Roman" w:hint="default"/>
          <w:spacing w:val="-1"/>
        </w:rPr>
        <w:t>1</w:t>
      </w:r>
      <w:r>
        <w:rPr>
          <w:spacing w:val="-1"/>
        </w:rPr>
        <w:t>）本公司根据财政部《关于修订印发</w:t>
      </w:r>
      <w:r>
        <w:rPr>
          <w:rFonts w:ascii="Times New Roman" w:hAnsi="Times New Roman" w:cs="Times New Roman" w:eastAsia="Times New Roman" w:hint="default"/>
          <w:spacing w:val="-1"/>
        </w:rPr>
        <w:t>2019</w:t>
      </w:r>
      <w:r>
        <w:rPr>
          <w:spacing w:val="-1"/>
        </w:rPr>
        <w:t>年度一般企业财务报表格式的通知》</w:t>
      </w:r>
      <w:r>
        <w:rPr>
          <w:rFonts w:ascii="Times New Roman" w:hAnsi="Times New Roman" w:cs="Times New Roman" w:eastAsia="Times New Roman" w:hint="default"/>
          <w:spacing w:val="-1"/>
        </w:rPr>
        <w:t>(</w:t>
      </w:r>
      <w:r>
        <w:rPr>
          <w:spacing w:val="-1"/>
        </w:rPr>
        <w:t>财会〔</w:t>
      </w:r>
      <w:r>
        <w:rPr>
          <w:rFonts w:ascii="Times New Roman" w:hAnsi="Times New Roman" w:cs="Times New Roman" w:eastAsia="Times New Roman" w:hint="default"/>
          <w:spacing w:val="-1"/>
        </w:rPr>
        <w:t>2019</w:t>
      </w:r>
      <w:r>
        <w:rPr>
          <w:spacing w:val="-1"/>
        </w:rPr>
        <w:t>〕</w:t>
      </w:r>
      <w:r>
        <w:rPr>
          <w:rFonts w:ascii="Times New Roman" w:hAnsi="Times New Roman" w:cs="Times New Roman" w:eastAsia="Times New Roman" w:hint="default"/>
          <w:spacing w:val="-1"/>
        </w:rPr>
        <w:t>6</w:t>
      </w:r>
      <w:r>
        <w:rPr>
          <w:spacing w:val="-1"/>
        </w:rPr>
        <w:t>号</w:t>
      </w:r>
      <w:r>
        <w:rPr>
          <w:rFonts w:ascii="Times New Roman" w:hAnsi="Times New Roman" w:cs="Times New Roman" w:eastAsia="Times New Roman" w:hint="default"/>
          <w:spacing w:val="-1"/>
        </w:rPr>
        <w:t>)</w:t>
      </w:r>
      <w:r>
        <w:rPr>
          <w:spacing w:val="-1"/>
        </w:rPr>
        <w:t>、《关于修订印发</w:t>
      </w:r>
      <w:r>
        <w:rPr/>
        <w:t> </w:t>
      </w:r>
      <w:r>
        <w:rPr>
          <w:spacing w:val="-1"/>
        </w:rPr>
        <w:t>合并财务报表格式（</w:t>
      </w:r>
      <w:r>
        <w:rPr>
          <w:rFonts w:ascii="Times New Roman" w:hAnsi="Times New Roman" w:cs="Times New Roman" w:eastAsia="Times New Roman" w:hint="default"/>
          <w:spacing w:val="-1"/>
        </w:rPr>
        <w:t>2019</w:t>
      </w:r>
      <w:r>
        <w:rPr>
          <w:spacing w:val="-1"/>
        </w:rPr>
        <w:t>版）的通知》</w:t>
      </w:r>
      <w:r>
        <w:rPr>
          <w:rFonts w:ascii="Times New Roman" w:hAnsi="Times New Roman" w:cs="Times New Roman" w:eastAsia="Times New Roman" w:hint="default"/>
          <w:spacing w:val="-1"/>
        </w:rPr>
        <w:t>(</w:t>
      </w:r>
      <w:r>
        <w:rPr>
          <w:spacing w:val="-1"/>
        </w:rPr>
        <w:t>财会〔</w:t>
      </w:r>
      <w:r>
        <w:rPr>
          <w:rFonts w:ascii="Times New Roman" w:hAnsi="Times New Roman" w:cs="Times New Roman" w:eastAsia="Times New Roman" w:hint="default"/>
          <w:spacing w:val="-1"/>
        </w:rPr>
        <w:t>2019</w:t>
      </w:r>
      <w:r>
        <w:rPr>
          <w:spacing w:val="-1"/>
        </w:rPr>
        <w:t>〕</w:t>
      </w:r>
      <w:r>
        <w:rPr>
          <w:rFonts w:ascii="Times New Roman" w:hAnsi="Times New Roman" w:cs="Times New Roman" w:eastAsia="Times New Roman" w:hint="default"/>
          <w:spacing w:val="-1"/>
        </w:rPr>
        <w:t>16</w:t>
      </w:r>
      <w:r>
        <w:rPr>
          <w:spacing w:val="-1"/>
        </w:rPr>
        <w:t>号</w:t>
      </w:r>
      <w:r>
        <w:rPr>
          <w:rFonts w:ascii="Times New Roman" w:hAnsi="Times New Roman" w:cs="Times New Roman" w:eastAsia="Times New Roman" w:hint="default"/>
          <w:spacing w:val="-1"/>
        </w:rPr>
        <w:t>)</w:t>
      </w:r>
      <w:r>
        <w:rPr>
          <w:spacing w:val="-1"/>
        </w:rPr>
        <w:t>和企业会计准则的要求编制</w:t>
      </w:r>
      <w:r>
        <w:rPr>
          <w:rFonts w:ascii="Times New Roman" w:hAnsi="Times New Roman" w:cs="Times New Roman" w:eastAsia="Times New Roman" w:hint="default"/>
          <w:spacing w:val="-1"/>
        </w:rPr>
        <w:t>2019</w:t>
      </w:r>
      <w:r>
        <w:rPr>
          <w:spacing w:val="-1"/>
        </w:rPr>
        <w:t>年度财务报表，此项会计政策变</w:t>
      </w:r>
      <w:r>
        <w:rPr>
          <w:spacing w:val="-56"/>
        </w:rPr>
        <w:t> </w:t>
      </w:r>
      <w:r>
        <w:rPr>
          <w:spacing w:val="-56"/>
        </w:rPr>
      </w:r>
      <w:r>
        <w:rPr/>
        <w:t>更采用追溯调整法。</w:t>
      </w:r>
      <w:r>
        <w:rPr>
          <w:rFonts w:ascii="Times New Roman" w:hAnsi="Times New Roman" w:cs="Times New Roman" w:eastAsia="Times New Roman" w:hint="default"/>
        </w:rPr>
        <w:t>2018</w:t>
      </w:r>
      <w:r>
        <w:rPr/>
        <w:t>年度财务报表受重要影响的报表项目和金额如下：</w:t>
      </w:r>
    </w:p>
    <w:tbl>
      <w:tblPr>
        <w:tblW w:w="0" w:type="auto"/>
        <w:jc w:val="left"/>
        <w:tblInd w:w="145" w:type="dxa"/>
        <w:tblLayout w:type="fixed"/>
        <w:tblCellMar>
          <w:top w:w="0" w:type="dxa"/>
          <w:left w:w="0" w:type="dxa"/>
          <w:bottom w:w="0" w:type="dxa"/>
          <w:right w:w="0" w:type="dxa"/>
        </w:tblCellMar>
        <w:tblLook w:val="01E0"/>
      </w:tblPr>
      <w:tblGrid>
        <w:gridCol w:w="2588"/>
        <w:gridCol w:w="2429"/>
        <w:gridCol w:w="1824"/>
        <w:gridCol w:w="2377"/>
      </w:tblGrid>
      <w:tr>
        <w:trPr>
          <w:trHeight w:val="346" w:hRule="exact"/>
        </w:trPr>
        <w:tc>
          <w:tcPr>
            <w:tcW w:w="501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7" w:right="0"/>
              <w:jc w:val="left"/>
              <w:rPr>
                <w:rFonts w:ascii="宋体" w:hAnsi="宋体" w:cs="宋体" w:eastAsia="宋体" w:hint="default"/>
                <w:sz w:val="18"/>
                <w:szCs w:val="18"/>
              </w:rPr>
            </w:pPr>
            <w:r>
              <w:rPr>
                <w:rFonts w:ascii="宋体" w:hAnsi="宋体" w:cs="宋体" w:eastAsia="宋体" w:hint="default"/>
                <w:sz w:val="18"/>
                <w:szCs w:val="18"/>
              </w:rPr>
              <w:t>原列报报表项目及金额</w:t>
            </w:r>
          </w:p>
        </w:tc>
        <w:tc>
          <w:tcPr>
            <w:tcW w:w="42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22" w:right="0"/>
              <w:jc w:val="left"/>
              <w:rPr>
                <w:rFonts w:ascii="宋体" w:hAnsi="宋体" w:cs="宋体" w:eastAsia="宋体" w:hint="default"/>
                <w:sz w:val="18"/>
                <w:szCs w:val="18"/>
              </w:rPr>
            </w:pPr>
            <w:r>
              <w:rPr>
                <w:rFonts w:ascii="宋体" w:hAnsi="宋体" w:cs="宋体" w:eastAsia="宋体" w:hint="default"/>
                <w:sz w:val="18"/>
                <w:szCs w:val="18"/>
              </w:rPr>
              <w:t>新列报报表项目及金额</w:t>
            </w:r>
          </w:p>
        </w:tc>
      </w:tr>
      <w:tr>
        <w:trPr>
          <w:trHeight w:val="348" w:hRule="exact"/>
        </w:trPr>
        <w:tc>
          <w:tcPr>
            <w:tcW w:w="2588" w:type="dxa"/>
            <w:vMerge w:val="restart"/>
            <w:tcBorders>
              <w:top w:val="single" w:sz="6" w:space="0" w:color="000000"/>
              <w:left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429" w:type="dxa"/>
            <w:vMerge w:val="restart"/>
            <w:tcBorders>
              <w:top w:val="single" w:sz="6" w:space="0" w:color="000000"/>
              <w:left w:val="single" w:sz="6" w:space="0" w:color="000000"/>
              <w:right w:val="single" w:sz="6" w:space="0" w:color="000000"/>
            </w:tcBorders>
          </w:tcPr>
          <w:p>
            <w:pPr>
              <w:pStyle w:val="TableParagraph"/>
              <w:spacing w:line="240" w:lineRule="auto" w:before="62"/>
              <w:ind w:left="1287" w:right="0"/>
              <w:jc w:val="left"/>
              <w:rPr>
                <w:rFonts w:ascii="Times New Roman" w:hAnsi="Times New Roman" w:cs="Times New Roman" w:eastAsia="Times New Roman" w:hint="default"/>
                <w:sz w:val="18"/>
                <w:szCs w:val="18"/>
              </w:rPr>
            </w:pPr>
            <w:r>
              <w:rPr>
                <w:rFonts w:ascii="Times New Roman"/>
                <w:sz w:val="18"/>
              </w:rPr>
              <w:t>303,429,758.64</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896,600.00</w:t>
            </w:r>
          </w:p>
        </w:tc>
      </w:tr>
      <w:tr>
        <w:trPr>
          <w:trHeight w:val="346" w:hRule="exact"/>
        </w:trPr>
        <w:tc>
          <w:tcPr>
            <w:tcW w:w="2588" w:type="dxa"/>
            <w:vMerge/>
            <w:tcBorders>
              <w:left w:val="single" w:sz="6" w:space="0" w:color="000000"/>
              <w:bottom w:val="single" w:sz="6" w:space="0" w:color="000000"/>
              <w:right w:val="single" w:sz="6" w:space="0" w:color="000000"/>
            </w:tcBorders>
          </w:tcPr>
          <w:p>
            <w:pPr/>
          </w:p>
        </w:tc>
        <w:tc>
          <w:tcPr>
            <w:tcW w:w="2429" w:type="dxa"/>
            <w:vMerge/>
            <w:tcBorders>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302,533,158.64</w:t>
            </w:r>
          </w:p>
        </w:tc>
      </w:tr>
      <w:tr>
        <w:trPr>
          <w:trHeight w:val="348" w:hRule="exact"/>
        </w:trPr>
        <w:tc>
          <w:tcPr>
            <w:tcW w:w="2588" w:type="dxa"/>
            <w:vMerge w:val="restart"/>
            <w:tcBorders>
              <w:top w:val="single" w:sz="6" w:space="0" w:color="000000"/>
              <w:left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429" w:type="dxa"/>
            <w:vMerge w:val="restart"/>
            <w:tcBorders>
              <w:top w:val="single" w:sz="6" w:space="0" w:color="000000"/>
              <w:left w:val="single" w:sz="6" w:space="0" w:color="000000"/>
              <w:right w:val="single" w:sz="6" w:space="0" w:color="000000"/>
            </w:tcBorders>
          </w:tcPr>
          <w:p>
            <w:pPr>
              <w:pStyle w:val="TableParagraph"/>
              <w:spacing w:line="240" w:lineRule="auto" w:before="62"/>
              <w:ind w:left="1287" w:right="0"/>
              <w:jc w:val="left"/>
              <w:rPr>
                <w:rFonts w:ascii="Times New Roman" w:hAnsi="Times New Roman" w:cs="Times New Roman" w:eastAsia="Times New Roman" w:hint="default"/>
                <w:sz w:val="18"/>
                <w:szCs w:val="18"/>
              </w:rPr>
            </w:pPr>
            <w:r>
              <w:rPr>
                <w:rFonts w:ascii="Times New Roman"/>
                <w:sz w:val="18"/>
              </w:rPr>
              <w:t>238,757,685.14</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64,878,808.83</w:t>
            </w:r>
          </w:p>
        </w:tc>
      </w:tr>
      <w:tr>
        <w:trPr>
          <w:trHeight w:val="348" w:hRule="exact"/>
        </w:trPr>
        <w:tc>
          <w:tcPr>
            <w:tcW w:w="2588" w:type="dxa"/>
            <w:vMerge/>
            <w:tcBorders>
              <w:left w:val="single" w:sz="6" w:space="0" w:color="000000"/>
              <w:bottom w:val="single" w:sz="6" w:space="0" w:color="000000"/>
              <w:right w:val="single" w:sz="6" w:space="0" w:color="000000"/>
            </w:tcBorders>
          </w:tcPr>
          <w:p>
            <w:pPr/>
          </w:p>
        </w:tc>
        <w:tc>
          <w:tcPr>
            <w:tcW w:w="2429" w:type="dxa"/>
            <w:vMerge/>
            <w:tcBorders>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173,878,876.31</w:t>
            </w:r>
          </w:p>
        </w:tc>
      </w:tr>
    </w:tbl>
    <w:p>
      <w:pPr>
        <w:spacing w:line="240" w:lineRule="auto" w:before="6"/>
        <w:rPr>
          <w:rFonts w:ascii="宋体" w:hAnsi="宋体" w:cs="宋体" w:eastAsia="宋体" w:hint="default"/>
          <w:sz w:val="21"/>
          <w:szCs w:val="21"/>
        </w:rPr>
      </w:pPr>
    </w:p>
    <w:p>
      <w:pPr>
        <w:pStyle w:val="BodyText"/>
        <w:spacing w:line="307" w:lineRule="auto" w:before="44"/>
        <w:ind w:right="1131" w:firstLine="360"/>
        <w:jc w:val="both"/>
      </w:pPr>
      <w:r>
        <w:rPr/>
        <w:t>（</w:t>
      </w:r>
      <w:r>
        <w:rPr>
          <w:rFonts w:ascii="Times New Roman" w:hAnsi="Times New Roman" w:cs="Times New Roman" w:eastAsia="Times New Roman" w:hint="default"/>
        </w:rPr>
        <w:t>2</w:t>
      </w:r>
      <w:r>
        <w:rPr/>
        <w:t>）本公司自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日起执行财政部修订后的《企业会计准则第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金融工具确认和计量》《企业会计准则 </w:t>
      </w:r>
      <w:r>
        <w:rPr>
          <w:spacing w:val="-2"/>
        </w:rPr>
        <w:t>第</w:t>
      </w:r>
      <w:r>
        <w:rPr>
          <w:rFonts w:ascii="Times New Roman" w:hAnsi="Times New Roman" w:cs="Times New Roman" w:eastAsia="Times New Roman" w:hint="default"/>
          <w:spacing w:val="-2"/>
        </w:rPr>
        <w:t>23</w:t>
      </w:r>
      <w:r>
        <w:rPr>
          <w:spacing w:val="-2"/>
        </w:rPr>
        <w:t>号</w:t>
      </w:r>
      <w:r>
        <w:rPr>
          <w:rFonts w:ascii="Times New Roman" w:hAnsi="Times New Roman" w:cs="Times New Roman" w:eastAsia="Times New Roman" w:hint="default"/>
          <w:spacing w:val="-2"/>
        </w:rPr>
        <w:t>——</w:t>
      </w:r>
      <w:r>
        <w:rPr>
          <w:spacing w:val="-2"/>
        </w:rPr>
        <w:t>金融资产转移》《企业会计准则第</w:t>
      </w:r>
      <w:r>
        <w:rPr>
          <w:rFonts w:ascii="Times New Roman" w:hAnsi="Times New Roman" w:cs="Times New Roman" w:eastAsia="Times New Roman" w:hint="default"/>
          <w:spacing w:val="-2"/>
        </w:rPr>
        <w:t>24</w:t>
      </w:r>
      <w:r>
        <w:rPr>
          <w:spacing w:val="-2"/>
        </w:rPr>
        <w:t>号</w:t>
      </w:r>
      <w:r>
        <w:rPr>
          <w:rFonts w:ascii="Times New Roman" w:hAnsi="Times New Roman" w:cs="Times New Roman" w:eastAsia="Times New Roman" w:hint="default"/>
          <w:spacing w:val="-2"/>
        </w:rPr>
        <w:t>——</w:t>
      </w:r>
      <w:r>
        <w:rPr>
          <w:spacing w:val="-2"/>
        </w:rPr>
        <w:t>套期保值》以及《企业会计准则第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金融工具列报》（以下简</w:t>
      </w:r>
      <w:r>
        <w:rPr>
          <w:spacing w:val="-62"/>
        </w:rPr>
        <w:t> </w:t>
      </w:r>
      <w:r>
        <w:rPr>
          <w:spacing w:val="-62"/>
        </w:rPr>
      </w:r>
      <w:r>
        <w:rPr>
          <w:spacing w:val="-2"/>
        </w:rPr>
        <w:t>称新金融工具准则）。根据相关新旧准则衔接规定，对可比期间信息不予调整，首次执行日执行新准则与原准则的差异追溯</w:t>
      </w:r>
      <w:r>
        <w:rPr>
          <w:spacing w:val="-64"/>
        </w:rPr>
        <w:t> </w:t>
      </w:r>
      <w:r>
        <w:rPr>
          <w:spacing w:val="-64"/>
        </w:rPr>
      </w:r>
      <w:r>
        <w:rPr/>
        <w:t>调整本报告期期初留存收益或其他综合收益。</w:t>
      </w:r>
    </w:p>
    <w:p>
      <w:pPr>
        <w:pStyle w:val="BodyText"/>
        <w:spacing w:line="316" w:lineRule="auto" w:before="26"/>
        <w:ind w:right="1130" w:firstLine="360"/>
        <w:jc w:val="both"/>
      </w:pPr>
      <w:r>
        <w:rPr>
          <w:spacing w:val="-2"/>
        </w:rPr>
        <w:t>新金融工具准则改变了金融资产的分类和计量方式，确定了三个计量类别：摊余成本；以公允价值计量且其变动计入其</w:t>
      </w:r>
      <w:r>
        <w:rPr/>
        <w:t> </w:t>
      </w:r>
      <w:r>
        <w:rPr>
          <w:spacing w:val="-2"/>
        </w:rPr>
        <w:t>他综合收益；以公允价值计量且其变动计入当期损益。公司考虑自身业务模式，以及金融资产的合同现金流特征进行上述分</w:t>
      </w:r>
      <w:r>
        <w:rPr>
          <w:spacing w:val="-63"/>
        </w:rPr>
        <w:t> </w:t>
      </w:r>
      <w:r>
        <w:rPr>
          <w:spacing w:val="-63"/>
        </w:rPr>
      </w:r>
      <w:r>
        <w:rPr>
          <w:spacing w:val="-2"/>
        </w:rPr>
        <w:t>类。权益类投资需按公允价值计量且其变动计入当期损益，但非交易性权益类投资在初始确认时可选择按公允价值计量且其</w:t>
      </w:r>
      <w:r>
        <w:rPr>
          <w:spacing w:val="-64"/>
        </w:rPr>
        <w:t> </w:t>
      </w:r>
      <w:r>
        <w:rPr>
          <w:spacing w:val="-64"/>
        </w:rPr>
      </w:r>
      <w:r>
        <w:rPr/>
        <w:t>变动计入其他综合收益</w:t>
      </w:r>
      <w:r>
        <w:rPr>
          <w:rFonts w:ascii="Times New Roman" w:hAnsi="Times New Roman" w:cs="Times New Roman" w:eastAsia="Times New Roman" w:hint="default"/>
        </w:rPr>
        <w:t>(</w:t>
      </w:r>
      <w:r>
        <w:rPr/>
        <w:t>处置时的利得或损失不能回转到损益，但股利收入计入当期损益</w:t>
      </w:r>
      <w:r>
        <w:rPr>
          <w:rFonts w:ascii="Times New Roman" w:hAnsi="Times New Roman" w:cs="Times New Roman" w:eastAsia="Times New Roman" w:hint="default"/>
        </w:rPr>
        <w:t>)</w:t>
      </w:r>
      <w:r>
        <w:rPr/>
        <w:t>，且该选择不可撤销。</w:t>
      </w:r>
    </w:p>
    <w:p>
      <w:pPr>
        <w:pStyle w:val="BodyText"/>
        <w:spacing w:line="300" w:lineRule="auto"/>
        <w:ind w:right="1131" w:firstLine="360"/>
        <w:jc w:val="both"/>
      </w:pPr>
      <w:r>
        <w:rPr>
          <w:spacing w:val="-1"/>
        </w:rPr>
        <w:t>新金融工具准则要求金融资产减值计量由</w:t>
      </w:r>
      <w:r>
        <w:rPr>
          <w:rFonts w:ascii="Times New Roman" w:hAnsi="Times New Roman" w:cs="Times New Roman" w:eastAsia="Times New Roman" w:hint="default"/>
          <w:spacing w:val="-1"/>
        </w:rPr>
        <w:t>“</w:t>
      </w:r>
      <w:r>
        <w:rPr>
          <w:spacing w:val="-1"/>
        </w:rPr>
        <w:t>已发生损失模型</w:t>
      </w:r>
      <w:r>
        <w:rPr>
          <w:rFonts w:ascii="Times New Roman" w:hAnsi="Times New Roman" w:cs="Times New Roman" w:eastAsia="Times New Roman" w:hint="default"/>
          <w:spacing w:val="-1"/>
        </w:rPr>
        <w:t>”</w:t>
      </w:r>
      <w:r>
        <w:rPr>
          <w:spacing w:val="-1"/>
        </w:rPr>
        <w:t>改为</w:t>
      </w:r>
      <w:r>
        <w:rPr>
          <w:rFonts w:ascii="Times New Roman" w:hAnsi="Times New Roman" w:cs="Times New Roman" w:eastAsia="Times New Roman" w:hint="default"/>
          <w:spacing w:val="-1"/>
        </w:rPr>
        <w:t>“</w:t>
      </w:r>
      <w:r>
        <w:rPr>
          <w:spacing w:val="-1"/>
        </w:rPr>
        <w:t>预期信用损失模型</w:t>
      </w:r>
      <w:r>
        <w:rPr>
          <w:rFonts w:ascii="Times New Roman" w:hAnsi="Times New Roman" w:cs="Times New Roman" w:eastAsia="Times New Roman" w:hint="default"/>
          <w:spacing w:val="-1"/>
        </w:rPr>
        <w:t>”</w:t>
      </w:r>
      <w:r>
        <w:rPr>
          <w:spacing w:val="-1"/>
        </w:rPr>
        <w:t>，适用于以摊余成本计量的金融资</w:t>
      </w:r>
      <w:r>
        <w:rPr/>
        <w:t> 产、以公允价值计量且其变动计入其他综合收益的金融资产、租赁应收款。</w:t>
      </w:r>
    </w:p>
    <w:p>
      <w:pPr>
        <w:pStyle w:val="BodyText"/>
        <w:spacing w:line="240" w:lineRule="auto" w:before="31"/>
        <w:ind w:left="513" w:right="967"/>
        <w:jc w:val="left"/>
      </w:pPr>
      <w:r>
        <w:rPr/>
        <w:t>①</w:t>
      </w:r>
      <w:r>
        <w:rPr>
          <w:spacing w:val="-21"/>
        </w:rPr>
        <w:t> </w:t>
      </w:r>
      <w:r>
        <w:rPr/>
        <w:t>执行新金融工具准则对公司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日财务报表的主要影响如下：</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2180"/>
        <w:gridCol w:w="2317"/>
        <w:gridCol w:w="2168"/>
        <w:gridCol w:w="2554"/>
      </w:tblGrid>
      <w:tr>
        <w:trPr>
          <w:trHeight w:val="346" w:hRule="exact"/>
        </w:trPr>
        <w:tc>
          <w:tcPr>
            <w:tcW w:w="2180" w:type="dxa"/>
            <w:vMerge w:val="restart"/>
            <w:tcBorders>
              <w:top w:val="single" w:sz="6" w:space="0" w:color="000000"/>
              <w:left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3"/>
                <w:sz w:val="18"/>
                <w:szCs w:val="18"/>
              </w:rPr>
              <w:t> </w:t>
            </w:r>
            <w:r>
              <w:rPr>
                <w:rFonts w:ascii="宋体" w:hAnsi="宋体" w:cs="宋体" w:eastAsia="宋体" w:hint="default"/>
                <w:sz w:val="18"/>
                <w:szCs w:val="18"/>
              </w:rPr>
              <w:t>目</w:t>
            </w:r>
          </w:p>
        </w:tc>
        <w:tc>
          <w:tcPr>
            <w:tcW w:w="703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资产负债表</w:t>
            </w:r>
          </w:p>
        </w:tc>
      </w:tr>
      <w:tr>
        <w:trPr>
          <w:trHeight w:val="661" w:hRule="exact"/>
        </w:trPr>
        <w:tc>
          <w:tcPr>
            <w:tcW w:w="2180" w:type="dxa"/>
            <w:vMerge/>
            <w:tcBorders>
              <w:left w:val="single" w:sz="6" w:space="0" w:color="000000"/>
              <w:bottom w:val="single" w:sz="6" w:space="0" w:color="000000"/>
              <w:right w:val="single" w:sz="6" w:space="0" w:color="000000"/>
            </w:tcBorders>
          </w:tcPr>
          <w:p>
            <w:pPr/>
          </w:p>
        </w:tc>
        <w:tc>
          <w:tcPr>
            <w:tcW w:w="2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717" w:right="442" w:hanging="270"/>
              <w:jc w:val="left"/>
              <w:rPr>
                <w:rFonts w:ascii="宋体" w:hAnsi="宋体" w:cs="宋体" w:eastAsia="宋体" w:hint="default"/>
                <w:sz w:val="18"/>
                <w:szCs w:val="18"/>
              </w:rPr>
            </w:pPr>
            <w:r>
              <w:rPr>
                <w:rFonts w:ascii="宋体" w:hAnsi="宋体" w:cs="宋体" w:eastAsia="宋体" w:hint="default"/>
                <w:sz w:val="18"/>
                <w:szCs w:val="18"/>
              </w:rPr>
              <w:t>新金融工具准则 调整影响</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348" w:hRule="exact"/>
        </w:trPr>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317" w:type="dxa"/>
            <w:tcBorders>
              <w:top w:val="single" w:sz="6" w:space="0" w:color="000000"/>
              <w:left w:val="single" w:sz="6" w:space="0" w:color="000000"/>
              <w:bottom w:val="single" w:sz="6" w:space="0" w:color="000000"/>
              <w:right w:val="single" w:sz="6" w:space="0" w:color="000000"/>
            </w:tcBorders>
          </w:tcPr>
          <w:p>
            <w:pP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45,000,000.00</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45,000,000.00</w:t>
            </w:r>
          </w:p>
        </w:tc>
      </w:tr>
      <w:tr>
        <w:trPr>
          <w:trHeight w:val="346" w:hRule="exact"/>
        </w:trPr>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896,600.00</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-296,000.00</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600,600.00</w:t>
            </w:r>
          </w:p>
        </w:tc>
      </w:tr>
      <w:tr>
        <w:trPr>
          <w:trHeight w:val="348" w:hRule="exact"/>
        </w:trPr>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317" w:type="dxa"/>
            <w:tcBorders>
              <w:top w:val="single" w:sz="6" w:space="0" w:color="000000"/>
              <w:left w:val="single" w:sz="6" w:space="0" w:color="000000"/>
              <w:bottom w:val="single" w:sz="6" w:space="0" w:color="000000"/>
              <w:right w:val="single" w:sz="6" w:space="0" w:color="000000"/>
            </w:tcBorders>
          </w:tcPr>
          <w:p>
            <w:pP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296,000.00</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296,000.00</w:t>
            </w:r>
          </w:p>
        </w:tc>
      </w:tr>
      <w:tr>
        <w:trPr>
          <w:trHeight w:val="346" w:hRule="exact"/>
        </w:trPr>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203,030,705.07</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-45,000,000.00</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158,030,705.07</w:t>
            </w:r>
          </w:p>
        </w:tc>
      </w:tr>
      <w:tr>
        <w:trPr>
          <w:trHeight w:val="348" w:hRule="exact"/>
        </w:trPr>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1,500,000.00</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-1,500,000.00</w:t>
            </w:r>
          </w:p>
        </w:tc>
        <w:tc>
          <w:tcPr>
            <w:tcW w:w="255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317" w:type="dxa"/>
            <w:tcBorders>
              <w:top w:val="single" w:sz="6" w:space="0" w:color="000000"/>
              <w:left w:val="single" w:sz="6" w:space="0" w:color="000000"/>
              <w:bottom w:val="single" w:sz="6" w:space="0" w:color="000000"/>
              <w:right w:val="single" w:sz="6" w:space="0" w:color="000000"/>
            </w:tcBorders>
          </w:tcPr>
          <w:p>
            <w:pP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1,500,000.00</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1,500,000.00</w:t>
            </w:r>
          </w:p>
        </w:tc>
      </w:tr>
    </w:tbl>
    <w:p>
      <w:pPr>
        <w:spacing w:line="240" w:lineRule="auto" w:before="1"/>
        <w:rPr>
          <w:rFonts w:ascii="宋体" w:hAnsi="宋体" w:cs="宋体" w:eastAsia="宋体" w:hint="default"/>
          <w:sz w:val="21"/>
          <w:szCs w:val="21"/>
        </w:rPr>
      </w:pPr>
    </w:p>
    <w:p>
      <w:pPr>
        <w:pStyle w:val="BodyText"/>
        <w:spacing w:line="300" w:lineRule="auto" w:before="44"/>
        <w:ind w:right="1145" w:firstLine="360"/>
        <w:jc w:val="left"/>
      </w:pPr>
      <w:r>
        <w:rPr/>
        <w:t>②</w:t>
      </w:r>
      <w:r>
        <w:rPr>
          <w:spacing w:val="-21"/>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日，公司金融资产和金融负债按照新金融工具准则和按原金融工具准则的规定进行分类和计量结果对比 如下表：</w:t>
      </w:r>
    </w:p>
    <w:tbl>
      <w:tblPr>
        <w:tblW w:w="0" w:type="auto"/>
        <w:jc w:val="left"/>
        <w:tblInd w:w="148" w:type="dxa"/>
        <w:tblLayout w:type="fixed"/>
        <w:tblCellMar>
          <w:top w:w="0" w:type="dxa"/>
          <w:left w:w="0" w:type="dxa"/>
          <w:bottom w:w="0" w:type="dxa"/>
          <w:right w:w="0" w:type="dxa"/>
        </w:tblCellMar>
        <w:tblLook w:val="01E0"/>
      </w:tblPr>
      <w:tblGrid>
        <w:gridCol w:w="1808"/>
        <w:gridCol w:w="1525"/>
        <w:gridCol w:w="2057"/>
        <w:gridCol w:w="1702"/>
        <w:gridCol w:w="2127"/>
      </w:tblGrid>
      <w:tr>
        <w:trPr>
          <w:trHeight w:val="341" w:hRule="exact"/>
        </w:trPr>
        <w:tc>
          <w:tcPr>
            <w:tcW w:w="1808" w:type="dxa"/>
            <w:vMerge w:val="restart"/>
            <w:tcBorders>
              <w:top w:val="single" w:sz="4" w:space="0" w:color="000000"/>
              <w:left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3"/>
                <w:sz w:val="18"/>
                <w:szCs w:val="18"/>
              </w:rPr>
              <w:t> </w:t>
            </w:r>
            <w:r>
              <w:rPr>
                <w:rFonts w:ascii="宋体" w:hAnsi="宋体" w:cs="宋体" w:eastAsia="宋体" w:hint="default"/>
                <w:sz w:val="18"/>
                <w:szCs w:val="18"/>
              </w:rPr>
              <w:t>目</w:t>
            </w:r>
          </w:p>
        </w:tc>
        <w:tc>
          <w:tcPr>
            <w:tcW w:w="35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255" w:right="0"/>
              <w:jc w:val="left"/>
              <w:rPr>
                <w:rFonts w:ascii="宋体" w:hAnsi="宋体" w:cs="宋体" w:eastAsia="宋体" w:hint="default"/>
                <w:sz w:val="18"/>
                <w:szCs w:val="18"/>
              </w:rPr>
            </w:pPr>
            <w:r>
              <w:rPr>
                <w:rFonts w:ascii="宋体" w:hAnsi="宋体" w:cs="宋体" w:eastAsia="宋体" w:hint="default"/>
                <w:sz w:val="18"/>
                <w:szCs w:val="18"/>
              </w:rPr>
              <w:t>原金融工具准则</w:t>
            </w:r>
          </w:p>
        </w:tc>
        <w:tc>
          <w:tcPr>
            <w:tcW w:w="3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380" w:right="0"/>
              <w:jc w:val="left"/>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343" w:hRule="exact"/>
        </w:trPr>
        <w:tc>
          <w:tcPr>
            <w:tcW w:w="1808" w:type="dxa"/>
            <w:vMerge/>
            <w:tcBorders>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96"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6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85"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9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808"/>
        <w:gridCol w:w="1525"/>
        <w:gridCol w:w="2057"/>
        <w:gridCol w:w="1702"/>
        <w:gridCol w:w="2127"/>
      </w:tblGrid>
      <w:tr>
        <w:trPr>
          <w:trHeight w:val="653"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307" w:right="34" w:hanging="269"/>
              <w:jc w:val="left"/>
              <w:rPr>
                <w:rFonts w:ascii="宋体" w:hAnsi="宋体" w:cs="宋体" w:eastAsia="宋体" w:hint="default"/>
                <w:sz w:val="18"/>
                <w:szCs w:val="18"/>
              </w:rPr>
            </w:pPr>
            <w:r>
              <w:rPr>
                <w:rFonts w:ascii="宋体" w:hAnsi="宋体" w:cs="宋体" w:eastAsia="宋体" w:hint="default"/>
                <w:sz w:val="18"/>
                <w:szCs w:val="18"/>
              </w:rPr>
              <w:t>摊余成本（贷款和 应收款项）</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407,032,250.96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407,032,250.96</w:t>
            </w:r>
          </w:p>
        </w:tc>
      </w:tr>
      <w:tr>
        <w:trPr>
          <w:trHeight w:val="420" w:hRule="exact"/>
        </w:trPr>
        <w:tc>
          <w:tcPr>
            <w:tcW w:w="1808" w:type="dxa"/>
            <w:vMerge w:val="restart"/>
            <w:tcBorders>
              <w:top w:val="single" w:sz="4" w:space="0" w:color="000000"/>
              <w:left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25" w:type="dxa"/>
            <w:vMerge w:val="restart"/>
            <w:tcBorders>
              <w:top w:val="single" w:sz="4" w:space="0" w:color="000000"/>
              <w:left w:val="single" w:sz="4" w:space="0" w:color="000000"/>
              <w:right w:val="single" w:sz="4" w:space="0" w:color="000000"/>
            </w:tcBorders>
          </w:tcPr>
          <w:p>
            <w:pPr>
              <w:pStyle w:val="TableParagraph"/>
              <w:spacing w:line="316" w:lineRule="auto" w:before="20"/>
              <w:ind w:left="307" w:right="34" w:hanging="269"/>
              <w:jc w:val="left"/>
              <w:rPr>
                <w:rFonts w:ascii="宋体" w:hAnsi="宋体" w:cs="宋体" w:eastAsia="宋体" w:hint="default"/>
                <w:sz w:val="18"/>
                <w:szCs w:val="18"/>
              </w:rPr>
            </w:pPr>
            <w:r>
              <w:rPr>
                <w:rFonts w:ascii="宋体" w:hAnsi="宋体" w:cs="宋体" w:eastAsia="宋体" w:hint="default"/>
                <w:sz w:val="18"/>
                <w:szCs w:val="18"/>
              </w:rPr>
              <w:t>摊余成本（贷款和 应收款项）</w:t>
            </w:r>
          </w:p>
        </w:tc>
        <w:tc>
          <w:tcPr>
            <w:tcW w:w="2057" w:type="dxa"/>
            <w:vMerge w:val="restart"/>
            <w:tcBorders>
              <w:top w:val="single" w:sz="4" w:space="0" w:color="000000"/>
              <w:left w:val="single" w:sz="4" w:space="0" w:color="000000"/>
              <w:right w:val="single" w:sz="4" w:space="0" w:color="000000"/>
            </w:tcBorders>
          </w:tcPr>
          <w:p>
            <w:pPr>
              <w:pStyle w:val="TableParagraph"/>
              <w:spacing w:line="240" w:lineRule="auto" w:before="62"/>
              <w:ind w:left="1231" w:right="0"/>
              <w:jc w:val="left"/>
              <w:rPr>
                <w:rFonts w:ascii="Times New Roman" w:hAnsi="Times New Roman" w:cs="Times New Roman" w:eastAsia="Times New Roman" w:hint="default"/>
                <w:sz w:val="18"/>
                <w:szCs w:val="18"/>
              </w:rPr>
            </w:pPr>
            <w:r>
              <w:rPr>
                <w:rFonts w:ascii="Times New Roman"/>
                <w:sz w:val="18"/>
              </w:rPr>
              <w:t>896,600.00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600,600.00</w:t>
            </w:r>
          </w:p>
        </w:tc>
      </w:tr>
      <w:tr>
        <w:trPr>
          <w:trHeight w:val="965" w:hRule="exact"/>
        </w:trPr>
        <w:tc>
          <w:tcPr>
            <w:tcW w:w="1808" w:type="dxa"/>
            <w:vMerge/>
            <w:tcBorders>
              <w:left w:val="single" w:sz="4" w:space="0" w:color="000000"/>
              <w:bottom w:val="single" w:sz="4" w:space="0" w:color="000000"/>
              <w:right w:val="single" w:sz="4" w:space="0" w:color="000000"/>
            </w:tcBorders>
          </w:tcPr>
          <w:p>
            <w:pPr/>
          </w:p>
        </w:tc>
        <w:tc>
          <w:tcPr>
            <w:tcW w:w="1525" w:type="dxa"/>
            <w:vMerge/>
            <w:tcBorders>
              <w:left w:val="single" w:sz="4" w:space="0" w:color="000000"/>
              <w:bottom w:val="single" w:sz="4" w:space="0" w:color="000000"/>
              <w:right w:val="single" w:sz="4" w:space="0" w:color="000000"/>
            </w:tcBorders>
          </w:tcPr>
          <w:p>
            <w:pPr/>
          </w:p>
        </w:tc>
        <w:tc>
          <w:tcPr>
            <w:tcW w:w="2057"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62"/>
              <w:jc w:val="both"/>
              <w:rPr>
                <w:rFonts w:ascii="宋体" w:hAnsi="宋体" w:cs="宋体" w:eastAsia="宋体" w:hint="default"/>
                <w:sz w:val="18"/>
                <w:szCs w:val="18"/>
              </w:rPr>
            </w:pPr>
            <w:r>
              <w:rPr>
                <w:rFonts w:ascii="宋体" w:hAnsi="宋体" w:cs="宋体" w:eastAsia="宋体" w:hint="default"/>
                <w:sz w:val="18"/>
                <w:szCs w:val="18"/>
              </w:rPr>
              <w:t>以公允价值计量且其 变动计入其他综合收 益的金融资产</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2"/>
              <w:jc w:val="right"/>
              <w:rPr>
                <w:rFonts w:ascii="Times New Roman" w:hAnsi="Times New Roman" w:cs="Times New Roman" w:eastAsia="Times New Roman" w:hint="default"/>
                <w:sz w:val="18"/>
                <w:szCs w:val="18"/>
              </w:rPr>
            </w:pPr>
            <w:r>
              <w:rPr>
                <w:rFonts w:ascii="Times New Roman"/>
                <w:spacing w:val="-1"/>
                <w:sz w:val="18"/>
              </w:rPr>
              <w:t>296,000.00</w:t>
            </w:r>
          </w:p>
        </w:tc>
      </w:tr>
      <w:tr>
        <w:trPr>
          <w:trHeight w:val="655"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307" w:right="34" w:hanging="269"/>
              <w:jc w:val="left"/>
              <w:rPr>
                <w:rFonts w:ascii="宋体" w:hAnsi="宋体" w:cs="宋体" w:eastAsia="宋体" w:hint="default"/>
                <w:sz w:val="18"/>
                <w:szCs w:val="18"/>
              </w:rPr>
            </w:pPr>
            <w:r>
              <w:rPr>
                <w:rFonts w:ascii="宋体" w:hAnsi="宋体" w:cs="宋体" w:eastAsia="宋体" w:hint="default"/>
                <w:sz w:val="18"/>
                <w:szCs w:val="18"/>
              </w:rPr>
              <w:t>摊余成本（贷款和 应收款项）</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302,533,158.64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302,533,158.64</w:t>
            </w:r>
          </w:p>
        </w:tc>
      </w:tr>
      <w:tr>
        <w:trPr>
          <w:trHeight w:val="653"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307" w:right="34" w:hanging="269"/>
              <w:jc w:val="left"/>
              <w:rPr>
                <w:rFonts w:ascii="宋体" w:hAnsi="宋体" w:cs="宋体" w:eastAsia="宋体" w:hint="default"/>
                <w:sz w:val="18"/>
                <w:szCs w:val="18"/>
              </w:rPr>
            </w:pPr>
            <w:r>
              <w:rPr>
                <w:rFonts w:ascii="宋体" w:hAnsi="宋体" w:cs="宋体" w:eastAsia="宋体" w:hint="default"/>
                <w:sz w:val="18"/>
                <w:szCs w:val="18"/>
              </w:rPr>
              <w:t>摊余成本（贷款和 应收款项）</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13,124,147.91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13,124,147.91</w:t>
            </w:r>
          </w:p>
        </w:tc>
      </w:tr>
      <w:tr>
        <w:trPr>
          <w:trHeight w:val="634" w:hRule="exact"/>
        </w:trPr>
        <w:tc>
          <w:tcPr>
            <w:tcW w:w="18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8" w:right="125" w:hanging="92"/>
              <w:jc w:val="left"/>
              <w:rPr>
                <w:rFonts w:ascii="宋体" w:hAnsi="宋体" w:cs="宋体" w:eastAsia="宋体" w:hint="default"/>
                <w:sz w:val="18"/>
                <w:szCs w:val="18"/>
              </w:rPr>
            </w:pPr>
            <w:r>
              <w:rPr>
                <w:rFonts w:ascii="宋体" w:hAnsi="宋体" w:cs="宋体" w:eastAsia="宋体" w:hint="default"/>
                <w:sz w:val="18"/>
                <w:szCs w:val="18"/>
              </w:rPr>
              <w:t>摊余成本（贷款 和应收款项）</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150,000,000.00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1591" w:hRule="exact"/>
        </w:trPr>
        <w:tc>
          <w:tcPr>
            <w:tcW w:w="1808" w:type="dxa"/>
            <w:vMerge/>
            <w:tcBorders>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38" w:right="34"/>
              <w:jc w:val="both"/>
              <w:rPr>
                <w:rFonts w:ascii="宋体" w:hAnsi="宋体" w:cs="宋体" w:eastAsia="宋体" w:hint="default"/>
                <w:sz w:val="18"/>
                <w:szCs w:val="18"/>
              </w:rPr>
            </w:pPr>
            <w:r>
              <w:rPr>
                <w:rFonts w:ascii="宋体" w:hAnsi="宋体" w:cs="宋体" w:eastAsia="宋体" w:hint="default"/>
                <w:sz w:val="18"/>
                <w:szCs w:val="18"/>
              </w:rPr>
              <w:t>以公允价值计量且 其变动计入其他综 合收益的金融资产</w:t>
            </w:r>
          </w:p>
          <w:p>
            <w:pPr>
              <w:pStyle w:val="TableParagraph"/>
              <w:spacing w:line="316" w:lineRule="auto" w:before="19"/>
              <w:ind w:left="578" w:right="125" w:hanging="452"/>
              <w:jc w:val="left"/>
              <w:rPr>
                <w:rFonts w:ascii="宋体" w:hAnsi="宋体" w:cs="宋体" w:eastAsia="宋体" w:hint="default"/>
                <w:sz w:val="18"/>
                <w:szCs w:val="18"/>
              </w:rPr>
            </w:pPr>
            <w:r>
              <w:rPr>
                <w:rFonts w:ascii="宋体" w:hAnsi="宋体" w:cs="宋体" w:eastAsia="宋体" w:hint="default"/>
                <w:sz w:val="18"/>
                <w:szCs w:val="18"/>
              </w:rPr>
              <w:t>（可供出售类资 产）</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45,000,000.00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7" w:right="-1"/>
              <w:jc w:val="both"/>
              <w:rPr>
                <w:rFonts w:ascii="宋体" w:hAnsi="宋体" w:cs="宋体" w:eastAsia="宋体" w:hint="default"/>
                <w:sz w:val="18"/>
                <w:szCs w:val="18"/>
              </w:rPr>
            </w:pPr>
            <w:r>
              <w:rPr>
                <w:rFonts w:ascii="宋体" w:hAnsi="宋体" w:cs="宋体" w:eastAsia="宋体" w:hint="default"/>
                <w:spacing w:val="7"/>
                <w:sz w:val="18"/>
                <w:szCs w:val="18"/>
              </w:rPr>
              <w:t>以公允价值计量且其 变动计入当期损益的 </w:t>
            </w:r>
            <w:r>
              <w:rPr>
                <w:rFonts w:ascii="宋体" w:hAnsi="宋体" w:cs="宋体" w:eastAsia="宋体" w:hint="default"/>
                <w:sz w:val="18"/>
                <w:szCs w:val="18"/>
              </w:rPr>
              <w:t>金融资产</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45,000,000.00</w:t>
            </w:r>
          </w:p>
        </w:tc>
      </w:tr>
      <w:tr>
        <w:trPr>
          <w:trHeight w:val="946"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81"/>
              <w:jc w:val="left"/>
              <w:rPr>
                <w:rFonts w:ascii="宋体" w:hAnsi="宋体" w:cs="宋体" w:eastAsia="宋体" w:hint="default"/>
                <w:sz w:val="18"/>
                <w:szCs w:val="18"/>
              </w:rPr>
            </w:pPr>
            <w:r>
              <w:rPr>
                <w:rFonts w:ascii="宋体" w:hAnsi="宋体" w:cs="宋体" w:eastAsia="宋体" w:hint="default"/>
                <w:spacing w:val="18"/>
                <w:sz w:val="18"/>
                <w:szCs w:val="18"/>
              </w:rPr>
              <w:t>非交易性权益工具</w:t>
            </w:r>
            <w:r>
              <w:rPr>
                <w:rFonts w:ascii="宋体" w:hAnsi="宋体" w:cs="宋体" w:eastAsia="宋体" w:hint="default"/>
                <w:spacing w:val="-88"/>
                <w:sz w:val="18"/>
                <w:szCs w:val="18"/>
              </w:rPr>
              <w:t> </w:t>
            </w:r>
            <w:r>
              <w:rPr>
                <w:rFonts w:ascii="宋体" w:hAnsi="宋体" w:cs="宋体" w:eastAsia="宋体" w:hint="default"/>
                <w:sz w:val="18"/>
                <w:szCs w:val="18"/>
              </w:rPr>
              <w:t>投资</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27" w:right="125"/>
              <w:jc w:val="left"/>
              <w:rPr>
                <w:rFonts w:ascii="宋体" w:hAnsi="宋体" w:cs="宋体" w:eastAsia="宋体" w:hint="default"/>
                <w:sz w:val="18"/>
                <w:szCs w:val="18"/>
              </w:rPr>
            </w:pPr>
            <w:r>
              <w:rPr>
                <w:rFonts w:ascii="宋体" w:hAnsi="宋体" w:cs="宋体" w:eastAsia="宋体" w:hint="default"/>
                <w:sz w:val="18"/>
                <w:szCs w:val="18"/>
              </w:rPr>
              <w:t>以成本计量（可 供出售类资产）</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1,500,000.00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both"/>
              <w:rPr>
                <w:rFonts w:ascii="宋体" w:hAnsi="宋体" w:cs="宋体" w:eastAsia="宋体" w:hint="default"/>
                <w:sz w:val="18"/>
                <w:szCs w:val="18"/>
              </w:rPr>
            </w:pPr>
            <w:r>
              <w:rPr>
                <w:rFonts w:ascii="宋体" w:hAnsi="宋体" w:cs="宋体" w:eastAsia="宋体" w:hint="default"/>
                <w:spacing w:val="5"/>
                <w:sz w:val="18"/>
                <w:szCs w:val="18"/>
              </w:rPr>
              <w:t>以公允价值计量且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其变动计入其他综</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合收益的金融资产</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653"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398" w:right="34" w:hanging="360"/>
              <w:jc w:val="left"/>
              <w:rPr>
                <w:rFonts w:ascii="宋体" w:hAnsi="宋体" w:cs="宋体" w:eastAsia="宋体" w:hint="default"/>
                <w:sz w:val="18"/>
                <w:szCs w:val="18"/>
              </w:rPr>
            </w:pPr>
            <w:r>
              <w:rPr>
                <w:rFonts w:ascii="宋体" w:hAnsi="宋体" w:cs="宋体" w:eastAsia="宋体" w:hint="default"/>
                <w:sz w:val="18"/>
                <w:szCs w:val="18"/>
              </w:rPr>
              <w:t>摊余成本（其他金 融负债）</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64,878,808.83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64,878,808.83</w:t>
            </w:r>
          </w:p>
        </w:tc>
      </w:tr>
      <w:tr>
        <w:trPr>
          <w:trHeight w:val="655"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398" w:right="34" w:hanging="360"/>
              <w:jc w:val="left"/>
              <w:rPr>
                <w:rFonts w:ascii="宋体" w:hAnsi="宋体" w:cs="宋体" w:eastAsia="宋体" w:hint="default"/>
                <w:sz w:val="18"/>
                <w:szCs w:val="18"/>
              </w:rPr>
            </w:pPr>
            <w:r>
              <w:rPr>
                <w:rFonts w:ascii="宋体" w:hAnsi="宋体" w:cs="宋体" w:eastAsia="宋体" w:hint="default"/>
                <w:sz w:val="18"/>
                <w:szCs w:val="18"/>
              </w:rPr>
              <w:t>摊余成本（其他金 融负债）</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173,878,876.31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173,878,876.31</w:t>
            </w:r>
          </w:p>
        </w:tc>
      </w:tr>
      <w:tr>
        <w:trPr>
          <w:trHeight w:val="655"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398" w:right="34" w:hanging="360"/>
              <w:jc w:val="left"/>
              <w:rPr>
                <w:rFonts w:ascii="宋体" w:hAnsi="宋体" w:cs="宋体" w:eastAsia="宋体" w:hint="default"/>
                <w:sz w:val="18"/>
                <w:szCs w:val="18"/>
              </w:rPr>
            </w:pPr>
            <w:r>
              <w:rPr>
                <w:rFonts w:ascii="宋体" w:hAnsi="宋体" w:cs="宋体" w:eastAsia="宋体" w:hint="default"/>
                <w:sz w:val="18"/>
                <w:szCs w:val="18"/>
              </w:rPr>
              <w:t>摊余成本（其他金 融负债）</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46,564,793.84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46,564,793.84</w:t>
            </w:r>
          </w:p>
        </w:tc>
      </w:tr>
    </w:tbl>
    <w:p>
      <w:pPr>
        <w:spacing w:line="240" w:lineRule="auto" w:before="1"/>
        <w:rPr>
          <w:rFonts w:ascii="宋体" w:hAnsi="宋体" w:cs="宋体" w:eastAsia="宋体" w:hint="default"/>
          <w:sz w:val="21"/>
          <w:szCs w:val="21"/>
        </w:rPr>
      </w:pPr>
    </w:p>
    <w:p>
      <w:pPr>
        <w:pStyle w:val="BodyText"/>
        <w:spacing w:line="300" w:lineRule="auto" w:before="44"/>
        <w:ind w:right="1145" w:firstLine="360"/>
        <w:jc w:val="left"/>
      </w:pPr>
      <w:r>
        <w:rPr/>
        <w:t>③</w:t>
      </w:r>
      <w:r>
        <w:rPr>
          <w:spacing w:val="-21"/>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日，公司原金融资产和金融负债账面价值调整为按照新金融工具准则的规定进行分类和计量的新金融资 产和金融负债账面价值的调节表如下：</w:t>
      </w:r>
    </w:p>
    <w:p>
      <w:pPr>
        <w:spacing w:line="240" w:lineRule="auto" w:before="4"/>
        <w:rPr>
          <w:rFonts w:ascii="宋体" w:hAnsi="宋体" w:cs="宋体" w:eastAsia="宋体" w:hint="default"/>
          <w:sz w:val="24"/>
          <w:szCs w:val="24"/>
        </w:rPr>
      </w:pPr>
    </w:p>
    <w:p>
      <w:pPr>
        <w:pStyle w:val="BodyText"/>
        <w:spacing w:line="240" w:lineRule="auto" w:before="44"/>
        <w:ind w:left="0" w:right="1508"/>
        <w:jc w:val="right"/>
      </w:pPr>
      <w:r>
        <w:rPr/>
        <w:pict>
          <v:shape style="position:absolute;margin-left:56.400002pt;margin-top:-14.768256pt;width:461.5pt;height:215.35pt;mso-position-horizontal-relative:page;mso-position-vertical-relative:paragraph;z-index:28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96"/>
                    <w:gridCol w:w="1699"/>
                    <w:gridCol w:w="1702"/>
                    <w:gridCol w:w="991"/>
                    <w:gridCol w:w="2127"/>
                  </w:tblGrid>
                  <w:tr>
                    <w:trPr>
                      <w:trHeight w:val="96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79"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8"/>
                            <w:sz w:val="18"/>
                            <w:szCs w:val="18"/>
                          </w:rPr>
                          <w:t> </w:t>
                        </w:r>
                        <w:r>
                          <w:rPr>
                            <w:rFonts w:ascii="宋体" w:hAnsi="宋体" w:cs="宋体" w:eastAsia="宋体" w:hint="default"/>
                            <w:sz w:val="18"/>
                            <w:szCs w:val="18"/>
                          </w:rPr>
                          <w:t>目</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7"/>
                          <w:ind w:left="33" w:right="33" w:hanging="1"/>
                          <w:jc w:val="center"/>
                          <w:rPr>
                            <w:rFonts w:ascii="宋体" w:hAnsi="宋体" w:cs="宋体" w:eastAsia="宋体" w:hint="default"/>
                            <w:sz w:val="18"/>
                            <w:szCs w:val="18"/>
                          </w:rPr>
                        </w:pPr>
                        <w:r>
                          <w:rPr>
                            <w:rFonts w:ascii="宋体" w:hAnsi="宋体" w:cs="宋体" w:eastAsia="宋体" w:hint="default"/>
                            <w:sz w:val="18"/>
                            <w:szCs w:val="18"/>
                          </w:rPr>
                          <w:t>按原金融工具准则列 示的账面价值（</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76"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1"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65" w:firstLine="62"/>
                          <w:jc w:val="left"/>
                          <w:rPr>
                            <w:rFonts w:ascii="宋体" w:hAnsi="宋体" w:cs="宋体" w:eastAsia="宋体" w:hint="default"/>
                            <w:sz w:val="18"/>
                            <w:szCs w:val="18"/>
                          </w:rPr>
                        </w:pPr>
                        <w:r>
                          <w:rPr>
                            <w:rFonts w:ascii="宋体" w:hAnsi="宋体" w:cs="宋体" w:eastAsia="宋体" w:hint="default"/>
                            <w:sz w:val="18"/>
                            <w:szCs w:val="18"/>
                          </w:rPr>
                          <w:t>按新金融工具准则列示的 账面价值（</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343" w:hRule="exact"/>
                    </w:trPr>
                    <w:tc>
                      <w:tcPr>
                        <w:tcW w:w="921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金融资产</w:t>
                        </w:r>
                      </w:p>
                    </w:tc>
                  </w:tr>
                  <w:tr>
                    <w:trPr>
                      <w:trHeight w:val="341" w:hRule="exact"/>
                    </w:trPr>
                    <w:tc>
                      <w:tcPr>
                        <w:tcW w:w="921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摊余成本</w:t>
                        </w:r>
                      </w:p>
                    </w:tc>
                  </w:tr>
                  <w:tr>
                    <w:trPr>
                      <w:trHeight w:val="343" w:hRule="exact"/>
                    </w:trPr>
                    <w:tc>
                      <w:tcPr>
                        <w:tcW w:w="921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货币资金</w:t>
                        </w:r>
                      </w:p>
                    </w:tc>
                  </w:tr>
                  <w:tr>
                    <w:trPr>
                      <w:trHeight w:val="65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pacing w:val="16"/>
                            <w:sz w:val="18"/>
                            <w:szCs w:val="18"/>
                          </w:rPr>
                          <w:t>按原</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列</w:t>
                        </w:r>
                        <w:r>
                          <w:rPr>
                            <w:rFonts w:ascii="宋体" w:hAnsi="宋体" w:cs="宋体" w:eastAsia="宋体" w:hint="default"/>
                            <w:spacing w:val="-57"/>
                            <w:sz w:val="18"/>
                            <w:szCs w:val="18"/>
                          </w:rPr>
                          <w:t> </w:t>
                        </w:r>
                        <w:r>
                          <w:rPr>
                            <w:rFonts w:ascii="宋体" w:hAnsi="宋体" w:cs="宋体" w:eastAsia="宋体" w:hint="default"/>
                            <w:sz w:val="18"/>
                            <w:szCs w:val="18"/>
                          </w:rPr>
                          <w:t>示</w:t>
                        </w:r>
                        <w:r>
                          <w:rPr>
                            <w:rFonts w:ascii="宋体" w:hAnsi="宋体" w:cs="宋体" w:eastAsia="宋体" w:hint="default"/>
                            <w:spacing w:val="-57"/>
                            <w:sz w:val="18"/>
                            <w:szCs w:val="18"/>
                          </w:rPr>
                          <w:t> </w:t>
                        </w:r>
                        <w:r>
                          <w:rPr>
                            <w:rFonts w:ascii="宋体" w:hAnsi="宋体" w:cs="宋体" w:eastAsia="宋体" w:hint="default"/>
                            <w:sz w:val="18"/>
                            <w:szCs w:val="18"/>
                          </w:rPr>
                          <w:t>的</w:t>
                        </w:r>
                        <w:r>
                          <w:rPr>
                            <w:rFonts w:ascii="宋体" w:hAnsi="宋体" w:cs="宋体" w:eastAsia="宋体" w:hint="default"/>
                            <w:spacing w:val="-57"/>
                            <w:sz w:val="18"/>
                            <w:szCs w:val="18"/>
                          </w:rPr>
                          <w:t> </w:t>
                        </w:r>
                        <w:r>
                          <w:rPr>
                            <w:rFonts w:ascii="宋体" w:hAnsi="宋体" w:cs="宋体" w:eastAsia="宋体" w:hint="default"/>
                            <w:sz w:val="18"/>
                            <w:szCs w:val="18"/>
                          </w:rPr>
                          <w:t>金</w:t>
                        </w:r>
                        <w:r>
                          <w:rPr>
                            <w:rFonts w:ascii="宋体" w:hAnsi="宋体" w:cs="宋体" w:eastAsia="宋体" w:hint="default"/>
                            <w:spacing w:val="-55"/>
                            <w:sz w:val="18"/>
                            <w:szCs w:val="18"/>
                          </w:rPr>
                          <w:t> </w:t>
                        </w:r>
                        <w:r>
                          <w:rPr>
                            <w:rFonts w:ascii="宋体" w:hAnsi="宋体" w:cs="宋体" w:eastAsia="宋体" w:hint="default"/>
                            <w:sz w:val="18"/>
                            <w:szCs w:val="18"/>
                          </w:rPr>
                          <w:t>额</w:t>
                        </w:r>
                        <w:r>
                          <w:rPr>
                            <w:rFonts w:ascii="宋体" w:hAnsi="宋体" w:cs="宋体" w:eastAsia="宋体" w:hint="default"/>
                            <w:spacing w:val="-57"/>
                            <w:sz w:val="18"/>
                            <w:szCs w:val="18"/>
                          </w:rPr>
                          <w:t> </w:t>
                        </w:r>
                        <w:r>
                          <w:rPr>
                            <w:rFonts w:ascii="宋体" w:hAnsi="宋体" w:cs="宋体" w:eastAsia="宋体" w:hint="default"/>
                            <w:sz w:val="18"/>
                            <w:szCs w:val="18"/>
                          </w:rPr>
                          <w:t>和</w:t>
                        </w:r>
                        <w:r>
                          <w:rPr>
                            <w:rFonts w:ascii="宋体" w:hAnsi="宋体" w:cs="宋体" w:eastAsia="宋体" w:hint="default"/>
                            <w:spacing w:val="-55"/>
                            <w:sz w:val="18"/>
                            <w:szCs w:val="18"/>
                          </w:rPr>
                          <w:t> </w:t>
                        </w:r>
                        <w:r>
                          <w:rPr>
                            <w:rFonts w:ascii="宋体" w:hAnsi="宋体" w:cs="宋体" w:eastAsia="宋体" w:hint="default"/>
                            <w:sz w:val="18"/>
                            <w:szCs w:val="18"/>
                          </w:rPr>
                          <w:t>按</w:t>
                        </w:r>
                        <w:r>
                          <w:rPr>
                            <w:rFonts w:ascii="宋体" w:hAnsi="宋体" w:cs="宋体" w:eastAsia="宋体" w:hint="default"/>
                            <w:spacing w:val="-57"/>
                            <w:sz w:val="18"/>
                            <w:szCs w:val="18"/>
                          </w:rPr>
                          <w:t> </w:t>
                        </w:r>
                        <w:r>
                          <w:rPr>
                            <w:rFonts w:ascii="宋体" w:hAnsi="宋体" w:cs="宋体" w:eastAsia="宋体" w:hint="default"/>
                            <w:sz w:val="18"/>
                            <w:szCs w:val="18"/>
                          </w:rPr>
                          <w:t>新</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列示的金额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407,032,250.96</w:t>
                        </w: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989" w:right="0"/>
                          <w:jc w:val="left"/>
                          <w:rPr>
                            <w:rFonts w:ascii="Times New Roman" w:hAnsi="Times New Roman" w:cs="Times New Roman" w:eastAsia="Times New Roman" w:hint="default"/>
                            <w:sz w:val="18"/>
                            <w:szCs w:val="18"/>
                          </w:rPr>
                        </w:pPr>
                        <w:r>
                          <w:rPr>
                            <w:rFonts w:ascii="Times New Roman"/>
                            <w:sz w:val="18"/>
                          </w:rPr>
                          <w:t>407,032,250.96</w:t>
                        </w:r>
                      </w:p>
                    </w:tc>
                  </w:tr>
                  <w:tr>
                    <w:trPr>
                      <w:trHeight w:val="343" w:hRule="exact"/>
                    </w:trPr>
                    <w:tc>
                      <w:tcPr>
                        <w:tcW w:w="921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应收票据</w:t>
                        </w:r>
                      </w:p>
                    </w:tc>
                  </w:tr>
                  <w:tr>
                    <w:trPr>
                      <w:trHeight w:val="65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pacing w:val="16"/>
                            <w:sz w:val="18"/>
                            <w:szCs w:val="18"/>
                          </w:rPr>
                          <w:t>按原</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列</w:t>
                        </w:r>
                        <w:r>
                          <w:rPr>
                            <w:rFonts w:ascii="宋体" w:hAnsi="宋体" w:cs="宋体" w:eastAsia="宋体" w:hint="default"/>
                            <w:spacing w:val="-57"/>
                            <w:sz w:val="18"/>
                            <w:szCs w:val="18"/>
                          </w:rPr>
                          <w:t> </w:t>
                        </w:r>
                        <w:r>
                          <w:rPr>
                            <w:rFonts w:ascii="宋体" w:hAnsi="宋体" w:cs="宋体" w:eastAsia="宋体" w:hint="default"/>
                            <w:sz w:val="18"/>
                            <w:szCs w:val="18"/>
                          </w:rPr>
                          <w:t>示</w:t>
                        </w:r>
                        <w:r>
                          <w:rPr>
                            <w:rFonts w:ascii="宋体" w:hAnsi="宋体" w:cs="宋体" w:eastAsia="宋体" w:hint="default"/>
                            <w:spacing w:val="-57"/>
                            <w:sz w:val="18"/>
                            <w:szCs w:val="18"/>
                          </w:rPr>
                          <w:t> </w:t>
                        </w:r>
                        <w:r>
                          <w:rPr>
                            <w:rFonts w:ascii="宋体" w:hAnsi="宋体" w:cs="宋体" w:eastAsia="宋体" w:hint="default"/>
                            <w:sz w:val="18"/>
                            <w:szCs w:val="18"/>
                          </w:rPr>
                          <w:t>的</w:t>
                        </w:r>
                        <w:r>
                          <w:rPr>
                            <w:rFonts w:ascii="宋体" w:hAnsi="宋体" w:cs="宋体" w:eastAsia="宋体" w:hint="default"/>
                            <w:spacing w:val="-57"/>
                            <w:sz w:val="18"/>
                            <w:szCs w:val="18"/>
                          </w:rPr>
                          <w:t> </w:t>
                        </w:r>
                        <w:r>
                          <w:rPr>
                            <w:rFonts w:ascii="宋体" w:hAnsi="宋体" w:cs="宋体" w:eastAsia="宋体" w:hint="default"/>
                            <w:sz w:val="18"/>
                            <w:szCs w:val="18"/>
                          </w:rPr>
                          <w:t>金</w:t>
                        </w:r>
                        <w:r>
                          <w:rPr>
                            <w:rFonts w:ascii="宋体" w:hAnsi="宋体" w:cs="宋体" w:eastAsia="宋体" w:hint="default"/>
                            <w:spacing w:val="-55"/>
                            <w:sz w:val="18"/>
                            <w:szCs w:val="18"/>
                          </w:rPr>
                          <w:t> </w:t>
                        </w:r>
                        <w:r>
                          <w:rPr>
                            <w:rFonts w:ascii="宋体" w:hAnsi="宋体" w:cs="宋体" w:eastAsia="宋体" w:hint="default"/>
                            <w:sz w:val="18"/>
                            <w:szCs w:val="18"/>
                          </w:rPr>
                          <w:t>额</w:t>
                        </w:r>
                        <w:r>
                          <w:rPr>
                            <w:rFonts w:ascii="宋体" w:hAnsi="宋体" w:cs="宋体" w:eastAsia="宋体" w:hint="default"/>
                            <w:spacing w:val="-57"/>
                            <w:sz w:val="18"/>
                            <w:szCs w:val="18"/>
                          </w:rPr>
                          <w:t> </w:t>
                        </w:r>
                        <w:r>
                          <w:rPr>
                            <w:rFonts w:ascii="宋体" w:hAnsi="宋体" w:cs="宋体" w:eastAsia="宋体" w:hint="default"/>
                            <w:sz w:val="18"/>
                            <w:szCs w:val="18"/>
                          </w:rPr>
                          <w:t>和</w:t>
                        </w:r>
                        <w:r>
                          <w:rPr>
                            <w:rFonts w:ascii="宋体" w:hAnsi="宋体" w:cs="宋体" w:eastAsia="宋体" w:hint="default"/>
                            <w:spacing w:val="-55"/>
                            <w:sz w:val="18"/>
                            <w:szCs w:val="18"/>
                          </w:rPr>
                          <w:t> </w:t>
                        </w:r>
                        <w:r>
                          <w:rPr>
                            <w:rFonts w:ascii="宋体" w:hAnsi="宋体" w:cs="宋体" w:eastAsia="宋体" w:hint="default"/>
                            <w:sz w:val="18"/>
                            <w:szCs w:val="18"/>
                          </w:rPr>
                          <w:t>按</w:t>
                        </w:r>
                        <w:r>
                          <w:rPr>
                            <w:rFonts w:ascii="宋体" w:hAnsi="宋体" w:cs="宋体" w:eastAsia="宋体" w:hint="default"/>
                            <w:spacing w:val="-57"/>
                            <w:sz w:val="18"/>
                            <w:szCs w:val="18"/>
                          </w:rPr>
                          <w:t> </w:t>
                        </w:r>
                        <w:r>
                          <w:rPr>
                            <w:rFonts w:ascii="宋体" w:hAnsi="宋体" w:cs="宋体" w:eastAsia="宋体" w:hint="default"/>
                            <w:sz w:val="18"/>
                            <w:szCs w:val="18"/>
                          </w:rPr>
                          <w:t>新</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列示的金额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896,600.00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656"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7" w:right="-7"/>
                          <w:jc w:val="left"/>
                          <w:rPr>
                            <w:rFonts w:ascii="宋体" w:hAnsi="宋体" w:cs="宋体" w:eastAsia="宋体" w:hint="default"/>
                            <w:sz w:val="18"/>
                            <w:szCs w:val="18"/>
                          </w:rPr>
                        </w:pPr>
                        <w:r>
                          <w:rPr>
                            <w:rFonts w:ascii="宋体" w:hAnsi="宋体" w:cs="宋体" w:eastAsia="宋体" w:hint="default"/>
                            <w:spacing w:val="11"/>
                            <w:sz w:val="18"/>
                            <w:szCs w:val="18"/>
                          </w:rPr>
                          <w:t>转出至以公允价值计量且其变动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计入其他综合收益</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816" w:right="0"/>
                          <w:jc w:val="left"/>
                          <w:rPr>
                            <w:rFonts w:ascii="Times New Roman" w:hAnsi="Times New Roman" w:cs="Times New Roman" w:eastAsia="Times New Roman" w:hint="default"/>
                            <w:sz w:val="18"/>
                            <w:szCs w:val="18"/>
                          </w:rPr>
                        </w:pPr>
                        <w:r>
                          <w:rPr>
                            <w:rFonts w:ascii="Times New Roman"/>
                            <w:sz w:val="18"/>
                          </w:rPr>
                          <w:t>-296,000.00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696"/>
        <w:gridCol w:w="1699"/>
        <w:gridCol w:w="1702"/>
        <w:gridCol w:w="991"/>
        <w:gridCol w:w="2127"/>
      </w:tblGrid>
      <w:tr>
        <w:trPr>
          <w:trHeight w:val="34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列示的金额</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600,600.00</w:t>
            </w:r>
          </w:p>
        </w:tc>
      </w:tr>
      <w:tr>
        <w:trPr>
          <w:trHeight w:val="343" w:hRule="exact"/>
        </w:trPr>
        <w:tc>
          <w:tcPr>
            <w:tcW w:w="921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应收账款</w:t>
            </w:r>
          </w:p>
        </w:tc>
      </w:tr>
      <w:tr>
        <w:trPr>
          <w:trHeight w:val="65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pacing w:val="16"/>
                <w:sz w:val="18"/>
                <w:szCs w:val="18"/>
              </w:rPr>
              <w:t>按原</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列</w:t>
            </w:r>
            <w:r>
              <w:rPr>
                <w:rFonts w:ascii="宋体" w:hAnsi="宋体" w:cs="宋体" w:eastAsia="宋体" w:hint="default"/>
                <w:spacing w:val="-57"/>
                <w:sz w:val="18"/>
                <w:szCs w:val="18"/>
              </w:rPr>
              <w:t> </w:t>
            </w:r>
            <w:r>
              <w:rPr>
                <w:rFonts w:ascii="宋体" w:hAnsi="宋体" w:cs="宋体" w:eastAsia="宋体" w:hint="default"/>
                <w:sz w:val="18"/>
                <w:szCs w:val="18"/>
              </w:rPr>
              <w:t>示</w:t>
            </w:r>
            <w:r>
              <w:rPr>
                <w:rFonts w:ascii="宋体" w:hAnsi="宋体" w:cs="宋体" w:eastAsia="宋体" w:hint="default"/>
                <w:spacing w:val="-57"/>
                <w:sz w:val="18"/>
                <w:szCs w:val="18"/>
              </w:rPr>
              <w:t> </w:t>
            </w:r>
            <w:r>
              <w:rPr>
                <w:rFonts w:ascii="宋体" w:hAnsi="宋体" w:cs="宋体" w:eastAsia="宋体" w:hint="default"/>
                <w:sz w:val="18"/>
                <w:szCs w:val="18"/>
              </w:rPr>
              <w:t>的</w:t>
            </w:r>
            <w:r>
              <w:rPr>
                <w:rFonts w:ascii="宋体" w:hAnsi="宋体" w:cs="宋体" w:eastAsia="宋体" w:hint="default"/>
                <w:spacing w:val="-57"/>
                <w:sz w:val="18"/>
                <w:szCs w:val="18"/>
              </w:rPr>
              <w:t> </w:t>
            </w:r>
            <w:r>
              <w:rPr>
                <w:rFonts w:ascii="宋体" w:hAnsi="宋体" w:cs="宋体" w:eastAsia="宋体" w:hint="default"/>
                <w:sz w:val="18"/>
                <w:szCs w:val="18"/>
              </w:rPr>
              <w:t>金</w:t>
            </w:r>
            <w:r>
              <w:rPr>
                <w:rFonts w:ascii="宋体" w:hAnsi="宋体" w:cs="宋体" w:eastAsia="宋体" w:hint="default"/>
                <w:spacing w:val="-55"/>
                <w:sz w:val="18"/>
                <w:szCs w:val="18"/>
              </w:rPr>
              <w:t> </w:t>
            </w:r>
            <w:r>
              <w:rPr>
                <w:rFonts w:ascii="宋体" w:hAnsi="宋体" w:cs="宋体" w:eastAsia="宋体" w:hint="default"/>
                <w:sz w:val="18"/>
                <w:szCs w:val="18"/>
              </w:rPr>
              <w:t>额</w:t>
            </w:r>
            <w:r>
              <w:rPr>
                <w:rFonts w:ascii="宋体" w:hAnsi="宋体" w:cs="宋体" w:eastAsia="宋体" w:hint="default"/>
                <w:spacing w:val="-57"/>
                <w:sz w:val="18"/>
                <w:szCs w:val="18"/>
              </w:rPr>
              <w:t> </w:t>
            </w:r>
            <w:r>
              <w:rPr>
                <w:rFonts w:ascii="宋体" w:hAnsi="宋体" w:cs="宋体" w:eastAsia="宋体" w:hint="default"/>
                <w:sz w:val="18"/>
                <w:szCs w:val="18"/>
              </w:rPr>
              <w:t>和</w:t>
            </w:r>
            <w:r>
              <w:rPr>
                <w:rFonts w:ascii="宋体" w:hAnsi="宋体" w:cs="宋体" w:eastAsia="宋体" w:hint="default"/>
                <w:spacing w:val="-55"/>
                <w:sz w:val="18"/>
                <w:szCs w:val="18"/>
              </w:rPr>
              <w:t> </w:t>
            </w:r>
            <w:r>
              <w:rPr>
                <w:rFonts w:ascii="宋体" w:hAnsi="宋体" w:cs="宋体" w:eastAsia="宋体" w:hint="default"/>
                <w:sz w:val="18"/>
                <w:szCs w:val="18"/>
              </w:rPr>
              <w:t>按</w:t>
            </w:r>
            <w:r>
              <w:rPr>
                <w:rFonts w:ascii="宋体" w:hAnsi="宋体" w:cs="宋体" w:eastAsia="宋体" w:hint="default"/>
                <w:spacing w:val="-57"/>
                <w:sz w:val="18"/>
                <w:szCs w:val="18"/>
              </w:rPr>
              <w:t> </w:t>
            </w:r>
            <w:r>
              <w:rPr>
                <w:rFonts w:ascii="宋体" w:hAnsi="宋体" w:cs="宋体" w:eastAsia="宋体" w:hint="default"/>
                <w:sz w:val="18"/>
                <w:szCs w:val="18"/>
              </w:rPr>
              <w:t>新</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列示的金额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302,533,158.64</w:t>
            </w: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302,533,158.64</w:t>
            </w:r>
          </w:p>
        </w:tc>
      </w:tr>
      <w:tr>
        <w:trPr>
          <w:trHeight w:val="343" w:hRule="exact"/>
        </w:trPr>
        <w:tc>
          <w:tcPr>
            <w:tcW w:w="921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其他应收款</w:t>
            </w:r>
          </w:p>
        </w:tc>
      </w:tr>
      <w:tr>
        <w:trPr>
          <w:trHeight w:val="65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56"/>
                <w:sz w:val="18"/>
                <w:szCs w:val="18"/>
              </w:rPr>
              <w:t> </w:t>
            </w:r>
            <w:r>
              <w:rPr>
                <w:rFonts w:ascii="宋体" w:hAnsi="宋体" w:cs="宋体" w:eastAsia="宋体" w:hint="default"/>
                <w:sz w:val="18"/>
                <w:szCs w:val="18"/>
              </w:rPr>
              <w:t>原</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列</w:t>
            </w:r>
            <w:r>
              <w:rPr>
                <w:rFonts w:ascii="宋体" w:hAnsi="宋体" w:cs="宋体" w:eastAsia="宋体" w:hint="default"/>
                <w:spacing w:val="-57"/>
                <w:sz w:val="18"/>
                <w:szCs w:val="18"/>
              </w:rPr>
              <w:t> </w:t>
            </w:r>
            <w:r>
              <w:rPr>
                <w:rFonts w:ascii="宋体" w:hAnsi="宋体" w:cs="宋体" w:eastAsia="宋体" w:hint="default"/>
                <w:sz w:val="18"/>
                <w:szCs w:val="18"/>
              </w:rPr>
              <w:t>示</w:t>
            </w:r>
            <w:r>
              <w:rPr>
                <w:rFonts w:ascii="宋体" w:hAnsi="宋体" w:cs="宋体" w:eastAsia="宋体" w:hint="default"/>
                <w:spacing w:val="-57"/>
                <w:sz w:val="18"/>
                <w:szCs w:val="18"/>
              </w:rPr>
              <w:t> </w:t>
            </w:r>
            <w:r>
              <w:rPr>
                <w:rFonts w:ascii="宋体" w:hAnsi="宋体" w:cs="宋体" w:eastAsia="宋体" w:hint="default"/>
                <w:sz w:val="18"/>
                <w:szCs w:val="18"/>
              </w:rPr>
              <w:t>的</w:t>
            </w:r>
            <w:r>
              <w:rPr>
                <w:rFonts w:ascii="宋体" w:hAnsi="宋体" w:cs="宋体" w:eastAsia="宋体" w:hint="default"/>
                <w:spacing w:val="-57"/>
                <w:sz w:val="18"/>
                <w:szCs w:val="18"/>
              </w:rPr>
              <w:t> </w:t>
            </w:r>
            <w:r>
              <w:rPr>
                <w:rFonts w:ascii="宋体" w:hAnsi="宋体" w:cs="宋体" w:eastAsia="宋体" w:hint="default"/>
                <w:sz w:val="18"/>
                <w:szCs w:val="18"/>
              </w:rPr>
              <w:t>金</w:t>
            </w:r>
            <w:r>
              <w:rPr>
                <w:rFonts w:ascii="宋体" w:hAnsi="宋体" w:cs="宋体" w:eastAsia="宋体" w:hint="default"/>
                <w:spacing w:val="-55"/>
                <w:sz w:val="18"/>
                <w:szCs w:val="18"/>
              </w:rPr>
              <w:t> </w:t>
            </w:r>
            <w:r>
              <w:rPr>
                <w:rFonts w:ascii="宋体" w:hAnsi="宋体" w:cs="宋体" w:eastAsia="宋体" w:hint="default"/>
                <w:sz w:val="18"/>
                <w:szCs w:val="18"/>
              </w:rPr>
              <w:t>额</w:t>
            </w:r>
            <w:r>
              <w:rPr>
                <w:rFonts w:ascii="宋体" w:hAnsi="宋体" w:cs="宋体" w:eastAsia="宋体" w:hint="default"/>
                <w:spacing w:val="-57"/>
                <w:sz w:val="18"/>
                <w:szCs w:val="18"/>
              </w:rPr>
              <w:t> </w:t>
            </w:r>
            <w:r>
              <w:rPr>
                <w:rFonts w:ascii="宋体" w:hAnsi="宋体" w:cs="宋体" w:eastAsia="宋体" w:hint="default"/>
                <w:sz w:val="18"/>
                <w:szCs w:val="18"/>
              </w:rPr>
              <w:t>和</w:t>
            </w:r>
            <w:r>
              <w:rPr>
                <w:rFonts w:ascii="宋体" w:hAnsi="宋体" w:cs="宋体" w:eastAsia="宋体" w:hint="default"/>
                <w:spacing w:val="-55"/>
                <w:sz w:val="18"/>
                <w:szCs w:val="18"/>
              </w:rPr>
              <w:t> </w:t>
            </w:r>
            <w:r>
              <w:rPr>
                <w:rFonts w:ascii="宋体" w:hAnsi="宋体" w:cs="宋体" w:eastAsia="宋体" w:hint="default"/>
                <w:sz w:val="18"/>
                <w:szCs w:val="18"/>
              </w:rPr>
              <w:t>按</w:t>
            </w:r>
            <w:r>
              <w:rPr>
                <w:rFonts w:ascii="宋体" w:hAnsi="宋体" w:cs="宋体" w:eastAsia="宋体" w:hint="default"/>
                <w:spacing w:val="-57"/>
                <w:sz w:val="18"/>
                <w:szCs w:val="18"/>
              </w:rPr>
              <w:t> </w:t>
            </w:r>
            <w:r>
              <w:rPr>
                <w:rFonts w:ascii="宋体" w:hAnsi="宋体" w:cs="宋体" w:eastAsia="宋体" w:hint="default"/>
                <w:sz w:val="18"/>
                <w:szCs w:val="18"/>
              </w:rPr>
              <w:t>新</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列示的金额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13,124,147.91</w:t>
            </w: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13,124,147.91</w:t>
            </w:r>
          </w:p>
        </w:tc>
      </w:tr>
      <w:tr>
        <w:trPr>
          <w:trHeight w:val="343" w:hRule="exact"/>
        </w:trPr>
        <w:tc>
          <w:tcPr>
            <w:tcW w:w="921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理财产品（其他流动资产）</w:t>
            </w:r>
          </w:p>
        </w:tc>
      </w:tr>
      <w:tr>
        <w:trPr>
          <w:trHeight w:val="34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列示的金额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195,000,000.00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656"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7" w:right="-7"/>
              <w:jc w:val="left"/>
              <w:rPr>
                <w:rFonts w:ascii="宋体" w:hAnsi="宋体" w:cs="宋体" w:eastAsia="宋体" w:hint="default"/>
                <w:sz w:val="18"/>
                <w:szCs w:val="18"/>
              </w:rPr>
            </w:pPr>
            <w:r>
              <w:rPr>
                <w:rFonts w:ascii="宋体" w:hAnsi="宋体" w:cs="宋体" w:eastAsia="宋体" w:hint="default"/>
                <w:spacing w:val="11"/>
                <w:sz w:val="18"/>
                <w:szCs w:val="18"/>
              </w:rPr>
              <w:t>以公允价值计量的交易性金融资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产</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-45,000,000.00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列示的金额</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34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以摊余成本计量的总金融资产</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918,586,157.51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-45,296,000.00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873,290,157.51</w:t>
            </w:r>
          </w:p>
        </w:tc>
      </w:tr>
      <w:tr>
        <w:trPr>
          <w:trHeight w:val="341" w:hRule="exact"/>
        </w:trPr>
        <w:tc>
          <w:tcPr>
            <w:tcW w:w="921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以公允价值计量且其变动计入当期损益</w:t>
            </w:r>
          </w:p>
        </w:tc>
      </w:tr>
      <w:tr>
        <w:trPr>
          <w:trHeight w:val="343" w:hRule="exact"/>
        </w:trPr>
        <w:tc>
          <w:tcPr>
            <w:tcW w:w="921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r>
      <w:tr>
        <w:trPr>
          <w:trHeight w:val="34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列示的金额</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7"/>
              <w:jc w:val="left"/>
              <w:rPr>
                <w:rFonts w:ascii="宋体" w:hAnsi="宋体" w:cs="宋体" w:eastAsia="宋体" w:hint="default"/>
                <w:sz w:val="18"/>
                <w:szCs w:val="18"/>
              </w:rPr>
            </w:pPr>
            <w:r>
              <w:rPr>
                <w:rFonts w:ascii="宋体" w:hAnsi="宋体" w:cs="宋体" w:eastAsia="宋体" w:hint="default"/>
                <w:spacing w:val="11"/>
                <w:sz w:val="18"/>
                <w:szCs w:val="18"/>
              </w:rPr>
              <w:t>自其它流动资产转入公允价值计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量的交易性金融资产</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45,000,000.00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列示的金额</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45,000,000.00</w:t>
            </w:r>
          </w:p>
        </w:tc>
      </w:tr>
      <w:tr>
        <w:trPr>
          <w:trHeight w:val="656"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7" w:right="-7"/>
              <w:jc w:val="left"/>
              <w:rPr>
                <w:rFonts w:ascii="宋体" w:hAnsi="宋体" w:cs="宋体" w:eastAsia="宋体" w:hint="default"/>
                <w:sz w:val="18"/>
                <w:szCs w:val="18"/>
              </w:rPr>
            </w:pPr>
            <w:r>
              <w:rPr>
                <w:rFonts w:ascii="宋体" w:hAnsi="宋体" w:cs="宋体" w:eastAsia="宋体" w:hint="default"/>
                <w:spacing w:val="11"/>
                <w:sz w:val="18"/>
                <w:szCs w:val="18"/>
              </w:rPr>
              <w:t>以公允价值计量且其变动计入当</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期损益的总金融资产</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45,000,000.00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45,000,000.00</w:t>
            </w:r>
          </w:p>
        </w:tc>
      </w:tr>
      <w:tr>
        <w:trPr>
          <w:trHeight w:val="341" w:hRule="exact"/>
        </w:trPr>
        <w:tc>
          <w:tcPr>
            <w:tcW w:w="921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以公允价值计量且其变动计入其他综合收益</w:t>
            </w:r>
          </w:p>
        </w:tc>
      </w:tr>
      <w:tr>
        <w:trPr>
          <w:trHeight w:val="343" w:hRule="exact"/>
        </w:trPr>
        <w:tc>
          <w:tcPr>
            <w:tcW w:w="921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r>
      <w:tr>
        <w:trPr>
          <w:trHeight w:val="34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列示的金额</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由摊余成本转入</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296,000.00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列示的金额</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296,000.00</w:t>
            </w:r>
          </w:p>
        </w:tc>
      </w:tr>
      <w:tr>
        <w:trPr>
          <w:trHeight w:val="343" w:hRule="exact"/>
        </w:trPr>
        <w:tc>
          <w:tcPr>
            <w:tcW w:w="921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r>
      <w:tr>
        <w:trPr>
          <w:trHeight w:val="34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列示的金额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656"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7"/>
              <w:jc w:val="left"/>
              <w:rPr>
                <w:rFonts w:ascii="宋体" w:hAnsi="宋体" w:cs="宋体" w:eastAsia="宋体" w:hint="default"/>
                <w:sz w:val="18"/>
                <w:szCs w:val="18"/>
              </w:rPr>
            </w:pPr>
            <w:r>
              <w:rPr>
                <w:rFonts w:ascii="宋体" w:hAnsi="宋体" w:cs="宋体" w:eastAsia="宋体" w:hint="default"/>
                <w:spacing w:val="11"/>
                <w:sz w:val="18"/>
                <w:szCs w:val="18"/>
              </w:rPr>
              <w:t>由可供出售金融资产转入公允价</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值计量的其他权益工具投资</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-1,500,000.00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列示的金额</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921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r>
      <w:tr>
        <w:trPr>
          <w:trHeight w:val="34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列示的金额</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7"/>
              <w:jc w:val="left"/>
              <w:rPr>
                <w:rFonts w:ascii="宋体" w:hAnsi="宋体" w:cs="宋体" w:eastAsia="宋体" w:hint="default"/>
                <w:sz w:val="18"/>
                <w:szCs w:val="18"/>
              </w:rPr>
            </w:pPr>
            <w:r>
              <w:rPr>
                <w:rFonts w:ascii="宋体" w:hAnsi="宋体" w:cs="宋体" w:eastAsia="宋体" w:hint="default"/>
                <w:spacing w:val="11"/>
                <w:sz w:val="18"/>
                <w:szCs w:val="18"/>
              </w:rPr>
              <w:t>由可供出售金融资产转入公允价</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值计量的其他权益工具投资</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1,500,000.00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列示的金额</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65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7"/>
              <w:jc w:val="left"/>
              <w:rPr>
                <w:rFonts w:ascii="宋体" w:hAnsi="宋体" w:cs="宋体" w:eastAsia="宋体" w:hint="default"/>
                <w:sz w:val="18"/>
                <w:szCs w:val="18"/>
              </w:rPr>
            </w:pPr>
            <w:r>
              <w:rPr>
                <w:rFonts w:ascii="宋体" w:hAnsi="宋体" w:cs="宋体" w:eastAsia="宋体" w:hint="default"/>
                <w:spacing w:val="11"/>
                <w:sz w:val="18"/>
                <w:szCs w:val="18"/>
              </w:rPr>
              <w:t>以公允价值计量且其变动计入其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他综合收益的总金融资产</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296,000.00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1,796,000.00</w:t>
            </w:r>
          </w:p>
        </w:tc>
      </w:tr>
      <w:tr>
        <w:trPr>
          <w:trHeight w:val="341" w:hRule="exact"/>
        </w:trPr>
        <w:tc>
          <w:tcPr>
            <w:tcW w:w="921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金融负债</w:t>
            </w:r>
          </w:p>
        </w:tc>
      </w:tr>
      <w:tr>
        <w:trPr>
          <w:trHeight w:val="344" w:hRule="exact"/>
        </w:trPr>
        <w:tc>
          <w:tcPr>
            <w:tcW w:w="921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87" w:right="0"/>
              <w:jc w:val="left"/>
              <w:rPr>
                <w:rFonts w:ascii="宋体" w:hAnsi="宋体" w:cs="宋体" w:eastAsia="宋体" w:hint="default"/>
                <w:sz w:val="18"/>
                <w:szCs w:val="18"/>
              </w:rPr>
            </w:pPr>
            <w:r>
              <w:rPr>
                <w:rFonts w:ascii="宋体" w:hAnsi="宋体" w:cs="宋体" w:eastAsia="宋体" w:hint="default"/>
                <w:sz w:val="18"/>
                <w:szCs w:val="18"/>
              </w:rPr>
              <w:t>摊余成本</w:t>
            </w:r>
          </w:p>
        </w:tc>
      </w:tr>
      <w:tr>
        <w:trPr>
          <w:trHeight w:val="341" w:hRule="exact"/>
        </w:trPr>
        <w:tc>
          <w:tcPr>
            <w:tcW w:w="921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应付票据</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696"/>
        <w:gridCol w:w="1699"/>
        <w:gridCol w:w="1702"/>
        <w:gridCol w:w="991"/>
        <w:gridCol w:w="2127"/>
      </w:tblGrid>
      <w:tr>
        <w:trPr>
          <w:trHeight w:val="65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pacing w:val="16"/>
                <w:sz w:val="18"/>
                <w:szCs w:val="18"/>
              </w:rPr>
              <w:t>按原</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列</w:t>
            </w:r>
            <w:r>
              <w:rPr>
                <w:rFonts w:ascii="宋体" w:hAnsi="宋体" w:cs="宋体" w:eastAsia="宋体" w:hint="default"/>
                <w:spacing w:val="-57"/>
                <w:sz w:val="18"/>
                <w:szCs w:val="18"/>
              </w:rPr>
              <w:t> </w:t>
            </w:r>
            <w:r>
              <w:rPr>
                <w:rFonts w:ascii="宋体" w:hAnsi="宋体" w:cs="宋体" w:eastAsia="宋体" w:hint="default"/>
                <w:sz w:val="18"/>
                <w:szCs w:val="18"/>
              </w:rPr>
              <w:t>示</w:t>
            </w:r>
            <w:r>
              <w:rPr>
                <w:rFonts w:ascii="宋体" w:hAnsi="宋体" w:cs="宋体" w:eastAsia="宋体" w:hint="default"/>
                <w:spacing w:val="-57"/>
                <w:sz w:val="18"/>
                <w:szCs w:val="18"/>
              </w:rPr>
              <w:t> </w:t>
            </w:r>
            <w:r>
              <w:rPr>
                <w:rFonts w:ascii="宋体" w:hAnsi="宋体" w:cs="宋体" w:eastAsia="宋体" w:hint="default"/>
                <w:sz w:val="18"/>
                <w:szCs w:val="18"/>
              </w:rPr>
              <w:t>的</w:t>
            </w:r>
            <w:r>
              <w:rPr>
                <w:rFonts w:ascii="宋体" w:hAnsi="宋体" w:cs="宋体" w:eastAsia="宋体" w:hint="default"/>
                <w:spacing w:val="-57"/>
                <w:sz w:val="18"/>
                <w:szCs w:val="18"/>
              </w:rPr>
              <w:t> </w:t>
            </w:r>
            <w:r>
              <w:rPr>
                <w:rFonts w:ascii="宋体" w:hAnsi="宋体" w:cs="宋体" w:eastAsia="宋体" w:hint="default"/>
                <w:sz w:val="18"/>
                <w:szCs w:val="18"/>
              </w:rPr>
              <w:t>金</w:t>
            </w:r>
            <w:r>
              <w:rPr>
                <w:rFonts w:ascii="宋体" w:hAnsi="宋体" w:cs="宋体" w:eastAsia="宋体" w:hint="default"/>
                <w:spacing w:val="-55"/>
                <w:sz w:val="18"/>
                <w:szCs w:val="18"/>
              </w:rPr>
              <w:t> </w:t>
            </w:r>
            <w:r>
              <w:rPr>
                <w:rFonts w:ascii="宋体" w:hAnsi="宋体" w:cs="宋体" w:eastAsia="宋体" w:hint="default"/>
                <w:sz w:val="18"/>
                <w:szCs w:val="18"/>
              </w:rPr>
              <w:t>额</w:t>
            </w:r>
            <w:r>
              <w:rPr>
                <w:rFonts w:ascii="宋体" w:hAnsi="宋体" w:cs="宋体" w:eastAsia="宋体" w:hint="default"/>
                <w:spacing w:val="-57"/>
                <w:sz w:val="18"/>
                <w:szCs w:val="18"/>
              </w:rPr>
              <w:t> </w:t>
            </w:r>
            <w:r>
              <w:rPr>
                <w:rFonts w:ascii="宋体" w:hAnsi="宋体" w:cs="宋体" w:eastAsia="宋体" w:hint="default"/>
                <w:sz w:val="18"/>
                <w:szCs w:val="18"/>
              </w:rPr>
              <w:t>和</w:t>
            </w:r>
            <w:r>
              <w:rPr>
                <w:rFonts w:ascii="宋体" w:hAnsi="宋体" w:cs="宋体" w:eastAsia="宋体" w:hint="default"/>
                <w:spacing w:val="-55"/>
                <w:sz w:val="18"/>
                <w:szCs w:val="18"/>
              </w:rPr>
              <w:t> </w:t>
            </w:r>
            <w:r>
              <w:rPr>
                <w:rFonts w:ascii="宋体" w:hAnsi="宋体" w:cs="宋体" w:eastAsia="宋体" w:hint="default"/>
                <w:sz w:val="18"/>
                <w:szCs w:val="18"/>
              </w:rPr>
              <w:t>按</w:t>
            </w:r>
            <w:r>
              <w:rPr>
                <w:rFonts w:ascii="宋体" w:hAnsi="宋体" w:cs="宋体" w:eastAsia="宋体" w:hint="default"/>
                <w:spacing w:val="-57"/>
                <w:sz w:val="18"/>
                <w:szCs w:val="18"/>
              </w:rPr>
              <w:t> </w:t>
            </w:r>
            <w:r>
              <w:rPr>
                <w:rFonts w:ascii="宋体" w:hAnsi="宋体" w:cs="宋体" w:eastAsia="宋体" w:hint="default"/>
                <w:sz w:val="18"/>
                <w:szCs w:val="18"/>
              </w:rPr>
              <w:t>新</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列示的金额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64,878,808.83</w:t>
            </w: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64,878,808.83</w:t>
            </w:r>
          </w:p>
        </w:tc>
      </w:tr>
      <w:tr>
        <w:trPr>
          <w:trHeight w:val="34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pacing w:val="16"/>
                <w:sz w:val="18"/>
                <w:szCs w:val="18"/>
              </w:rPr>
              <w:t>按原</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列</w:t>
            </w:r>
            <w:r>
              <w:rPr>
                <w:rFonts w:ascii="宋体" w:hAnsi="宋体" w:cs="宋体" w:eastAsia="宋体" w:hint="default"/>
                <w:spacing w:val="-57"/>
                <w:sz w:val="18"/>
                <w:szCs w:val="18"/>
              </w:rPr>
              <w:t> </w:t>
            </w:r>
            <w:r>
              <w:rPr>
                <w:rFonts w:ascii="宋体" w:hAnsi="宋体" w:cs="宋体" w:eastAsia="宋体" w:hint="default"/>
                <w:sz w:val="18"/>
                <w:szCs w:val="18"/>
              </w:rPr>
              <w:t>示</w:t>
            </w:r>
            <w:r>
              <w:rPr>
                <w:rFonts w:ascii="宋体" w:hAnsi="宋体" w:cs="宋体" w:eastAsia="宋体" w:hint="default"/>
                <w:spacing w:val="-57"/>
                <w:sz w:val="18"/>
                <w:szCs w:val="18"/>
              </w:rPr>
              <w:t> </w:t>
            </w:r>
            <w:r>
              <w:rPr>
                <w:rFonts w:ascii="宋体" w:hAnsi="宋体" w:cs="宋体" w:eastAsia="宋体" w:hint="default"/>
                <w:sz w:val="18"/>
                <w:szCs w:val="18"/>
              </w:rPr>
              <w:t>的</w:t>
            </w:r>
            <w:r>
              <w:rPr>
                <w:rFonts w:ascii="宋体" w:hAnsi="宋体" w:cs="宋体" w:eastAsia="宋体" w:hint="default"/>
                <w:spacing w:val="-57"/>
                <w:sz w:val="18"/>
                <w:szCs w:val="18"/>
              </w:rPr>
              <w:t> </w:t>
            </w:r>
            <w:r>
              <w:rPr>
                <w:rFonts w:ascii="宋体" w:hAnsi="宋体" w:cs="宋体" w:eastAsia="宋体" w:hint="default"/>
                <w:sz w:val="18"/>
                <w:szCs w:val="18"/>
              </w:rPr>
              <w:t>金</w:t>
            </w:r>
            <w:r>
              <w:rPr>
                <w:rFonts w:ascii="宋体" w:hAnsi="宋体" w:cs="宋体" w:eastAsia="宋体" w:hint="default"/>
                <w:spacing w:val="-55"/>
                <w:sz w:val="18"/>
                <w:szCs w:val="18"/>
              </w:rPr>
              <w:t> </w:t>
            </w:r>
            <w:r>
              <w:rPr>
                <w:rFonts w:ascii="宋体" w:hAnsi="宋体" w:cs="宋体" w:eastAsia="宋体" w:hint="default"/>
                <w:sz w:val="18"/>
                <w:szCs w:val="18"/>
              </w:rPr>
              <w:t>额</w:t>
            </w:r>
            <w:r>
              <w:rPr>
                <w:rFonts w:ascii="宋体" w:hAnsi="宋体" w:cs="宋体" w:eastAsia="宋体" w:hint="default"/>
                <w:spacing w:val="-57"/>
                <w:sz w:val="18"/>
                <w:szCs w:val="18"/>
              </w:rPr>
              <w:t> </w:t>
            </w:r>
            <w:r>
              <w:rPr>
                <w:rFonts w:ascii="宋体" w:hAnsi="宋体" w:cs="宋体" w:eastAsia="宋体" w:hint="default"/>
                <w:sz w:val="18"/>
                <w:szCs w:val="18"/>
              </w:rPr>
              <w:t>和</w:t>
            </w:r>
            <w:r>
              <w:rPr>
                <w:rFonts w:ascii="宋体" w:hAnsi="宋体" w:cs="宋体" w:eastAsia="宋体" w:hint="default"/>
                <w:spacing w:val="-55"/>
                <w:sz w:val="18"/>
                <w:szCs w:val="18"/>
              </w:rPr>
              <w:t> </w:t>
            </w:r>
            <w:r>
              <w:rPr>
                <w:rFonts w:ascii="宋体" w:hAnsi="宋体" w:cs="宋体" w:eastAsia="宋体" w:hint="default"/>
                <w:sz w:val="18"/>
                <w:szCs w:val="18"/>
              </w:rPr>
              <w:t>按</w:t>
            </w:r>
            <w:r>
              <w:rPr>
                <w:rFonts w:ascii="宋体" w:hAnsi="宋体" w:cs="宋体" w:eastAsia="宋体" w:hint="default"/>
                <w:spacing w:val="-57"/>
                <w:sz w:val="18"/>
                <w:szCs w:val="18"/>
              </w:rPr>
              <w:t> </w:t>
            </w:r>
            <w:r>
              <w:rPr>
                <w:rFonts w:ascii="宋体" w:hAnsi="宋体" w:cs="宋体" w:eastAsia="宋体" w:hint="default"/>
                <w:sz w:val="18"/>
                <w:szCs w:val="18"/>
              </w:rPr>
              <w:t>新</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列示的金额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173,878,876.31</w:t>
            </w: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173,878,876.31</w:t>
            </w:r>
          </w:p>
        </w:tc>
      </w:tr>
      <w:tr>
        <w:trPr>
          <w:trHeight w:val="343" w:hRule="exact"/>
        </w:trPr>
        <w:tc>
          <w:tcPr>
            <w:tcW w:w="921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其他应付款</w:t>
            </w:r>
          </w:p>
        </w:tc>
      </w:tr>
      <w:tr>
        <w:trPr>
          <w:trHeight w:val="65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pacing w:val="16"/>
                <w:sz w:val="18"/>
                <w:szCs w:val="18"/>
              </w:rPr>
              <w:t>按原</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列</w:t>
            </w:r>
            <w:r>
              <w:rPr>
                <w:rFonts w:ascii="宋体" w:hAnsi="宋体" w:cs="宋体" w:eastAsia="宋体" w:hint="default"/>
                <w:spacing w:val="-57"/>
                <w:sz w:val="18"/>
                <w:szCs w:val="18"/>
              </w:rPr>
              <w:t> </w:t>
            </w:r>
            <w:r>
              <w:rPr>
                <w:rFonts w:ascii="宋体" w:hAnsi="宋体" w:cs="宋体" w:eastAsia="宋体" w:hint="default"/>
                <w:sz w:val="18"/>
                <w:szCs w:val="18"/>
              </w:rPr>
              <w:t>示</w:t>
            </w:r>
            <w:r>
              <w:rPr>
                <w:rFonts w:ascii="宋体" w:hAnsi="宋体" w:cs="宋体" w:eastAsia="宋体" w:hint="default"/>
                <w:spacing w:val="-57"/>
                <w:sz w:val="18"/>
                <w:szCs w:val="18"/>
              </w:rPr>
              <w:t> </w:t>
            </w:r>
            <w:r>
              <w:rPr>
                <w:rFonts w:ascii="宋体" w:hAnsi="宋体" w:cs="宋体" w:eastAsia="宋体" w:hint="default"/>
                <w:sz w:val="18"/>
                <w:szCs w:val="18"/>
              </w:rPr>
              <w:t>的</w:t>
            </w:r>
            <w:r>
              <w:rPr>
                <w:rFonts w:ascii="宋体" w:hAnsi="宋体" w:cs="宋体" w:eastAsia="宋体" w:hint="default"/>
                <w:spacing w:val="-57"/>
                <w:sz w:val="18"/>
                <w:szCs w:val="18"/>
              </w:rPr>
              <w:t> </w:t>
            </w:r>
            <w:r>
              <w:rPr>
                <w:rFonts w:ascii="宋体" w:hAnsi="宋体" w:cs="宋体" w:eastAsia="宋体" w:hint="default"/>
                <w:sz w:val="18"/>
                <w:szCs w:val="18"/>
              </w:rPr>
              <w:t>金</w:t>
            </w:r>
            <w:r>
              <w:rPr>
                <w:rFonts w:ascii="宋体" w:hAnsi="宋体" w:cs="宋体" w:eastAsia="宋体" w:hint="default"/>
                <w:spacing w:val="-55"/>
                <w:sz w:val="18"/>
                <w:szCs w:val="18"/>
              </w:rPr>
              <w:t> </w:t>
            </w:r>
            <w:r>
              <w:rPr>
                <w:rFonts w:ascii="宋体" w:hAnsi="宋体" w:cs="宋体" w:eastAsia="宋体" w:hint="default"/>
                <w:sz w:val="18"/>
                <w:szCs w:val="18"/>
              </w:rPr>
              <w:t>额</w:t>
            </w:r>
            <w:r>
              <w:rPr>
                <w:rFonts w:ascii="宋体" w:hAnsi="宋体" w:cs="宋体" w:eastAsia="宋体" w:hint="default"/>
                <w:spacing w:val="-57"/>
                <w:sz w:val="18"/>
                <w:szCs w:val="18"/>
              </w:rPr>
              <w:t> </w:t>
            </w:r>
            <w:r>
              <w:rPr>
                <w:rFonts w:ascii="宋体" w:hAnsi="宋体" w:cs="宋体" w:eastAsia="宋体" w:hint="default"/>
                <w:sz w:val="18"/>
                <w:szCs w:val="18"/>
              </w:rPr>
              <w:t>和</w:t>
            </w:r>
            <w:r>
              <w:rPr>
                <w:rFonts w:ascii="宋体" w:hAnsi="宋体" w:cs="宋体" w:eastAsia="宋体" w:hint="default"/>
                <w:spacing w:val="-55"/>
                <w:sz w:val="18"/>
                <w:szCs w:val="18"/>
              </w:rPr>
              <w:t> </w:t>
            </w:r>
            <w:r>
              <w:rPr>
                <w:rFonts w:ascii="宋体" w:hAnsi="宋体" w:cs="宋体" w:eastAsia="宋体" w:hint="default"/>
                <w:sz w:val="18"/>
                <w:szCs w:val="18"/>
              </w:rPr>
              <w:t>按</w:t>
            </w:r>
            <w:r>
              <w:rPr>
                <w:rFonts w:ascii="宋体" w:hAnsi="宋体" w:cs="宋体" w:eastAsia="宋体" w:hint="default"/>
                <w:spacing w:val="-57"/>
                <w:sz w:val="18"/>
                <w:szCs w:val="18"/>
              </w:rPr>
              <w:t> </w:t>
            </w:r>
            <w:r>
              <w:rPr>
                <w:rFonts w:ascii="宋体" w:hAnsi="宋体" w:cs="宋体" w:eastAsia="宋体" w:hint="default"/>
                <w:sz w:val="18"/>
                <w:szCs w:val="18"/>
              </w:rPr>
              <w:t>新</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列示的金额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46,564,793.84</w:t>
            </w: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46,564,793.84</w:t>
            </w:r>
          </w:p>
        </w:tc>
      </w:tr>
      <w:tr>
        <w:trPr>
          <w:trHeight w:val="34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以摊余成本计量的总金融负债</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285,322,478.98</w:t>
            </w: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285,322,478.98</w:t>
            </w:r>
          </w:p>
        </w:tc>
      </w:tr>
    </w:tbl>
    <w:p>
      <w:pPr>
        <w:spacing w:line="240" w:lineRule="auto" w:before="0"/>
        <w:rPr>
          <w:rFonts w:ascii="Times New Roman" w:hAnsi="Times New Roman" w:cs="Times New Roman" w:eastAsia="Times New Roman" w:hint="default"/>
          <w:sz w:val="24"/>
          <w:szCs w:val="24"/>
        </w:rPr>
      </w:pPr>
    </w:p>
    <w:p>
      <w:pPr>
        <w:pStyle w:val="BodyText"/>
        <w:spacing w:line="300" w:lineRule="auto" w:before="44"/>
        <w:ind w:right="1113" w:firstLine="432"/>
        <w:jc w:val="left"/>
      </w:pPr>
      <w:r>
        <w:rPr/>
        <w:t>④</w:t>
      </w:r>
      <w:r>
        <w:rPr>
          <w:spacing w:val="-61"/>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日，公司原金融资产减值准备期末金额调整为按照新金融工具准则的规定进行分类和计量的新损失准备 的调节表如下：</w:t>
      </w:r>
    </w:p>
    <w:tbl>
      <w:tblPr>
        <w:tblW w:w="0" w:type="auto"/>
        <w:jc w:val="left"/>
        <w:tblInd w:w="145" w:type="dxa"/>
        <w:tblLayout w:type="fixed"/>
        <w:tblCellMar>
          <w:top w:w="0" w:type="dxa"/>
          <w:left w:w="0" w:type="dxa"/>
          <w:bottom w:w="0" w:type="dxa"/>
          <w:right w:w="0" w:type="dxa"/>
        </w:tblCellMar>
        <w:tblLook w:val="01E0"/>
      </w:tblPr>
      <w:tblGrid>
        <w:gridCol w:w="1702"/>
        <w:gridCol w:w="2554"/>
        <w:gridCol w:w="1133"/>
        <w:gridCol w:w="1702"/>
        <w:gridCol w:w="2127"/>
      </w:tblGrid>
      <w:tr>
        <w:trPr>
          <w:trHeight w:val="329" w:hRule="exact"/>
        </w:trPr>
        <w:tc>
          <w:tcPr>
            <w:tcW w:w="170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684"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3"/>
                <w:sz w:val="18"/>
                <w:szCs w:val="18"/>
              </w:rPr>
              <w:t> </w:t>
            </w:r>
            <w:r>
              <w:rPr>
                <w:rFonts w:ascii="宋体" w:hAnsi="宋体" w:cs="宋体" w:eastAsia="宋体" w:hint="default"/>
                <w:sz w:val="18"/>
                <w:szCs w:val="18"/>
              </w:rPr>
              <w:t>目</w:t>
            </w:r>
          </w:p>
        </w:tc>
        <w:tc>
          <w:tcPr>
            <w:tcW w:w="255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hAnsi="宋体" w:cs="宋体" w:eastAsia="宋体" w:hint="default"/>
                <w:sz w:val="18"/>
                <w:szCs w:val="18"/>
              </w:rPr>
              <w:t>按原金融工具准则计提损失准备</w:t>
            </w:r>
          </w:p>
        </w:tc>
        <w:tc>
          <w:tcPr>
            <w:tcW w:w="113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87"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70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484"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212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64" w:right="0"/>
              <w:jc w:val="left"/>
              <w:rPr>
                <w:rFonts w:ascii="宋体" w:hAnsi="宋体" w:cs="宋体" w:eastAsia="宋体" w:hint="default"/>
                <w:sz w:val="18"/>
                <w:szCs w:val="18"/>
              </w:rPr>
            </w:pPr>
            <w:r>
              <w:rPr>
                <w:rFonts w:ascii="宋体" w:hAnsi="宋体" w:cs="宋体" w:eastAsia="宋体" w:hint="default"/>
                <w:sz w:val="18"/>
                <w:szCs w:val="18"/>
              </w:rPr>
              <w:t>按新金融工具准则计提损</w:t>
            </w:r>
          </w:p>
        </w:tc>
      </w:tr>
      <w:tr>
        <w:trPr>
          <w:trHeight w:val="317" w:hRule="exact"/>
        </w:trPr>
        <w:tc>
          <w:tcPr>
            <w:tcW w:w="1702" w:type="dxa"/>
            <w:tcBorders>
              <w:top w:val="nil" w:sz="6" w:space="0" w:color="auto"/>
              <w:left w:val="single" w:sz="6" w:space="0" w:color="000000"/>
              <w:bottom w:val="nil" w:sz="6" w:space="0" w:color="auto"/>
              <w:right w:val="single" w:sz="6" w:space="0" w:color="000000"/>
            </w:tcBorders>
          </w:tcPr>
          <w:p>
            <w:pPr/>
          </w:p>
        </w:tc>
        <w:tc>
          <w:tcPr>
            <w:tcW w:w="255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按或有事项准则确认的预计负</w:t>
            </w:r>
          </w:p>
        </w:tc>
        <w:tc>
          <w:tcPr>
            <w:tcW w:w="1133"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2127"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64" w:right="0"/>
              <w:jc w:val="left"/>
              <w:rPr>
                <w:rFonts w:ascii="宋体" w:hAnsi="宋体" w:cs="宋体" w:eastAsia="宋体" w:hint="default"/>
                <w:sz w:val="18"/>
                <w:szCs w:val="18"/>
              </w:rPr>
            </w:pPr>
            <w:r>
              <w:rPr>
                <w:rFonts w:ascii="宋体" w:hAnsi="宋体" w:cs="宋体" w:eastAsia="宋体" w:hint="default"/>
                <w:sz w:val="18"/>
                <w:szCs w:val="18"/>
              </w:rPr>
              <w:t>失准备（</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326" w:hRule="exact"/>
        </w:trPr>
        <w:tc>
          <w:tcPr>
            <w:tcW w:w="1702" w:type="dxa"/>
            <w:tcBorders>
              <w:top w:val="nil" w:sz="6" w:space="0" w:color="auto"/>
              <w:left w:val="single" w:sz="6" w:space="0" w:color="000000"/>
              <w:bottom w:val="single" w:sz="6" w:space="0" w:color="000000"/>
              <w:right w:val="single" w:sz="6" w:space="0" w:color="000000"/>
            </w:tcBorders>
          </w:tcPr>
          <w:p>
            <w:pPr/>
          </w:p>
        </w:tc>
        <w:tc>
          <w:tcPr>
            <w:tcW w:w="255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369" w:right="0"/>
              <w:jc w:val="left"/>
              <w:rPr>
                <w:rFonts w:ascii="宋体" w:hAnsi="宋体" w:cs="宋体" w:eastAsia="宋体" w:hint="default"/>
                <w:sz w:val="18"/>
                <w:szCs w:val="18"/>
              </w:rPr>
            </w:pPr>
            <w:r>
              <w:rPr>
                <w:rFonts w:ascii="宋体" w:hAnsi="宋体" w:cs="宋体" w:eastAsia="宋体" w:hint="default"/>
                <w:sz w:val="18"/>
                <w:szCs w:val="18"/>
              </w:rPr>
              <w:t>债（</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133" w:type="dxa"/>
            <w:tcBorders>
              <w:top w:val="nil" w:sz="6" w:space="0" w:color="auto"/>
              <w:left w:val="single" w:sz="6" w:space="0" w:color="000000"/>
              <w:bottom w:val="single" w:sz="6" w:space="0" w:color="000000"/>
              <w:right w:val="single" w:sz="6" w:space="0" w:color="000000"/>
            </w:tcBorders>
          </w:tcPr>
          <w:p>
            <w:pPr/>
          </w:p>
        </w:tc>
        <w:tc>
          <w:tcPr>
            <w:tcW w:w="1702" w:type="dxa"/>
            <w:tcBorders>
              <w:top w:val="nil" w:sz="6" w:space="0" w:color="auto"/>
              <w:left w:val="single" w:sz="6" w:space="0" w:color="000000"/>
              <w:bottom w:val="single" w:sz="6" w:space="0" w:color="000000"/>
              <w:right w:val="single" w:sz="6" w:space="0" w:color="000000"/>
            </w:tcBorders>
          </w:tcPr>
          <w:p>
            <w:pPr/>
          </w:p>
        </w:tc>
        <w:tc>
          <w:tcPr>
            <w:tcW w:w="2127" w:type="dxa"/>
            <w:tcBorders>
              <w:top w:val="nil" w:sz="6" w:space="0" w:color="auto"/>
              <w:left w:val="single" w:sz="6" w:space="0" w:color="000000"/>
              <w:bottom w:val="single" w:sz="6" w:space="0" w:color="000000"/>
              <w:right w:val="single" w:sz="6" w:space="0" w:color="000000"/>
            </w:tcBorders>
          </w:tcPr>
          <w:p>
            <w:pPr/>
          </w:p>
        </w:tc>
      </w:tr>
      <w:tr>
        <w:trPr>
          <w:trHeight w:val="346"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179,400.00</w:t>
            </w:r>
          </w:p>
        </w:tc>
        <w:tc>
          <w:tcPr>
            <w:tcW w:w="113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179,400.00</w:t>
            </w:r>
          </w:p>
        </w:tc>
      </w:tr>
      <w:tr>
        <w:trPr>
          <w:trHeight w:val="348"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57,419,627.25</w:t>
            </w:r>
          </w:p>
        </w:tc>
        <w:tc>
          <w:tcPr>
            <w:tcW w:w="113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57,419,627.25</w:t>
            </w:r>
          </w:p>
        </w:tc>
      </w:tr>
      <w:tr>
        <w:trPr>
          <w:trHeight w:val="348"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2,289,598.85</w:t>
            </w:r>
          </w:p>
        </w:tc>
        <w:tc>
          <w:tcPr>
            <w:tcW w:w="113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2,289,598.85</w:t>
            </w:r>
          </w:p>
        </w:tc>
      </w:tr>
    </w:tbl>
    <w:p>
      <w:pPr>
        <w:spacing w:line="240" w:lineRule="auto" w:before="11"/>
        <w:rPr>
          <w:rFonts w:ascii="宋体" w:hAnsi="宋体" w:cs="宋体" w:eastAsia="宋体" w:hint="default"/>
          <w:sz w:val="22"/>
          <w:szCs w:val="22"/>
        </w:rPr>
      </w:pPr>
    </w:p>
    <w:p>
      <w:pPr>
        <w:pStyle w:val="BodyText"/>
        <w:spacing w:line="300" w:lineRule="auto" w:before="44"/>
        <w:ind w:right="967" w:firstLine="358"/>
        <w:jc w:val="left"/>
      </w:pPr>
      <w:r>
        <w:rPr>
          <w:spacing w:val="-2"/>
        </w:rPr>
        <w:t>（</w:t>
      </w:r>
      <w:r>
        <w:rPr>
          <w:rFonts w:ascii="Times New Roman" w:hAnsi="Times New Roman" w:cs="Times New Roman" w:eastAsia="Times New Roman" w:hint="default"/>
          <w:spacing w:val="-2"/>
        </w:rPr>
        <w:t>3</w:t>
      </w:r>
      <w:r>
        <w:rPr>
          <w:spacing w:val="-2"/>
        </w:rPr>
        <w:t>）本公司自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10</w:t>
      </w:r>
      <w:r>
        <w:rPr>
          <w:spacing w:val="-2"/>
        </w:rPr>
        <w:t>日起执行经修订的《企业会计准则第</w:t>
      </w:r>
      <w:r>
        <w:rPr>
          <w:rFonts w:ascii="Times New Roman" w:hAnsi="Times New Roman" w:cs="Times New Roman" w:eastAsia="Times New Roman" w:hint="default"/>
          <w:spacing w:val="-2"/>
        </w:rPr>
        <w:t>7</w:t>
      </w:r>
      <w:r>
        <w:rPr>
          <w:spacing w:val="-2"/>
        </w:rPr>
        <w:t>号</w:t>
      </w:r>
      <w:r>
        <w:rPr>
          <w:rFonts w:ascii="Times New Roman" w:hAnsi="Times New Roman" w:cs="Times New Roman" w:eastAsia="Times New Roman" w:hint="default"/>
          <w:spacing w:val="-2"/>
        </w:rPr>
        <w:t>——</w:t>
      </w:r>
      <w:r>
        <w:rPr>
          <w:spacing w:val="-2"/>
        </w:rPr>
        <w:t>非货币性资产交换》，自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17</w:t>
      </w:r>
      <w:r>
        <w:rPr>
          <w:spacing w:val="-2"/>
        </w:rPr>
        <w:t>日起执行</w:t>
      </w:r>
      <w:r>
        <w:rPr/>
        <w:t> 经修订的《企业会计准则第</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w:t>
      </w:r>
      <w:r>
        <w:rPr/>
        <w:t>债务重组》。该项会计政策变更采用未来适用法处理。</w:t>
      </w:r>
    </w:p>
    <w:p>
      <w:pPr>
        <w:spacing w:line="240" w:lineRule="auto" w:before="3"/>
        <w:rPr>
          <w:rFonts w:ascii="宋体" w:hAnsi="宋体" w:cs="宋体" w:eastAsia="宋体" w:hint="default"/>
          <w:sz w:val="17"/>
          <w:szCs w:val="17"/>
        </w:rPr>
      </w:pPr>
    </w:p>
    <w:p>
      <w:pPr>
        <w:pStyle w:val="Heading4"/>
        <w:spacing w:line="240" w:lineRule="auto"/>
        <w:ind w:right="967"/>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6"/>
        <w:gridCol w:w="2389"/>
        <w:gridCol w:w="2393"/>
        <w:gridCol w:w="2393"/>
      </w:tblGrid>
      <w:tr>
        <w:trPr>
          <w:trHeight w:val="401"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会计估计变更的内容和原因</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开始适用的时点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7" w:hRule="exact"/>
        </w:trPr>
        <w:tc>
          <w:tcPr>
            <w:tcW w:w="23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根据深圳证券交易所</w:t>
            </w:r>
          </w:p>
        </w:tc>
        <w:tc>
          <w:tcPr>
            <w:tcW w:w="2389" w:type="dxa"/>
            <w:tcBorders>
              <w:top w:val="single" w:sz="4" w:space="0" w:color="000000"/>
              <w:left w:val="single" w:sz="4" w:space="0" w:color="000000"/>
              <w:bottom w:val="nil" w:sz="6" w:space="0" w:color="auto"/>
              <w:right w:val="single" w:sz="4" w:space="0" w:color="000000"/>
            </w:tcBorders>
          </w:tcPr>
          <w:p>
            <w:pPr/>
          </w:p>
        </w:tc>
        <w:tc>
          <w:tcPr>
            <w:tcW w:w="2393" w:type="dxa"/>
            <w:tcBorders>
              <w:top w:val="single" w:sz="4" w:space="0" w:color="000000"/>
              <w:left w:val="single" w:sz="4" w:space="0" w:color="000000"/>
              <w:bottom w:val="nil" w:sz="6" w:space="0" w:color="auto"/>
              <w:right w:val="single" w:sz="4" w:space="0" w:color="000000"/>
            </w:tcBorders>
          </w:tcPr>
          <w:p>
            <w:pPr/>
          </w:p>
        </w:tc>
        <w:tc>
          <w:tcPr>
            <w:tcW w:w="239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3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《中小企业板信息披露业务备</w:t>
            </w:r>
          </w:p>
        </w:tc>
        <w:tc>
          <w:tcPr>
            <w:tcW w:w="2389"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3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忘录第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号：定期报告披露相</w:t>
            </w:r>
          </w:p>
        </w:tc>
        <w:tc>
          <w:tcPr>
            <w:tcW w:w="2389"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3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关事项之一、定期报告披露的</w:t>
            </w:r>
          </w:p>
        </w:tc>
        <w:tc>
          <w:tcPr>
            <w:tcW w:w="2389"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
        </w:tc>
      </w:tr>
      <w:tr>
        <w:trPr>
          <w:trHeight w:val="2496" w:hRule="exact"/>
        </w:trPr>
        <w:tc>
          <w:tcPr>
            <w:tcW w:w="2396"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4" w:right="17"/>
              <w:jc w:val="both"/>
              <w:rPr>
                <w:rFonts w:ascii="宋体" w:hAnsi="宋体" w:cs="宋体" w:eastAsia="宋体" w:hint="default"/>
                <w:sz w:val="18"/>
                <w:szCs w:val="18"/>
              </w:rPr>
            </w:pPr>
            <w:r>
              <w:rPr>
                <w:rFonts w:ascii="宋体" w:hAnsi="宋体" w:cs="宋体" w:eastAsia="宋体" w:hint="default"/>
                <w:sz w:val="18"/>
                <w:szCs w:val="18"/>
              </w:rPr>
              <w:t>一般要求（七）会计政策、会 计估计变更和会计差错更正》 要求，按照《企业会计准则第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会计政策、会计估计</w:t>
            </w:r>
            <w:r>
              <w:rPr>
                <w:rFonts w:ascii="宋体" w:hAnsi="宋体" w:cs="宋体" w:eastAsia="宋体" w:hint="default"/>
                <w:sz w:val="18"/>
                <w:szCs w:val="18"/>
              </w:rPr>
              <w:t> 变更和差错更正》的规定，为 使公司固定资产折旧年限与实 际使用寿命更接近，从而能准 确地反映公司固定资产的折旧</w:t>
            </w:r>
          </w:p>
        </w:tc>
        <w:tc>
          <w:tcPr>
            <w:tcW w:w="238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312" w:lineRule="auto"/>
              <w:ind w:left="23"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日召开第二届 董事会第二十四次会议和第 二届监事会第十一次会议审 议通过</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07" w:lineRule="auto"/>
              <w:ind w:left="23" w:right="17" w:firstLine="360"/>
              <w:jc w:val="both"/>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月末公司 固定资产情况，经公司测算， 本次会计估计变更影响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p>
          <w:p>
            <w:pPr>
              <w:pStyle w:val="TableParagraph"/>
              <w:spacing w:line="312" w:lineRule="auto" w:before="7"/>
              <w:ind w:left="23" w:right="-27"/>
              <w:jc w:val="left"/>
              <w:rPr>
                <w:rFonts w:ascii="宋体" w:hAnsi="宋体" w:cs="宋体" w:eastAsia="宋体" w:hint="default"/>
                <w:sz w:val="18"/>
                <w:szCs w:val="18"/>
              </w:rPr>
            </w:pPr>
            <w:r>
              <w:rPr>
                <w:rFonts w:ascii="宋体" w:hAnsi="宋体" w:cs="宋体" w:eastAsia="宋体" w:hint="default"/>
                <w:sz w:val="18"/>
                <w:szCs w:val="18"/>
              </w:rPr>
              <w:t>年度少计提折旧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320.83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扣除企业所得税的影响后，增 加归属于母公司所有者的净 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256.40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12" w:hRule="exact"/>
        </w:trPr>
        <w:tc>
          <w:tcPr>
            <w:tcW w:w="23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情况，公允、恰当地反映公司</w:t>
            </w:r>
          </w:p>
        </w:tc>
        <w:tc>
          <w:tcPr>
            <w:tcW w:w="2389"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的财务状况和经营成果，公司</w:t>
            </w:r>
          </w:p>
        </w:tc>
        <w:tc>
          <w:tcPr>
            <w:tcW w:w="2389"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拟变更房屋及建筑物的折旧年</w:t>
            </w:r>
          </w:p>
        </w:tc>
        <w:tc>
          <w:tcPr>
            <w:tcW w:w="2389"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23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限。</w:t>
            </w:r>
          </w:p>
        </w:tc>
        <w:tc>
          <w:tcPr>
            <w:tcW w:w="2389" w:type="dxa"/>
            <w:tcBorders>
              <w:top w:val="nil" w:sz="6" w:space="0" w:color="auto"/>
              <w:left w:val="single" w:sz="4" w:space="0" w:color="000000"/>
              <w:bottom w:val="single" w:sz="4" w:space="0" w:color="000000"/>
              <w:right w:val="single" w:sz="4" w:space="0" w:color="000000"/>
            </w:tcBorders>
          </w:tcPr>
          <w:p>
            <w:pPr/>
          </w:p>
        </w:tc>
        <w:tc>
          <w:tcPr>
            <w:tcW w:w="2393" w:type="dxa"/>
            <w:tcBorders>
              <w:top w:val="nil" w:sz="6" w:space="0" w:color="auto"/>
              <w:left w:val="single" w:sz="4" w:space="0" w:color="000000"/>
              <w:bottom w:val="single" w:sz="4" w:space="0" w:color="000000"/>
              <w:right w:val="single" w:sz="4" w:space="0" w:color="000000"/>
            </w:tcBorders>
          </w:tcPr>
          <w:p>
            <w:pPr/>
          </w:p>
        </w:tc>
        <w:tc>
          <w:tcPr>
            <w:tcW w:w="2393"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8"/>
        <w:ind w:right="967"/>
        <w:jc w:val="left"/>
      </w:pPr>
      <w:r>
        <w:rPr/>
        <w:t>变更前采用的会计估计：</w:t>
      </w:r>
    </w:p>
    <w:p>
      <w:pPr>
        <w:spacing w:after="0" w:line="240" w:lineRule="auto"/>
        <w:jc w:val="left"/>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2098"/>
        <w:gridCol w:w="1822"/>
        <w:gridCol w:w="2096"/>
        <w:gridCol w:w="1685"/>
        <w:gridCol w:w="1959"/>
      </w:tblGrid>
      <w:tr>
        <w:trPr>
          <w:trHeight w:val="348" w:hRule="exact"/>
        </w:trPr>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2"/>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折旧年限</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p>
        </w:tc>
      </w:tr>
      <w:tr>
        <w:trPr>
          <w:trHeight w:val="346" w:hRule="exact"/>
        </w:trPr>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 w:right="0"/>
              <w:jc w:val="center"/>
              <w:rPr>
                <w:rFonts w:ascii="Times New Roman" w:hAnsi="Times New Roman" w:cs="Times New Roman" w:eastAsia="Times New Roman" w:hint="default"/>
                <w:sz w:val="18"/>
                <w:szCs w:val="18"/>
              </w:rPr>
            </w:pPr>
            <w:r>
              <w:rPr>
                <w:rFonts w:ascii="Times New Roman"/>
                <w:sz w:val="18"/>
              </w:rPr>
              <w:t>20</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5</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4.75</w:t>
            </w:r>
          </w:p>
        </w:tc>
      </w:tr>
    </w:tbl>
    <w:p>
      <w:pPr>
        <w:spacing w:line="240" w:lineRule="auto" w:before="1"/>
        <w:rPr>
          <w:rFonts w:ascii="宋体" w:hAnsi="宋体" w:cs="宋体" w:eastAsia="宋体" w:hint="default"/>
          <w:sz w:val="21"/>
          <w:szCs w:val="21"/>
        </w:rPr>
      </w:pPr>
    </w:p>
    <w:p>
      <w:pPr>
        <w:pStyle w:val="BodyText"/>
        <w:spacing w:line="240" w:lineRule="auto" w:before="44"/>
        <w:ind w:right="967"/>
        <w:jc w:val="left"/>
      </w:pPr>
      <w:r>
        <w:rPr/>
        <w:t>变更后采用的会计估计：</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098"/>
        <w:gridCol w:w="1822"/>
        <w:gridCol w:w="2096"/>
        <w:gridCol w:w="1685"/>
        <w:gridCol w:w="1959"/>
      </w:tblGrid>
      <w:tr>
        <w:trPr>
          <w:trHeight w:val="348" w:hRule="exact"/>
        </w:trPr>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折旧年限</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p>
        </w:tc>
      </w:tr>
      <w:tr>
        <w:trPr>
          <w:trHeight w:val="348" w:hRule="exact"/>
        </w:trPr>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 w:right="0"/>
              <w:jc w:val="center"/>
              <w:rPr>
                <w:rFonts w:ascii="Times New Roman" w:hAnsi="Times New Roman" w:cs="Times New Roman" w:eastAsia="Times New Roman" w:hint="default"/>
                <w:sz w:val="18"/>
                <w:szCs w:val="18"/>
              </w:rPr>
            </w:pPr>
            <w:r>
              <w:rPr>
                <w:rFonts w:ascii="Times New Roman"/>
                <w:sz w:val="18"/>
              </w:rPr>
              <w:t>20-50</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5</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1.90-4.75</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335" w:lineRule="exact"/>
        <w:ind w:right="967"/>
        <w:jc w:val="left"/>
        <w:rPr>
          <w:b w:val="0"/>
          <w:bCs w:val="0"/>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t>年起执行新金融工具准则、新收入准则或新租赁准则调整执行当年年初财务报表相关项目情况</w:t>
      </w:r>
      <w:r>
        <w:rPr>
          <w:b w:val="0"/>
          <w:bCs w:val="0"/>
        </w:rPr>
      </w:r>
    </w:p>
    <w:p>
      <w:pPr>
        <w:spacing w:line="240" w:lineRule="auto" w:before="12"/>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877" w:footer="979" w:top="1100" w:bottom="1160" w:left="980" w:right="0"/>
        </w:sectPr>
      </w:pPr>
    </w:p>
    <w:p>
      <w:pPr>
        <w:pStyle w:val="BodyText"/>
        <w:spacing w:line="3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534" w:space="7387"/>
            <w:col w:w="2009"/>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407,032,250.96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407,032,250.96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45,000,000.00</w:t>
            </w:r>
          </w:p>
        </w:tc>
      </w:tr>
      <w:tr>
        <w:trPr>
          <w:trHeight w:val="1027"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8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896,600.00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600,600.00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-296,000.00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302,533,158.64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302,533,158.64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296,000.00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296,000.00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7,447,792.78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7,447,792.78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13,124,147.91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13,124,147.91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114,291,165.04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114,291,165.04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203,030,705.07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158,030,705.07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-45,000,000.00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1,048,355,820.40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1,048,355,820.40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2,782,950.40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2,782,950.40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203,899,862.05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203,899,862.05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56,775,871.54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56,775,871.54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35,305,998.75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35,305,998.75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23,171,565.14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23,171,565.14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11,961,732.56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11,961,732.56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335,397,980.44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335,397,980.44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1,383,753,800.84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1,383,753,800.84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102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64,878,808.83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64,878,808.83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173,878,876.31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173,878,876.31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26,119,526.07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26,119,526.07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89"/>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36,132,848.82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36,132,848.82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27,011,914.51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27,011,914.51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46,564,793.84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46,564,793.84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374,586,768.38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374,586,768.38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108,761.95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108,761.95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9,515,001.77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9,515,001.77</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9,623,763.72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9,623,763.72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384,210,532.10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384,210,532.10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117,800,000.00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117,800,000.00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630,153,882.82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630,153,882.82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45,041,370.17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45,041,370.17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215,954,034.77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215,954,034.77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9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1,008,949,287.76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1,008,949,287.76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-9,406,019.02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-9,406,019.02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999,543,268.74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999,543,268.74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1,383,753,800.84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1,383,753,800.84</w:t>
            </w:r>
          </w:p>
        </w:tc>
        <w:tc>
          <w:tcPr>
            <w:tcW w:w="24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both"/>
      </w:pPr>
      <w:r>
        <w:rPr/>
        <w:t>调整情况说明</w:t>
      </w:r>
    </w:p>
    <w:p>
      <w:pPr>
        <w:pStyle w:val="BodyText"/>
        <w:spacing w:line="240" w:lineRule="auto" w:before="115"/>
        <w:ind w:left="513" w:right="967"/>
        <w:jc w:val="left"/>
      </w:pPr>
      <w:r>
        <w:rPr/>
        <w:t>财政部于</w:t>
      </w:r>
      <w:r>
        <w:rPr>
          <w:rFonts w:ascii="Times New Roman" w:hAnsi="Times New Roman" w:cs="Times New Roman" w:eastAsia="Times New Roman" w:hint="default"/>
        </w:rPr>
        <w:t>2017</w:t>
      </w:r>
      <w:r>
        <w:rPr/>
        <w:t>年颁布了修订后的《企业会计准则第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[2017]7</w:t>
      </w:r>
      <w:r>
        <w:rPr/>
        <w:t>号</w:t>
      </w:r>
      <w:r>
        <w:rPr>
          <w:rFonts w:ascii="Times New Roman" w:hAnsi="Times New Roman" w:cs="Times New Roman" w:eastAsia="Times New Roman" w:hint="default"/>
        </w:rPr>
        <w:t>)</w:t>
      </w:r>
      <w:r>
        <w:rPr/>
        <w:t>、《企业会计准则第</w:t>
      </w:r>
    </w:p>
    <w:p>
      <w:pPr>
        <w:pStyle w:val="BodyText"/>
        <w:spacing w:line="240" w:lineRule="auto" w:before="63"/>
        <w:ind w:right="0"/>
        <w:jc w:val="both"/>
      </w:pP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[2017]8</w:t>
      </w:r>
      <w:r>
        <w:rPr/>
        <w:t>号</w:t>
      </w:r>
      <w:r>
        <w:rPr>
          <w:rFonts w:ascii="Times New Roman" w:hAnsi="Times New Roman" w:cs="Times New Roman" w:eastAsia="Times New Roman" w:hint="default"/>
        </w:rPr>
        <w:t>)</w:t>
      </w:r>
      <w:r>
        <w:rPr/>
        <w:t>、《企业会计准则第</w:t>
      </w:r>
      <w:r>
        <w:rPr>
          <w:rFonts w:ascii="Times New Roman" w:hAnsi="Times New Roman" w:cs="Times New Roman" w:eastAsia="Times New Roman" w:hint="default"/>
        </w:rPr>
        <w:t>24</w:t>
      </w:r>
      <w:r>
        <w:rPr/>
        <w:t>号</w:t>
      </w:r>
      <w:r>
        <w:rPr>
          <w:rFonts w:ascii="Times New Roman" w:hAnsi="Times New Roman" w:cs="Times New Roman" w:eastAsia="Times New Roman" w:hint="default"/>
        </w:rPr>
        <w:t>——</w:t>
      </w:r>
      <w:r>
        <w:rPr/>
        <w:t>套期会计》</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[2017]9</w:t>
      </w:r>
      <w:r>
        <w:rPr/>
        <w:t>号</w:t>
      </w:r>
      <w:r>
        <w:rPr>
          <w:rFonts w:ascii="Times New Roman" w:hAnsi="Times New Roman" w:cs="Times New Roman" w:eastAsia="Times New Roman" w:hint="default"/>
        </w:rPr>
        <w:t>)</w:t>
      </w:r>
      <w:r>
        <w:rPr/>
        <w:t>及《企业会计准则第</w:t>
      </w:r>
      <w:r>
        <w:rPr>
          <w:rFonts w:ascii="Times New Roman" w:hAnsi="Times New Roman" w:cs="Times New Roman" w:eastAsia="Times New Roman" w:hint="default"/>
        </w:rPr>
        <w:t>37</w:t>
      </w:r>
      <w:r>
        <w:rPr/>
        <w:t>号</w:t>
      </w:r>
    </w:p>
    <w:p>
      <w:pPr>
        <w:pStyle w:val="BodyText"/>
        <w:spacing w:line="300" w:lineRule="auto" w:before="63"/>
        <w:ind w:left="513" w:right="967" w:hanging="361"/>
        <w:jc w:val="left"/>
        <w:rPr>
          <w:rFonts w:ascii="Times New Roman" w:hAnsi="Times New Roman" w:cs="Times New Roman" w:eastAsia="Times New Roman" w:hint="default"/>
        </w:rPr>
      </w:pPr>
      <w:r>
        <w:rPr>
          <w:rFonts w:ascii="Times New Roman" w:hAnsi="Times New Roman" w:cs="Times New Roman" w:eastAsia="Times New Roman" w:hint="default"/>
        </w:rPr>
        <w:t>——</w:t>
      </w:r>
      <w:r>
        <w:rPr/>
        <w:t>金融工具列报》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[2017]14</w:t>
      </w:r>
      <w:r>
        <w:rPr/>
        <w:t>号</w:t>
      </w:r>
      <w:r>
        <w:rPr>
          <w:rFonts w:ascii="Times New Roman" w:hAnsi="Times New Roman" w:cs="Times New Roman" w:eastAsia="Times New Roman" w:hint="default"/>
        </w:rPr>
        <w:t>)</w:t>
      </w:r>
      <w:r>
        <w:rPr/>
        <w:t>，并要求境内上市公司自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日起施行。 </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28</w:t>
      </w:r>
      <w:r>
        <w:rPr>
          <w:spacing w:val="-2"/>
        </w:rPr>
        <w:t>日召开第二届董事会第三十一次会议，审议通过了《关于会计政策变更的议案》，并于并于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p>
    <w:p>
      <w:pPr>
        <w:pStyle w:val="BodyText"/>
        <w:spacing w:line="307" w:lineRule="auto" w:before="13"/>
        <w:ind w:right="1134"/>
        <w:jc w:val="both"/>
        <w:rPr>
          <w:rFonts w:ascii="Times New Roman" w:hAnsi="Times New Roman" w:cs="Times New Roman" w:eastAsia="Times New Roman" w:hint="default"/>
        </w:rPr>
      </w:pPr>
      <w:r>
        <w:rPr/>
        <w:t>月</w:t>
      </w:r>
      <w:r>
        <w:rPr>
          <w:rFonts w:ascii="Times New Roman" w:hAnsi="Times New Roman" w:cs="Times New Roman" w:eastAsia="Times New Roman" w:hint="default"/>
        </w:rPr>
        <w:t>1</w:t>
      </w:r>
      <w:r>
        <w:rPr/>
        <w:t>日起首次执行上述新金融会计准则。对原计入</w:t>
      </w:r>
      <w:r>
        <w:rPr>
          <w:rFonts w:ascii="Times New Roman" w:hAnsi="Times New Roman" w:cs="Times New Roman" w:eastAsia="Times New Roman" w:hint="default"/>
        </w:rPr>
        <w:t>“</w:t>
      </w:r>
      <w:r>
        <w:rPr/>
        <w:t>可供出售金融资产</w:t>
      </w:r>
      <w:r>
        <w:rPr>
          <w:rFonts w:ascii="Times New Roman" w:hAnsi="Times New Roman" w:cs="Times New Roman" w:eastAsia="Times New Roman" w:hint="default"/>
        </w:rPr>
        <w:t>”</w:t>
      </w:r>
      <w:r>
        <w:rPr/>
        <w:t>的权益工具投资，计入</w:t>
      </w:r>
      <w:r>
        <w:rPr>
          <w:rFonts w:ascii="Times New Roman" w:hAnsi="Times New Roman" w:cs="Times New Roman" w:eastAsia="Times New Roman" w:hint="default"/>
        </w:rPr>
        <w:t>“</w:t>
      </w:r>
      <w:r>
        <w:rPr/>
        <w:t>其他权益工具投资</w:t>
      </w:r>
      <w:r>
        <w:rPr>
          <w:rFonts w:ascii="Times New Roman" w:hAnsi="Times New Roman" w:cs="Times New Roman" w:eastAsia="Times New Roman" w:hint="default"/>
        </w:rPr>
        <w:t>”</w:t>
      </w:r>
      <w:r>
        <w:rPr/>
        <w:t>。对原计 </w:t>
      </w:r>
      <w:r>
        <w:rPr>
          <w:spacing w:val="-5"/>
        </w:rPr>
        <w:t>入“其他流动资产”的部分银行理财产品，计入“交易性金融资产”。对原计入“应收票据”的部分银行承兑汇票，计入“应</w:t>
      </w:r>
      <w:r>
        <w:rPr>
          <w:spacing w:val="-84"/>
        </w:rPr>
        <w:t> </w:t>
      </w:r>
      <w:r>
        <w:rPr>
          <w:spacing w:val="-84"/>
        </w:rPr>
      </w:r>
      <w:r>
        <w:rPr/>
        <w:t>收款项融资”。根据新金融工具会计准则第</w:t>
      </w:r>
      <w:r>
        <w:rPr>
          <w:rFonts w:ascii="Times New Roman" w:hAnsi="Times New Roman" w:cs="Times New Roman" w:eastAsia="Times New Roman" w:hint="default"/>
        </w:rPr>
        <w:t>73</w:t>
      </w:r>
      <w:r>
        <w:rPr/>
        <w:t>条规定：</w:t>
      </w:r>
      <w:r>
        <w:rPr>
          <w:rFonts w:ascii="Times New Roman" w:hAnsi="Times New Roman" w:cs="Times New Roman" w:eastAsia="Times New Roman" w:hint="default"/>
        </w:rPr>
        <w:t>“</w:t>
      </w:r>
      <w:r>
        <w:rPr/>
        <w:t>涉及前期比较财务报表数据与本准则要求不一致的，无需调整。首 日执行新准则与原准则的差异，需追溯调整本报告期期初留存收益或其他综合收益金额。</w:t>
      </w:r>
      <w:r>
        <w:rPr>
          <w:rFonts w:ascii="Times New Roman" w:hAnsi="Times New Roman" w:cs="Times New Roman" w:eastAsia="Times New Roman" w:hint="default"/>
        </w:rPr>
        <w:t>”</w:t>
      </w:r>
    </w:p>
    <w:p>
      <w:pPr>
        <w:pStyle w:val="BodyText"/>
        <w:spacing w:line="240" w:lineRule="auto" w:before="7"/>
        <w:ind w:right="0"/>
        <w:jc w:val="both"/>
      </w:pPr>
      <w:r>
        <w:rPr/>
        <w:t>母公司资产负债表</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3" w:right="0"/>
              <w:jc w:val="left"/>
              <w:rPr>
                <w:rFonts w:ascii="Times New Roman" w:hAnsi="Times New Roman" w:cs="Times New Roman" w:eastAsia="Times New Roman" w:hint="default"/>
                <w:sz w:val="18"/>
                <w:szCs w:val="18"/>
              </w:rPr>
            </w:pPr>
            <w:r>
              <w:rPr>
                <w:rFonts w:ascii="Times New Roman"/>
                <w:sz w:val="18"/>
              </w:rPr>
              <w:t>308,383,060.11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308,383,060.11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87" w:right="0"/>
              <w:jc w:val="left"/>
              <w:rPr>
                <w:rFonts w:ascii="Times New Roman" w:hAnsi="Times New Roman" w:cs="Times New Roman" w:eastAsia="Times New Roman" w:hint="default"/>
                <w:sz w:val="18"/>
                <w:szCs w:val="18"/>
              </w:rPr>
            </w:pPr>
            <w:r>
              <w:rPr>
                <w:rFonts w:ascii="Times New Roman"/>
                <w:sz w:val="18"/>
              </w:rPr>
              <w:t>45,000,000.00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102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896,600.00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600,600.00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-296,000.00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328,829,357.82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328,829,357.82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296,000.00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7,388,612.19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7,388,612.19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71,290,575.59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71,290,575.59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111,345,510.61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111,345,510.61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46,478,177.08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1,478,177.08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-45,000,000.00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874,611,893.40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874,611,893.40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351,215,050.40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351,215,050.40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134,903,952.24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134,903,952.24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647,997.64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647,997.64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2,156,125.66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2,156,125.66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22,583,981.63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22,583,981.63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11,961,732.56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11,961,732.56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524,968,840.13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524,968,840.13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1,399,580,733.53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1,399,580,733.53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8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64,878,808.83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64,878,808.83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164,579,142.21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164,579,142.21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24,772,487.52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24,772,487.52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34,102,690.75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34,102,690.75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25,737,952.75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25,737,952.75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36,811,481.66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36,811,481.66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69"/>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71"/>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350,882,563.72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350,882,563.72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9"/>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108,761.95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108,761.95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8,321,801.77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8,321,801.77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8,430,563.72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8,430,563.72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359,313,127.44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359,313,127.44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117,800,000.00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117,800,000.00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629,111,873.65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2"/>
                <w:sz w:val="18"/>
              </w:rPr>
              <w:t>629,111,873.65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46,710,573.25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46,710,573.25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246,645,159.19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246,645,159.19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1,040,267,606.09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1,040,267,606.09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1,399,580,733.53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1,399,580,733.53</w:t>
            </w:r>
          </w:p>
        </w:tc>
        <w:tc>
          <w:tcPr>
            <w:tcW w:w="24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both"/>
      </w:pPr>
      <w:r>
        <w:rPr/>
        <w:t>调整情况说明</w:t>
      </w:r>
    </w:p>
    <w:p>
      <w:pPr>
        <w:pStyle w:val="BodyText"/>
        <w:spacing w:line="240" w:lineRule="auto" w:before="115"/>
        <w:ind w:left="513" w:right="967"/>
        <w:jc w:val="left"/>
      </w:pPr>
      <w:r>
        <w:rPr/>
        <w:t>财政部于</w:t>
      </w:r>
      <w:r>
        <w:rPr>
          <w:rFonts w:ascii="Times New Roman" w:hAnsi="Times New Roman" w:cs="Times New Roman" w:eastAsia="Times New Roman" w:hint="default"/>
        </w:rPr>
        <w:t>2017</w:t>
      </w:r>
      <w:r>
        <w:rPr/>
        <w:t>年颁布了修订后的《企业会计准则第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[2017]7</w:t>
      </w:r>
      <w:r>
        <w:rPr/>
        <w:t>号</w:t>
      </w:r>
      <w:r>
        <w:rPr>
          <w:rFonts w:ascii="Times New Roman" w:hAnsi="Times New Roman" w:cs="Times New Roman" w:eastAsia="Times New Roman" w:hint="default"/>
        </w:rPr>
        <w:t>)</w:t>
      </w:r>
      <w:r>
        <w:rPr/>
        <w:t>、《企业会计准则第</w:t>
      </w:r>
    </w:p>
    <w:p>
      <w:pPr>
        <w:pStyle w:val="BodyText"/>
        <w:spacing w:line="240" w:lineRule="auto" w:before="63"/>
        <w:ind w:right="0"/>
        <w:jc w:val="both"/>
      </w:pP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[2017]8</w:t>
      </w:r>
      <w:r>
        <w:rPr/>
        <w:t>号</w:t>
      </w:r>
      <w:r>
        <w:rPr>
          <w:rFonts w:ascii="Times New Roman" w:hAnsi="Times New Roman" w:cs="Times New Roman" w:eastAsia="Times New Roman" w:hint="default"/>
        </w:rPr>
        <w:t>)</w:t>
      </w:r>
      <w:r>
        <w:rPr/>
        <w:t>、《企业会计准则第</w:t>
      </w:r>
      <w:r>
        <w:rPr>
          <w:rFonts w:ascii="Times New Roman" w:hAnsi="Times New Roman" w:cs="Times New Roman" w:eastAsia="Times New Roman" w:hint="default"/>
        </w:rPr>
        <w:t>24</w:t>
      </w:r>
      <w:r>
        <w:rPr/>
        <w:t>号</w:t>
      </w:r>
      <w:r>
        <w:rPr>
          <w:rFonts w:ascii="Times New Roman" w:hAnsi="Times New Roman" w:cs="Times New Roman" w:eastAsia="Times New Roman" w:hint="default"/>
        </w:rPr>
        <w:t>——</w:t>
      </w:r>
      <w:r>
        <w:rPr/>
        <w:t>套期会计》</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[2017]9</w:t>
      </w:r>
      <w:r>
        <w:rPr/>
        <w:t>号</w:t>
      </w:r>
      <w:r>
        <w:rPr>
          <w:rFonts w:ascii="Times New Roman" w:hAnsi="Times New Roman" w:cs="Times New Roman" w:eastAsia="Times New Roman" w:hint="default"/>
        </w:rPr>
        <w:t>)</w:t>
      </w:r>
      <w:r>
        <w:rPr/>
        <w:t>及《企业会计准则第</w:t>
      </w:r>
      <w:r>
        <w:rPr>
          <w:rFonts w:ascii="Times New Roman" w:hAnsi="Times New Roman" w:cs="Times New Roman" w:eastAsia="Times New Roman" w:hint="default"/>
        </w:rPr>
        <w:t>37</w:t>
      </w:r>
      <w:r>
        <w:rPr/>
        <w:t>号</w:t>
      </w:r>
    </w:p>
    <w:p>
      <w:pPr>
        <w:pStyle w:val="BodyText"/>
        <w:spacing w:line="300" w:lineRule="auto" w:before="63"/>
        <w:ind w:left="513" w:right="967" w:hanging="361"/>
        <w:jc w:val="left"/>
        <w:rPr>
          <w:rFonts w:ascii="Times New Roman" w:hAnsi="Times New Roman" w:cs="Times New Roman" w:eastAsia="Times New Roman" w:hint="default"/>
        </w:rPr>
      </w:pPr>
      <w:r>
        <w:rPr>
          <w:rFonts w:ascii="Times New Roman" w:hAnsi="Times New Roman" w:cs="Times New Roman" w:eastAsia="Times New Roman" w:hint="default"/>
        </w:rPr>
        <w:t>——</w:t>
      </w:r>
      <w:r>
        <w:rPr/>
        <w:t>金融工具列报》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[2017]14</w:t>
      </w:r>
      <w:r>
        <w:rPr/>
        <w:t>号</w:t>
      </w:r>
      <w:r>
        <w:rPr>
          <w:rFonts w:ascii="Times New Roman" w:hAnsi="Times New Roman" w:cs="Times New Roman" w:eastAsia="Times New Roman" w:hint="default"/>
        </w:rPr>
        <w:t>)</w:t>
      </w:r>
      <w:r>
        <w:rPr/>
        <w:t>，并要求境内上市公司自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日起施行。 </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28</w:t>
      </w:r>
      <w:r>
        <w:rPr>
          <w:spacing w:val="-2"/>
        </w:rPr>
        <w:t>日召开第二届董事会第三十一次会议，审议通过了《关于会计政策变更的议案》，并于并于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p>
    <w:p>
      <w:pPr>
        <w:pStyle w:val="BodyText"/>
        <w:spacing w:line="307" w:lineRule="auto" w:before="13"/>
        <w:ind w:right="1134"/>
        <w:jc w:val="both"/>
        <w:rPr>
          <w:rFonts w:ascii="Times New Roman" w:hAnsi="Times New Roman" w:cs="Times New Roman" w:eastAsia="Times New Roman" w:hint="default"/>
        </w:rPr>
      </w:pPr>
      <w:r>
        <w:rPr/>
        <w:t>月</w:t>
      </w:r>
      <w:r>
        <w:rPr>
          <w:rFonts w:ascii="Times New Roman" w:hAnsi="Times New Roman" w:cs="Times New Roman" w:eastAsia="Times New Roman" w:hint="default"/>
        </w:rPr>
        <w:t>1</w:t>
      </w:r>
      <w:r>
        <w:rPr/>
        <w:t>日起首次执行上述新金融会计准则。对原计入</w:t>
      </w:r>
      <w:r>
        <w:rPr>
          <w:rFonts w:ascii="Times New Roman" w:hAnsi="Times New Roman" w:cs="Times New Roman" w:eastAsia="Times New Roman" w:hint="default"/>
        </w:rPr>
        <w:t>“</w:t>
      </w:r>
      <w:r>
        <w:rPr/>
        <w:t>可供出售金融资产</w:t>
      </w:r>
      <w:r>
        <w:rPr>
          <w:rFonts w:ascii="Times New Roman" w:hAnsi="Times New Roman" w:cs="Times New Roman" w:eastAsia="Times New Roman" w:hint="default"/>
        </w:rPr>
        <w:t>”</w:t>
      </w:r>
      <w:r>
        <w:rPr/>
        <w:t>的权益工具投资，计入</w:t>
      </w:r>
      <w:r>
        <w:rPr>
          <w:rFonts w:ascii="Times New Roman" w:hAnsi="Times New Roman" w:cs="Times New Roman" w:eastAsia="Times New Roman" w:hint="default"/>
        </w:rPr>
        <w:t>“</w:t>
      </w:r>
      <w:r>
        <w:rPr/>
        <w:t>其他权益工具投资</w:t>
      </w:r>
      <w:r>
        <w:rPr>
          <w:rFonts w:ascii="Times New Roman" w:hAnsi="Times New Roman" w:cs="Times New Roman" w:eastAsia="Times New Roman" w:hint="default"/>
        </w:rPr>
        <w:t>”</w:t>
      </w:r>
      <w:r>
        <w:rPr/>
        <w:t>。对原计 </w:t>
      </w:r>
      <w:r>
        <w:rPr>
          <w:spacing w:val="-5"/>
        </w:rPr>
        <w:t>入“其他流动资产”的部分银行理财产品，计入“交易性金融资产”。对原计入“应收票据”的部分银行承兑汇票，计入“应</w:t>
      </w:r>
      <w:r>
        <w:rPr>
          <w:spacing w:val="-83"/>
        </w:rPr>
        <w:t> </w:t>
      </w:r>
      <w:r>
        <w:rPr>
          <w:spacing w:val="-83"/>
        </w:rPr>
      </w:r>
      <w:r>
        <w:rPr/>
        <w:t>收款项融资”。根据新金融工具会计准则第</w:t>
      </w:r>
      <w:r>
        <w:rPr>
          <w:rFonts w:ascii="Times New Roman" w:hAnsi="Times New Roman" w:cs="Times New Roman" w:eastAsia="Times New Roman" w:hint="default"/>
        </w:rPr>
        <w:t>73</w:t>
      </w:r>
      <w:r>
        <w:rPr/>
        <w:t>条规定：</w:t>
      </w:r>
      <w:r>
        <w:rPr>
          <w:rFonts w:ascii="Times New Roman" w:hAnsi="Times New Roman" w:cs="Times New Roman" w:eastAsia="Times New Roman" w:hint="default"/>
        </w:rPr>
        <w:t>“</w:t>
      </w:r>
      <w:r>
        <w:rPr/>
        <w:t>涉及前期比较财务报表数据与本准则要求不一致的，无需调整。首 日执行新准则与原准则的差异，需追溯调整本报告期期初留存收益或其他综合收益金额。</w:t>
      </w:r>
      <w:r>
        <w:rPr>
          <w:rFonts w:ascii="Times New Roman" w:hAnsi="Times New Roman" w:cs="Times New Roman" w:eastAsia="Times New Roman" w:hint="default"/>
        </w:rPr>
        <w:t>”</w:t>
      </w:r>
    </w:p>
    <w:p>
      <w:pPr>
        <w:spacing w:line="240" w:lineRule="auto" w:before="1"/>
        <w:rPr>
          <w:rFonts w:ascii="Times New Roman" w:hAnsi="Times New Roman" w:cs="Times New Roman" w:eastAsia="Times New Roman" w:hint="default"/>
          <w:sz w:val="19"/>
          <w:szCs w:val="19"/>
        </w:rPr>
      </w:pPr>
    </w:p>
    <w:p>
      <w:pPr>
        <w:pStyle w:val="Heading4"/>
        <w:spacing w:line="240" w:lineRule="auto"/>
        <w:ind w:right="0"/>
        <w:jc w:val="both"/>
        <w:rPr>
          <w:b w:val="0"/>
          <w:bCs w:val="0"/>
        </w:rPr>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21"/>
        </w:rPr>
        <w:t> </w:t>
      </w:r>
      <w:r>
        <w:rPr/>
        <w:t>年起执行新金融工具准则或新租赁准则追溯调整前期比较数据说明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4"/>
        <w:spacing w:line="240" w:lineRule="auto"/>
        <w:ind w:right="0"/>
        <w:jc w:val="both"/>
        <w:rPr>
          <w:b w:val="0"/>
          <w:bCs w:val="0"/>
        </w:rPr>
      </w:pPr>
      <w:r>
        <w:rPr>
          <w:rFonts w:ascii="Times New Roman" w:hAnsi="Times New Roman" w:cs="Times New Roman" w:eastAsia="Times New Roman" w:hint="default"/>
        </w:rPr>
        <w:t>45</w:t>
      </w:r>
      <w:r>
        <w:rPr/>
        <w:t>、其他</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85" w:right="967"/>
        <w:jc w:val="left"/>
      </w:pPr>
      <w:r>
        <w:rPr/>
        <w:t>无</w:t>
      </w:r>
    </w:p>
    <w:p>
      <w:pPr>
        <w:spacing w:after="0" w:line="240" w:lineRule="auto"/>
        <w:jc w:val="left"/>
        <w:sectPr>
          <w:pgSz w:w="11910" w:h="16840"/>
          <w:pgMar w:header="877" w:footer="979" w:top="1100" w:bottom="1160" w:left="980" w:right="0"/>
        </w:sectPr>
      </w:pPr>
    </w:p>
    <w:p>
      <w:pPr>
        <w:spacing w:line="240" w:lineRule="auto" w:before="10"/>
        <w:rPr>
          <w:rFonts w:ascii="宋体" w:hAnsi="宋体" w:cs="宋体" w:eastAsia="宋体" w:hint="default"/>
          <w:sz w:val="19"/>
          <w:szCs w:val="19"/>
        </w:rPr>
      </w:pPr>
    </w:p>
    <w:p>
      <w:pPr>
        <w:pStyle w:val="Heading2"/>
        <w:spacing w:line="367" w:lineRule="exact"/>
        <w:ind w:right="967"/>
        <w:jc w:val="left"/>
        <w:rPr>
          <w:b w:val="0"/>
          <w:bCs w:val="0"/>
        </w:rPr>
      </w:pPr>
      <w:r>
        <w:rPr/>
        <w:t>六、税项</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967"/>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应税产品销售收入或应税劳务收入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967"/>
        <w:jc w:val="left"/>
      </w:pPr>
      <w:r>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深圳市金溢科技股份有限公司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除上述以外的其他纳税主体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left="573" w:right="96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企业所得税 </w:t>
      </w:r>
      <w:r>
        <w:rPr>
          <w:spacing w:val="-1"/>
        </w:rPr>
        <w:t>本公司于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17</w:t>
      </w:r>
      <w:r>
        <w:rPr>
          <w:spacing w:val="-1"/>
        </w:rPr>
        <w:t>日通过高新技术企业复审，取得证书编号为</w:t>
      </w:r>
      <w:r>
        <w:rPr>
          <w:rFonts w:ascii="Times New Roman" w:hAnsi="Times New Roman" w:cs="Times New Roman" w:eastAsia="Times New Roman" w:hint="default"/>
          <w:spacing w:val="-1"/>
        </w:rPr>
        <w:t>GR201744200166</w:t>
      </w:r>
      <w:r>
        <w:rPr>
          <w:spacing w:val="-1"/>
        </w:rPr>
        <w:t>的高新技术企业证书，有效期三年，</w:t>
      </w:r>
    </w:p>
    <w:p>
      <w:pPr>
        <w:pStyle w:val="BodyText"/>
        <w:spacing w:line="240" w:lineRule="auto" w:before="13"/>
        <w:ind w:right="967"/>
        <w:jc w:val="left"/>
      </w:pPr>
      <w:r>
        <w:rPr/>
        <w:t>故</w:t>
      </w:r>
      <w:r>
        <w:rPr>
          <w:rFonts w:ascii="Times New Roman" w:hAnsi="Times New Roman" w:cs="Times New Roman" w:eastAsia="Times New Roman" w:hint="default"/>
        </w:rPr>
        <w:t>2017</w:t>
      </w:r>
      <w:r>
        <w:rPr/>
        <w:t>年度至</w:t>
      </w:r>
      <w:r>
        <w:rPr>
          <w:rFonts w:ascii="Times New Roman" w:hAnsi="Times New Roman" w:cs="Times New Roman" w:eastAsia="Times New Roman" w:hint="default"/>
        </w:rPr>
        <w:t>2019</w:t>
      </w:r>
      <w:r>
        <w:rPr/>
        <w:t>年度享受减按</w:t>
      </w:r>
      <w:r>
        <w:rPr>
          <w:rFonts w:ascii="Times New Roman" w:hAnsi="Times New Roman" w:cs="Times New Roman" w:eastAsia="Times New Roman" w:hint="default"/>
        </w:rPr>
        <w:t>15%</w:t>
      </w:r>
      <w:r>
        <w:rPr/>
        <w:t>税率缴纳企业所得税的税收优惠政策。</w:t>
      </w:r>
    </w:p>
    <w:p>
      <w:pPr>
        <w:pStyle w:val="BodyText"/>
        <w:spacing w:line="300" w:lineRule="auto" w:before="63"/>
        <w:ind w:left="573" w:right="96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增值税 </w:t>
      </w:r>
      <w:r>
        <w:rPr>
          <w:spacing w:val="-2"/>
        </w:rPr>
        <w:t>根据财政部、国家税务总局《关于软件产品增值税政策的通知》（财税</w:t>
      </w:r>
      <w:r>
        <w:rPr>
          <w:rFonts w:ascii="宋体" w:hAnsi="宋体" w:cs="宋体" w:eastAsia="宋体" w:hint="default"/>
          <w:spacing w:val="-2"/>
        </w:rPr>
        <w:t>[2011]100</w:t>
      </w:r>
      <w:r>
        <w:rPr>
          <w:spacing w:val="-2"/>
        </w:rPr>
        <w:t>号），增值税一般纳税人销售自行开</w:t>
      </w:r>
    </w:p>
    <w:p>
      <w:pPr>
        <w:pStyle w:val="BodyText"/>
        <w:spacing w:line="240" w:lineRule="auto" w:before="31"/>
        <w:ind w:right="967"/>
        <w:jc w:val="left"/>
      </w:pPr>
      <w:r>
        <w:rPr/>
        <w:t>发生产的软件产品，对其增值税实际税负超过</w:t>
      </w:r>
      <w:r>
        <w:rPr>
          <w:rFonts w:ascii="宋体" w:hAnsi="宋体" w:cs="宋体" w:eastAsia="宋体" w:hint="default"/>
        </w:rPr>
        <w:t>3%</w:t>
      </w:r>
      <w:r>
        <w:rPr/>
        <w:t>的部分实行即征即退的优惠政策，本公司享受上述优惠政策。</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0"/>
        <w:ind w:right="967"/>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62" w:right="9923"/>
        <w:jc w:val="center"/>
      </w:pPr>
      <w:r>
        <w:rPr/>
        <w:t>无</w:t>
      </w:r>
    </w:p>
    <w:p>
      <w:pPr>
        <w:spacing w:line="240" w:lineRule="auto" w:before="6"/>
        <w:rPr>
          <w:rFonts w:ascii="宋体" w:hAnsi="宋体" w:cs="宋体" w:eastAsia="宋体" w:hint="default"/>
          <w:sz w:val="19"/>
          <w:szCs w:val="19"/>
        </w:rPr>
      </w:pPr>
    </w:p>
    <w:p>
      <w:pPr>
        <w:pStyle w:val="Heading2"/>
        <w:spacing w:line="240" w:lineRule="auto"/>
        <w:ind w:right="967"/>
        <w:jc w:val="left"/>
        <w:rPr>
          <w:b w:val="0"/>
          <w:bCs w:val="0"/>
        </w:rPr>
      </w:pPr>
      <w:r>
        <w:rPr/>
        <w:t>七、合并财务报表项目注释</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967"/>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1,874,015,546.76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403,918,139.28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6,136,747.13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3,114,111.68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1,880,152,293.89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407,032,250.96</w:t>
            </w:r>
          </w:p>
        </w:tc>
      </w:tr>
      <w:tr>
        <w:trPr>
          <w:trHeight w:val="716"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4" w:firstLine="720"/>
              <w:jc w:val="left"/>
              <w:rPr>
                <w:rFonts w:ascii="宋体" w:hAnsi="宋体" w:cs="宋体" w:eastAsia="宋体" w:hint="default"/>
                <w:sz w:val="18"/>
                <w:szCs w:val="18"/>
              </w:rPr>
            </w:pPr>
            <w:r>
              <w:rPr>
                <w:rFonts w:ascii="宋体" w:hAnsi="宋体" w:cs="宋体" w:eastAsia="宋体" w:hint="default"/>
                <w:sz w:val="18"/>
                <w:szCs w:val="18"/>
              </w:rPr>
              <w:t>因抵押、质押或冻结等对使用 有限制的款项总额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6,136,747.13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3,114,111.68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967"/>
        <w:jc w:val="left"/>
      </w:pPr>
      <w:r>
        <w:rPr/>
        <w:t>其他说明</w:t>
      </w:r>
    </w:p>
    <w:p>
      <w:pPr>
        <w:spacing w:line="240" w:lineRule="auto" w:before="9"/>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268"/>
        <w:gridCol w:w="1419"/>
        <w:gridCol w:w="2007"/>
      </w:tblGrid>
      <w:tr>
        <w:trPr>
          <w:trHeight w:val="342" w:hRule="exact"/>
        </w:trPr>
        <w:tc>
          <w:tcPr>
            <w:tcW w:w="22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
              <w:ind w:left="1157"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14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
              <w:ind w:left="187" w:right="0"/>
              <w:jc w:val="left"/>
              <w:rPr>
                <w:rFonts w:ascii="宋体" w:hAnsi="宋体" w:cs="宋体" w:eastAsia="宋体" w:hint="default"/>
                <w:sz w:val="18"/>
                <w:szCs w:val="18"/>
              </w:rPr>
            </w:pPr>
            <w:r>
              <w:rPr>
                <w:rFonts w:ascii="宋体" w:hAnsi="宋体" w:cs="宋体" w:eastAsia="宋体" w:hint="default"/>
                <w:sz w:val="18"/>
                <w:szCs w:val="18"/>
              </w:rPr>
              <w:t>使用受限金额</w:t>
            </w:r>
          </w:p>
        </w:tc>
        <w:tc>
          <w:tcPr>
            <w:tcW w:w="20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
              <w:ind w:left="547" w:right="0"/>
              <w:jc w:val="left"/>
              <w:rPr>
                <w:rFonts w:ascii="宋体" w:hAnsi="宋体" w:cs="宋体" w:eastAsia="宋体" w:hint="default"/>
                <w:sz w:val="18"/>
                <w:szCs w:val="18"/>
              </w:rPr>
            </w:pPr>
            <w:r>
              <w:rPr>
                <w:rFonts w:ascii="宋体" w:hAnsi="宋体" w:cs="宋体" w:eastAsia="宋体" w:hint="default"/>
                <w:sz w:val="18"/>
                <w:szCs w:val="18"/>
              </w:rPr>
              <w:t>使用受限原因</w:t>
            </w:r>
          </w:p>
        </w:tc>
      </w:tr>
      <w:tr>
        <w:trPr>
          <w:trHeight w:val="347" w:hRule="exact"/>
        </w:trPr>
        <w:tc>
          <w:tcPr>
            <w:tcW w:w="22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41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2,616,496.00</w:t>
            </w:r>
          </w:p>
        </w:tc>
        <w:tc>
          <w:tcPr>
            <w:tcW w:w="200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4"/>
              <w:ind w:left="4" w:right="0"/>
              <w:jc w:val="left"/>
              <w:rPr>
                <w:rFonts w:ascii="宋体" w:hAnsi="宋体" w:cs="宋体" w:eastAsia="宋体" w:hint="default"/>
                <w:sz w:val="18"/>
                <w:szCs w:val="18"/>
              </w:rPr>
            </w:pPr>
            <w:r>
              <w:rPr>
                <w:rFonts w:ascii="宋体" w:hAnsi="宋体" w:cs="宋体" w:eastAsia="宋体" w:hint="default"/>
                <w:sz w:val="18"/>
                <w:szCs w:val="18"/>
              </w:rPr>
              <w:t>票据保证金</w:t>
            </w:r>
          </w:p>
        </w:tc>
      </w:tr>
      <w:tr>
        <w:trPr>
          <w:trHeight w:val="347" w:hRule="exact"/>
        </w:trPr>
        <w:tc>
          <w:tcPr>
            <w:tcW w:w="22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2,718,208.87</w:t>
            </w: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财政资金监管户</w:t>
            </w:r>
          </w:p>
        </w:tc>
      </w:tr>
      <w:tr>
        <w:trPr>
          <w:trHeight w:val="347" w:hRule="exact"/>
        </w:trPr>
        <w:tc>
          <w:tcPr>
            <w:tcW w:w="22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751,023.09</w:t>
            </w: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因诉讼冻结</w:t>
            </w:r>
          </w:p>
        </w:tc>
      </w:tr>
      <w:tr>
        <w:trPr>
          <w:trHeight w:val="347" w:hRule="exact"/>
        </w:trPr>
        <w:tc>
          <w:tcPr>
            <w:tcW w:w="22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51,019.17</w:t>
            </w: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履约保证金</w:t>
            </w:r>
          </w:p>
        </w:tc>
      </w:tr>
      <w:tr>
        <w:trPr>
          <w:trHeight w:val="347" w:hRule="exact"/>
        </w:trPr>
        <w:tc>
          <w:tcPr>
            <w:tcW w:w="22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9"/>
              <w:ind w:left="1013"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6,136,747.13</w:t>
            </w:r>
          </w:p>
        </w:tc>
        <w:tc>
          <w:tcPr>
            <w:tcW w:w="200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190"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45,000,000.00</w:t>
            </w:r>
          </w:p>
        </w:tc>
      </w:tr>
    </w:tbl>
    <w:p>
      <w:pPr>
        <w:pStyle w:val="BodyText"/>
        <w:spacing w:line="240" w:lineRule="auto" w:before="49"/>
        <w:ind w:right="967"/>
        <w:jc w:val="left"/>
      </w:pPr>
      <w:r>
        <w:rPr/>
        <w:t>其他说明：</w:t>
      </w:r>
    </w:p>
    <w:p>
      <w:pPr>
        <w:pStyle w:val="BodyText"/>
        <w:spacing w:line="240" w:lineRule="auto" w:before="117"/>
        <w:ind w:left="441" w:right="967"/>
        <w:jc w:val="left"/>
      </w:pPr>
      <w:r>
        <w:rPr/>
        <w:t>期初数与上年年末数（</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日）差异详见本财务报告附注五</w:t>
      </w:r>
      <w:r>
        <w:rPr>
          <w:rFonts w:ascii="Times New Roman" w:hAnsi="Times New Roman" w:cs="Times New Roman" w:eastAsia="Times New Roman" w:hint="default"/>
        </w:rPr>
        <w:t>(44)</w:t>
      </w:r>
      <w:r>
        <w:rPr/>
        <w:t>之说明。</w:t>
      </w:r>
    </w:p>
    <w:p>
      <w:pPr>
        <w:spacing w:line="240" w:lineRule="auto" w:before="1"/>
        <w:rPr>
          <w:rFonts w:ascii="宋体" w:hAnsi="宋体" w:cs="宋体" w:eastAsia="宋体" w:hint="default"/>
          <w:sz w:val="21"/>
          <w:szCs w:val="21"/>
        </w:rPr>
      </w:pPr>
    </w:p>
    <w:p>
      <w:pPr>
        <w:pStyle w:val="Heading4"/>
        <w:spacing w:line="240" w:lineRule="auto"/>
        <w:ind w:right="967"/>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967"/>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10,710,689.50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600,600.00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10,710,689.50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600,600.00</w:t>
            </w:r>
          </w:p>
        </w:tc>
      </w:tr>
    </w:tbl>
    <w:p>
      <w:pPr>
        <w:pStyle w:val="BodyText"/>
        <w:spacing w:line="240" w:lineRule="auto" w:before="49"/>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4"/>
        <w:gridCol w:w="761"/>
        <w:gridCol w:w="763"/>
        <w:gridCol w:w="790"/>
        <w:gridCol w:w="775"/>
        <w:gridCol w:w="797"/>
        <w:gridCol w:w="932"/>
        <w:gridCol w:w="797"/>
        <w:gridCol w:w="79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932"/>
        <w:gridCol w:w="797"/>
        <w:gridCol w:w="792"/>
      </w:tblGrid>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备的应收票据</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left"/>
              <w:rPr>
                <w:rFonts w:ascii="Times New Roman" w:hAnsi="Times New Roman" w:cs="Times New Roman" w:eastAsia="Times New Roman" w:hint="default"/>
                <w:sz w:val="18"/>
                <w:szCs w:val="18"/>
              </w:rPr>
            </w:pPr>
            <w:r>
              <w:rPr>
                <w:rFonts w:ascii="Times New Roman"/>
                <w:sz w:val="18"/>
              </w:rPr>
              <w:t>11,274,4</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10.00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563,720.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10,710,68</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9.50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179,400.00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600,600.0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left"/>
              <w:rPr>
                <w:rFonts w:ascii="Times New Roman" w:hAnsi="Times New Roman" w:cs="Times New Roman" w:eastAsia="Times New Roman" w:hint="default"/>
                <w:sz w:val="18"/>
                <w:szCs w:val="18"/>
              </w:rPr>
            </w:pPr>
            <w:r>
              <w:rPr>
                <w:rFonts w:ascii="Times New Roman"/>
                <w:sz w:val="18"/>
              </w:rPr>
              <w:t>11,274,4</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10.00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563,720.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10,710,68</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9.50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179,400.00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600,600.0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left"/>
              <w:rPr>
                <w:rFonts w:ascii="Times New Roman" w:hAnsi="Times New Roman" w:cs="Times New Roman" w:eastAsia="Times New Roman" w:hint="default"/>
                <w:sz w:val="18"/>
                <w:szCs w:val="18"/>
              </w:rPr>
            </w:pPr>
            <w:r>
              <w:rPr>
                <w:rFonts w:ascii="Times New Roman"/>
                <w:sz w:val="18"/>
              </w:rPr>
              <w:t>11,274,4</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10.00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563,720.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10,710,68</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9.50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179,400.00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600,600.0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967"/>
        <w:jc w:val="left"/>
        <w:rPr>
          <w:rFonts w:ascii="Times New Roman" w:hAnsi="Times New Roman" w:cs="Times New Roman" w:eastAsia="Times New Roman" w:hint="default"/>
        </w:rPr>
      </w:pPr>
      <w:r>
        <w:rPr/>
        <w:t>按组合计提坏账准备：</w:t>
      </w:r>
      <w:r>
        <w:rPr>
          <w:rFonts w:ascii="Times New Roman" w:hAnsi="Times New Roman" w:cs="Times New Roman" w:eastAsia="Times New Roman" w:hint="default"/>
        </w:rPr>
        <w:t>563,720.50</w:t>
      </w:r>
    </w:p>
    <w:p>
      <w:pPr>
        <w:pStyle w:val="BodyText"/>
        <w:spacing w:line="240" w:lineRule="auto" w:before="102"/>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11,274,410.00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563,720.50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11,274,410.00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563,720.50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1754"/>
        <w:jc w:val="left"/>
      </w:pPr>
      <w:r>
        <w:rPr/>
        <w:t>确定该组合依据的说明： 如是按照预期信用损失一般模型计提应收票据坏账准备，请参照其他应收款的披露方式披露坏账准备的相关信息：</w:t>
      </w:r>
    </w:p>
    <w:p>
      <w:pPr>
        <w:pStyle w:val="BodyText"/>
        <w:spacing w:line="240" w:lineRule="auto" w:before="29"/>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2"/>
        <w:rPr>
          <w:rFonts w:ascii="宋体" w:hAnsi="宋体" w:cs="宋体" w:eastAsia="宋体" w:hint="default"/>
          <w:sz w:val="20"/>
          <w:szCs w:val="20"/>
        </w:rPr>
      </w:pPr>
    </w:p>
    <w:p>
      <w:pPr>
        <w:pStyle w:val="Heading4"/>
        <w:spacing w:line="240" w:lineRule="auto"/>
        <w:ind w:right="967"/>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967"/>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384,320.50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563,720.50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384,320.50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563,720.50</w:t>
            </w:r>
          </w:p>
        </w:tc>
      </w:tr>
    </w:tbl>
    <w:p>
      <w:pPr>
        <w:pStyle w:val="BodyText"/>
        <w:spacing w:line="240" w:lineRule="auto" w:before="49"/>
        <w:ind w:right="967"/>
        <w:jc w:val="left"/>
      </w:pPr>
      <w:r>
        <w:rPr/>
        <w:t>其中本期坏账准备收回或转回金额重要的：</w:t>
      </w:r>
    </w:p>
    <w:p>
      <w:pPr>
        <w:pStyle w:val="BodyText"/>
        <w:spacing w:line="240" w:lineRule="auto" w:before="115"/>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4"/>
        <w:spacing w:line="240" w:lineRule="auto"/>
        <w:ind w:right="967"/>
        <w:jc w:val="left"/>
        <w:rPr>
          <w:b w:val="0"/>
          <w:bCs w:val="0"/>
        </w:rPr>
      </w:pP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2"/>
        <w:rPr>
          <w:rFonts w:ascii="宋体" w:hAnsi="宋体" w:cs="宋体" w:eastAsia="宋体" w:hint="default"/>
          <w:sz w:val="21"/>
          <w:szCs w:val="21"/>
        </w:rPr>
      </w:pPr>
    </w:p>
    <w:p>
      <w:pPr>
        <w:pStyle w:val="Heading4"/>
        <w:spacing w:line="240" w:lineRule="auto"/>
        <w:ind w:right="967"/>
        <w:jc w:val="left"/>
        <w:rPr>
          <w:b w:val="0"/>
          <w:bCs w:val="0"/>
        </w:rPr>
      </w:pP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1,900,000.00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1,900,000.00</w:t>
            </w: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2"/>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967"/>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0" w:right="0"/>
              <w:jc w:val="left"/>
              <w:rPr>
                <w:rFonts w:ascii="Times New Roman" w:hAnsi="Times New Roman" w:cs="Times New Roman" w:eastAsia="Times New Roman" w:hint="default"/>
                <w:sz w:val="18"/>
                <w:szCs w:val="18"/>
              </w:rPr>
            </w:pPr>
            <w:r>
              <w:rPr>
                <w:rFonts w:ascii="Times New Roman"/>
                <w:sz w:val="18"/>
              </w:rPr>
              <w:t>4,684,58</w:t>
            </w:r>
          </w:p>
          <w:p>
            <w:pPr>
              <w:pStyle w:val="TableParagraph"/>
              <w:spacing w:line="240" w:lineRule="auto" w:before="102"/>
              <w:ind w:left="417" w:right="0"/>
              <w:jc w:val="left"/>
              <w:rPr>
                <w:rFonts w:ascii="Times New Roman" w:hAnsi="Times New Roman" w:cs="Times New Roman" w:eastAsia="Times New Roman" w:hint="default"/>
                <w:sz w:val="18"/>
                <w:szCs w:val="18"/>
              </w:rPr>
            </w:pPr>
            <w:r>
              <w:rPr>
                <w:rFonts w:ascii="Times New Roman"/>
                <w:sz w:val="18"/>
              </w:rPr>
              <w:t>9.67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0.56%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8" w:right="0"/>
              <w:jc w:val="left"/>
              <w:rPr>
                <w:rFonts w:ascii="Times New Roman" w:hAnsi="Times New Roman" w:cs="Times New Roman" w:eastAsia="Times New Roman" w:hint="default"/>
                <w:sz w:val="18"/>
                <w:szCs w:val="18"/>
              </w:rPr>
            </w:pPr>
            <w:r>
              <w:rPr>
                <w:rFonts w:ascii="Times New Roman"/>
                <w:sz w:val="18"/>
              </w:rPr>
              <w:t>4,684,58</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9.67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1,470,500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1,470,500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单项计提</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4,684,58</w:t>
            </w:r>
          </w:p>
          <w:p>
            <w:pPr>
              <w:pStyle w:val="TableParagraph"/>
              <w:spacing w:line="240" w:lineRule="auto" w:before="102"/>
              <w:ind w:left="417" w:right="0"/>
              <w:jc w:val="left"/>
              <w:rPr>
                <w:rFonts w:ascii="Times New Roman" w:hAnsi="Times New Roman" w:cs="Times New Roman" w:eastAsia="Times New Roman" w:hint="default"/>
                <w:sz w:val="18"/>
                <w:szCs w:val="18"/>
              </w:rPr>
            </w:pPr>
            <w:r>
              <w:rPr>
                <w:rFonts w:ascii="Times New Roman"/>
                <w:sz w:val="18"/>
              </w:rPr>
              <w:t>9.67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0.56%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4,684,58</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9.67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1,470,500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1,470,500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832,933,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431.55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99.44%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80,506,9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57.87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752,426,4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73.68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358,482,2</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85.89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99.59%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55,949,12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7.25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15.61%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302,533,15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8.64</w:t>
            </w: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货款账龄组合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721,434,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224.10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86.13%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61,228,1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26.46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660,206,0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97.64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302,668,7</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77.89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84.08%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39,706,31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3.52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13.12%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262,962,46</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4.37</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质保金组合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111,499,2</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07.45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13.31%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19,278,8</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31.41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17.29%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92,220,37</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6.04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55,813,50</w:t>
            </w:r>
          </w:p>
          <w:p>
            <w:pPr>
              <w:pStyle w:val="TableParagraph"/>
              <w:spacing w:line="240" w:lineRule="auto" w:before="102"/>
              <w:ind w:left="429" w:right="0"/>
              <w:jc w:val="left"/>
              <w:rPr>
                <w:rFonts w:ascii="Times New Roman" w:hAnsi="Times New Roman" w:cs="Times New Roman" w:eastAsia="Times New Roman" w:hint="default"/>
                <w:sz w:val="18"/>
                <w:szCs w:val="18"/>
              </w:rPr>
            </w:pPr>
            <w:r>
              <w:rPr>
                <w:rFonts w:ascii="Times New Roman"/>
                <w:sz w:val="18"/>
              </w:rPr>
              <w:t>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15.51%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16,242,81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3.73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29.10%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39,570,694.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27</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837,618,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021.22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85,191,5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47.54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10.17%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752,426,4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73.68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359,952,7</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85.89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57,419,62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7.25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15.95%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302,533,15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8.64</w:t>
            </w:r>
          </w:p>
        </w:tc>
      </w:tr>
    </w:tbl>
    <w:p>
      <w:pPr>
        <w:pStyle w:val="BodyText"/>
        <w:spacing w:line="240" w:lineRule="auto" w:before="49"/>
        <w:ind w:right="967"/>
        <w:jc w:val="left"/>
        <w:rPr>
          <w:rFonts w:ascii="Times New Roman" w:hAnsi="Times New Roman" w:cs="Times New Roman" w:eastAsia="Times New Roman" w:hint="default"/>
        </w:rPr>
      </w:pPr>
      <w:r>
        <w:rPr/>
        <w:t>按单项计提坏账准备：</w:t>
      </w:r>
      <w:r>
        <w:rPr>
          <w:rFonts w:ascii="Times New Roman" w:hAnsi="Times New Roman" w:cs="Times New Roman" w:eastAsia="Times New Roman" w:hint="default"/>
        </w:rPr>
        <w:t>4,684,589.67</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2,639,486.25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2,639,486.25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0"/>
              <w:jc w:val="left"/>
              <w:rPr>
                <w:rFonts w:ascii="宋体" w:hAnsi="宋体" w:cs="宋体" w:eastAsia="宋体" w:hint="default"/>
                <w:sz w:val="18"/>
                <w:szCs w:val="18"/>
              </w:rPr>
            </w:pPr>
            <w:r>
              <w:rPr>
                <w:rFonts w:ascii="宋体" w:hAnsi="宋体" w:cs="宋体" w:eastAsia="宋体" w:hint="default"/>
                <w:sz w:val="18"/>
                <w:szCs w:val="18"/>
              </w:rPr>
              <w:t>合同纠纷，预计无法收 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1,470,500.00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1,470,500.00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0"/>
              <w:jc w:val="left"/>
              <w:rPr>
                <w:rFonts w:ascii="宋体" w:hAnsi="宋体" w:cs="宋体" w:eastAsia="宋体" w:hint="default"/>
                <w:sz w:val="18"/>
                <w:szCs w:val="18"/>
              </w:rPr>
            </w:pPr>
            <w:r>
              <w:rPr>
                <w:rFonts w:ascii="宋体" w:hAnsi="宋体" w:cs="宋体" w:eastAsia="宋体" w:hint="default"/>
                <w:sz w:val="18"/>
                <w:szCs w:val="18"/>
              </w:rPr>
              <w:t>合同纠纷，预计无法收 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367,800.00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367,800.00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0"/>
              <w:jc w:val="left"/>
              <w:rPr>
                <w:rFonts w:ascii="宋体" w:hAnsi="宋体" w:cs="宋体" w:eastAsia="宋体" w:hint="default"/>
                <w:sz w:val="18"/>
                <w:szCs w:val="18"/>
              </w:rPr>
            </w:pPr>
            <w:r>
              <w:rPr>
                <w:rFonts w:ascii="宋体" w:hAnsi="宋体" w:cs="宋体" w:eastAsia="宋体" w:hint="default"/>
                <w:sz w:val="18"/>
                <w:szCs w:val="18"/>
              </w:rPr>
              <w:t>合同纠纷，预计无法收 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206,803.42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206,803.42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0"/>
              <w:jc w:val="left"/>
              <w:rPr>
                <w:rFonts w:ascii="宋体" w:hAnsi="宋体" w:cs="宋体" w:eastAsia="宋体" w:hint="default"/>
                <w:sz w:val="18"/>
                <w:szCs w:val="18"/>
              </w:rPr>
            </w:pPr>
            <w:r>
              <w:rPr>
                <w:rFonts w:ascii="宋体" w:hAnsi="宋体" w:cs="宋体" w:eastAsia="宋体" w:hint="default"/>
                <w:sz w:val="18"/>
                <w:szCs w:val="18"/>
              </w:rPr>
              <w:t>经营不善无履约能力， 预计无法收回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4,684,589.67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4,684,589.67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67"/>
        <w:jc w:val="left"/>
        <w:rPr>
          <w:rFonts w:ascii="Times New Roman" w:hAnsi="Times New Roman" w:cs="Times New Roman" w:eastAsia="Times New Roman" w:hint="default"/>
        </w:rPr>
      </w:pPr>
      <w:r>
        <w:rPr/>
        <w:t>按组合计提坏账准备：</w:t>
      </w:r>
      <w:r>
        <w:rPr>
          <w:rFonts w:ascii="Times New Roman" w:hAnsi="Times New Roman" w:cs="Times New Roman" w:eastAsia="Times New Roman" w:hint="default"/>
        </w:rPr>
        <w:t>61,228,126.46</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631,984,147.69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31,599,207.36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39,151,996.52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3,915,199.66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27,936,421.95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8,380,926.59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6,113,077.47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3,056,538.74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9,861,631.80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7,889,305.44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6,386,948.67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6,386,948.67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721,434,224.10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61,228,126.46</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0"/>
        </w:sectPr>
      </w:pPr>
    </w:p>
    <w:p>
      <w:pPr>
        <w:pStyle w:val="BodyText"/>
        <w:spacing w:line="360" w:lineRule="auto" w:before="49"/>
        <w:ind w:right="-17"/>
        <w:jc w:val="left"/>
        <w:rPr>
          <w:rFonts w:ascii="Times New Roman" w:hAnsi="Times New Roman" w:cs="Times New Roman" w:eastAsia="Times New Roman" w:hint="default"/>
        </w:rPr>
      </w:pPr>
      <w:r>
        <w:rPr/>
        <w:t>确定该组合依据的说明： 按组合计提坏账准备：</w:t>
      </w:r>
      <w:r>
        <w:rPr>
          <w:rFonts w:ascii="Times New Roman" w:hAnsi="Times New Roman" w:cs="Times New Roman" w:eastAsia="Times New Roman" w:hint="default"/>
        </w:rPr>
        <w:t>19,278,831.41</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1"/>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991" w:space="5839"/>
            <w:col w:w="210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质保期以内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99,282,222.53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9,928,222.26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超质保期一年以内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5,732,751.54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2,866,375.77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超质保期一年以上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6,484,233.38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6,484,233.38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111,499,207.45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19,278,831.41</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1754"/>
        <w:jc w:val="left"/>
      </w:pPr>
      <w:r>
        <w:rPr/>
        <w:t>确定该组合依据的说明： 如是按照预期信用损失一般模型计提应收账款坏账准备，请参照其他应收款的披露方式披露坏账准备的相关信息：</w:t>
      </w:r>
    </w:p>
    <w:p>
      <w:pPr>
        <w:pStyle w:val="BodyText"/>
        <w:spacing w:line="340" w:lineRule="auto" w:before="29"/>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39"/>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9"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710,042,658.74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50,633,006.21</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35,811,412.88</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11,990,328.59</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13,683,143.83</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15,457,470.97</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837,618,021.22</w:t>
            </w: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right="967"/>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单项计提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3,214,089.67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4,684,589.67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货款账龄组合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39,706,313.52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21,521,812.94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61,228,126.46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质保金组合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16,242,813.73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3,036,017.68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19,278,831.41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57,419,627.25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27,771,920.29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85,191,547.54</w:t>
            </w: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0"/>
        <w:gridCol w:w="2530"/>
        <w:gridCol w:w="2530"/>
        <w:gridCol w:w="2528"/>
      </w:tblGrid>
      <w:tr>
        <w:trPr>
          <w:trHeight w:val="71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80"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325,828,490.24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38.90%</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18,318,273.88</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84,131,194.73</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4,676,269.85</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47,953,923.24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5.73%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3,240,162.57</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44,265,619.50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5.28%</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4,014,314.81</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38,905,758.89</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4.64%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2,300,619.29</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541,084,986.60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64.59%</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335" w:lineRule="exact"/>
        <w:ind w:right="967"/>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6</w:t>
      </w:r>
      <w:r>
        <w:rPr/>
        <w:t>、应收款项融资</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87" w:right="0"/>
              <w:jc w:val="left"/>
              <w:rPr>
                <w:rFonts w:ascii="宋体" w:hAnsi="宋体" w:cs="宋体" w:eastAsia="宋体" w:hint="default"/>
                <w:sz w:val="18"/>
                <w:szCs w:val="18"/>
              </w:rPr>
            </w:pPr>
            <w:r>
              <w:rPr>
                <w:rFonts w:ascii="宋体"/>
                <w:sz w:val="18"/>
              </w:rPr>
              <w:t>66,041,370.00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296,000.00</w:t>
            </w:r>
          </w:p>
        </w:tc>
      </w:tr>
    </w:tbl>
    <w:p>
      <w:pPr>
        <w:pStyle w:val="BodyText"/>
        <w:spacing w:line="240" w:lineRule="auto" w:before="49"/>
        <w:ind w:right="967"/>
        <w:jc w:val="left"/>
      </w:pPr>
      <w:r>
        <w:rPr/>
        <w:t>应收款项融资本期增减变动及公允价值变动情况</w:t>
      </w:r>
    </w:p>
    <w:p>
      <w:pPr>
        <w:pStyle w:val="BodyText"/>
        <w:spacing w:line="340" w:lineRule="auto" w:before="115"/>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如是按照预期信用损失一般模型计提应收款项融资减值准备，请参照其他应收款的披露方式披露减值准备的相关信息：</w:t>
      </w:r>
    </w:p>
    <w:p>
      <w:pPr>
        <w:pStyle w:val="BodyText"/>
        <w:spacing w:line="338" w:lineRule="auto" w:before="41"/>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pStyle w:val="BodyText"/>
        <w:spacing w:line="240" w:lineRule="auto" w:before="43"/>
        <w:ind w:right="967"/>
        <w:jc w:val="left"/>
      </w:pPr>
      <w:r>
        <w:rPr/>
        <w:t>期初数与上年年末数（</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日）差异详见本财务报告附注五</w:t>
      </w:r>
      <w:r>
        <w:rPr>
          <w:rFonts w:ascii="宋体" w:hAnsi="宋体" w:cs="宋体" w:eastAsia="宋体" w:hint="default"/>
        </w:rPr>
        <w:t>(44)</w:t>
      </w:r>
      <w:r>
        <w:rPr/>
        <w:t>之说明。</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7</w:t>
      </w:r>
      <w:r>
        <w:rPr/>
        <w:t>、预付款项</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4"/>
        <w:spacing w:line="240" w:lineRule="auto"/>
        <w:ind w:right="967"/>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8,792,315.75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96.30%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7,134,148.94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95.79%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323,465.82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259,639.74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14,388.63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53,306.66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9,130,170.20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7,447,792.78</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67"/>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
        <w:rPr>
          <w:rFonts w:ascii="宋体" w:hAnsi="宋体" w:cs="宋体" w:eastAsia="宋体" w:hint="default"/>
          <w:sz w:val="21"/>
          <w:szCs w:val="21"/>
        </w:rPr>
      </w:pPr>
    </w:p>
    <w:p>
      <w:pPr>
        <w:pStyle w:val="Heading4"/>
        <w:spacing w:line="240" w:lineRule="auto"/>
        <w:ind w:right="967"/>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5" w:type="dxa"/>
        <w:tblLayout w:type="fixed"/>
        <w:tblCellMar>
          <w:top w:w="0" w:type="dxa"/>
          <w:left w:w="0" w:type="dxa"/>
          <w:bottom w:w="0" w:type="dxa"/>
          <w:right w:w="0" w:type="dxa"/>
        </w:tblCellMar>
        <w:tblLook w:val="01E0"/>
      </w:tblPr>
      <w:tblGrid>
        <w:gridCol w:w="3097"/>
        <w:gridCol w:w="2693"/>
        <w:gridCol w:w="2537"/>
      </w:tblGrid>
      <w:tr>
        <w:trPr>
          <w:trHeight w:val="346" w:hRule="exact"/>
        </w:trPr>
        <w:tc>
          <w:tcPr>
            <w:tcW w:w="309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5231"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8" w:hRule="exact"/>
        </w:trPr>
        <w:tc>
          <w:tcPr>
            <w:tcW w:w="3097" w:type="dxa"/>
            <w:vMerge/>
            <w:tcBorders>
              <w:left w:val="single" w:sz="6" w:space="0" w:color="000000"/>
              <w:bottom w:val="single" w:sz="6" w:space="0" w:color="000000"/>
              <w:right w:val="single" w:sz="6" w:space="0" w:color="000000"/>
            </w:tcBorders>
            <w:shd w:val="clear" w:color="auto" w:fill="D2D2D2"/>
          </w:tcPr>
          <w:p>
            <w:pPr/>
          </w:p>
        </w:tc>
        <w:tc>
          <w:tcPr>
            <w:tcW w:w="26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5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46" w:hRule="exact"/>
        </w:trPr>
        <w:tc>
          <w:tcPr>
            <w:tcW w:w="3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5,034,489.00</w:t>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55.14%</w:t>
            </w:r>
          </w:p>
        </w:tc>
      </w:tr>
      <w:tr>
        <w:trPr>
          <w:trHeight w:val="348" w:hRule="exact"/>
        </w:trPr>
        <w:tc>
          <w:tcPr>
            <w:tcW w:w="3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1,024,679.51</w:t>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11.22%</w:t>
            </w:r>
          </w:p>
        </w:tc>
      </w:tr>
      <w:tr>
        <w:trPr>
          <w:trHeight w:val="346" w:hRule="exact"/>
        </w:trPr>
        <w:tc>
          <w:tcPr>
            <w:tcW w:w="3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454,967.03</w:t>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4.98%</w:t>
            </w:r>
          </w:p>
        </w:tc>
      </w:tr>
      <w:tr>
        <w:trPr>
          <w:trHeight w:val="348" w:hRule="exact"/>
        </w:trPr>
        <w:tc>
          <w:tcPr>
            <w:tcW w:w="3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318,882.00</w:t>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3.49%</w:t>
            </w:r>
          </w:p>
        </w:tc>
      </w:tr>
      <w:tr>
        <w:trPr>
          <w:trHeight w:val="348" w:hRule="exact"/>
        </w:trPr>
        <w:tc>
          <w:tcPr>
            <w:tcW w:w="3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318,718.00</w:t>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3.49%</w:t>
            </w:r>
          </w:p>
        </w:tc>
      </w:tr>
      <w:tr>
        <w:trPr>
          <w:trHeight w:val="346" w:hRule="exact"/>
        </w:trPr>
        <w:tc>
          <w:tcPr>
            <w:tcW w:w="3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7,151,735.54</w:t>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78.32%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2"/>
        <w:rPr>
          <w:rFonts w:ascii="Microsoft JhengHei" w:hAnsi="Microsoft JhengHei" w:cs="Microsoft JhengHei" w:eastAsia="Microsoft JhengHei" w:hint="default"/>
          <w:b/>
          <w:bCs/>
          <w:sz w:val="16"/>
          <w:szCs w:val="16"/>
        </w:rPr>
      </w:pPr>
    </w:p>
    <w:p>
      <w:pPr>
        <w:pStyle w:val="BodyText"/>
        <w:spacing w:line="357" w:lineRule="auto" w:before="44"/>
        <w:ind w:right="9854"/>
        <w:jc w:val="left"/>
      </w:pPr>
      <w:r>
        <w:rPr/>
        <w:t>其他说明： 无</w:t>
      </w:r>
    </w:p>
    <w:p>
      <w:pPr>
        <w:spacing w:line="240" w:lineRule="auto" w:before="5"/>
        <w:rPr>
          <w:rFonts w:ascii="宋体" w:hAnsi="宋体" w:cs="宋体" w:eastAsia="宋体" w:hint="default"/>
          <w:sz w:val="15"/>
          <w:szCs w:val="15"/>
        </w:rPr>
      </w:pPr>
    </w:p>
    <w:p>
      <w:pPr>
        <w:pStyle w:val="Heading4"/>
        <w:spacing w:line="240" w:lineRule="auto"/>
        <w:ind w:right="967"/>
        <w:jc w:val="left"/>
        <w:rPr>
          <w:b w:val="0"/>
          <w:bCs w:val="0"/>
        </w:rPr>
      </w:pPr>
      <w:r>
        <w:rPr>
          <w:rFonts w:ascii="Times New Roman" w:hAnsi="Times New Roman" w:cs="Times New Roman" w:eastAsia="Times New Roman" w:hint="default"/>
        </w:rPr>
        <w:t>8</w:t>
      </w:r>
      <w:r>
        <w:rPr/>
        <w:t>、其他应收款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34,741,644.35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13,124,147.91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34,741,644.35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13,124,147.91</w:t>
            </w: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4"/>
        <w:spacing w:line="240" w:lineRule="auto"/>
        <w:ind w:right="967"/>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13,188,232.32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13,523,301.51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应退税款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24,919,484.96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94,347.42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代缴社保及公积金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797,524.22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849,091.95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259,580.34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947,005.88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39,164,821.84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15,413,746.76</w:t>
            </w: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652"/>
        <w:gridCol w:w="2098"/>
        <w:gridCol w:w="2101"/>
        <w:gridCol w:w="1805"/>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49"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6" w:right="0"/>
              <w:jc w:val="left"/>
              <w:rPr>
                <w:rFonts w:ascii="Times New Roman" w:hAnsi="Times New Roman" w:cs="Times New Roman" w:eastAsia="Times New Roman" w:hint="default"/>
                <w:sz w:val="18"/>
                <w:szCs w:val="18"/>
              </w:rPr>
            </w:pPr>
            <w:r>
              <w:rPr>
                <w:rFonts w:ascii="Times New Roman"/>
                <w:sz w:val="18"/>
              </w:rPr>
              <w:t>341,910.60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55" w:right="0"/>
              <w:jc w:val="left"/>
              <w:rPr>
                <w:rFonts w:ascii="Times New Roman" w:hAnsi="Times New Roman" w:cs="Times New Roman" w:eastAsia="Times New Roman" w:hint="default"/>
                <w:sz w:val="18"/>
                <w:szCs w:val="18"/>
              </w:rPr>
            </w:pPr>
            <w:r>
              <w:rPr>
                <w:rFonts w:ascii="Times New Roman"/>
                <w:sz w:val="18"/>
              </w:rPr>
              <w:t>595,344.23</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3" w:right="0"/>
              <w:jc w:val="left"/>
              <w:rPr>
                <w:rFonts w:ascii="Times New Roman" w:hAnsi="Times New Roman" w:cs="Times New Roman" w:eastAsia="Times New Roman" w:hint="default"/>
                <w:sz w:val="18"/>
                <w:szCs w:val="18"/>
              </w:rPr>
            </w:pPr>
            <w:r>
              <w:rPr>
                <w:rFonts w:ascii="Times New Roman"/>
                <w:sz w:val="18"/>
              </w:rPr>
              <w:t>1,352,344.02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25" w:right="0"/>
              <w:jc w:val="left"/>
              <w:rPr>
                <w:rFonts w:ascii="Times New Roman" w:hAnsi="Times New Roman" w:cs="Times New Roman" w:eastAsia="Times New Roman" w:hint="default"/>
                <w:sz w:val="18"/>
                <w:szCs w:val="18"/>
              </w:rPr>
            </w:pPr>
            <w:r>
              <w:rPr>
                <w:rFonts w:ascii="Times New Roman"/>
                <w:sz w:val="18"/>
              </w:rPr>
              <w:t>2,289,598.85</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16"/>
        <w:gridCol w:w="1652"/>
        <w:gridCol w:w="2098"/>
        <w:gridCol w:w="2101"/>
        <w:gridCol w:w="1805"/>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-110,851.74</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110,851.74</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5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-375,473.86</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375,473.86</w:t>
            </w: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1,334,677.89</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-109,018.66</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907,919.41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2,133,578.64</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103" w:right="13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 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1,565,736.75</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221,703.45</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2,635,737.29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4,423,177.49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pStyle w:val="BodyText"/>
        <w:spacing w:line="240" w:lineRule="auto" w:before="49"/>
        <w:ind w:right="-20"/>
        <w:jc w:val="left"/>
      </w:pPr>
      <w:r>
        <w:rPr/>
        <w:t>损失准备本期变动金额重大的账面余额变动情况</w:t>
      </w:r>
    </w:p>
    <w:p>
      <w:pPr>
        <w:pStyle w:val="BodyText"/>
        <w:spacing w:line="340" w:lineRule="auto" w:before="115"/>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3" w:space="4896"/>
            <w:col w:w="210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31,314,735.01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2,217,034.54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3,754,738.59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95,700.00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1,605,740.00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176,873.70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39,164,821.84</w:t>
            </w: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967"/>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6"/>
        <w:gridCol w:w="1097"/>
        <w:gridCol w:w="1196"/>
        <w:gridCol w:w="1303"/>
        <w:gridCol w:w="1092"/>
        <w:gridCol w:w="1736"/>
        <w:gridCol w:w="1730"/>
      </w:tblGrid>
      <w:tr>
        <w:trPr>
          <w:trHeight w:val="401" w:hRule="exact"/>
        </w:trPr>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416"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30"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2,289,598.85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2,133,578.64</w:t>
            </w:r>
          </w:p>
        </w:tc>
        <w:tc>
          <w:tcPr>
            <w:tcW w:w="130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4,423,177.49</w:t>
            </w:r>
          </w:p>
        </w:tc>
      </w:tr>
      <w:tr>
        <w:trPr>
          <w:trHeight w:val="403"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2,289,598.85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2,133,578.64</w:t>
            </w:r>
          </w:p>
        </w:tc>
        <w:tc>
          <w:tcPr>
            <w:tcW w:w="130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4,423,177.49</w:t>
            </w: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应退税款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24,859,693.71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63.47%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1,242,984.69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2,368,575.84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710,572.75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1,100,340.00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880,272.00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980,200.00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58,020.00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978,759.08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48,937.95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30,287,568.63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77.33%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2,940,787.39</w:t>
            </w: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3"/>
        <w:gridCol w:w="1916"/>
        <w:gridCol w:w="1913"/>
        <w:gridCol w:w="1918"/>
      </w:tblGrid>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84"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国家税务总局深圳市南 山区税务局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增值税超税负返还</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24,859,693.71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已全额收到该款项。</w:t>
            </w: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2"/>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67"/>
        <w:jc w:val="left"/>
      </w:pPr>
      <w:r>
        <w:rPr/>
        <w:t>是否已执行新收入准则</w:t>
      </w:r>
    </w:p>
    <w:p>
      <w:pPr>
        <w:pStyle w:val="BodyText"/>
        <w:spacing w:line="240" w:lineRule="auto" w:before="117"/>
        <w:ind w:right="96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1"/>
        <w:rPr>
          <w:rFonts w:ascii="宋体" w:hAnsi="宋体" w:cs="宋体" w:eastAsia="宋体" w:hint="default"/>
          <w:sz w:val="20"/>
          <w:szCs w:val="20"/>
        </w:rPr>
      </w:pPr>
    </w:p>
    <w:p>
      <w:pPr>
        <w:pStyle w:val="Heading4"/>
        <w:spacing w:line="240" w:lineRule="auto"/>
        <w:ind w:right="967"/>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4"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205,489,453.92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10,784,174.90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194,705,279.02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40,179,516.26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5,964,813.48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34,214,702.78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14,317,288.67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14,317,288.67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27,037,073.83</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27,037,073.83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65,856,428.69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9,422,301.80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56,434,126.89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21,719,852.59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5,922,874.13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15,796,978.46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357,094,525.78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436,746.44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356,657,779.34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37,666,213.76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436,746.44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37,229,467.32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919,633.20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919,633.20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12,942.65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12,942.65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643,677,330.26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20,643,223.14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623,034,107.12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126,615,599.09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12,324,434.05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114,291,165.04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335" w:lineRule="exact"/>
        <w:ind w:right="967"/>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5,964,813.48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5,500,078.89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680,717.47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10,784,174.90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5,922,874.13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3,599,911.86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100,484.19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9,422,301.80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436,746.44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436,746.44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12,324,434.05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9,099,990.75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781,201.66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20,643,223.14</w:t>
            </w:r>
          </w:p>
        </w:tc>
      </w:tr>
    </w:tbl>
    <w:p>
      <w:pPr>
        <w:pStyle w:val="BodyText"/>
        <w:spacing w:line="240" w:lineRule="auto" w:before="49"/>
        <w:ind w:right="967"/>
        <w:jc w:val="left"/>
      </w:pPr>
      <w:r>
        <w:rPr/>
        <w:t>确定可变现净值的具体依据及本期转回或转销存货跌价准备和合同履约成本的减值准备的原因：</w:t>
      </w:r>
    </w:p>
    <w:p>
      <w:pPr>
        <w:spacing w:line="240" w:lineRule="auto" w:before="4"/>
        <w:rPr>
          <w:rFonts w:ascii="宋体" w:hAnsi="宋体" w:cs="宋体" w:eastAsia="宋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2050"/>
        <w:gridCol w:w="4379"/>
        <w:gridCol w:w="3231"/>
      </w:tblGrid>
      <w:tr>
        <w:trPr>
          <w:trHeight w:val="327" w:hRule="exact"/>
        </w:trPr>
        <w:tc>
          <w:tcPr>
            <w:tcW w:w="205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7"/>
              <w:ind w:left="854"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3"/>
                <w:sz w:val="18"/>
                <w:szCs w:val="18"/>
              </w:rPr>
              <w:t> </w:t>
            </w:r>
            <w:r>
              <w:rPr>
                <w:rFonts w:ascii="宋体" w:hAnsi="宋体" w:cs="宋体" w:eastAsia="宋体" w:hint="default"/>
                <w:sz w:val="18"/>
                <w:szCs w:val="18"/>
              </w:rPr>
              <w:t>目</w:t>
            </w:r>
          </w:p>
        </w:tc>
        <w:tc>
          <w:tcPr>
            <w:tcW w:w="43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hAnsi="宋体" w:cs="宋体" w:eastAsia="宋体" w:hint="default"/>
                <w:sz w:val="18"/>
                <w:szCs w:val="18"/>
              </w:rPr>
              <w:t>确定可变现净值</w:t>
            </w:r>
          </w:p>
        </w:tc>
        <w:tc>
          <w:tcPr>
            <w:tcW w:w="323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7"/>
              <w:ind w:left="9" w:right="0"/>
              <w:jc w:val="center"/>
              <w:rPr>
                <w:rFonts w:ascii="宋体" w:hAnsi="宋体" w:cs="宋体" w:eastAsia="宋体" w:hint="default"/>
                <w:sz w:val="18"/>
                <w:szCs w:val="18"/>
              </w:rPr>
            </w:pPr>
            <w:r>
              <w:rPr>
                <w:rFonts w:ascii="宋体" w:hAnsi="宋体" w:cs="宋体" w:eastAsia="宋体" w:hint="default"/>
                <w:sz w:val="18"/>
                <w:szCs w:val="18"/>
              </w:rPr>
              <w:t>本期转销</w:t>
            </w:r>
          </w:p>
        </w:tc>
      </w:tr>
      <w:tr>
        <w:trPr>
          <w:trHeight w:val="331" w:hRule="exact"/>
        </w:trPr>
        <w:tc>
          <w:tcPr>
            <w:tcW w:w="2050" w:type="dxa"/>
            <w:tcBorders>
              <w:top w:val="nil" w:sz="6" w:space="0" w:color="auto"/>
              <w:left w:val="single" w:sz="6" w:space="0" w:color="000000"/>
              <w:bottom w:val="single" w:sz="6" w:space="0" w:color="000000"/>
              <w:right w:val="single" w:sz="6" w:space="0" w:color="000000"/>
            </w:tcBorders>
          </w:tcPr>
          <w:p>
            <w:pPr/>
          </w:p>
        </w:tc>
        <w:tc>
          <w:tcPr>
            <w:tcW w:w="43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的具体依据</w:t>
            </w:r>
          </w:p>
        </w:tc>
        <w:tc>
          <w:tcPr>
            <w:tcW w:w="323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799" w:right="0"/>
              <w:jc w:val="left"/>
              <w:rPr>
                <w:rFonts w:ascii="宋体" w:hAnsi="宋体" w:cs="宋体" w:eastAsia="宋体" w:hint="default"/>
                <w:sz w:val="18"/>
                <w:szCs w:val="18"/>
              </w:rPr>
            </w:pPr>
            <w:r>
              <w:rPr>
                <w:rFonts w:ascii="宋体" w:hAnsi="宋体" w:cs="宋体" w:eastAsia="宋体" w:hint="default"/>
                <w:sz w:val="18"/>
                <w:szCs w:val="18"/>
              </w:rPr>
              <w:t>存货跌价准备的原因</w:t>
            </w:r>
          </w:p>
        </w:tc>
      </w:tr>
      <w:tr>
        <w:trPr>
          <w:trHeight w:val="329" w:hRule="exact"/>
        </w:trPr>
        <w:tc>
          <w:tcPr>
            <w:tcW w:w="205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43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相关产成品估计售价减去至完工估计将要发生的成本、</w:t>
            </w:r>
          </w:p>
        </w:tc>
        <w:tc>
          <w:tcPr>
            <w:tcW w:w="323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pacing w:val="8"/>
                <w:sz w:val="18"/>
                <w:szCs w:val="18"/>
              </w:rPr>
              <w:t>本期已将期初计提存货跌价准备的存货</w:t>
            </w:r>
          </w:p>
        </w:tc>
      </w:tr>
      <w:tr>
        <w:trPr>
          <w:trHeight w:val="331" w:hRule="exact"/>
        </w:trPr>
        <w:tc>
          <w:tcPr>
            <w:tcW w:w="2050" w:type="dxa"/>
            <w:tcBorders>
              <w:top w:val="nil" w:sz="6" w:space="0" w:color="auto"/>
              <w:left w:val="single" w:sz="6" w:space="0" w:color="000000"/>
              <w:bottom w:val="single" w:sz="6" w:space="0" w:color="000000"/>
              <w:right w:val="single" w:sz="6" w:space="0" w:color="000000"/>
            </w:tcBorders>
          </w:tcPr>
          <w:p>
            <w:pPr/>
          </w:p>
        </w:tc>
        <w:tc>
          <w:tcPr>
            <w:tcW w:w="43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估计的销售费用以及相关税费后的金额确定可变现净值</w:t>
            </w:r>
          </w:p>
        </w:tc>
        <w:tc>
          <w:tcPr>
            <w:tcW w:w="323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耗用或出售</w:t>
            </w:r>
          </w:p>
        </w:tc>
      </w:tr>
      <w:tr>
        <w:trPr>
          <w:trHeight w:val="327" w:hRule="exact"/>
        </w:trPr>
        <w:tc>
          <w:tcPr>
            <w:tcW w:w="205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库存商品、发出商品</w:t>
            </w:r>
          </w:p>
        </w:tc>
        <w:tc>
          <w:tcPr>
            <w:tcW w:w="437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7"/>
              <w:ind w:left="9" w:right="0"/>
              <w:jc w:val="left"/>
              <w:rPr>
                <w:rFonts w:ascii="宋体" w:hAnsi="宋体" w:cs="宋体" w:eastAsia="宋体" w:hint="default"/>
                <w:sz w:val="18"/>
                <w:szCs w:val="18"/>
              </w:rPr>
            </w:pPr>
            <w:r>
              <w:rPr>
                <w:rFonts w:ascii="宋体" w:hAnsi="宋体" w:cs="宋体" w:eastAsia="宋体" w:hint="default"/>
                <w:sz w:val="18"/>
                <w:szCs w:val="18"/>
              </w:rPr>
              <w:t>相关产成品估计售价减去估计的销售费用以及相关税费</w:t>
            </w:r>
          </w:p>
        </w:tc>
        <w:tc>
          <w:tcPr>
            <w:tcW w:w="323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7"/>
              <w:ind w:left="9" w:right="0"/>
              <w:jc w:val="left"/>
              <w:rPr>
                <w:rFonts w:ascii="宋体" w:hAnsi="宋体" w:cs="宋体" w:eastAsia="宋体" w:hint="default"/>
                <w:sz w:val="18"/>
                <w:szCs w:val="18"/>
              </w:rPr>
            </w:pPr>
            <w:r>
              <w:rPr>
                <w:rFonts w:ascii="宋体" w:hAnsi="宋体" w:cs="宋体" w:eastAsia="宋体" w:hint="default"/>
                <w:spacing w:val="8"/>
                <w:sz w:val="18"/>
                <w:szCs w:val="18"/>
              </w:rPr>
              <w:t>本期已将期初计提存货跌价准备的存货</w:t>
            </w:r>
          </w:p>
        </w:tc>
      </w:tr>
      <w:tr>
        <w:trPr>
          <w:trHeight w:val="333" w:hRule="exact"/>
        </w:trPr>
        <w:tc>
          <w:tcPr>
            <w:tcW w:w="2050" w:type="dxa"/>
            <w:tcBorders>
              <w:top w:val="nil" w:sz="6" w:space="0" w:color="auto"/>
              <w:left w:val="single" w:sz="6" w:space="0" w:color="000000"/>
              <w:bottom w:val="single" w:sz="6" w:space="0" w:color="000000"/>
              <w:right w:val="single" w:sz="6" w:space="0" w:color="000000"/>
            </w:tcBorders>
          </w:tcPr>
          <w:p>
            <w:pPr/>
          </w:p>
        </w:tc>
        <w:tc>
          <w:tcPr>
            <w:tcW w:w="43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后的金额确定可变现净值</w:t>
            </w:r>
          </w:p>
        </w:tc>
        <w:tc>
          <w:tcPr>
            <w:tcW w:w="323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售出</w:t>
            </w: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10</w:t>
      </w:r>
      <w:r>
        <w:rPr/>
        <w:t>、合同资产</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11</w:t>
      </w:r>
      <w:r>
        <w:rPr/>
        <w:t>、持有待售资产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877" w:footer="979" w:top="110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可抵扣、待认证增值税进项税额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79,548,754.14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6,530,476.33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288,803.43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1,500,228.74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79,837,557.57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158,030,705.07</w:t>
            </w:r>
          </w:p>
        </w:tc>
      </w:tr>
    </w:tbl>
    <w:p>
      <w:pPr>
        <w:pStyle w:val="BodyText"/>
        <w:spacing w:line="240" w:lineRule="auto" w:before="49"/>
        <w:ind w:right="967"/>
        <w:jc w:val="left"/>
      </w:pPr>
      <w:r>
        <w:rPr/>
        <w:t>其他说明：</w:t>
      </w:r>
    </w:p>
    <w:p>
      <w:pPr>
        <w:pStyle w:val="BodyText"/>
        <w:spacing w:line="240" w:lineRule="auto" w:before="115"/>
        <w:ind w:left="441" w:right="967"/>
        <w:jc w:val="left"/>
      </w:pPr>
      <w:r>
        <w:rPr/>
        <w:t>期初数与上年年末数（</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日）差异详见本财务报告附注五</w:t>
      </w:r>
      <w:r>
        <w:rPr>
          <w:rFonts w:ascii="Times New Roman" w:hAnsi="Times New Roman" w:cs="Times New Roman" w:eastAsia="Times New Roman" w:hint="default"/>
        </w:rPr>
        <w:t>(44)</w:t>
      </w:r>
      <w:r>
        <w:rPr/>
        <w:t>之说明。</w:t>
      </w:r>
    </w:p>
    <w:p>
      <w:pPr>
        <w:spacing w:line="240" w:lineRule="auto" w:before="1"/>
        <w:rPr>
          <w:rFonts w:ascii="宋体" w:hAnsi="宋体" w:cs="宋体" w:eastAsia="宋体" w:hint="default"/>
          <w:sz w:val="21"/>
          <w:szCs w:val="21"/>
        </w:rPr>
      </w:pPr>
    </w:p>
    <w:p>
      <w:pPr>
        <w:pStyle w:val="Heading4"/>
        <w:spacing w:line="240" w:lineRule="auto"/>
        <w:ind w:right="967"/>
        <w:jc w:val="left"/>
        <w:rPr>
          <w:b w:val="0"/>
          <w:bCs w:val="0"/>
        </w:rPr>
      </w:pPr>
      <w:r>
        <w:rPr>
          <w:rFonts w:ascii="Times New Roman" w:hAnsi="Times New Roman" w:cs="Times New Roman" w:eastAsia="Times New Roman" w:hint="default"/>
        </w:rPr>
        <w:t>14</w:t>
      </w:r>
      <w:r>
        <w:rPr/>
        <w:t>、债权投资</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2"/>
        <w:rPr>
          <w:rFonts w:ascii="宋体" w:hAnsi="宋体" w:cs="宋体" w:eastAsia="宋体" w:hint="default"/>
          <w:sz w:val="21"/>
          <w:szCs w:val="21"/>
        </w:rPr>
      </w:pPr>
    </w:p>
    <w:p>
      <w:pPr>
        <w:pStyle w:val="Heading4"/>
        <w:spacing w:line="240" w:lineRule="auto"/>
        <w:ind w:right="967"/>
        <w:jc w:val="left"/>
        <w:rPr>
          <w:b w:val="0"/>
          <w:bCs w:val="0"/>
        </w:rPr>
      </w:pPr>
      <w:r>
        <w:rPr>
          <w:rFonts w:ascii="Times New Roman" w:hAnsi="Times New Roman" w:cs="Times New Roman" w:eastAsia="Times New Roman" w:hint="default"/>
        </w:rPr>
        <w:t>15</w:t>
      </w:r>
      <w:r>
        <w:rPr/>
        <w:t>、其他债权投资</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2"/>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7"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7"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56" w:hRule="exact"/>
        </w:trPr>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山东高速</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317"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信威信息</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2,782,950</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1,008,258</w:t>
            </w: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3,791,208</w:t>
            </w:r>
          </w:p>
        </w:tc>
        <w:tc>
          <w:tcPr>
            <w:tcW w:w="797" w:type="dxa"/>
            <w:vMerge/>
            <w:tcBorders>
              <w:left w:val="single" w:sz="4" w:space="0" w:color="000000"/>
              <w:right w:val="single" w:sz="4" w:space="0" w:color="000000"/>
            </w:tcBorders>
          </w:tcPr>
          <w:p>
            <w:pPr/>
          </w:p>
        </w:tc>
      </w:tr>
      <w:tr>
        <w:trPr>
          <w:trHeight w:val="312"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科技有限</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.40</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.32</w:t>
            </w: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.72</w:t>
            </w:r>
          </w:p>
        </w:tc>
        <w:tc>
          <w:tcPr>
            <w:tcW w:w="797" w:type="dxa"/>
            <w:vMerge/>
            <w:tcBorders>
              <w:left w:val="single" w:sz="4" w:space="0" w:color="000000"/>
              <w:right w:val="single" w:sz="4" w:space="0" w:color="000000"/>
            </w:tcBorders>
          </w:tcPr>
          <w:p>
            <w:pPr/>
          </w:p>
        </w:tc>
      </w:tr>
      <w:tr>
        <w:trPr>
          <w:trHeight w:val="353" w:hRule="exact"/>
        </w:trPr>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深圳宝溢 交通科技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14,700,00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-16,480.7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14,683,51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9.24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2,782,950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14,700,00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991,777.5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18,474,72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7.96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2,782,950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14,700,00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991,777.5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18,474,72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7.96</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60" w:lineRule="auto" w:before="44"/>
        <w:ind w:right="10034"/>
        <w:jc w:val="left"/>
      </w:pPr>
      <w:r>
        <w:rPr/>
        <w:t>其他说明 无</w:t>
      </w:r>
    </w:p>
    <w:p>
      <w:pPr>
        <w:spacing w:line="240" w:lineRule="auto" w:before="3"/>
        <w:rPr>
          <w:rFonts w:ascii="宋体" w:hAnsi="宋体" w:cs="宋体" w:eastAsia="宋体" w:hint="default"/>
          <w:sz w:val="15"/>
          <w:szCs w:val="15"/>
        </w:rPr>
      </w:pPr>
    </w:p>
    <w:p>
      <w:pPr>
        <w:pStyle w:val="Heading4"/>
        <w:spacing w:line="240" w:lineRule="auto"/>
        <w:ind w:right="967"/>
        <w:jc w:val="left"/>
        <w:rPr>
          <w:b w:val="0"/>
          <w:bCs w:val="0"/>
        </w:rPr>
      </w:pPr>
      <w:r>
        <w:rPr>
          <w:rFonts w:ascii="Times New Roman" w:hAnsi="Times New Roman" w:cs="Times New Roman" w:eastAsia="Times New Roman" w:hint="default"/>
        </w:rPr>
        <w:t>18</w:t>
      </w:r>
      <w:r>
        <w:rPr/>
        <w:t>、其他权益工具投资</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广东运筹汇交通科技有限公司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山东高速信联科技有限公司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43,623,200.00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45,123,200.00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w:t>
            </w:r>
          </w:p>
        </w:tc>
      </w:tr>
    </w:tbl>
    <w:p>
      <w:pPr>
        <w:pStyle w:val="BodyText"/>
        <w:spacing w:line="240" w:lineRule="auto" w:before="49"/>
        <w:ind w:right="967"/>
        <w:jc w:val="left"/>
      </w:pPr>
      <w:r>
        <w:rPr/>
        <w:t>分项披露本期非交易性权益工具投资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1339"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确认的股利收入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6"/>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广东运筹汇交通 科技有限公司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非交易性权益工 具投资</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山东高速信联科 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非交易性权益工 具投资</w:t>
            </w:r>
          </w:p>
        </w:tc>
        <w:tc>
          <w:tcPr>
            <w:tcW w:w="136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67"/>
        <w:jc w:val="left"/>
      </w:pPr>
      <w:r>
        <w:rPr/>
        <w:t>其他说明：</w:t>
      </w:r>
    </w:p>
    <w:p>
      <w:pPr>
        <w:pStyle w:val="BodyText"/>
        <w:spacing w:line="240" w:lineRule="auto" w:before="115"/>
        <w:ind w:left="513" w:right="967"/>
        <w:jc w:val="left"/>
      </w:pPr>
      <w:r>
        <w:rPr/>
        <w:t>期初数与上年年末数（</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日）差异详见本财务报告附注五</w:t>
      </w:r>
      <w:r>
        <w:rPr>
          <w:rFonts w:ascii="Times New Roman" w:hAnsi="Times New Roman" w:cs="Times New Roman" w:eastAsia="Times New Roman" w:hint="default"/>
        </w:rPr>
        <w:t>(44)</w:t>
      </w:r>
      <w:r>
        <w:rPr/>
        <w:t>之说明。</w:t>
      </w:r>
    </w:p>
    <w:p>
      <w:pPr>
        <w:spacing w:line="240" w:lineRule="auto" w:before="1"/>
        <w:rPr>
          <w:rFonts w:ascii="宋体" w:hAnsi="宋体" w:cs="宋体" w:eastAsia="宋体" w:hint="default"/>
          <w:sz w:val="21"/>
          <w:szCs w:val="21"/>
        </w:rPr>
      </w:pPr>
    </w:p>
    <w:p>
      <w:pPr>
        <w:pStyle w:val="Heading4"/>
        <w:spacing w:line="240" w:lineRule="auto"/>
        <w:ind w:right="967"/>
        <w:jc w:val="left"/>
        <w:rPr>
          <w:b w:val="0"/>
          <w:bCs w:val="0"/>
        </w:rPr>
      </w:pPr>
      <w:r>
        <w:rPr>
          <w:rFonts w:ascii="Times New Roman" w:hAnsi="Times New Roman" w:cs="Times New Roman" w:eastAsia="Times New Roman" w:hint="default"/>
        </w:rPr>
        <w:t>19</w:t>
      </w:r>
      <w:r>
        <w:rPr/>
        <w:t>、其他非流动金融资产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20</w:t>
      </w:r>
      <w:r>
        <w:rPr/>
        <w:t>、投资性房地产</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21</w:t>
      </w:r>
      <w:r>
        <w:rPr/>
        <w:t>、固定资产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197,818,484.95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203,899,862.05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197,818,484.95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203,899,862.05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335" w:lineRule="exact"/>
        <w:ind w:right="967"/>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195,573,046.13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50,651,267.29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7,910,288.86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3,972,617.44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258,107,219.72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4,714,418.86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552,398.00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1,801,823.52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7,068,640.38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4,698,359.01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552,398.00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1,775,271.79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7,026,028.80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13,718.92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26,551.73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40,270.65</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）暂估调整</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2,340.93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2,340.93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1,116,063.83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91,581.17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1,435,645.00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1,116,063.83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91,581.17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1,435,645.00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195,573,046.13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54,249,622.32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8,234,686.86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5,682,859.79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263,740,215.10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7,830,565.17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38,190,571.44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5,462,137.32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2,724,083.74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54,207,357.67</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6,093,141.36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5,556,585.28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970,238.95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454,924.47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13,074,890.06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6,093,141.36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5,556,585.28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970,238.95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454,924.47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6" w:right="0"/>
              <w:jc w:val="left"/>
              <w:rPr>
                <w:rFonts w:ascii="Times New Roman" w:hAnsi="Times New Roman" w:cs="Times New Roman" w:eastAsia="Times New Roman" w:hint="default"/>
                <w:sz w:val="18"/>
                <w:szCs w:val="18"/>
              </w:rPr>
            </w:pPr>
            <w:r>
              <w:rPr>
                <w:rFonts w:ascii="Times New Roman"/>
                <w:sz w:val="18"/>
              </w:rPr>
              <w:t>13,074,890.06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1,059,383.95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84,533.63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1,360,517.58</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1,059,383.95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84,533.63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1,360,517.58</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13,923,706.53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42,687,772.77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6,215,776.27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3,094,474.58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65,921,730.15</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181,649,339.60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11,561,849.55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2,018,910.59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2,588,385.21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197,818,484.95</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0"/>
              <w:ind w:left="10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187,742,480.96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12,460,695.85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2,448,151.54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1,248,533.70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203,899,862.05</w:t>
            </w: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2"/>
        <w:rPr>
          <w:rFonts w:ascii="宋体" w:hAnsi="宋体" w:cs="宋体" w:eastAsia="宋体" w:hint="default"/>
          <w:sz w:val="21"/>
          <w:szCs w:val="21"/>
        </w:rPr>
      </w:pPr>
    </w:p>
    <w:p>
      <w:pPr>
        <w:pStyle w:val="Heading4"/>
        <w:spacing w:line="240" w:lineRule="auto"/>
        <w:ind w:right="967"/>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2"/>
        <w:rPr>
          <w:rFonts w:ascii="宋体" w:hAnsi="宋体" w:cs="宋体" w:eastAsia="宋体" w:hint="default"/>
          <w:sz w:val="21"/>
          <w:szCs w:val="21"/>
        </w:rPr>
      </w:pPr>
    </w:p>
    <w:p>
      <w:pPr>
        <w:pStyle w:val="Heading4"/>
        <w:spacing w:line="240" w:lineRule="auto"/>
        <w:ind w:right="967"/>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广州万科云办公楼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84,960,630.61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未达办理产权证条件</w:t>
            </w:r>
          </w:p>
        </w:tc>
      </w:tr>
    </w:tbl>
    <w:p>
      <w:pPr>
        <w:pStyle w:val="BodyText"/>
        <w:spacing w:line="357" w:lineRule="auto" w:before="49"/>
        <w:ind w:right="10034"/>
        <w:jc w:val="left"/>
      </w:pPr>
      <w:r>
        <w:rPr/>
        <w:t>其他说明 无</w:t>
      </w:r>
    </w:p>
    <w:p>
      <w:pPr>
        <w:spacing w:line="240" w:lineRule="auto" w:before="5"/>
        <w:rPr>
          <w:rFonts w:ascii="宋体" w:hAnsi="宋体" w:cs="宋体" w:eastAsia="宋体" w:hint="default"/>
          <w:sz w:val="15"/>
          <w:szCs w:val="15"/>
        </w:rPr>
      </w:pPr>
    </w:p>
    <w:p>
      <w:pPr>
        <w:pStyle w:val="Heading4"/>
        <w:spacing w:line="240" w:lineRule="auto"/>
        <w:ind w:right="967"/>
        <w:jc w:val="left"/>
        <w:rPr>
          <w:b w:val="0"/>
          <w:bCs w:val="0"/>
        </w:rPr>
      </w:pPr>
      <w:r>
        <w:rPr/>
        <w:t>（</w:t>
      </w:r>
      <w:r>
        <w:rPr>
          <w:rFonts w:ascii="Times New Roman" w:hAnsi="Times New Roman" w:cs="Times New Roman" w:eastAsia="Times New Roman" w:hint="default"/>
        </w:rPr>
        <w:t>6</w:t>
      </w:r>
      <w:r>
        <w:rPr/>
        <w:t>）固定资产清理</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2"/>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22</w:t>
      </w:r>
      <w:r>
        <w:rPr/>
        <w:t>、在建工程</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99,041,175.08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56,775,871.54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99,041,175.08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56,775,871.54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335" w:lineRule="exact"/>
        <w:ind w:right="967"/>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佛山基地项目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98,892,590.18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98,892,590.18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56,127,873.90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56,127,873.90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成都乔治希顿办 公区工程项目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543,576.05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543,576.05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信息化办公项目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64,150.94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64,150.94</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深圳湾办公区项 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40,270.65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40,270.65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广州万科云办公 区装修项目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148,584.90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148,584.90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99,041,175.08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99,041,175.08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56,775,871.54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56,775,871.54</w:t>
            </w: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佛山基 地项目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286,809,</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600.00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56,127,8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73.90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42,764,7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16.28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98,892,5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90.18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34.48%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34.48%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354"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成都乔</w:t>
            </w: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935"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156"/>
              <w:jc w:val="both"/>
              <w:rPr>
                <w:rFonts w:ascii="宋体" w:hAnsi="宋体" w:cs="宋体" w:eastAsia="宋体" w:hint="default"/>
                <w:sz w:val="18"/>
                <w:szCs w:val="18"/>
              </w:rPr>
            </w:pPr>
            <w:r>
              <w:rPr>
                <w:rFonts w:ascii="宋体" w:hAnsi="宋体" w:cs="宋体" w:eastAsia="宋体" w:hint="default"/>
                <w:sz w:val="18"/>
                <w:szCs w:val="18"/>
              </w:rPr>
              <w:t>治希顿 办公区 工程项</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12,433,3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543,576.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232,061.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66</w:t>
            </w: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775,637.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8"/>
              <w:jc w:val="right"/>
              <w:rPr>
                <w:rFonts w:ascii="Times New Roman" w:hAnsi="Times New Roman" w:cs="Times New Roman" w:eastAsia="Times New Roman" w:hint="default"/>
                <w:sz w:val="18"/>
                <w:szCs w:val="18"/>
              </w:rPr>
            </w:pPr>
            <w:r>
              <w:rPr>
                <w:rFonts w:ascii="Times New Roman"/>
                <w:sz w:val="18"/>
              </w:rPr>
              <w:t>92.21%</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4" w:lineRule="auto"/>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360"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深圳湾 办公区 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24,594,5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95.00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40,270.6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40,270.6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92.29%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354"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广州万</w:t>
            </w: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156"/>
              <w:jc w:val="left"/>
              <w:rPr>
                <w:rFonts w:ascii="宋体" w:hAnsi="宋体" w:cs="宋体" w:eastAsia="宋体" w:hint="default"/>
                <w:sz w:val="18"/>
                <w:szCs w:val="18"/>
              </w:rPr>
            </w:pPr>
            <w:r>
              <w:rPr>
                <w:rFonts w:ascii="宋体" w:hAnsi="宋体" w:cs="宋体" w:eastAsia="宋体" w:hint="default"/>
                <w:sz w:val="18"/>
                <w:szCs w:val="18"/>
              </w:rPr>
              <w:t>科云办 公区装</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71" w:right="0"/>
              <w:jc w:val="left"/>
              <w:rPr>
                <w:rFonts w:ascii="Times New Roman" w:hAnsi="Times New Roman" w:cs="Times New Roman" w:eastAsia="Times New Roman" w:hint="default"/>
                <w:sz w:val="18"/>
                <w:szCs w:val="18"/>
              </w:rPr>
            </w:pPr>
            <w:r>
              <w:rPr>
                <w:rFonts w:ascii="Times New Roman"/>
                <w:sz w:val="18"/>
              </w:rPr>
              <w:t>6,820,00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z w:val="18"/>
              </w:rPr>
              <w:t>148,584.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90</w:t>
            </w: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z w:val="18"/>
              </w:rPr>
              <w:t>148,584.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2.18%</w:t>
            </w: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314" w:lineRule="auto" w:before="11"/>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355"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修项目</w:t>
            </w: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330,657,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495.00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56,711,7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20.60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43,145,3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62.84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40,270.6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775,637.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99,041,1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75.08</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335" w:lineRule="exact"/>
        <w:ind w:right="967"/>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t>（</w:t>
      </w:r>
      <w:r>
        <w:rPr>
          <w:rFonts w:ascii="Times New Roman" w:hAnsi="Times New Roman" w:cs="Times New Roman" w:eastAsia="Times New Roman" w:hint="default"/>
        </w:rPr>
        <w:t>4</w:t>
      </w:r>
      <w:r>
        <w:rPr/>
        <w:t>）工程物资</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967"/>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4"/>
        <w:spacing w:line="240" w:lineRule="auto"/>
        <w:ind w:right="967"/>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4"/>
        <w:spacing w:line="240" w:lineRule="auto"/>
        <w:ind w:right="967"/>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482" w:lineRule="auto" w:before="0"/>
        <w:ind w:left="152" w:right="928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25</w:t>
      </w:r>
      <w:r>
        <w:rPr>
          <w:rFonts w:ascii="Microsoft JhengHei" w:hAnsi="Microsoft JhengHei" w:cs="Microsoft JhengHei" w:eastAsia="Microsoft JhengHei" w:hint="default"/>
          <w:b/>
          <w:bCs/>
          <w:sz w:val="21"/>
          <w:szCs w:val="21"/>
        </w:rPr>
        <w:t>、使用权资产</w:t>
      </w:r>
      <w:r>
        <w:rPr>
          <w:rFonts w:ascii="Microsoft JhengHei" w:hAnsi="Microsoft JhengHei" w:cs="Microsoft JhengHei" w:eastAsia="Microsoft JhengHei" w:hint="default"/>
          <w:b/>
          <w:bCs/>
          <w:spacing w:val="-47"/>
          <w:sz w:val="21"/>
          <w:szCs w:val="21"/>
        </w:rPr>
        <w:t> </w:t>
      </w:r>
      <w:r>
        <w:rPr>
          <w:rFonts w:ascii="宋体" w:hAnsi="宋体" w:cs="宋体" w:eastAsia="宋体" w:hint="default"/>
          <w:sz w:val="18"/>
          <w:szCs w:val="18"/>
        </w:rPr>
        <w:t>无</w:t>
      </w:r>
    </w:p>
    <w:p>
      <w:pPr>
        <w:pStyle w:val="Heading4"/>
        <w:spacing w:line="240" w:lineRule="auto" w:before="107"/>
        <w:ind w:right="967"/>
        <w:jc w:val="left"/>
        <w:rPr>
          <w:b w:val="0"/>
          <w:bCs w:val="0"/>
        </w:rPr>
      </w:pPr>
      <w:r>
        <w:rPr>
          <w:rFonts w:ascii="Times New Roman" w:hAnsi="Times New Roman" w:cs="Times New Roman" w:eastAsia="Times New Roman" w:hint="default"/>
        </w:rPr>
        <w:t>26</w:t>
      </w:r>
      <w:r>
        <w:rPr/>
        <w:t>、无形资产</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4"/>
        <w:spacing w:line="240" w:lineRule="auto"/>
        <w:ind w:right="967"/>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8" w:right="0"/>
              <w:jc w:val="left"/>
              <w:rPr>
                <w:rFonts w:ascii="Times New Roman" w:hAnsi="Times New Roman" w:cs="Times New Roman" w:eastAsia="Times New Roman" w:hint="default"/>
                <w:sz w:val="18"/>
                <w:szCs w:val="18"/>
              </w:rPr>
            </w:pPr>
            <w:r>
              <w:rPr>
                <w:rFonts w:ascii="Times New Roman"/>
                <w:sz w:val="18"/>
              </w:rPr>
              <w:t>36,229,382.20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7,781,823.87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44,011,206.07</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523,893.81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523,893.81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523,893.81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523,893.81</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36,229,382.20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8,305,717.68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44,535,099.88</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3,078,996.27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5,626,211.05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8,705,207.32</w:t>
            </w: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732,857.16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896,852.74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1,629,709.90</w:t>
            </w:r>
          </w:p>
        </w:tc>
      </w:tr>
      <w:tr>
        <w:trPr>
          <w:trHeight w:val="40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732,857.16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896,852.74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1,629,709.90</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3,811,853.43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6,523,063.79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10,334,917.22</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32,417,528.77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1,782,653.89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34,200,182.66</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33,150,385.93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2,155,612.82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35,305,998.75</w:t>
            </w:r>
          </w:p>
        </w:tc>
      </w:tr>
    </w:tbl>
    <w:p>
      <w:pPr>
        <w:pStyle w:val="BodyText"/>
        <w:spacing w:line="240" w:lineRule="auto" w:before="49"/>
        <w:ind w:right="967"/>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11"/>
        <w:rPr>
          <w:rFonts w:ascii="宋体" w:hAnsi="宋体" w:cs="宋体" w:eastAsia="宋体" w:hint="default"/>
          <w:sz w:val="20"/>
          <w:szCs w:val="20"/>
        </w:rPr>
      </w:pPr>
    </w:p>
    <w:p>
      <w:pPr>
        <w:pStyle w:val="Heading4"/>
        <w:spacing w:line="240" w:lineRule="auto"/>
        <w:ind w:right="967"/>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335" w:lineRule="exact"/>
        <w:ind w:right="967"/>
        <w:jc w:val="left"/>
        <w:rPr>
          <w:b w:val="0"/>
          <w:bCs w:val="0"/>
        </w:rPr>
      </w:pPr>
      <w:r>
        <w:rPr>
          <w:rFonts w:ascii="Times New Roman" w:hAnsi="Times New Roman" w:cs="Times New Roman" w:eastAsia="Times New Roman" w:hint="default"/>
        </w:rPr>
        <w:t>27</w:t>
      </w:r>
      <w:r>
        <w:rPr/>
        <w:t>、开发支出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28</w:t>
      </w:r>
      <w:r>
        <w:rPr/>
        <w:t>、商誉</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29</w:t>
      </w:r>
      <w:r>
        <w:rPr/>
        <w:t>、长期待摊费用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装修费用</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23,145,760.93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815,953.44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5,443,832.75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18,517,881.62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设备维护费用</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25,804.21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25,804.21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业务宣传费用</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1,254,716.97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55,031.45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1,199,685.52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23,171,565.14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2,070,670.41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5,524,668.41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19,717,567.14</w:t>
            </w:r>
          </w:p>
        </w:tc>
      </w:tr>
    </w:tbl>
    <w:p>
      <w:pPr>
        <w:pStyle w:val="BodyText"/>
        <w:spacing w:line="357" w:lineRule="auto" w:before="49"/>
        <w:ind w:right="10034"/>
        <w:jc w:val="left"/>
      </w:pPr>
      <w:r>
        <w:rPr/>
        <w:t>其他说明 无</w:t>
      </w:r>
    </w:p>
    <w:p>
      <w:pPr>
        <w:spacing w:line="240" w:lineRule="auto" w:before="5"/>
        <w:rPr>
          <w:rFonts w:ascii="宋体" w:hAnsi="宋体" w:cs="宋体" w:eastAsia="宋体" w:hint="default"/>
          <w:sz w:val="15"/>
          <w:szCs w:val="15"/>
        </w:rPr>
      </w:pPr>
    </w:p>
    <w:p>
      <w:pPr>
        <w:pStyle w:val="Heading4"/>
        <w:spacing w:line="240" w:lineRule="auto"/>
        <w:ind w:right="967"/>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4"/>
        <w:spacing w:line="240" w:lineRule="auto"/>
        <w:ind w:right="967"/>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105,150,283.87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15,772,542.58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69,009,362.01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10,351,404.30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3,636,778.22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545,516.73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108,761.95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16,314.29</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7,078,074.61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1,061,711.19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8,321,801.77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1,248,270.27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6,967.50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2,304,958.00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345,743.70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23,525,566.44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3,528,834.97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139,437,153.14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20,915,572.97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79,744,883.73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11,961,732.56</w:t>
            </w: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2"/>
        <w:rPr>
          <w:rFonts w:ascii="宋体" w:hAnsi="宋体" w:cs="宋体" w:eastAsia="宋体" w:hint="default"/>
          <w:sz w:val="21"/>
          <w:szCs w:val="21"/>
        </w:rPr>
      </w:pPr>
    </w:p>
    <w:p>
      <w:pPr>
        <w:pStyle w:val="Heading4"/>
        <w:spacing w:line="240" w:lineRule="auto"/>
        <w:ind w:right="967"/>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2" w:right="51"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7" w:right="0"/>
              <w:jc w:val="left"/>
              <w:rPr>
                <w:rFonts w:ascii="Times New Roman" w:hAnsi="Times New Roman" w:cs="Times New Roman" w:eastAsia="Times New Roman" w:hint="default"/>
                <w:sz w:val="18"/>
                <w:szCs w:val="18"/>
              </w:rPr>
            </w:pPr>
            <w:r>
              <w:rPr>
                <w:rFonts w:ascii="Times New Roman"/>
                <w:sz w:val="18"/>
              </w:rPr>
              <w:t>20,915,572.97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2" w:right="0"/>
              <w:jc w:val="left"/>
              <w:rPr>
                <w:rFonts w:ascii="Times New Roman" w:hAnsi="Times New Roman" w:cs="Times New Roman" w:eastAsia="Times New Roman" w:hint="default"/>
                <w:sz w:val="18"/>
                <w:szCs w:val="18"/>
              </w:rPr>
            </w:pPr>
            <w:r>
              <w:rPr>
                <w:rFonts w:ascii="Times New Roman"/>
                <w:sz w:val="18"/>
              </w:rPr>
              <w:t>11,961,732.56</w:t>
            </w: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9,019,141.71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4,396,898.14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53,602,191.32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59,056,083.69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62,621,333.03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63,452,981.83</w:t>
            </w: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7,236,781.97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5,241,809.57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5,321,186.40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7,767,551.94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7,828,982.70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8,581,279.97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8,581,701.97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16,665,398.03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30,087,430.65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15,346,151.81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53,602,191.32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59,056,083.69</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9854"/>
        <w:jc w:val="left"/>
      </w:pPr>
      <w:r>
        <w:rPr/>
        <w:t>其他说明： 无</w:t>
      </w:r>
    </w:p>
    <w:p>
      <w:pPr>
        <w:spacing w:line="240" w:lineRule="auto" w:before="5"/>
        <w:rPr>
          <w:rFonts w:ascii="宋体" w:hAnsi="宋体" w:cs="宋体" w:eastAsia="宋体" w:hint="default"/>
          <w:sz w:val="15"/>
          <w:szCs w:val="15"/>
        </w:rPr>
      </w:pPr>
    </w:p>
    <w:p>
      <w:pPr>
        <w:pStyle w:val="Heading4"/>
        <w:spacing w:line="240" w:lineRule="auto"/>
        <w:ind w:right="967"/>
        <w:jc w:val="left"/>
        <w:rPr>
          <w:b w:val="0"/>
          <w:bCs w:val="0"/>
        </w:rPr>
      </w:pPr>
      <w:r>
        <w:rPr>
          <w:rFonts w:ascii="Times New Roman" w:hAnsi="Times New Roman" w:cs="Times New Roman" w:eastAsia="Times New Roman" w:hint="default"/>
        </w:rPr>
        <w:t>31</w:t>
      </w:r>
      <w:r>
        <w:rPr/>
        <w:t>、其他非流动资产</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877" w:footer="979" w:top="1100" w:bottom="116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支付山东高速信联支付有限公司股权投 资款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45,359,118.66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45,359,118.66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967"/>
        <w:jc w:val="left"/>
      </w:pPr>
      <w:r>
        <w:rPr/>
        <w:t>其他说明：</w:t>
      </w:r>
    </w:p>
    <w:p>
      <w:pPr>
        <w:spacing w:after="0" w:line="240" w:lineRule="auto"/>
        <w:jc w:val="left"/>
        <w:sectPr>
          <w:type w:val="continuous"/>
          <w:pgSz w:w="11910" w:h="16840"/>
          <w:pgMar w:top="1060" w:bottom="1160" w:left="980" w:right="0"/>
        </w:sectPr>
      </w:pPr>
    </w:p>
    <w:p>
      <w:pPr>
        <w:spacing w:line="240" w:lineRule="auto" w:before="12"/>
        <w:rPr>
          <w:rFonts w:ascii="宋体" w:hAnsi="宋体" w:cs="宋体" w:eastAsia="宋体" w:hint="default"/>
          <w:sz w:val="20"/>
          <w:szCs w:val="20"/>
        </w:rPr>
      </w:pPr>
    </w:p>
    <w:p>
      <w:pPr>
        <w:pStyle w:val="Heading4"/>
        <w:spacing w:line="335" w:lineRule="exact"/>
        <w:ind w:right="967"/>
        <w:jc w:val="left"/>
        <w:rPr>
          <w:b w:val="0"/>
          <w:bCs w:val="0"/>
        </w:rPr>
      </w:pPr>
      <w:r>
        <w:rPr>
          <w:rFonts w:ascii="Times New Roman" w:hAnsi="Times New Roman" w:cs="Times New Roman" w:eastAsia="Times New Roman" w:hint="default"/>
        </w:rPr>
        <w:t>32</w:t>
      </w:r>
      <w:r>
        <w:rPr/>
        <w:t>、短期借款</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33</w:t>
      </w:r>
      <w:r>
        <w:rPr/>
        <w:t>、交易性金融负债</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34</w:t>
      </w:r>
      <w:r>
        <w:rPr/>
        <w:t>、衍生金融负债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2"/>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35</w:t>
      </w:r>
      <w:r>
        <w:rPr/>
        <w:t>、应付票据</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585,887,257.45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64,878,808.83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585,887,257.45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64,878,808.83</w:t>
            </w:r>
          </w:p>
        </w:tc>
      </w:tr>
    </w:tbl>
    <w:p>
      <w:pPr>
        <w:pStyle w:val="BodyText"/>
        <w:spacing w:line="240" w:lineRule="auto" w:before="49"/>
        <w:ind w:right="967"/>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
        <w:rPr>
          <w:rFonts w:ascii="宋体" w:hAnsi="宋体" w:cs="宋体" w:eastAsia="宋体" w:hint="default"/>
          <w:sz w:val="21"/>
          <w:szCs w:val="21"/>
        </w:rPr>
      </w:pPr>
    </w:p>
    <w:p>
      <w:pPr>
        <w:pStyle w:val="Heading4"/>
        <w:spacing w:line="240" w:lineRule="auto"/>
        <w:ind w:right="967"/>
        <w:jc w:val="left"/>
        <w:rPr>
          <w:b w:val="0"/>
          <w:bCs w:val="0"/>
        </w:rPr>
      </w:pPr>
      <w:r>
        <w:rPr>
          <w:rFonts w:ascii="Times New Roman" w:hAnsi="Times New Roman" w:cs="Times New Roman" w:eastAsia="Times New Roman" w:hint="default"/>
        </w:rPr>
        <w:t>36</w:t>
      </w:r>
      <w:r>
        <w:rPr/>
        <w:t>、应付账款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967"/>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材料款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399,713,571.61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165,653,976.47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设备及工程款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22,306,478.57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8,224,899.84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422,020,050.18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173,878,876.31</w:t>
            </w: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年的重要应付账款</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2"/>
        <w:rPr>
          <w:rFonts w:ascii="宋体" w:hAnsi="宋体" w:cs="宋体" w:eastAsia="宋体" w:hint="default"/>
          <w:sz w:val="21"/>
          <w:szCs w:val="21"/>
        </w:rPr>
      </w:pPr>
    </w:p>
    <w:p>
      <w:pPr>
        <w:pStyle w:val="Heading4"/>
        <w:spacing w:line="240" w:lineRule="auto"/>
        <w:ind w:right="967"/>
        <w:jc w:val="left"/>
        <w:rPr>
          <w:b w:val="0"/>
          <w:bCs w:val="0"/>
        </w:rPr>
      </w:pPr>
      <w:r>
        <w:rPr>
          <w:rFonts w:ascii="Times New Roman" w:hAnsi="Times New Roman" w:cs="Times New Roman" w:eastAsia="Times New Roman" w:hint="default"/>
        </w:rPr>
        <w:t>37</w:t>
      </w:r>
      <w:r>
        <w:rPr/>
        <w:t>、预收款项</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是否已执行新收入准则</w:t>
      </w:r>
    </w:p>
    <w:p>
      <w:pPr>
        <w:pStyle w:val="BodyText"/>
        <w:spacing w:line="240" w:lineRule="auto" w:before="117"/>
        <w:ind w:right="96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1"/>
        <w:rPr>
          <w:rFonts w:ascii="宋体" w:hAnsi="宋体" w:cs="宋体" w:eastAsia="宋体" w:hint="default"/>
          <w:sz w:val="20"/>
          <w:szCs w:val="20"/>
        </w:rPr>
      </w:pPr>
    </w:p>
    <w:p>
      <w:pPr>
        <w:pStyle w:val="Heading4"/>
        <w:spacing w:line="240" w:lineRule="auto"/>
        <w:ind w:right="967"/>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607,969,184.24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26,119,526.07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607,969,184.24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26,119,526.07</w:t>
            </w: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年的重要预收款项</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中船重工（武汉）凌久高科有限公司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3,375,702.22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项目实施中，尚未验收</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3,375,702.22</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38</w:t>
      </w:r>
      <w:r>
        <w:rPr/>
        <w:t>、合同负债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2"/>
        <w:rPr>
          <w:rFonts w:ascii="宋体" w:hAnsi="宋体" w:cs="宋体" w:eastAsia="宋体" w:hint="default"/>
          <w:sz w:val="21"/>
          <w:szCs w:val="21"/>
        </w:rPr>
      </w:pPr>
    </w:p>
    <w:p>
      <w:pPr>
        <w:pStyle w:val="Heading4"/>
        <w:spacing w:line="240" w:lineRule="auto"/>
        <w:ind w:right="967"/>
        <w:jc w:val="left"/>
        <w:rPr>
          <w:b w:val="0"/>
          <w:bCs w:val="0"/>
        </w:rPr>
      </w:pPr>
      <w:r>
        <w:rPr>
          <w:rFonts w:ascii="Times New Roman" w:hAnsi="Times New Roman" w:cs="Times New Roman" w:eastAsia="Times New Roman" w:hint="default"/>
        </w:rPr>
        <w:t>39</w:t>
      </w:r>
      <w:r>
        <w:rPr/>
        <w:t>、应付职工薪酬</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4"/>
        <w:spacing w:line="240" w:lineRule="auto"/>
        <w:ind w:right="967"/>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36,131,072.72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260,599,456.15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223,993,676.48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72,736,852.39</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1,776.10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7,223,917.93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7,225,694.03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36,132,848.82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267,823,374.08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231,219,370.51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72,736,852.39</w:t>
            </w: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36,130,226.77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237,569,898.32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200,963,272.70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72,736,852.39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13,336,100.01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13,336,100.01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4,279,521.59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4,280,367.49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3,748,354.39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3,749,072.79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83,180.45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83,239.48</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68.48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441,119.66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441,188.13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6,867.09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6,867.09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4,868,322.14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4,868,322.19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、辞退福利（一年以内</w:t>
            </w:r>
            <w:r>
              <w:rPr>
                <w:rFonts w:ascii="宋体" w:hAnsi="宋体" w:cs="宋体" w:eastAsia="宋体" w:hint="default"/>
                <w:sz w:val="18"/>
                <w:szCs w:val="18"/>
              </w:rPr>
              <w:t> 支付的部分）</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545,614.09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545,614.09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36,131,072.72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260,599,456.15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223,993,676.48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72,736,852.39</w:t>
            </w: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1,728.06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7,058,608.18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7,060,336.24</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165,309.75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165,357.79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1,776.10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7,223,917.93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7,225,694.03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57" w:lineRule="auto" w:before="49"/>
        <w:ind w:right="9854"/>
        <w:jc w:val="left"/>
      </w:pPr>
      <w:r>
        <w:rPr/>
        <w:t>其他说明： 无</w:t>
      </w:r>
    </w:p>
    <w:p>
      <w:pPr>
        <w:spacing w:line="240" w:lineRule="auto" w:before="5"/>
        <w:rPr>
          <w:rFonts w:ascii="宋体" w:hAnsi="宋体" w:cs="宋体" w:eastAsia="宋体" w:hint="default"/>
          <w:sz w:val="15"/>
          <w:szCs w:val="15"/>
        </w:rPr>
      </w:pPr>
    </w:p>
    <w:p>
      <w:pPr>
        <w:pStyle w:val="Heading4"/>
        <w:spacing w:line="240" w:lineRule="auto"/>
        <w:ind w:right="967"/>
        <w:jc w:val="left"/>
        <w:rPr>
          <w:b w:val="0"/>
          <w:bCs w:val="0"/>
        </w:rPr>
      </w:pPr>
      <w:r>
        <w:rPr>
          <w:rFonts w:ascii="Times New Roman" w:hAnsi="Times New Roman" w:cs="Times New Roman" w:eastAsia="Times New Roman" w:hint="default"/>
        </w:rPr>
        <w:t>40</w:t>
      </w:r>
      <w:r>
        <w:rPr/>
        <w:t>、应交税费</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131,014,241.18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21,132,981.91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88,144,619.52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140,008.38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715,975.74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426,215.17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9,531,796.53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1,534,220.79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4,085,055.66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657,523.18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2,723,370.42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438,349.29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契税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2,574,404.81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2,574,404.81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355,875.55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108,210.98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239,145,339.41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27,011,914.51</w:t>
            </w:r>
          </w:p>
        </w:tc>
      </w:tr>
    </w:tbl>
    <w:p>
      <w:pPr>
        <w:pStyle w:val="BodyText"/>
        <w:spacing w:line="357" w:lineRule="auto" w:before="49"/>
        <w:ind w:right="9854"/>
        <w:jc w:val="left"/>
      </w:pPr>
      <w:r>
        <w:rPr/>
        <w:t>其他说明： 无</w:t>
      </w:r>
    </w:p>
    <w:p>
      <w:pPr>
        <w:spacing w:line="240" w:lineRule="auto" w:before="5"/>
        <w:rPr>
          <w:rFonts w:ascii="宋体" w:hAnsi="宋体" w:cs="宋体" w:eastAsia="宋体" w:hint="default"/>
          <w:sz w:val="15"/>
          <w:szCs w:val="15"/>
        </w:rPr>
      </w:pPr>
    </w:p>
    <w:p>
      <w:pPr>
        <w:pStyle w:val="Heading4"/>
        <w:spacing w:line="240" w:lineRule="auto"/>
        <w:ind w:right="967"/>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106,391,995.42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46,564,793.84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106,391,995.42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46,564,793.84</w:t>
            </w: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967"/>
        <w:jc w:val="left"/>
        <w:rPr>
          <w:b w:val="0"/>
          <w:bCs w:val="0"/>
        </w:rPr>
      </w:pPr>
      <w:r>
        <w:rPr>
          <w:rFonts w:ascii="Times New Roman" w:hAnsi="Times New Roman" w:cs="Times New Roman" w:eastAsia="Times New Roman" w:hint="default"/>
        </w:rPr>
        <w:t>1</w:t>
      </w:r>
      <w:r>
        <w:rPr/>
        <w:t>）按款项性质列示其他应付款</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18,435,091.35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12,006,844.61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4,398,200.83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5,944,368.53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资产购置款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5,737,476.59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18,336,504.29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153,356.21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1,473,652.00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房屋租金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1,750,240.28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1,531,644.32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947,938.56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947,938.56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58,821,004.04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16,148,687.56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6,323,841.53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106,391,995.42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46,564,793.84</w:t>
            </w: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年的重要其他应付款</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42</w:t>
      </w:r>
      <w:r>
        <w:rPr/>
        <w:t>、持有待售负债</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335" w:lineRule="exact"/>
        <w:ind w:right="967"/>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2"/>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47</w:t>
      </w:r>
      <w:r>
        <w:rPr/>
        <w:t>、租赁负债</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48</w:t>
      </w:r>
      <w:r>
        <w:rPr/>
        <w:t>、长期应付款</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49</w:t>
      </w:r>
      <w:r>
        <w:rPr/>
        <w:t>、长期应付职工薪酬</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877" w:footer="979" w:top="1100" w:bottom="116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356"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tcPr>
          <w:p>
            <w:pPr/>
          </w:p>
        </w:tc>
        <w:tc>
          <w:tcPr>
            <w:tcW w:w="2393" w:type="dxa"/>
            <w:tcBorders>
              <w:top w:val="single" w:sz="4" w:space="0" w:color="000000"/>
              <w:left w:val="single" w:sz="4" w:space="0" w:color="000000"/>
              <w:bottom w:val="nil" w:sz="6" w:space="0" w:color="auto"/>
              <w:right w:val="single" w:sz="4" w:space="0" w:color="000000"/>
            </w:tcBorders>
          </w:tcPr>
          <w:p>
            <w:pPr/>
          </w:p>
        </w:tc>
        <w:tc>
          <w:tcPr>
            <w:tcW w:w="23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按照处质保期产品数量和单</w:t>
            </w:r>
          </w:p>
        </w:tc>
      </w:tr>
      <w:tr>
        <w:trPr>
          <w:trHeight w:val="317"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396"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7"/>
              <w:jc w:val="right"/>
              <w:rPr>
                <w:rFonts w:ascii="Times New Roman" w:hAnsi="Times New Roman" w:cs="Times New Roman" w:eastAsia="Times New Roman" w:hint="default"/>
                <w:sz w:val="18"/>
                <w:szCs w:val="18"/>
              </w:rPr>
            </w:pPr>
            <w:r>
              <w:rPr>
                <w:rFonts w:ascii="Times New Roman"/>
                <w:spacing w:val="-1"/>
                <w:sz w:val="18"/>
              </w:rPr>
              <w:t>3,636,778.22</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108,761.95</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位产品上年实际质保费用预</w:t>
            </w:r>
          </w:p>
        </w:tc>
      </w:tr>
      <w:tr>
        <w:trPr>
          <w:trHeight w:val="355"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tcPr>
          <w:p>
            <w:pPr/>
          </w:p>
        </w:tc>
        <w:tc>
          <w:tcPr>
            <w:tcW w:w="2393" w:type="dxa"/>
            <w:tcBorders>
              <w:top w:val="nil" w:sz="6" w:space="0" w:color="auto"/>
              <w:left w:val="single" w:sz="4" w:space="0" w:color="000000"/>
              <w:bottom w:val="single" w:sz="4" w:space="0" w:color="000000"/>
              <w:right w:val="single" w:sz="4" w:space="0" w:color="000000"/>
            </w:tcBorders>
          </w:tcPr>
          <w:p>
            <w:pPr/>
          </w:p>
        </w:tc>
        <w:tc>
          <w:tcPr>
            <w:tcW w:w="23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计</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3,636,778.22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108,761.95</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49"/>
        <w:ind w:right="6074"/>
        <w:jc w:val="left"/>
      </w:pPr>
      <w:r>
        <w:rPr/>
        <w:t>其他说明，包括重要预计负债的相关重要假设、估计说明： 无</w:t>
      </w:r>
    </w:p>
    <w:p>
      <w:pPr>
        <w:spacing w:line="240" w:lineRule="auto" w:before="3"/>
        <w:rPr>
          <w:rFonts w:ascii="宋体" w:hAnsi="宋体" w:cs="宋体" w:eastAsia="宋体" w:hint="default"/>
          <w:sz w:val="15"/>
          <w:szCs w:val="15"/>
        </w:rPr>
      </w:pPr>
    </w:p>
    <w:p>
      <w:pPr>
        <w:pStyle w:val="Heading4"/>
        <w:spacing w:line="240" w:lineRule="auto"/>
        <w:ind w:right="967"/>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356" w:hRule="exact"/>
        </w:trPr>
        <w:tc>
          <w:tcPr>
            <w:tcW w:w="15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7"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与资产相关的补助</w:t>
            </w:r>
          </w:p>
        </w:tc>
      </w:tr>
      <w:tr>
        <w:trPr>
          <w:trHeight w:val="624" w:hRule="exact"/>
        </w:trPr>
        <w:tc>
          <w:tcPr>
            <w:tcW w:w="15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9,515,001.77</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4,445,598.10</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5,689,325.26</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8,271,274.61</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19"/>
              <w:jc w:val="left"/>
              <w:rPr>
                <w:rFonts w:ascii="宋体" w:hAnsi="宋体" w:cs="宋体" w:eastAsia="宋体" w:hint="default"/>
                <w:sz w:val="18"/>
                <w:szCs w:val="18"/>
              </w:rPr>
            </w:pPr>
            <w:r>
              <w:rPr>
                <w:rFonts w:ascii="宋体" w:hAnsi="宋体" w:cs="宋体" w:eastAsia="宋体" w:hint="default"/>
                <w:sz w:val="18"/>
                <w:szCs w:val="18"/>
              </w:rPr>
              <w:t>以及对应费用尚未 发生的与收益相关</w:t>
            </w:r>
          </w:p>
        </w:tc>
      </w:tr>
      <w:tr>
        <w:trPr>
          <w:trHeight w:val="357" w:hRule="exact"/>
        </w:trPr>
        <w:tc>
          <w:tcPr>
            <w:tcW w:w="15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的补助</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9,515,001.77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4,445,598.10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5,689,325.26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8,271,274.61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67"/>
        <w:jc w:val="left"/>
      </w:pPr>
      <w:r>
        <w:rPr/>
        <w:t>涉及政府补助的项目：</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1028"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2"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 w:right="48"/>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 w:right="4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354"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城市综合停</w:t>
            </w:r>
          </w:p>
        </w:tc>
        <w:tc>
          <w:tcPr>
            <w:tcW w:w="1248" w:type="dxa"/>
            <w:tcBorders>
              <w:top w:val="single" w:sz="4" w:space="0" w:color="000000"/>
              <w:left w:val="single" w:sz="4" w:space="0" w:color="000000"/>
              <w:bottom w:val="nil" w:sz="6" w:space="0" w:color="auto"/>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623"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77"/>
              <w:jc w:val="left"/>
              <w:rPr>
                <w:rFonts w:ascii="宋体" w:hAnsi="宋体" w:cs="宋体" w:eastAsia="宋体" w:hint="default"/>
                <w:sz w:val="18"/>
                <w:szCs w:val="18"/>
              </w:rPr>
            </w:pPr>
            <w:r>
              <w:rPr>
                <w:rFonts w:ascii="宋体" w:hAnsi="宋体" w:cs="宋体" w:eastAsia="宋体" w:hint="default"/>
                <w:sz w:val="18"/>
                <w:szCs w:val="18"/>
              </w:rPr>
              <w:t>车收费管理 与信息服务</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118,433.38</w:t>
            </w: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83,629.05</w:t>
            </w: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34,804.33</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60"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应用示范</w:t>
            </w:r>
          </w:p>
        </w:tc>
        <w:tc>
          <w:tcPr>
            <w:tcW w:w="1248" w:type="dxa"/>
            <w:tcBorders>
              <w:top w:val="nil" w:sz="6" w:space="0" w:color="auto"/>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DSRC</w:t>
            </w:r>
          </w:p>
        </w:tc>
        <w:tc>
          <w:tcPr>
            <w:tcW w:w="1248" w:type="dxa"/>
            <w:tcBorders>
              <w:top w:val="single" w:sz="4" w:space="0" w:color="000000"/>
              <w:left w:val="single" w:sz="4" w:space="0" w:color="000000"/>
              <w:bottom w:val="nil" w:sz="6" w:space="0" w:color="auto"/>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的智能交通</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77"/>
              <w:jc w:val="left"/>
              <w:rPr>
                <w:rFonts w:ascii="宋体" w:hAnsi="宋体" w:cs="宋体" w:eastAsia="宋体" w:hint="default"/>
                <w:sz w:val="18"/>
                <w:szCs w:val="18"/>
              </w:rPr>
            </w:pPr>
            <w:r>
              <w:rPr>
                <w:rFonts w:ascii="宋体" w:hAnsi="宋体" w:cs="宋体" w:eastAsia="宋体" w:hint="default"/>
                <w:sz w:val="18"/>
                <w:szCs w:val="18"/>
              </w:rPr>
              <w:t>车联网多功 能车载智能</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160,674.68</w:t>
            </w: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48,280.83</w:t>
            </w: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112,393.85</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终端研发及</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示范应用</w:t>
            </w:r>
          </w:p>
        </w:tc>
        <w:tc>
          <w:tcPr>
            <w:tcW w:w="1248" w:type="dxa"/>
            <w:tcBorders>
              <w:top w:val="nil" w:sz="6" w:space="0" w:color="auto"/>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54"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基于无线感</w:t>
            </w:r>
          </w:p>
        </w:tc>
        <w:tc>
          <w:tcPr>
            <w:tcW w:w="1248" w:type="dxa"/>
            <w:tcBorders>
              <w:top w:val="single" w:sz="4" w:space="0" w:color="000000"/>
              <w:left w:val="single" w:sz="4" w:space="0" w:color="000000"/>
              <w:bottom w:val="nil" w:sz="6" w:space="0" w:color="auto"/>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知技术的道</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路停车管理</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9"/>
              <w:jc w:val="right"/>
              <w:rPr>
                <w:rFonts w:ascii="Times New Roman" w:hAnsi="Times New Roman" w:cs="Times New Roman" w:eastAsia="Times New Roman" w:hint="default"/>
                <w:sz w:val="18"/>
                <w:szCs w:val="18"/>
              </w:rPr>
            </w:pPr>
            <w:r>
              <w:rPr>
                <w:rFonts w:ascii="Times New Roman"/>
                <w:spacing w:val="-1"/>
                <w:sz w:val="18"/>
              </w:rPr>
              <w:t>30,653.18</w:t>
            </w: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30,653.18</w:t>
            </w: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06"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与服务前端</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系统研发</w:t>
            </w:r>
          </w:p>
        </w:tc>
        <w:tc>
          <w:tcPr>
            <w:tcW w:w="1248" w:type="dxa"/>
            <w:tcBorders>
              <w:top w:val="nil" w:sz="6" w:space="0" w:color="auto"/>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基于专用短</w:t>
            </w:r>
          </w:p>
        </w:tc>
        <w:tc>
          <w:tcPr>
            <w:tcW w:w="1248" w:type="dxa"/>
            <w:tcBorders>
              <w:top w:val="single" w:sz="4" w:space="0" w:color="000000"/>
              <w:left w:val="single" w:sz="4" w:space="0" w:color="000000"/>
              <w:bottom w:val="nil" w:sz="6" w:space="0" w:color="auto"/>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程通信</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(DSRC)</w:t>
            </w:r>
            <w:r>
              <w:rPr>
                <w:rFonts w:ascii="宋体" w:hAnsi="宋体" w:cs="宋体" w:eastAsia="宋体" w:hint="default"/>
                <w:sz w:val="18"/>
                <w:szCs w:val="18"/>
              </w:rPr>
              <w:t>技术</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619"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77"/>
              <w:jc w:val="left"/>
              <w:rPr>
                <w:rFonts w:ascii="宋体" w:hAnsi="宋体" w:cs="宋体" w:eastAsia="宋体" w:hint="default"/>
                <w:sz w:val="18"/>
                <w:szCs w:val="18"/>
              </w:rPr>
            </w:pPr>
            <w:r>
              <w:rPr>
                <w:rFonts w:ascii="宋体" w:hAnsi="宋体" w:cs="宋体" w:eastAsia="宋体" w:hint="default"/>
                <w:sz w:val="18"/>
                <w:szCs w:val="18"/>
              </w:rPr>
              <w:t>的电子车牌 证多车道自</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25,435.55</w:t>
            </w: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25,435.55</w:t>
            </w: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由流关键技</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术研究与核</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心设备研发</w:t>
            </w:r>
          </w:p>
        </w:tc>
        <w:tc>
          <w:tcPr>
            <w:tcW w:w="1248" w:type="dxa"/>
            <w:tcBorders>
              <w:top w:val="nil" w:sz="6" w:space="0" w:color="auto"/>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54"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面向城市智</w:t>
            </w:r>
          </w:p>
        </w:tc>
        <w:tc>
          <w:tcPr>
            <w:tcW w:w="1248" w:type="dxa"/>
            <w:tcBorders>
              <w:top w:val="single" w:sz="4" w:space="0" w:color="000000"/>
              <w:left w:val="single" w:sz="4" w:space="0" w:color="000000"/>
              <w:bottom w:val="nil" w:sz="6" w:space="0" w:color="auto"/>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慧交通物联</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网应用的</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DSRC </w:t>
            </w:r>
            <w:r>
              <w:rPr>
                <w:rFonts w:ascii="宋体" w:hAnsi="宋体" w:cs="宋体" w:eastAsia="宋体" w:hint="default"/>
                <w:sz w:val="18"/>
                <w:szCs w:val="18"/>
              </w:rPr>
              <w:t>设备</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4,595,143.45</w:t>
            </w: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3,571,622.31</w:t>
            </w: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1,023,521.14</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07"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研发及产业</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化</w:t>
            </w:r>
          </w:p>
        </w:tc>
        <w:tc>
          <w:tcPr>
            <w:tcW w:w="1248" w:type="dxa"/>
            <w:tcBorders>
              <w:top w:val="nil" w:sz="6" w:space="0" w:color="auto"/>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356"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面向智慧交</w:t>
            </w:r>
          </w:p>
        </w:tc>
        <w:tc>
          <w:tcPr>
            <w:tcW w:w="1248" w:type="dxa"/>
            <w:tcBorders>
              <w:top w:val="single" w:sz="4" w:space="0" w:color="000000"/>
              <w:left w:val="single" w:sz="4" w:space="0" w:color="000000"/>
              <w:bottom w:val="nil" w:sz="6" w:space="0" w:color="auto"/>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通的车联网</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77"/>
              <w:jc w:val="left"/>
              <w:rPr>
                <w:rFonts w:ascii="宋体" w:hAnsi="宋体" w:cs="宋体" w:eastAsia="宋体" w:hint="default"/>
                <w:sz w:val="18"/>
                <w:szCs w:val="18"/>
              </w:rPr>
            </w:pPr>
            <w:r>
              <w:rPr>
                <w:rFonts w:ascii="宋体" w:hAnsi="宋体" w:cs="宋体" w:eastAsia="宋体" w:hint="default"/>
                <w:sz w:val="18"/>
                <w:szCs w:val="18"/>
              </w:rPr>
              <w:t>高安全性内 容保障技术</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20,908.27</w:t>
            </w: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16,466.94</w:t>
            </w: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4,441.33</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研究与核心</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产品研发</w:t>
            </w:r>
          </w:p>
        </w:tc>
        <w:tc>
          <w:tcPr>
            <w:tcW w:w="1248" w:type="dxa"/>
            <w:tcBorders>
              <w:top w:val="nil" w:sz="6" w:space="0" w:color="auto"/>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深圳市智慧</w:t>
            </w:r>
          </w:p>
        </w:tc>
        <w:tc>
          <w:tcPr>
            <w:tcW w:w="1248" w:type="dxa"/>
            <w:tcBorders>
              <w:top w:val="single" w:sz="4" w:space="0" w:color="000000"/>
              <w:left w:val="single" w:sz="4" w:space="0" w:color="000000"/>
              <w:bottom w:val="nil" w:sz="6" w:space="0" w:color="auto"/>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623"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77"/>
              <w:jc w:val="left"/>
              <w:rPr>
                <w:rFonts w:ascii="宋体" w:hAnsi="宋体" w:cs="宋体" w:eastAsia="宋体" w:hint="default"/>
                <w:sz w:val="18"/>
                <w:szCs w:val="18"/>
              </w:rPr>
            </w:pPr>
            <w:r>
              <w:rPr>
                <w:rFonts w:ascii="宋体" w:hAnsi="宋体" w:cs="宋体" w:eastAsia="宋体" w:hint="default"/>
                <w:sz w:val="18"/>
                <w:szCs w:val="18"/>
              </w:rPr>
              <w:t>交通车联网 工程技术研</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333,470.64</w:t>
            </w: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250,447.60</w:t>
            </w: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83,023.04</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60"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究开发中心</w:t>
            </w:r>
          </w:p>
        </w:tc>
        <w:tc>
          <w:tcPr>
            <w:tcW w:w="1248" w:type="dxa"/>
            <w:tcBorders>
              <w:top w:val="nil" w:sz="6" w:space="0" w:color="auto"/>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应用于联网</w:t>
            </w:r>
          </w:p>
        </w:tc>
        <w:tc>
          <w:tcPr>
            <w:tcW w:w="1248" w:type="dxa"/>
            <w:tcBorders>
              <w:top w:val="single" w:sz="4" w:space="0" w:color="000000"/>
              <w:left w:val="single" w:sz="4" w:space="0" w:color="000000"/>
              <w:bottom w:val="nil" w:sz="6" w:space="0" w:color="auto"/>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收费公路的</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4"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5.8G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多义性 路径识别系</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290,769.23</w:t>
            </w: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18,461.52</w:t>
            </w: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272,307.71</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统的研发及</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产业化</w:t>
            </w:r>
          </w:p>
        </w:tc>
        <w:tc>
          <w:tcPr>
            <w:tcW w:w="1248" w:type="dxa"/>
            <w:tcBorders>
              <w:top w:val="nil" w:sz="6" w:space="0" w:color="auto"/>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RFID</w:t>
            </w:r>
          </w:p>
        </w:tc>
        <w:tc>
          <w:tcPr>
            <w:tcW w:w="1248" w:type="dxa"/>
            <w:tcBorders>
              <w:top w:val="single" w:sz="4" w:space="0" w:color="000000"/>
              <w:left w:val="single" w:sz="4" w:space="0" w:color="000000"/>
              <w:bottom w:val="nil" w:sz="6" w:space="0" w:color="auto"/>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电子车牌的</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77"/>
              <w:jc w:val="left"/>
              <w:rPr>
                <w:rFonts w:ascii="宋体" w:hAnsi="宋体" w:cs="宋体" w:eastAsia="宋体" w:hint="default"/>
                <w:sz w:val="18"/>
                <w:szCs w:val="18"/>
              </w:rPr>
            </w:pPr>
            <w:r>
              <w:rPr>
                <w:rFonts w:ascii="宋体" w:hAnsi="宋体" w:cs="宋体" w:eastAsia="宋体" w:hint="default"/>
                <w:sz w:val="18"/>
                <w:szCs w:val="18"/>
              </w:rPr>
              <w:t>系统实现核 心设备技术</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446,313.39</w:t>
            </w: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134,461.61</w:t>
            </w: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311,851.78</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研发及城市</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级应用示范</w:t>
            </w:r>
          </w:p>
        </w:tc>
        <w:tc>
          <w:tcPr>
            <w:tcW w:w="1248" w:type="dxa"/>
            <w:tcBorders>
              <w:top w:val="nil" w:sz="6" w:space="0" w:color="auto"/>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应急指挥与</w:t>
            </w:r>
          </w:p>
        </w:tc>
        <w:tc>
          <w:tcPr>
            <w:tcW w:w="1248"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77"/>
              <w:jc w:val="left"/>
              <w:rPr>
                <w:rFonts w:ascii="宋体" w:hAnsi="宋体" w:cs="宋体" w:eastAsia="宋体" w:hint="default"/>
                <w:sz w:val="18"/>
                <w:szCs w:val="18"/>
              </w:rPr>
            </w:pPr>
            <w:r>
              <w:rPr>
                <w:rFonts w:ascii="宋体" w:hAnsi="宋体" w:cs="宋体" w:eastAsia="宋体" w:hint="default"/>
                <w:sz w:val="18"/>
                <w:szCs w:val="18"/>
              </w:rPr>
              <w:t>协调决策支 持系统开发</w:t>
            </w: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310,000.00</w:t>
            </w: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310,000.00</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7"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与示范应用</w:t>
            </w:r>
          </w:p>
        </w:tc>
        <w:tc>
          <w:tcPr>
            <w:tcW w:w="1248"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新兴交通形</w:t>
            </w:r>
          </w:p>
        </w:tc>
        <w:tc>
          <w:tcPr>
            <w:tcW w:w="1248"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623"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77"/>
              <w:jc w:val="left"/>
              <w:rPr>
                <w:rFonts w:ascii="宋体" w:hAnsi="宋体" w:cs="宋体" w:eastAsia="宋体" w:hint="default"/>
                <w:sz w:val="18"/>
                <w:szCs w:val="18"/>
              </w:rPr>
            </w:pPr>
            <w:r>
              <w:rPr>
                <w:rFonts w:ascii="宋体" w:hAnsi="宋体" w:cs="宋体" w:eastAsia="宋体" w:hint="default"/>
                <w:sz w:val="18"/>
                <w:szCs w:val="18"/>
              </w:rPr>
              <w:t>态应用边界 与协同管控</w:t>
            </w: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80,000.00</w:t>
            </w: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60"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模式研究</w:t>
            </w:r>
          </w:p>
        </w:tc>
        <w:tc>
          <w:tcPr>
            <w:tcW w:w="1248"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新型车联网</w:t>
            </w:r>
          </w:p>
        </w:tc>
        <w:tc>
          <w:tcPr>
            <w:tcW w:w="1248"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通信技术工</w:t>
            </w: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w w:val="95"/>
                <w:sz w:val="18"/>
              </w:rPr>
              <w:t>9,866.67</w:t>
            </w: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1,990,133.33</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3"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程研究中心</w:t>
            </w:r>
          </w:p>
        </w:tc>
        <w:tc>
          <w:tcPr>
            <w:tcW w:w="1248"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深圳市金溢</w:t>
            </w:r>
          </w:p>
        </w:tc>
        <w:tc>
          <w:tcPr>
            <w:tcW w:w="1248"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科技股份有</w:t>
            </w: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77"/>
              <w:jc w:val="left"/>
              <w:rPr>
                <w:rFonts w:ascii="宋体" w:hAnsi="宋体" w:cs="宋体" w:eastAsia="宋体" w:hint="default"/>
                <w:sz w:val="18"/>
                <w:szCs w:val="18"/>
              </w:rPr>
            </w:pPr>
            <w:r>
              <w:rPr>
                <w:rFonts w:ascii="宋体" w:hAnsi="宋体" w:cs="宋体" w:eastAsia="宋体" w:hint="default"/>
                <w:sz w:val="18"/>
                <w:szCs w:val="18"/>
              </w:rPr>
              <w:t>限公司工业 设计中心认</w:t>
            </w: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w:t>
            </w: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定和扶持计</w:t>
            </w: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划</w:t>
            </w:r>
          </w:p>
        </w:tc>
        <w:tc>
          <w:tcPr>
            <w:tcW w:w="1248"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356"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电子不停车</w:t>
            </w:r>
          </w:p>
        </w:tc>
        <w:tc>
          <w:tcPr>
            <w:tcW w:w="1248" w:type="dxa"/>
            <w:tcBorders>
              <w:top w:val="single" w:sz="4" w:space="0" w:color="000000"/>
              <w:left w:val="single" w:sz="4" w:space="0" w:color="000000"/>
              <w:bottom w:val="nil" w:sz="6" w:space="0" w:color="auto"/>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收费技术</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4" w:right="7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ETC</w:t>
            </w:r>
            <w:r>
              <w:rPr>
                <w:rFonts w:ascii="宋体" w:hAnsi="宋体" w:cs="宋体" w:eastAsia="宋体" w:hint="default"/>
                <w:sz w:val="18"/>
                <w:szCs w:val="18"/>
              </w:rPr>
              <w:t>）标 准在东南亚</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地区应用研</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究</w:t>
            </w:r>
          </w:p>
        </w:tc>
        <w:tc>
          <w:tcPr>
            <w:tcW w:w="1248" w:type="dxa"/>
            <w:tcBorders>
              <w:top w:val="nil" w:sz="6" w:space="0" w:color="auto"/>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应用于联网</w:t>
            </w:r>
          </w:p>
        </w:tc>
        <w:tc>
          <w:tcPr>
            <w:tcW w:w="1248" w:type="dxa"/>
            <w:tcBorders>
              <w:top w:val="single" w:sz="4" w:space="0" w:color="000000"/>
              <w:left w:val="single" w:sz="4" w:space="0" w:color="000000"/>
              <w:bottom w:val="nil" w:sz="6" w:space="0" w:color="auto"/>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收费公路的</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4"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5.8G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多义性 路径识别系</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350,000.00</w:t>
            </w: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350,000.00</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统的研发及</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产业化</w:t>
            </w:r>
          </w:p>
        </w:tc>
        <w:tc>
          <w:tcPr>
            <w:tcW w:w="1248" w:type="dxa"/>
            <w:tcBorders>
              <w:top w:val="nil" w:sz="6" w:space="0" w:color="auto"/>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RFID</w:t>
            </w:r>
          </w:p>
        </w:tc>
        <w:tc>
          <w:tcPr>
            <w:tcW w:w="1248" w:type="dxa"/>
            <w:tcBorders>
              <w:top w:val="single" w:sz="4" w:space="0" w:color="000000"/>
              <w:left w:val="single" w:sz="4" w:space="0" w:color="000000"/>
              <w:bottom w:val="nil" w:sz="6" w:space="0" w:color="auto"/>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电子车牌的</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77"/>
              <w:jc w:val="left"/>
              <w:rPr>
                <w:rFonts w:ascii="宋体" w:hAnsi="宋体" w:cs="宋体" w:eastAsia="宋体" w:hint="default"/>
                <w:sz w:val="18"/>
                <w:szCs w:val="18"/>
              </w:rPr>
            </w:pPr>
            <w:r>
              <w:rPr>
                <w:rFonts w:ascii="宋体" w:hAnsi="宋体" w:cs="宋体" w:eastAsia="宋体" w:hint="default"/>
                <w:sz w:val="18"/>
                <w:szCs w:val="18"/>
              </w:rPr>
              <w:t>系统实现核 心设备技术</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1,500,000.00</w:t>
            </w: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研发及城市</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级应用示范</w:t>
            </w:r>
          </w:p>
        </w:tc>
        <w:tc>
          <w:tcPr>
            <w:tcW w:w="1248" w:type="dxa"/>
            <w:tcBorders>
              <w:top w:val="nil" w:sz="6" w:space="0" w:color="auto"/>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复杂环境下</w:t>
            </w:r>
          </w:p>
        </w:tc>
        <w:tc>
          <w:tcPr>
            <w:tcW w:w="1248" w:type="dxa"/>
            <w:tcBorders>
              <w:top w:val="single" w:sz="4" w:space="0" w:color="000000"/>
              <w:left w:val="single" w:sz="4" w:space="0" w:color="000000"/>
              <w:bottom w:val="nil" w:sz="6" w:space="0" w:color="auto"/>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一带一路</w:t>
            </w:r>
            <w:r>
              <w:rPr>
                <w:rFonts w:ascii="Times New Roman" w:hAnsi="Times New Roman" w:cs="Times New Roman" w:eastAsia="Times New Roman" w:hint="default"/>
                <w:sz w:val="18"/>
                <w:szCs w:val="18"/>
              </w:rPr>
              <w:t>"</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城市智能交</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通系统构建</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9"/>
              <w:jc w:val="right"/>
              <w:rPr>
                <w:rFonts w:ascii="Times New Roman" w:hAnsi="Times New Roman" w:cs="Times New Roman" w:eastAsia="Times New Roman" w:hint="default"/>
                <w:sz w:val="18"/>
                <w:szCs w:val="18"/>
              </w:rPr>
            </w:pPr>
            <w:r>
              <w:rPr>
                <w:rFonts w:ascii="Times New Roman"/>
                <w:spacing w:val="-1"/>
                <w:sz w:val="18"/>
              </w:rPr>
              <w:t>270,000.00</w:t>
            </w: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30,000.00</w:t>
            </w: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6"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技术系统集</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成与工程示</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范</w:t>
            </w:r>
          </w:p>
        </w:tc>
        <w:tc>
          <w:tcPr>
            <w:tcW w:w="1248" w:type="dxa"/>
            <w:tcBorders>
              <w:top w:val="nil" w:sz="6" w:space="0" w:color="auto"/>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智能车路协</w:t>
            </w:r>
          </w:p>
        </w:tc>
        <w:tc>
          <w:tcPr>
            <w:tcW w:w="1248" w:type="dxa"/>
            <w:tcBorders>
              <w:top w:val="single" w:sz="4" w:space="0" w:color="000000"/>
              <w:left w:val="single" w:sz="4" w:space="0" w:color="000000"/>
              <w:bottom w:val="nil" w:sz="6" w:space="0" w:color="auto"/>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同自动化测</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试关键技术</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7"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研究与应用</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示范</w:t>
            </w:r>
          </w:p>
        </w:tc>
        <w:tc>
          <w:tcPr>
            <w:tcW w:w="1248" w:type="dxa"/>
            <w:tcBorders>
              <w:top w:val="nil" w:sz="6" w:space="0" w:color="auto"/>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应急指挥与</w:t>
            </w:r>
          </w:p>
        </w:tc>
        <w:tc>
          <w:tcPr>
            <w:tcW w:w="1248"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623"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77"/>
              <w:jc w:val="left"/>
              <w:rPr>
                <w:rFonts w:ascii="宋体" w:hAnsi="宋体" w:cs="宋体" w:eastAsia="宋体" w:hint="default"/>
                <w:sz w:val="18"/>
                <w:szCs w:val="18"/>
              </w:rPr>
            </w:pPr>
            <w:r>
              <w:rPr>
                <w:rFonts w:ascii="宋体" w:hAnsi="宋体" w:cs="宋体" w:eastAsia="宋体" w:hint="default"/>
                <w:sz w:val="18"/>
                <w:szCs w:val="18"/>
              </w:rPr>
              <w:t>协调决策支 持系统开发</w:t>
            </w: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80,598.10</w:t>
            </w: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80,598.10</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与示范应用</w:t>
            </w:r>
          </w:p>
        </w:tc>
        <w:tc>
          <w:tcPr>
            <w:tcW w:w="1248"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102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车路协同</w:t>
            </w:r>
          </w:p>
          <w:p>
            <w:pPr>
              <w:pStyle w:val="TableParagraph"/>
              <w:spacing w:line="300" w:lineRule="auto" w:before="76"/>
              <w:ind w:left="24" w:right="7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V2X</w:t>
            </w:r>
            <w:r>
              <w:rPr>
                <w:rFonts w:ascii="宋体" w:hAnsi="宋体" w:cs="宋体" w:eastAsia="宋体" w:hint="default"/>
                <w:sz w:val="18"/>
                <w:szCs w:val="18"/>
              </w:rPr>
              <w:t>）标 准体系研究</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新兴交通形</w:t>
            </w:r>
          </w:p>
        </w:tc>
        <w:tc>
          <w:tcPr>
            <w:tcW w:w="1248" w:type="dxa"/>
            <w:vMerge w:val="restart"/>
            <w:tcBorders>
              <w:top w:val="single" w:sz="4" w:space="0" w:color="000000"/>
              <w:left w:val="single" w:sz="4" w:space="0" w:color="000000"/>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623"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77"/>
              <w:jc w:val="left"/>
              <w:rPr>
                <w:rFonts w:ascii="宋体" w:hAnsi="宋体" w:cs="宋体" w:eastAsia="宋体" w:hint="default"/>
                <w:sz w:val="18"/>
                <w:szCs w:val="18"/>
              </w:rPr>
            </w:pPr>
            <w:r>
              <w:rPr>
                <w:rFonts w:ascii="宋体" w:hAnsi="宋体" w:cs="宋体" w:eastAsia="宋体" w:hint="default"/>
                <w:sz w:val="18"/>
                <w:szCs w:val="18"/>
              </w:rPr>
              <w:t>态应用边界 与协同管控</w:t>
            </w:r>
          </w:p>
        </w:tc>
        <w:tc>
          <w:tcPr>
            <w:tcW w:w="1248" w:type="dxa"/>
            <w:vMerge/>
            <w:tcBorders>
              <w:left w:val="single" w:sz="4" w:space="0" w:color="000000"/>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145,000.00</w:t>
            </w: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145,000.00</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模式研究</w:t>
            </w:r>
          </w:p>
        </w:tc>
        <w:tc>
          <w:tcPr>
            <w:tcW w:w="1248" w:type="dxa"/>
            <w:vMerge/>
            <w:tcBorders>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356"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智慧城市综</w:t>
            </w:r>
          </w:p>
        </w:tc>
        <w:tc>
          <w:tcPr>
            <w:tcW w:w="1248" w:type="dxa"/>
            <w:tcBorders>
              <w:top w:val="single" w:sz="4" w:space="0" w:color="000000"/>
              <w:left w:val="single" w:sz="4" w:space="0" w:color="000000"/>
              <w:bottom w:val="nil" w:sz="6" w:space="0" w:color="auto"/>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77"/>
              <w:jc w:val="left"/>
              <w:rPr>
                <w:rFonts w:ascii="宋体" w:hAnsi="宋体" w:cs="宋体" w:eastAsia="宋体" w:hint="default"/>
                <w:sz w:val="18"/>
                <w:szCs w:val="18"/>
              </w:rPr>
            </w:pPr>
            <w:r>
              <w:rPr>
                <w:rFonts w:ascii="宋体" w:hAnsi="宋体" w:cs="宋体" w:eastAsia="宋体" w:hint="default"/>
                <w:sz w:val="18"/>
                <w:szCs w:val="18"/>
              </w:rPr>
              <w:t>合停车信息 云平台与解</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7"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决方案</w:t>
            </w:r>
          </w:p>
        </w:tc>
        <w:tc>
          <w:tcPr>
            <w:tcW w:w="1248" w:type="dxa"/>
            <w:tcBorders>
              <w:top w:val="nil" w:sz="6" w:space="0" w:color="auto"/>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智慧城市综</w:t>
            </w:r>
          </w:p>
        </w:tc>
        <w:tc>
          <w:tcPr>
            <w:tcW w:w="1248" w:type="dxa"/>
            <w:tcBorders>
              <w:top w:val="single" w:sz="4" w:space="0" w:color="000000"/>
              <w:left w:val="single" w:sz="4" w:space="0" w:color="000000"/>
              <w:bottom w:val="nil" w:sz="6" w:space="0" w:color="auto"/>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623"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77"/>
              <w:jc w:val="left"/>
              <w:rPr>
                <w:rFonts w:ascii="宋体" w:hAnsi="宋体" w:cs="宋体" w:eastAsia="宋体" w:hint="default"/>
                <w:sz w:val="18"/>
                <w:szCs w:val="18"/>
              </w:rPr>
            </w:pPr>
            <w:r>
              <w:rPr>
                <w:rFonts w:ascii="宋体" w:hAnsi="宋体" w:cs="宋体" w:eastAsia="宋体" w:hint="default"/>
                <w:sz w:val="18"/>
                <w:szCs w:val="18"/>
              </w:rPr>
              <w:t>合停车信息 云平台与解</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决方案</w:t>
            </w:r>
          </w:p>
        </w:tc>
        <w:tc>
          <w:tcPr>
            <w:tcW w:w="1248" w:type="dxa"/>
            <w:tcBorders>
              <w:top w:val="nil" w:sz="6" w:space="0" w:color="auto"/>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安全信息资</w:t>
            </w:r>
          </w:p>
        </w:tc>
        <w:tc>
          <w:tcPr>
            <w:tcW w:w="1248" w:type="dxa"/>
            <w:tcBorders>
              <w:top w:val="single" w:sz="4" w:space="0" w:color="000000"/>
              <w:left w:val="single" w:sz="4" w:space="0" w:color="000000"/>
              <w:bottom w:val="nil" w:sz="6" w:space="0" w:color="auto"/>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625"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4" w:right="77"/>
              <w:jc w:val="left"/>
              <w:rPr>
                <w:rFonts w:ascii="宋体" w:hAnsi="宋体" w:cs="宋体" w:eastAsia="宋体" w:hint="default"/>
                <w:sz w:val="18"/>
                <w:szCs w:val="18"/>
              </w:rPr>
            </w:pPr>
            <w:r>
              <w:rPr>
                <w:rFonts w:ascii="宋体" w:hAnsi="宋体" w:cs="宋体" w:eastAsia="宋体" w:hint="default"/>
                <w:sz w:val="18"/>
                <w:szCs w:val="18"/>
              </w:rPr>
              <w:t>源集中式监 控系统研发</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240,000.00</w:t>
            </w: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240,000.00</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与产业化</w:t>
            </w:r>
          </w:p>
        </w:tc>
        <w:tc>
          <w:tcPr>
            <w:tcW w:w="1248" w:type="dxa"/>
            <w:tcBorders>
              <w:top w:val="nil" w:sz="6" w:space="0" w:color="auto"/>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基于热舒适</w:t>
            </w:r>
          </w:p>
        </w:tc>
        <w:tc>
          <w:tcPr>
            <w:tcW w:w="1248" w:type="dxa"/>
            <w:tcBorders>
              <w:top w:val="single" w:sz="4" w:space="0" w:color="000000"/>
              <w:left w:val="single" w:sz="4" w:space="0" w:color="000000"/>
              <w:bottom w:val="nil" w:sz="6" w:space="0" w:color="auto"/>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1" w:type="dxa"/>
            <w:vMerge w:val="restart"/>
            <w:tcBorders>
              <w:top w:val="single" w:sz="4" w:space="0" w:color="000000"/>
              <w:left w:val="single" w:sz="4" w:space="0" w:color="000000"/>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的可度量空</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调节能监控</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9"/>
              <w:jc w:val="right"/>
              <w:rPr>
                <w:rFonts w:ascii="Times New Roman" w:hAnsi="Times New Roman" w:cs="Times New Roman" w:eastAsia="Times New Roman" w:hint="default"/>
                <w:sz w:val="18"/>
                <w:szCs w:val="18"/>
              </w:rPr>
            </w:pPr>
            <w:r>
              <w:rPr>
                <w:rFonts w:ascii="Times New Roman"/>
                <w:spacing w:val="-1"/>
                <w:sz w:val="18"/>
              </w:rPr>
              <w:t>153,200.00</w:t>
            </w: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9"/>
              <w:jc w:val="right"/>
              <w:rPr>
                <w:rFonts w:ascii="Times New Roman" w:hAnsi="Times New Roman" w:cs="Times New Roman" w:eastAsia="Times New Roman" w:hint="default"/>
                <w:sz w:val="18"/>
                <w:szCs w:val="18"/>
              </w:rPr>
            </w:pPr>
            <w:r>
              <w:rPr>
                <w:rFonts w:ascii="Times New Roman"/>
                <w:spacing w:val="-1"/>
                <w:sz w:val="18"/>
              </w:rPr>
              <w:t>153,200.00</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6"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系统研发及</w:t>
            </w:r>
          </w:p>
        </w:tc>
        <w:tc>
          <w:tcPr>
            <w:tcW w:w="1248" w:type="dxa"/>
            <w:tcBorders>
              <w:top w:val="nil" w:sz="6" w:space="0" w:color="auto"/>
              <w:left w:val="single" w:sz="4" w:space="0" w:color="000000"/>
              <w:bottom w:val="nil" w:sz="6" w:space="0" w:color="auto"/>
              <w:right w:val="single" w:sz="4" w:space="0" w:color="000000"/>
            </w:tcBorders>
          </w:tcPr>
          <w:p>
            <w:pPr/>
          </w:p>
        </w:tc>
        <w:tc>
          <w:tcPr>
            <w:tcW w:w="101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产业化</w:t>
            </w:r>
          </w:p>
        </w:tc>
        <w:tc>
          <w:tcPr>
            <w:tcW w:w="1248" w:type="dxa"/>
            <w:tcBorders>
              <w:top w:val="nil" w:sz="6" w:space="0" w:color="auto"/>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4"/>
              <w:jc w:val="right"/>
              <w:rPr>
                <w:rFonts w:ascii="宋体" w:hAnsi="宋体" w:cs="宋体" w:eastAsia="宋体" w:hint="default"/>
                <w:sz w:val="18"/>
                <w:szCs w:val="18"/>
              </w:rPr>
            </w:pPr>
            <w:r>
              <w:rPr>
                <w:rFonts w:ascii="宋体" w:hAnsi="宋体" w:cs="宋体" w:eastAsia="宋体" w:hint="default"/>
                <w:sz w:val="18"/>
                <w:szCs w:val="18"/>
              </w:rPr>
              <w:t>小</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9,515,001.77</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4,445,598.10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5,689,325.26</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8,271,274.61</w:t>
            </w:r>
          </w:p>
        </w:tc>
        <w:tc>
          <w:tcPr>
            <w:tcW w:w="101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9854"/>
        <w:jc w:val="left"/>
      </w:pPr>
      <w:r>
        <w:rPr/>
        <w:t>其他说明： 无</w:t>
      </w:r>
    </w:p>
    <w:p>
      <w:pPr>
        <w:spacing w:line="240" w:lineRule="auto" w:before="5"/>
        <w:rPr>
          <w:rFonts w:ascii="宋体" w:hAnsi="宋体" w:cs="宋体" w:eastAsia="宋体" w:hint="default"/>
          <w:sz w:val="15"/>
          <w:szCs w:val="15"/>
        </w:rPr>
      </w:pPr>
    </w:p>
    <w:p>
      <w:pPr>
        <w:pStyle w:val="Heading4"/>
        <w:spacing w:line="240" w:lineRule="auto"/>
        <w:ind w:right="967"/>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7"/>
        <w:gridCol w:w="1196"/>
      </w:tblGrid>
      <w:tr>
        <w:trPr>
          <w:trHeight w:val="401" w:hRule="exact"/>
        </w:trPr>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117,800,000.00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2,718,161.00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2,718,161.00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120,518,161.00</w:t>
            </w:r>
          </w:p>
        </w:tc>
      </w:tr>
    </w:tbl>
    <w:p>
      <w:pPr>
        <w:pStyle w:val="BodyText"/>
        <w:spacing w:line="360" w:lineRule="auto" w:before="49"/>
        <w:ind w:left="369" w:right="967" w:hanging="217"/>
        <w:jc w:val="left"/>
      </w:pPr>
      <w:r>
        <w:rPr/>
        <w:t>其他说明： </w:t>
      </w:r>
      <w:r>
        <w:rPr>
          <w:spacing w:val="-1"/>
        </w:rPr>
        <w:t>本期增加系发行限制性股票</w:t>
      </w:r>
      <w:r>
        <w:rPr>
          <w:rFonts w:ascii="宋体" w:hAnsi="宋体" w:cs="宋体" w:eastAsia="宋体" w:hint="default"/>
          <w:spacing w:val="-1"/>
        </w:rPr>
        <w:t>2,718,161</w:t>
      </w:r>
      <w:r>
        <w:rPr>
          <w:spacing w:val="-1"/>
        </w:rPr>
        <w:t>股。根据公司第二届董事会第三十二次、三十三次会议和</w:t>
      </w:r>
      <w:r>
        <w:rPr>
          <w:rFonts w:ascii="宋体" w:hAnsi="宋体" w:cs="宋体" w:eastAsia="宋体" w:hint="default"/>
          <w:spacing w:val="-1"/>
        </w:rPr>
        <w:t>2019</w:t>
      </w:r>
      <w:r>
        <w:rPr>
          <w:spacing w:val="-1"/>
        </w:rPr>
        <w:t>年第三次临时股东大</w:t>
      </w:r>
    </w:p>
    <w:p>
      <w:pPr>
        <w:pStyle w:val="BodyText"/>
        <w:spacing w:line="222" w:lineRule="exact"/>
        <w:ind w:right="967"/>
        <w:jc w:val="left"/>
        <w:rPr>
          <w:rFonts w:ascii="宋体" w:hAnsi="宋体" w:cs="宋体" w:eastAsia="宋体" w:hint="default"/>
        </w:rPr>
      </w:pPr>
      <w:r>
        <w:rPr/>
        <w:t>会决议</w:t>
      </w:r>
      <w:r>
        <w:rPr>
          <w:spacing w:val="-89"/>
        </w:rPr>
        <w:t>，</w:t>
      </w:r>
      <w:r>
        <w:rPr/>
        <w:t>公司向任职的高级管理人员</w:t>
      </w:r>
      <w:r>
        <w:rPr>
          <w:spacing w:val="-89"/>
        </w:rPr>
        <w:t>、</w:t>
      </w:r>
      <w:r>
        <w:rPr/>
        <w:t>核心骨干员工等激励对象授予限制性股票</w:t>
      </w:r>
      <w:r>
        <w:rPr>
          <w:spacing w:val="-89"/>
        </w:rPr>
        <w:t>，</w:t>
      </w:r>
      <w:r>
        <w:rPr/>
        <w:t>其中</w:t>
      </w:r>
      <w:r>
        <w:rPr>
          <w:spacing w:val="-89"/>
        </w:rPr>
        <w:t>，</w:t>
      </w:r>
      <w:r>
        <w:rPr/>
        <w:t>首次</w:t>
      </w:r>
      <w:r>
        <w:rPr>
          <w:spacing w:val="2"/>
        </w:rPr>
        <w:t>授</w:t>
      </w:r>
      <w:r>
        <w:rPr/>
        <w:t>予限制性股票份额</w:t>
      </w:r>
      <w:r>
        <w:rPr>
          <w:spacing w:val="2"/>
        </w:rPr>
        <w:t>为</w:t>
      </w:r>
      <w:r>
        <w:rPr>
          <w:rFonts w:ascii="宋体" w:hAnsi="宋体" w:cs="宋体" w:eastAsia="宋体" w:hint="default"/>
          <w:spacing w:val="1"/>
        </w:rPr>
        <w:t>2,</w:t>
      </w:r>
      <w:r>
        <w:rPr>
          <w:rFonts w:ascii="宋体" w:hAnsi="宋体" w:cs="宋体" w:eastAsia="宋体" w:hint="default"/>
          <w:spacing w:val="-2"/>
        </w:rPr>
        <w:t>7</w:t>
      </w:r>
      <w:r>
        <w:rPr>
          <w:rFonts w:ascii="宋体" w:hAnsi="宋体" w:cs="宋体" w:eastAsia="宋体" w:hint="default"/>
          <w:spacing w:val="1"/>
        </w:rPr>
        <w:t>1</w:t>
      </w:r>
      <w:r>
        <w:rPr>
          <w:rFonts w:ascii="宋体" w:hAnsi="宋体" w:cs="宋体" w:eastAsia="宋体" w:hint="default"/>
          <w:spacing w:val="-2"/>
        </w:rPr>
        <w:t>8</w:t>
      </w:r>
      <w:r>
        <w:rPr>
          <w:rFonts w:ascii="宋体" w:hAnsi="宋体" w:cs="宋体" w:eastAsia="宋体" w:hint="default"/>
          <w:spacing w:val="1"/>
        </w:rPr>
        <w:t>,</w:t>
      </w:r>
      <w:r>
        <w:rPr>
          <w:rFonts w:ascii="宋体" w:hAnsi="宋体" w:cs="宋体" w:eastAsia="宋体" w:hint="default"/>
          <w:spacing w:val="-2"/>
        </w:rPr>
        <w:t>1</w:t>
      </w:r>
      <w:r>
        <w:rPr>
          <w:rFonts w:ascii="宋体" w:hAnsi="宋体" w:cs="宋体" w:eastAsia="宋体" w:hint="default"/>
          <w:spacing w:val="1"/>
        </w:rPr>
        <w:t>6</w:t>
      </w:r>
      <w:r>
        <w:rPr>
          <w:rFonts w:ascii="宋体" w:hAnsi="宋体" w:cs="宋体" w:eastAsia="宋体" w:hint="default"/>
        </w:rPr>
        <w:t>1</w:t>
      </w:r>
    </w:p>
    <w:p>
      <w:pPr>
        <w:pStyle w:val="BodyText"/>
        <w:spacing w:line="316" w:lineRule="auto" w:before="76"/>
        <w:ind w:right="1132"/>
        <w:jc w:val="left"/>
      </w:pPr>
      <w:r>
        <w:rPr>
          <w:spacing w:val="-2"/>
        </w:rPr>
        <w:t>股，每股面值</w:t>
      </w:r>
      <w:r>
        <w:rPr>
          <w:rFonts w:ascii="宋体" w:hAnsi="宋体" w:cs="宋体" w:eastAsia="宋体" w:hint="default"/>
          <w:spacing w:val="-2"/>
        </w:rPr>
        <w:t>1</w:t>
      </w:r>
      <w:r>
        <w:rPr>
          <w:spacing w:val="-2"/>
        </w:rPr>
        <w:t>元，每股发行价格为人民币</w:t>
      </w:r>
      <w:r>
        <w:rPr>
          <w:rFonts w:ascii="宋体" w:hAnsi="宋体" w:cs="宋体" w:eastAsia="宋体" w:hint="default"/>
          <w:spacing w:val="-2"/>
        </w:rPr>
        <w:t>21.64</w:t>
      </w:r>
      <w:r>
        <w:rPr>
          <w:spacing w:val="-2"/>
        </w:rPr>
        <w:t>元。本次增资业经天健会计师事务所（特殊普通合伙）审验，并出具《验资</w:t>
      </w:r>
      <w:r>
        <w:rPr>
          <w:spacing w:val="-67"/>
        </w:rPr>
        <w:t> </w:t>
      </w:r>
      <w:r>
        <w:rPr>
          <w:spacing w:val="-67"/>
        </w:rPr>
      </w:r>
      <w:r>
        <w:rPr/>
        <w:t>报告》</w:t>
      </w:r>
      <w:r>
        <w:rPr>
          <w:rFonts w:ascii="宋体" w:hAnsi="宋体" w:cs="宋体" w:eastAsia="宋体" w:hint="default"/>
        </w:rPr>
        <w:t>(</w:t>
      </w:r>
      <w:r>
        <w:rPr/>
        <w:t>天健验〔</w:t>
      </w:r>
      <w:r>
        <w:rPr>
          <w:rFonts w:ascii="宋体" w:hAnsi="宋体" w:cs="宋体" w:eastAsia="宋体" w:hint="default"/>
        </w:rPr>
        <w:t>2019</w:t>
      </w:r>
      <w:r>
        <w:rPr/>
        <w:t>〕</w:t>
      </w:r>
      <w:r>
        <w:rPr>
          <w:rFonts w:ascii="宋体" w:hAnsi="宋体" w:cs="宋体" w:eastAsia="宋体" w:hint="default"/>
        </w:rPr>
        <w:t>3-43</w:t>
      </w:r>
      <w:r>
        <w:rPr/>
        <w:t>号</w:t>
      </w:r>
      <w:r>
        <w:rPr>
          <w:rFonts w:ascii="宋体" w:hAnsi="宋体" w:cs="宋体" w:eastAsia="宋体" w:hint="default"/>
        </w:rPr>
        <w:t>)</w:t>
      </w:r>
      <w:r>
        <w:rPr/>
        <w:t>。</w:t>
      </w:r>
    </w:p>
    <w:p>
      <w:pPr>
        <w:spacing w:line="240" w:lineRule="auto" w:before="9"/>
        <w:rPr>
          <w:rFonts w:ascii="宋体" w:hAnsi="宋体" w:cs="宋体" w:eastAsia="宋体" w:hint="default"/>
          <w:sz w:val="17"/>
          <w:szCs w:val="17"/>
        </w:rPr>
      </w:pPr>
    </w:p>
    <w:p>
      <w:pPr>
        <w:pStyle w:val="Heading4"/>
        <w:spacing w:line="240" w:lineRule="auto"/>
        <w:ind w:right="967"/>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335" w:lineRule="exact"/>
        <w:ind w:right="967"/>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630,153,882.82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56,102,843.04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686,256,725.86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25,508,011.18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25,508,011.18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630,153,882.82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81,610,854.22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711,764,737.04</w:t>
            </w:r>
          </w:p>
        </w:tc>
      </w:tr>
    </w:tbl>
    <w:p>
      <w:pPr>
        <w:pStyle w:val="BodyText"/>
        <w:spacing w:line="360" w:lineRule="auto" w:before="49"/>
        <w:ind w:left="513" w:right="1123" w:hanging="361"/>
        <w:jc w:val="left"/>
      </w:pPr>
      <w:r>
        <w:rPr/>
        <w:t>其他说明，包括本期增减变动情况、变动原因说明： 本期增加系发行限制性股票</w:t>
      </w:r>
      <w:r>
        <w:rPr>
          <w:rFonts w:ascii="宋体" w:hAnsi="宋体" w:cs="宋体" w:eastAsia="宋体" w:hint="default"/>
        </w:rPr>
        <w:t>2,718,161</w:t>
      </w:r>
      <w:r>
        <w:rPr/>
        <w:t>股所产生的股本溢价</w:t>
      </w:r>
      <w:r>
        <w:rPr>
          <w:rFonts w:ascii="宋体" w:hAnsi="宋体" w:cs="宋体" w:eastAsia="宋体" w:hint="default"/>
        </w:rPr>
        <w:t>56,102,843.04</w:t>
      </w:r>
      <w:r>
        <w:rPr/>
        <w:t>元，同时在等待期内的每个资产负债表日</w:t>
      </w:r>
      <w:r>
        <w:rPr>
          <w:rFonts w:ascii="宋体" w:hAnsi="宋体" w:cs="宋体" w:eastAsia="宋体" w:hint="default"/>
        </w:rPr>
        <w:t>,</w:t>
      </w:r>
      <w:r>
        <w:rPr/>
        <w:t>以</w:t>
      </w:r>
    </w:p>
    <w:p>
      <w:pPr>
        <w:pStyle w:val="BodyText"/>
        <w:spacing w:line="223" w:lineRule="exact"/>
        <w:ind w:right="967"/>
        <w:jc w:val="left"/>
      </w:pPr>
      <w:r>
        <w:rPr>
          <w:spacing w:val="11"/>
        </w:rPr>
        <w:t>对可行权权益工具数量的最佳估计为基础</w:t>
      </w:r>
      <w:r>
        <w:rPr>
          <w:rFonts w:ascii="宋体" w:hAnsi="宋体" w:cs="宋体" w:eastAsia="宋体" w:hint="default"/>
          <w:spacing w:val="11"/>
        </w:rPr>
        <w:t>,</w:t>
      </w:r>
      <w:r>
        <w:rPr>
          <w:spacing w:val="11"/>
        </w:rPr>
        <w:t>按照权益工具在授予日的公允价值</w:t>
      </w:r>
      <w:r>
        <w:rPr>
          <w:rFonts w:ascii="宋体" w:hAnsi="宋体" w:cs="宋体" w:eastAsia="宋体" w:hint="default"/>
          <w:spacing w:val="11"/>
        </w:rPr>
        <w:t>,</w:t>
      </w:r>
      <w:r>
        <w:rPr>
          <w:spacing w:val="11"/>
        </w:rPr>
        <w:t>将当期取得的服务计入其他资本公积</w:t>
      </w:r>
    </w:p>
    <w:p>
      <w:pPr>
        <w:pStyle w:val="BodyText"/>
        <w:spacing w:line="240" w:lineRule="auto" w:before="76"/>
        <w:ind w:right="967"/>
        <w:jc w:val="left"/>
      </w:pPr>
      <w:r>
        <w:rPr>
          <w:rFonts w:ascii="宋体" w:hAnsi="宋体" w:cs="宋体" w:eastAsia="宋体" w:hint="default"/>
        </w:rPr>
        <w:t>25,508,011.18</w:t>
      </w:r>
      <w:r>
        <w:rPr/>
        <w:t>元。</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58,821,004.04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58,821,004.04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58,821,004.04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58,821,004.04</w:t>
            </w:r>
          </w:p>
        </w:tc>
      </w:tr>
    </w:tbl>
    <w:p>
      <w:pPr>
        <w:pStyle w:val="BodyText"/>
        <w:spacing w:line="357" w:lineRule="auto" w:before="49"/>
        <w:ind w:left="441" w:right="3850" w:hanging="289"/>
        <w:jc w:val="left"/>
      </w:pPr>
      <w:r>
        <w:rPr/>
        <w:t>其他说明，包括本期增减变动情况、变动原因说明： 本期增加系未达到股权激励行权条件而负有回购义务的限制性股票</w:t>
      </w:r>
      <w:r>
        <w:rPr>
          <w:rFonts w:ascii="Times New Roman" w:hAnsi="Times New Roman" w:cs="Times New Roman" w:eastAsia="Times New Roman" w:hint="default"/>
        </w:rPr>
        <w:t>58,821,004.04</w:t>
      </w:r>
      <w:r>
        <w:rPr/>
        <w:t>元。</w:t>
      </w:r>
    </w:p>
    <w:p>
      <w:pPr>
        <w:spacing w:line="240" w:lineRule="auto" w:before="8"/>
        <w:rPr>
          <w:rFonts w:ascii="宋体" w:hAnsi="宋体" w:cs="宋体" w:eastAsia="宋体" w:hint="default"/>
          <w:sz w:val="13"/>
          <w:szCs w:val="13"/>
        </w:rPr>
      </w:pPr>
    </w:p>
    <w:p>
      <w:pPr>
        <w:pStyle w:val="Heading4"/>
        <w:spacing w:line="240" w:lineRule="auto"/>
        <w:ind w:right="967"/>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2"/>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45,041,370.17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13,548,507.25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58,589,877.42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45,041,370.17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13,548,507.25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58,589,877.42</w:t>
            </w:r>
          </w:p>
        </w:tc>
      </w:tr>
    </w:tbl>
    <w:p>
      <w:pPr>
        <w:pStyle w:val="BodyText"/>
        <w:spacing w:line="357" w:lineRule="auto" w:before="49"/>
        <w:ind w:left="513" w:right="967" w:hanging="361"/>
        <w:jc w:val="left"/>
      </w:pPr>
      <w:r>
        <w:rPr/>
        <w:t>盈余公积说明，包括本期增减变动情况、变动原因说明： </w:t>
      </w:r>
      <w:r>
        <w:rPr>
          <w:spacing w:val="-2"/>
        </w:rPr>
        <w:t>根据公司章程规定，法定盈余公积已达到母公司注册资本</w:t>
      </w:r>
      <w:r>
        <w:rPr>
          <w:rFonts w:ascii="Times New Roman" w:hAnsi="Times New Roman" w:cs="Times New Roman" w:eastAsia="Times New Roman" w:hint="default"/>
          <w:spacing w:val="-2"/>
        </w:rPr>
        <w:t>50%</w:t>
      </w:r>
      <w:r>
        <w:rPr>
          <w:spacing w:val="-2"/>
        </w:rPr>
        <w:t>时可不再提取，本期增加系按公司章程提取法定盈余公积</w:t>
      </w:r>
    </w:p>
    <w:p>
      <w:pPr>
        <w:pStyle w:val="BodyText"/>
        <w:spacing w:line="214" w:lineRule="exact"/>
        <w:ind w:right="967"/>
        <w:jc w:val="left"/>
      </w:pPr>
      <w:r>
        <w:rPr>
          <w:rFonts w:ascii="Times New Roman" w:hAnsi="Times New Roman" w:cs="Times New Roman" w:eastAsia="Times New Roman" w:hint="default"/>
        </w:rPr>
        <w:t>13,548,507.25</w:t>
      </w:r>
      <w:r>
        <w:rPr/>
        <w:t>元，期末数未达到母公司注册资本</w:t>
      </w:r>
      <w:r>
        <w:rPr>
          <w:rFonts w:ascii="Times New Roman" w:hAnsi="Times New Roman" w:cs="Times New Roman" w:eastAsia="Times New Roman" w:hint="default"/>
        </w:rPr>
        <w:t>50%</w:t>
      </w:r>
      <w:r>
        <w:rPr/>
        <w:t>系以前年度减持子公司股份而抵销的盈余公积所致。</w:t>
      </w:r>
    </w:p>
    <w:p>
      <w:pPr>
        <w:spacing w:after="0" w:line="214" w:lineRule="exact"/>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335" w:lineRule="exact"/>
        <w:ind w:right="967"/>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6"/>
        <w:gridCol w:w="2924"/>
        <w:gridCol w:w="2919"/>
      </w:tblGrid>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215,954,034.77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231,672,160.26</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215,954,034.77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231,672,160.26</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875,264,934.64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21,649,120.59</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13,548,507.25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2,027,246.08</w:t>
            </w:r>
          </w:p>
        </w:tc>
      </w:tr>
      <w:tr>
        <w:trPr>
          <w:trHeight w:val="404"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7,068,000.00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35,340,000.00</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1,070,602,462.16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215,954,034.77</w:t>
            </w:r>
          </w:p>
        </w:tc>
      </w:tr>
    </w:tbl>
    <w:p>
      <w:pPr>
        <w:pStyle w:val="BodyText"/>
        <w:spacing w:line="240" w:lineRule="auto" w:before="49"/>
        <w:ind w:right="967"/>
        <w:jc w:val="left"/>
      </w:pPr>
      <w:r>
        <w:rPr/>
        <w:t>调整期初未分配利润明细：</w:t>
      </w:r>
    </w:p>
    <w:p>
      <w:pPr>
        <w:pStyle w:val="BodyText"/>
        <w:spacing w:line="240" w:lineRule="auto" w:before="117"/>
        <w:ind w:right="967"/>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967"/>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967"/>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967"/>
        <w:jc w:val="left"/>
      </w:pPr>
      <w:r>
        <w:rPr>
          <w:rFonts w:ascii="Times New Roman" w:hAnsi="Times New Roman" w:cs="Times New Roman" w:eastAsia="Times New Roman" w:hint="default"/>
        </w:rPr>
        <w:t>4)</w:t>
      </w:r>
      <w:r>
        <w:rPr/>
        <w:t>、由于同一控制导致的合并范围变更，影响期初未分配利润</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967"/>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
        <w:rPr>
          <w:rFonts w:ascii="宋体" w:hAnsi="宋体" w:cs="宋体" w:eastAsia="宋体" w:hint="default"/>
          <w:sz w:val="21"/>
          <w:szCs w:val="21"/>
        </w:rPr>
      </w:pPr>
    </w:p>
    <w:p>
      <w:pPr>
        <w:pStyle w:val="Heading4"/>
        <w:spacing w:line="240" w:lineRule="auto"/>
        <w:ind w:right="967"/>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2,845,283,780.80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1,482,585,383.32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598,626,359.01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371,350,814.68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14,872,155.59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8,639,192.18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5,431,708.83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805,456.96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2,860,155,936.39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1,491,224,575.50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604,058,067.84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372,156,271.64</w:t>
            </w:r>
          </w:p>
        </w:tc>
      </w:tr>
    </w:tbl>
    <w:p>
      <w:pPr>
        <w:pStyle w:val="BodyText"/>
        <w:spacing w:line="240" w:lineRule="auto" w:before="49"/>
        <w:ind w:right="967"/>
        <w:jc w:val="left"/>
      </w:pPr>
      <w:r>
        <w:rPr/>
        <w:t>是否已执行新收入准则</w:t>
      </w:r>
    </w:p>
    <w:p>
      <w:pPr>
        <w:pStyle w:val="BodyText"/>
        <w:spacing w:line="348" w:lineRule="auto" w:before="118"/>
        <w:ind w:right="98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其他说明 无</w:t>
      </w:r>
    </w:p>
    <w:p>
      <w:pPr>
        <w:spacing w:line="240" w:lineRule="auto" w:before="12"/>
        <w:rPr>
          <w:rFonts w:ascii="宋体" w:hAnsi="宋体" w:cs="宋体" w:eastAsia="宋体" w:hint="default"/>
          <w:sz w:val="15"/>
          <w:szCs w:val="15"/>
        </w:rPr>
      </w:pPr>
    </w:p>
    <w:p>
      <w:pPr>
        <w:pStyle w:val="Heading4"/>
        <w:spacing w:line="240" w:lineRule="auto"/>
        <w:ind w:right="967"/>
        <w:jc w:val="left"/>
        <w:rPr>
          <w:b w:val="0"/>
          <w:bCs w:val="0"/>
        </w:rPr>
      </w:pPr>
      <w:r>
        <w:rPr>
          <w:rFonts w:ascii="Times New Roman" w:hAnsi="Times New Roman" w:cs="Times New Roman" w:eastAsia="Times New Roman" w:hint="default"/>
        </w:rPr>
        <w:t>62</w:t>
      </w:r>
      <w:r>
        <w:rPr/>
        <w:t>、税金及附加</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21,417,970.68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2,798,726.87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9,179,130.32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1,199,454.39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1,068,109.86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233,814.00</w:t>
            </w:r>
          </w:p>
        </w:tc>
      </w:tr>
    </w:tbl>
    <w:p>
      <w:pPr>
        <w:spacing w:after="0" w:line="240" w:lineRule="auto"/>
        <w:jc w:val="right"/>
        <w:rPr>
          <w:rFonts w:ascii="Times New Roman" w:hAnsi="Times New Roman" w:cs="Times New Roman" w:eastAsia="Times New Roman" w:hint="default"/>
          <w:sz w:val="18"/>
          <w:szCs w:val="18"/>
        </w:rPr>
        <w:sectPr>
          <w:footerReference w:type="default" r:id="rId38"/>
          <w:pgSz w:w="11910" w:h="16840"/>
          <w:pgMar w:footer="979" w:header="877"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320,213.12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343,683.08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1,657,653.79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474,417.35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6,119,419.69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799,636.76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17,453.61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17,312.29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39,779,951.07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5,867,044.74</w:t>
            </w:r>
          </w:p>
        </w:tc>
      </w:tr>
    </w:tbl>
    <w:p>
      <w:pPr>
        <w:pStyle w:val="BodyText"/>
        <w:spacing w:line="357" w:lineRule="auto" w:before="49"/>
        <w:ind w:right="9854"/>
        <w:jc w:val="left"/>
      </w:pPr>
      <w:r>
        <w:rPr/>
        <w:t>其他说明： 无</w:t>
      </w:r>
    </w:p>
    <w:p>
      <w:pPr>
        <w:spacing w:line="240" w:lineRule="auto" w:before="5"/>
        <w:rPr>
          <w:rFonts w:ascii="宋体" w:hAnsi="宋体" w:cs="宋体" w:eastAsia="宋体" w:hint="default"/>
          <w:sz w:val="15"/>
          <w:szCs w:val="15"/>
        </w:rPr>
      </w:pPr>
    </w:p>
    <w:p>
      <w:pPr>
        <w:pStyle w:val="Heading4"/>
        <w:spacing w:line="240" w:lineRule="auto"/>
        <w:ind w:right="967"/>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54,902,881.84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38,976,892.50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售后服务费用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22,969,059.04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14,822,465.84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2,277,224.49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4,802,837.91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9,494,024.37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4,025,595.44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2,318,296.37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3,390,487.26</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3,087,354.17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2,789,212.92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7,745,015.73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4,000,582.74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8,262,156.03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5,897,869.07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18,436,445.27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2,043,145.05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招标服务费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2,402,697.59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810,700.85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限制性股票激励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5,962,829.80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3,404,957.69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2,768,050.53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141,262,942.39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84,327,840.11</w:t>
            </w:r>
          </w:p>
        </w:tc>
      </w:tr>
    </w:tbl>
    <w:p>
      <w:pPr>
        <w:pStyle w:val="BodyText"/>
        <w:spacing w:line="360" w:lineRule="auto" w:before="49"/>
        <w:ind w:right="9854"/>
        <w:jc w:val="left"/>
      </w:pPr>
      <w:r>
        <w:rPr/>
        <w:t>其他说明： 无</w:t>
      </w:r>
    </w:p>
    <w:p>
      <w:pPr>
        <w:spacing w:line="240" w:lineRule="auto" w:before="3"/>
        <w:rPr>
          <w:rFonts w:ascii="宋体" w:hAnsi="宋体" w:cs="宋体" w:eastAsia="宋体" w:hint="default"/>
          <w:sz w:val="15"/>
          <w:szCs w:val="15"/>
        </w:rPr>
      </w:pPr>
    </w:p>
    <w:p>
      <w:pPr>
        <w:pStyle w:val="Heading4"/>
        <w:spacing w:line="240" w:lineRule="auto"/>
        <w:ind w:right="967"/>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50,171,713.69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27,533,735.54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3,885,072.36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2,670,037.95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场地服务及租金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23,316,012.18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24,405,597.56</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8,314,989.41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5,021,906.42</w:t>
            </w:r>
          </w:p>
        </w:tc>
      </w:tr>
    </w:tbl>
    <w:p>
      <w:pPr>
        <w:spacing w:after="0" w:line="240" w:lineRule="auto"/>
        <w:jc w:val="right"/>
        <w:rPr>
          <w:rFonts w:ascii="Times New Roman" w:hAnsi="Times New Roman" w:cs="Times New Roman" w:eastAsia="Times New Roman" w:hint="default"/>
          <w:sz w:val="18"/>
          <w:szCs w:val="18"/>
        </w:rPr>
        <w:sectPr>
          <w:footerReference w:type="default" r:id="rId39"/>
          <w:pgSz w:w="11910" w:h="16840"/>
          <w:pgMar w:footer="979" w:header="877" w:top="1100" w:bottom="1160" w:left="980" w:right="0"/>
          <w:pgNumType w:start="201"/>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9,082,904.36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3,843,402.05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装修费摊销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5,100,747.24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2,038,933.83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2,431,066.38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1,807,329.16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2,314,659.01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1,958,496.29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限制性股票激励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7,915,833.29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2,716,068.72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1,657,331.83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115,249,066.64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70,936,770.63</w:t>
            </w:r>
          </w:p>
        </w:tc>
      </w:tr>
    </w:tbl>
    <w:p>
      <w:pPr>
        <w:pStyle w:val="BodyText"/>
        <w:spacing w:line="357" w:lineRule="auto" w:before="49"/>
        <w:ind w:right="9854"/>
        <w:jc w:val="left"/>
      </w:pPr>
      <w:r>
        <w:rPr/>
        <w:t>其他说明： 无</w:t>
      </w:r>
    </w:p>
    <w:p>
      <w:pPr>
        <w:spacing w:line="240" w:lineRule="auto" w:before="5"/>
        <w:rPr>
          <w:rFonts w:ascii="宋体" w:hAnsi="宋体" w:cs="宋体" w:eastAsia="宋体" w:hint="default"/>
          <w:sz w:val="15"/>
          <w:szCs w:val="15"/>
        </w:rPr>
      </w:pPr>
    </w:p>
    <w:p>
      <w:pPr>
        <w:pStyle w:val="Heading4"/>
        <w:spacing w:line="240" w:lineRule="auto"/>
        <w:ind w:right="967"/>
        <w:jc w:val="left"/>
        <w:rPr>
          <w:b w:val="0"/>
          <w:bCs w:val="0"/>
        </w:rPr>
      </w:pPr>
      <w:r>
        <w:rPr>
          <w:rFonts w:ascii="Times New Roman" w:hAnsi="Times New Roman" w:cs="Times New Roman" w:eastAsia="Times New Roman" w:hint="default"/>
        </w:rPr>
        <w:t>65</w:t>
      </w:r>
      <w:r>
        <w:rPr/>
        <w:t>、研发费用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100,683,953.90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73,280,083.65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100,683,953.90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73,280,083.65</w:t>
            </w:r>
          </w:p>
        </w:tc>
      </w:tr>
    </w:tbl>
    <w:p>
      <w:pPr>
        <w:pStyle w:val="BodyText"/>
        <w:spacing w:line="357" w:lineRule="auto" w:before="49"/>
        <w:ind w:right="9854"/>
        <w:jc w:val="left"/>
      </w:pPr>
      <w:r>
        <w:rPr/>
        <w:t>其他说明： 无</w:t>
      </w:r>
    </w:p>
    <w:p>
      <w:pPr>
        <w:spacing w:line="240" w:lineRule="auto" w:before="5"/>
        <w:rPr>
          <w:rFonts w:ascii="宋体" w:hAnsi="宋体" w:cs="宋体" w:eastAsia="宋体" w:hint="default"/>
          <w:sz w:val="15"/>
          <w:szCs w:val="15"/>
        </w:rPr>
      </w:pPr>
    </w:p>
    <w:p>
      <w:pPr>
        <w:pStyle w:val="Heading4"/>
        <w:spacing w:line="240" w:lineRule="auto"/>
        <w:ind w:right="967"/>
        <w:jc w:val="left"/>
        <w:rPr>
          <w:b w:val="0"/>
          <w:bCs w:val="0"/>
        </w:rPr>
      </w:pPr>
      <w:r>
        <w:rPr>
          <w:rFonts w:ascii="Times New Roman" w:hAnsi="Times New Roman" w:cs="Times New Roman" w:eastAsia="Times New Roman" w:hint="default"/>
        </w:rPr>
        <w:t>66</w:t>
      </w:r>
      <w:r>
        <w:rPr/>
        <w:t>、财务费用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10,313,363.67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7,073,777.00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现金折扣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-7,075,390.25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559,117.12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158,267.89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-15,548.69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-16,828,747.21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-6,931,057.80</w:t>
            </w:r>
          </w:p>
        </w:tc>
      </w:tr>
    </w:tbl>
    <w:p>
      <w:pPr>
        <w:pStyle w:val="BodyText"/>
        <w:spacing w:line="357" w:lineRule="auto" w:before="49"/>
        <w:ind w:right="9854"/>
        <w:jc w:val="left"/>
      </w:pPr>
      <w:r>
        <w:rPr/>
        <w:t>其他说明： 无</w:t>
      </w:r>
    </w:p>
    <w:p>
      <w:pPr>
        <w:spacing w:line="240" w:lineRule="auto" w:before="5"/>
        <w:rPr>
          <w:rFonts w:ascii="宋体" w:hAnsi="宋体" w:cs="宋体" w:eastAsia="宋体" w:hint="default"/>
          <w:sz w:val="15"/>
          <w:szCs w:val="15"/>
        </w:rPr>
      </w:pPr>
    </w:p>
    <w:p>
      <w:pPr>
        <w:pStyle w:val="Heading4"/>
        <w:spacing w:line="240" w:lineRule="auto"/>
        <w:ind w:right="967"/>
        <w:jc w:val="left"/>
        <w:rPr>
          <w:b w:val="0"/>
          <w:bCs w:val="0"/>
        </w:rPr>
      </w:pPr>
      <w:r>
        <w:rPr>
          <w:rFonts w:ascii="Times New Roman" w:hAnsi="Times New Roman" w:cs="Times New Roman" w:eastAsia="Times New Roman" w:hint="default"/>
        </w:rPr>
        <w:t>67</w:t>
      </w:r>
      <w:r>
        <w:rPr/>
        <w:t>、其他收益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软件退税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46,101,234.92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8,082,274.25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面向城市智慧交通物联网应用的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DSRC</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设备研发及产业化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3,571,622.31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4,245,089.11</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智慧城市综合停车收费管理与信息服务 系统研发与示范应用</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2,400,000.00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深圳市经济贸易和信息化委员会</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 两化融合第三批资助款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2,370,000.00</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城市综合停车收费管理与信息服务应用 示范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83,629.05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2,054,939.46</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面向实时交通信息服务的车路通信网络 管理与信息挖掘平台</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深圳市市场和质量监督管理委员会省强 化知识产权专项资金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面向智慧交通的车联网高安全性内容保 障技术研究与核心产品研发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16,466.94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494,700.08</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深圳市南山区科学技术局国内外发明专 利支持计划款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356,000.00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深圳市智慧交通车联网工程技术研究开 发中心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250,447.60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350,507.88</w:t>
            </w:r>
          </w:p>
        </w:tc>
      </w:tr>
      <w:tr>
        <w:trPr>
          <w:trHeight w:val="71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深圳市南山区科学技术局科技奖励支持 计划款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无锡太湖管委会关于无锡智能交通产业 园示范性项目补助款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深圳市市场和质量监督管理委员会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年第二批专利资助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167,000.00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深圳市南山区科学技术局知识产权示范 企业与认证奖励支持计划款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71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26"/>
              <w:jc w:val="left"/>
              <w:rPr>
                <w:rFonts w:ascii="宋体" w:hAnsi="宋体" w:cs="宋体" w:eastAsia="宋体" w:hint="default"/>
                <w:sz w:val="18"/>
                <w:szCs w:val="18"/>
              </w:rPr>
            </w:pPr>
            <w:r>
              <w:rPr>
                <w:rFonts w:ascii="宋体" w:hAnsi="宋体" w:cs="宋体" w:eastAsia="宋体" w:hint="default"/>
                <w:sz w:val="18"/>
                <w:szCs w:val="18"/>
              </w:rPr>
              <w:t>深圳市南山区人力资源局</w:t>
            </w:r>
            <w:r>
              <w:rPr>
                <w:rFonts w:ascii="Times New Roman" w:hAnsi="Times New Roman" w:cs="Times New Roman" w:eastAsia="Times New Roman" w:hint="default"/>
                <w:sz w:val="18"/>
                <w:szCs w:val="18"/>
              </w:rPr>
              <w:t>"</w:t>
            </w:r>
            <w:r>
              <w:rPr>
                <w:rFonts w:ascii="宋体" w:hAnsi="宋体" w:cs="宋体" w:eastAsia="宋体" w:hint="default"/>
                <w:sz w:val="18"/>
                <w:szCs w:val="18"/>
              </w:rPr>
              <w:t>南山伯乐奖</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奖励项目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深圳市经济贸易和信息化委员会军民融 合专项资金第二批资助资金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南山区科学技术局国家高新技术企业倍 增支持计划项目专项资金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深圳市经济贸易和信息化委员会军民融 合专项资金第一批资助资金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97,739.25</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DSRC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的智能交通车联网多功能车 载智能终端研发及示范应用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48,280.83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95,942.28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基于无线感知技术的道路停车管理与服 务前端系统研发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30,653.18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59,734.32</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35"/>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电子车牌的系统实现核心设 备技术研发及城市级应用示范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1,634,461.61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53,686.61</w:t>
            </w:r>
          </w:p>
        </w:tc>
      </w:tr>
      <w:tr>
        <w:trPr>
          <w:trHeight w:val="102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基于专用短程通信</w:t>
            </w:r>
            <w:r>
              <w:rPr>
                <w:rFonts w:ascii="Times New Roman" w:hAnsi="Times New Roman" w:cs="Times New Roman" w:eastAsia="Times New Roman" w:hint="default"/>
                <w:sz w:val="18"/>
                <w:szCs w:val="18"/>
              </w:rPr>
              <w:t>(DSRC)</w:t>
            </w:r>
            <w:r>
              <w:rPr>
                <w:rFonts w:ascii="宋体" w:hAnsi="宋体" w:cs="宋体" w:eastAsia="宋体" w:hint="default"/>
                <w:sz w:val="18"/>
                <w:szCs w:val="18"/>
              </w:rPr>
              <w:t>技术的电子车 牌证多车道自由流关键技术研究与核心 设备研发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25,435.55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49,566.54</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深圳市南山区科学技术局</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年国家企 业高新技术企业认定奖补</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深圳市智慧安防行业协会</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年南非展 补助款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28,080.00</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深圳市南山区科学技术局国内有效发明 专利年费奖励支持计划款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应用于联网收费公路的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5.8G</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多义性路径 识别系统的研发及产业化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18,461.52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9,230.77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新型车联网通信技术工程研究中心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9,866.67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深圳市市场和质量监督管理委员会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年第二批计算机软件著作权资助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6,300.00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国内外发明专利支持计划</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6,000.00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深圳市科技创新委员会</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年深圳市企 业研究开发资助计划</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2,729,000.00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深圳市南山区工业和信息化局</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年南 山区自主创新产业发展专项资金资助款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深圳市工业和信息化局</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年技术改造 倍增专项质量品牌双提升扶持计划资助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深圳市南山区科学技术局</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年企业研 发投入支持计划</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深圳市科技创新委员会</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年深圳市企 业研究开发资助计划</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深圳市市场和质量监督管理委员会第二 十届中国专利奖配套奖励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深圳市南山区经济促进局</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年第一季 度稳增长资助项目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216,600.00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深圳市南山区经济促进局国家两化融合 管理体系评定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深圳市南山区经济促进局奖励金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深圳市南山区经济促进局</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年稳增长 资助项目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深圳市南山区科学技术局</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年企业研 发投入支持计划</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123,600.00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深圳市市场监督管理局第十九届中国专 利奖配套奖励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深圳市市场和质量监督管理委员会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年深圳市第一批专利申请资助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深圳市商务局</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年中央支持外贸中小 企业开拓市场资助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58,836.06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社保局的失业稳岗补贴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44,359.75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深圳市市场和质量监督管理委员会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年深圳市第一批境外商标注册资助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39,700.00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深圳市市场和质量监督管理委员会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年第一批境外商标注册资助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深圳市市场和质量监督管理委员会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年第二批专利资助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代扣个人所得税手续费返还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417,861.88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60,418,517.87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23,188,790.55</w:t>
            </w:r>
          </w:p>
        </w:tc>
      </w:tr>
    </w:tbl>
    <w:p>
      <w:pPr>
        <w:spacing w:line="240" w:lineRule="auto" w:before="10"/>
        <w:rPr>
          <w:rFonts w:ascii="Times New Roman" w:hAnsi="Times New Roman" w:cs="Times New Roman" w:eastAsia="Times New Roman" w:hint="default"/>
          <w:sz w:val="21"/>
          <w:szCs w:val="21"/>
        </w:rPr>
      </w:pPr>
    </w:p>
    <w:p>
      <w:pPr>
        <w:pStyle w:val="Heading4"/>
        <w:spacing w:line="335" w:lineRule="exact"/>
        <w:ind w:right="967"/>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2"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1,267,694.89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379,610.55</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购买理财产品取得的投资收益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4,472,054.80</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处置金融工具取得的投资收益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8,630,474.90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9,898,169.79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4,851,665.35</w:t>
            </w:r>
          </w:p>
        </w:tc>
      </w:tr>
    </w:tbl>
    <w:p>
      <w:pPr>
        <w:pStyle w:val="BodyText"/>
        <w:spacing w:line="357" w:lineRule="auto" w:before="49"/>
        <w:ind w:right="9854"/>
        <w:jc w:val="left"/>
      </w:pPr>
      <w:r>
        <w:rPr/>
        <w:t>其他说明： 无</w:t>
      </w:r>
    </w:p>
    <w:p>
      <w:pPr>
        <w:spacing w:line="240" w:lineRule="auto" w:before="5"/>
        <w:rPr>
          <w:rFonts w:ascii="宋体" w:hAnsi="宋体" w:cs="宋体" w:eastAsia="宋体" w:hint="default"/>
          <w:sz w:val="15"/>
          <w:szCs w:val="15"/>
        </w:rPr>
      </w:pPr>
    </w:p>
    <w:p>
      <w:pPr>
        <w:pStyle w:val="Heading4"/>
        <w:spacing w:line="240" w:lineRule="auto"/>
        <w:ind w:right="967"/>
        <w:jc w:val="left"/>
        <w:rPr>
          <w:b w:val="0"/>
          <w:bCs w:val="0"/>
        </w:rPr>
      </w:pPr>
      <w:r>
        <w:rPr>
          <w:rFonts w:ascii="Times New Roman" w:hAnsi="Times New Roman" w:cs="Times New Roman" w:eastAsia="Times New Roman" w:hint="default"/>
        </w:rPr>
        <w:t>69</w:t>
      </w:r>
      <w:r>
        <w:rPr/>
        <w:t>、净敞口套期收益</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70</w:t>
      </w:r>
      <w:r>
        <w:rPr/>
        <w:t>、公允价值变动收益</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71</w:t>
      </w:r>
      <w:r>
        <w:rPr/>
        <w:t>、信用减值损失</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-2,133,578.64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-27,771,920.29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应收票据坏账损失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-384,320.50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-30,289,819.43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967"/>
        <w:jc w:val="left"/>
      </w:pPr>
      <w:r>
        <w:rPr/>
        <w:t>其他说明：</w:t>
      </w:r>
    </w:p>
    <w:p>
      <w:pPr>
        <w:pStyle w:val="BodyText"/>
        <w:spacing w:line="300" w:lineRule="auto" w:before="115"/>
        <w:ind w:right="1040" w:firstLine="432"/>
        <w:jc w:val="left"/>
      </w:pPr>
      <w:r>
        <w:rPr>
          <w:spacing w:val="-1"/>
        </w:rPr>
        <w:t>根据新金融工具准则的要求，本期将所持有的金融资产减值计入</w:t>
      </w:r>
      <w:r>
        <w:rPr>
          <w:rFonts w:ascii="Times New Roman" w:hAnsi="Times New Roman" w:cs="Times New Roman" w:eastAsia="Times New Roman" w:hint="default"/>
          <w:spacing w:val="-1"/>
        </w:rPr>
        <w:t>“</w:t>
      </w:r>
      <w:r>
        <w:rPr>
          <w:spacing w:val="-1"/>
        </w:rPr>
        <w:t>信用减值损失</w:t>
      </w:r>
      <w:r>
        <w:rPr>
          <w:rFonts w:ascii="Times New Roman" w:hAnsi="Times New Roman" w:cs="Times New Roman" w:eastAsia="Times New Roman" w:hint="default"/>
          <w:spacing w:val="-1"/>
        </w:rPr>
        <w:t>”</w:t>
      </w:r>
      <w:r>
        <w:rPr>
          <w:spacing w:val="-1"/>
        </w:rPr>
        <w:t>，上年同期在</w:t>
      </w:r>
      <w:r>
        <w:rPr>
          <w:rFonts w:ascii="Times New Roman" w:hAnsi="Times New Roman" w:cs="Times New Roman" w:eastAsia="Times New Roman" w:hint="default"/>
          <w:spacing w:val="-1"/>
        </w:rPr>
        <w:t>“</w:t>
      </w:r>
      <w:r>
        <w:rPr>
          <w:spacing w:val="-1"/>
        </w:rPr>
        <w:t>资产减值损失</w:t>
      </w:r>
      <w:r>
        <w:rPr>
          <w:rFonts w:ascii="Times New Roman" w:hAnsi="Times New Roman" w:cs="Times New Roman" w:eastAsia="Times New Roman" w:hint="default"/>
          <w:spacing w:val="-1"/>
        </w:rPr>
        <w:t>”</w:t>
      </w:r>
      <w:r>
        <w:rPr>
          <w:spacing w:val="-1"/>
        </w:rPr>
        <w:t>下列示，</w:t>
      </w:r>
      <w:r>
        <w:rPr/>
        <w:t> </w:t>
      </w:r>
      <w:r>
        <w:rPr>
          <w:spacing w:val="-2"/>
        </w:rPr>
        <w:t>故上年同期其他应收账款坏账损失、应收账款坏账损失和应收票据坏账损失合计金额为</w:t>
      </w:r>
      <w:r>
        <w:rPr>
          <w:rFonts w:ascii="Times New Roman" w:hAnsi="Times New Roman" w:cs="Times New Roman" w:eastAsia="Times New Roman" w:hint="default"/>
          <w:spacing w:val="-2"/>
        </w:rPr>
        <w:t>-10,188,897.06</w:t>
      </w:r>
      <w:r>
        <w:rPr>
          <w:spacing w:val="-2"/>
        </w:rPr>
        <w:t>元，在</w:t>
      </w:r>
      <w:r>
        <w:rPr>
          <w:rFonts w:ascii="Times New Roman" w:hAnsi="Times New Roman" w:cs="Times New Roman" w:eastAsia="Times New Roman" w:hint="default"/>
          <w:spacing w:val="-2"/>
        </w:rPr>
        <w:t>“</w:t>
      </w:r>
      <w:r>
        <w:rPr>
          <w:spacing w:val="-2"/>
        </w:rPr>
        <w:t>资产减值损失</w:t>
      </w:r>
      <w:r>
        <w:rPr>
          <w:rFonts w:ascii="Times New Roman" w:hAnsi="Times New Roman" w:cs="Times New Roman" w:eastAsia="Times New Roman" w:hint="default"/>
          <w:spacing w:val="-2"/>
        </w:rPr>
        <w:t>”</w:t>
      </w:r>
      <w:r>
        <w:rPr>
          <w:rFonts w:ascii="Times New Roman" w:hAnsi="Times New Roman" w:cs="Times New Roman" w:eastAsia="Times New Roman" w:hint="default"/>
        </w:rPr>
        <w:t> </w:t>
      </w:r>
      <w:r>
        <w:rPr/>
        <w:t>下列示。</w:t>
      </w:r>
    </w:p>
    <w:p>
      <w:pPr>
        <w:spacing w:line="240" w:lineRule="auto" w:before="9"/>
        <w:rPr>
          <w:rFonts w:ascii="宋体" w:hAnsi="宋体" w:cs="宋体" w:eastAsia="宋体" w:hint="default"/>
          <w:sz w:val="18"/>
          <w:szCs w:val="18"/>
        </w:rPr>
      </w:pPr>
    </w:p>
    <w:p>
      <w:pPr>
        <w:pStyle w:val="Heading4"/>
        <w:spacing w:line="240" w:lineRule="auto"/>
        <w:ind w:right="967"/>
        <w:jc w:val="left"/>
        <w:rPr>
          <w:b w:val="0"/>
          <w:bCs w:val="0"/>
        </w:rPr>
      </w:pPr>
      <w:r>
        <w:rPr>
          <w:rFonts w:ascii="Times New Roman" w:hAnsi="Times New Roman" w:cs="Times New Roman" w:eastAsia="Times New Roman" w:hint="default"/>
        </w:rPr>
        <w:t>72</w:t>
      </w:r>
      <w:r>
        <w:rPr/>
        <w:t>、资产减值损失</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877" w:footer="979" w:top="1100" w:bottom="116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-10,188,897.06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-9,099,990.75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-6,529,270.75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-9,099,990.75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-16,718,167.81</w:t>
            </w:r>
          </w:p>
        </w:tc>
      </w:tr>
    </w:tbl>
    <w:p>
      <w:pPr>
        <w:pStyle w:val="BodyText"/>
        <w:spacing w:line="240" w:lineRule="auto" w:before="49"/>
        <w:ind w:right="967"/>
        <w:jc w:val="left"/>
      </w:pPr>
      <w:r>
        <w:rPr/>
        <w:t>其他说明：</w:t>
      </w:r>
    </w:p>
    <w:p>
      <w:pPr>
        <w:pStyle w:val="BodyText"/>
        <w:spacing w:line="300" w:lineRule="auto" w:before="115"/>
        <w:ind w:right="1147" w:firstLine="432"/>
        <w:jc w:val="left"/>
      </w:pPr>
      <w:r>
        <w:rPr/>
        <w:t>根据新金融工具准则的要求，本期将所持有的金融资产减值计入</w:t>
      </w:r>
      <w:r>
        <w:rPr>
          <w:rFonts w:ascii="Times New Roman" w:hAnsi="Times New Roman" w:cs="Times New Roman" w:eastAsia="Times New Roman" w:hint="default"/>
        </w:rPr>
        <w:t>“</w:t>
      </w:r>
      <w:r>
        <w:rPr/>
        <w:t>信用减值损失</w:t>
      </w:r>
      <w:r>
        <w:rPr>
          <w:rFonts w:ascii="Times New Roman" w:hAnsi="Times New Roman" w:cs="Times New Roman" w:eastAsia="Times New Roman" w:hint="default"/>
        </w:rPr>
        <w:t>”</w:t>
      </w:r>
      <w:r>
        <w:rPr/>
        <w:t>，故本期坏账损失</w:t>
      </w:r>
      <w:r>
        <w:rPr>
          <w:rFonts w:ascii="Times New Roman" w:hAnsi="Times New Roman" w:cs="Times New Roman" w:eastAsia="Times New Roman" w:hint="default"/>
        </w:rPr>
        <w:t>-30,289,819.43</w:t>
      </w:r>
      <w:r>
        <w:rPr/>
        <w:t>元计</w:t>
      </w:r>
      <w:r>
        <w:rPr>
          <w:spacing w:val="-3"/>
        </w:rPr>
        <w:t> </w:t>
      </w:r>
      <w:r>
        <w:rPr/>
        <w:t>入</w:t>
      </w:r>
      <w:r>
        <w:rPr>
          <w:rFonts w:ascii="Times New Roman" w:hAnsi="Times New Roman" w:cs="Times New Roman" w:eastAsia="Times New Roman" w:hint="default"/>
        </w:rPr>
        <w:t>“</w:t>
      </w:r>
      <w:r>
        <w:rPr/>
        <w:t>信用减值损失</w:t>
      </w:r>
      <w:r>
        <w:rPr>
          <w:rFonts w:ascii="Times New Roman" w:hAnsi="Times New Roman" w:cs="Times New Roman" w:eastAsia="Times New Roman" w:hint="default"/>
        </w:rPr>
        <w:t>”</w:t>
      </w:r>
      <w:r>
        <w:rPr/>
        <w:t>，上年同期在</w:t>
      </w:r>
      <w:r>
        <w:rPr>
          <w:rFonts w:ascii="Times New Roman" w:hAnsi="Times New Roman" w:cs="Times New Roman" w:eastAsia="Times New Roman" w:hint="default"/>
        </w:rPr>
        <w:t>“</w:t>
      </w:r>
      <w:r>
        <w:rPr/>
        <w:t>资产减值损失</w:t>
      </w:r>
      <w:r>
        <w:rPr>
          <w:rFonts w:ascii="Times New Roman" w:hAnsi="Times New Roman" w:cs="Times New Roman" w:eastAsia="Times New Roman" w:hint="default"/>
        </w:rPr>
        <w:t>”</w:t>
      </w:r>
      <w:r>
        <w:rPr/>
        <w:t>下列示。</w:t>
      </w:r>
    </w:p>
    <w:p>
      <w:pPr>
        <w:spacing w:line="240" w:lineRule="auto" w:before="3"/>
        <w:rPr>
          <w:rFonts w:ascii="宋体" w:hAnsi="宋体" w:cs="宋体" w:eastAsia="宋体" w:hint="default"/>
          <w:sz w:val="17"/>
          <w:szCs w:val="17"/>
        </w:rPr>
      </w:pPr>
    </w:p>
    <w:p>
      <w:pPr>
        <w:pStyle w:val="Heading4"/>
        <w:spacing w:line="240" w:lineRule="auto"/>
        <w:ind w:right="967"/>
        <w:jc w:val="left"/>
        <w:rPr>
          <w:b w:val="0"/>
          <w:bCs w:val="0"/>
        </w:rPr>
      </w:pPr>
      <w:r>
        <w:rPr>
          <w:rFonts w:ascii="Times New Roman" w:hAnsi="Times New Roman" w:cs="Times New Roman" w:eastAsia="Times New Roman" w:hint="default"/>
        </w:rPr>
        <w:t>73</w:t>
      </w:r>
      <w:r>
        <w:rPr/>
        <w:t>、资产处置收益</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19,667.96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rFonts w:ascii="Times New Roman" w:hAnsi="Times New Roman" w:cs="Times New Roman" w:eastAsia="Times New Roman" w:hint="default"/>
        </w:rPr>
        <w:t>74</w:t>
      </w:r>
      <w:r>
        <w:rPr/>
        <w:t>、营业外收入</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486.43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both"/>
              <w:rPr>
                <w:rFonts w:ascii="宋体" w:hAnsi="宋体" w:cs="宋体" w:eastAsia="宋体" w:hint="default"/>
                <w:sz w:val="18"/>
                <w:szCs w:val="18"/>
              </w:rPr>
            </w:pPr>
            <w:r>
              <w:rPr>
                <w:rFonts w:ascii="宋体" w:hAnsi="宋体" w:cs="宋体" w:eastAsia="宋体" w:hint="default"/>
                <w:sz w:val="18"/>
                <w:szCs w:val="18"/>
              </w:rPr>
              <w:t>取得联营企业投资成本小于 取得投资时应享有被投资单 位可辨认净资产公允价值产 生的收益</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17,062.47</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违约金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1,311,917.58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601,070.97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1,311,917.58</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无法支付款项</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85.28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w w:val="95"/>
                <w:sz w:val="18"/>
              </w:rPr>
              <w:t>38,802.11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61,566.89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38,802.11</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1,350,719.69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680,272.04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1,350,719.69</w:t>
            </w:r>
          </w:p>
        </w:tc>
      </w:tr>
    </w:tbl>
    <w:p>
      <w:pPr>
        <w:pStyle w:val="BodyText"/>
        <w:spacing w:line="357" w:lineRule="auto" w:before="49"/>
        <w:ind w:right="9854"/>
        <w:jc w:val="left"/>
      </w:pPr>
      <w:r>
        <w:rPr/>
        <w:t>其他说明： 无</w:t>
      </w:r>
    </w:p>
    <w:p>
      <w:pPr>
        <w:spacing w:line="240" w:lineRule="auto" w:before="5"/>
        <w:rPr>
          <w:rFonts w:ascii="宋体" w:hAnsi="宋体" w:cs="宋体" w:eastAsia="宋体" w:hint="default"/>
          <w:sz w:val="15"/>
          <w:szCs w:val="15"/>
        </w:rPr>
      </w:pPr>
    </w:p>
    <w:p>
      <w:pPr>
        <w:pStyle w:val="Heading4"/>
        <w:spacing w:line="240" w:lineRule="auto"/>
        <w:ind w:right="967"/>
        <w:jc w:val="left"/>
        <w:rPr>
          <w:b w:val="0"/>
          <w:bCs w:val="0"/>
        </w:rPr>
      </w:pPr>
      <w:r>
        <w:rPr>
          <w:rFonts w:ascii="Times New Roman" w:hAnsi="Times New Roman" w:cs="Times New Roman" w:eastAsia="Times New Roman" w:hint="default"/>
        </w:rPr>
        <w:t>75</w:t>
      </w:r>
      <w:r>
        <w:rPr/>
        <w:t>、营业外支出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220,000.00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罚款及滞纳金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27,930.24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27,930.24</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49,840.92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13,641.73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49,840.92</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赔偿款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2,513,059.36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2,513,059.36</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85,577.76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1,801.42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85,577.76</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2,896,408.28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295,443.15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2,896,408.28</w:t>
            </w:r>
          </w:p>
        </w:tc>
      </w:tr>
    </w:tbl>
    <w:p>
      <w:pPr>
        <w:pStyle w:val="BodyText"/>
        <w:spacing w:line="360" w:lineRule="auto" w:before="49"/>
        <w:ind w:right="9854"/>
        <w:jc w:val="left"/>
      </w:pPr>
      <w:r>
        <w:rPr/>
        <w:t>其他说明： 无</w:t>
      </w:r>
    </w:p>
    <w:p>
      <w:pPr>
        <w:spacing w:line="240" w:lineRule="auto" w:before="3"/>
        <w:rPr>
          <w:rFonts w:ascii="宋体" w:hAnsi="宋体" w:cs="宋体" w:eastAsia="宋体" w:hint="default"/>
          <w:sz w:val="15"/>
          <w:szCs w:val="15"/>
        </w:rPr>
      </w:pPr>
    </w:p>
    <w:p>
      <w:pPr>
        <w:pStyle w:val="Heading4"/>
        <w:spacing w:line="240" w:lineRule="auto"/>
        <w:ind w:right="967"/>
        <w:jc w:val="left"/>
        <w:rPr>
          <w:b w:val="0"/>
          <w:bCs w:val="0"/>
        </w:rPr>
      </w:pPr>
      <w:r>
        <w:rPr>
          <w:rFonts w:ascii="Times New Roman" w:hAnsi="Times New Roman" w:cs="Times New Roman" w:eastAsia="Times New Roman" w:hint="default"/>
        </w:rPr>
        <w:t>76</w:t>
      </w:r>
      <w:r>
        <w:rPr/>
        <w:t>、所得税费用</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4"/>
        <w:spacing w:line="240" w:lineRule="auto"/>
        <w:ind w:right="967"/>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154,456,567.47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350,193.72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-8,953,840.41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-831,814.96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145,502,727.06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-481,621.24</w:t>
            </w: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396"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1,018,185,050.95</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152,727,757.64</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-2,220,791.93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4,434.50</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626,937.00</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-1,265,378.02</w:t>
            </w:r>
          </w:p>
        </w:tc>
      </w:tr>
      <w:tr>
        <w:trPr>
          <w:trHeight w:val="714"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4,772,115.41</w:t>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研发费用加计扣除的影响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-8,993,580.91</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-148,766.63</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145,502,727.06</w:t>
            </w:r>
          </w:p>
        </w:tc>
      </w:tr>
    </w:tbl>
    <w:p>
      <w:pPr>
        <w:pStyle w:val="BodyText"/>
        <w:spacing w:line="357" w:lineRule="auto" w:before="49"/>
        <w:ind w:right="10034"/>
        <w:jc w:val="left"/>
      </w:pPr>
      <w:r>
        <w:rPr/>
        <w:t>其他说明 无</w:t>
      </w:r>
    </w:p>
    <w:p>
      <w:pPr>
        <w:spacing w:line="240" w:lineRule="auto" w:before="5"/>
        <w:rPr>
          <w:rFonts w:ascii="宋体" w:hAnsi="宋体" w:cs="宋体" w:eastAsia="宋体" w:hint="default"/>
          <w:sz w:val="15"/>
          <w:szCs w:val="15"/>
        </w:rPr>
      </w:pPr>
    </w:p>
    <w:p>
      <w:pPr>
        <w:spacing w:line="482" w:lineRule="auto" w:before="0"/>
        <w:ind w:left="152" w:right="886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77</w:t>
      </w:r>
      <w:r>
        <w:rPr>
          <w:rFonts w:ascii="Microsoft JhengHei" w:hAnsi="Microsoft JhengHei" w:cs="Microsoft JhengHei" w:eastAsia="Microsoft JhengHei" w:hint="default"/>
          <w:b/>
          <w:bCs/>
          <w:sz w:val="21"/>
          <w:szCs w:val="21"/>
        </w:rPr>
        <w:t>、其他综合收益</w:t>
      </w:r>
      <w:r>
        <w:rPr>
          <w:rFonts w:ascii="Microsoft JhengHei" w:hAnsi="Microsoft JhengHei" w:cs="Microsoft JhengHei" w:eastAsia="Microsoft JhengHei" w:hint="default"/>
          <w:b/>
          <w:bCs/>
          <w:spacing w:val="-45"/>
          <w:sz w:val="21"/>
          <w:szCs w:val="21"/>
        </w:rPr>
        <w:t> </w:t>
      </w:r>
      <w:r>
        <w:rPr>
          <w:rFonts w:ascii="宋体" w:hAnsi="宋体" w:cs="宋体" w:eastAsia="宋体" w:hint="default"/>
          <w:sz w:val="18"/>
          <w:szCs w:val="18"/>
        </w:rPr>
        <w:t>详见附注七、</w:t>
      </w:r>
      <w:r>
        <w:rPr>
          <w:rFonts w:ascii="Times New Roman" w:hAnsi="Times New Roman" w:cs="Times New Roman" w:eastAsia="Times New Roman" w:hint="default"/>
          <w:sz w:val="18"/>
          <w:szCs w:val="18"/>
        </w:rPr>
        <w:t>57</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78</w:t>
      </w:r>
      <w:r>
        <w:rPr>
          <w:rFonts w:ascii="Microsoft JhengHei" w:hAnsi="Microsoft JhengHei" w:cs="Microsoft JhengHei" w:eastAsia="Microsoft JhengHei" w:hint="default"/>
          <w:b/>
          <w:bCs/>
          <w:sz w:val="21"/>
          <w:szCs w:val="21"/>
        </w:rPr>
        <w:t>、现金流量表项目</w:t>
      </w:r>
      <w:r>
        <w:rPr>
          <w:rFonts w:ascii="Microsoft JhengHei" w:hAnsi="Microsoft JhengHei" w:cs="Microsoft JhengHei" w:eastAsia="Microsoft JhengHei" w:hint="default"/>
          <w:sz w:val="21"/>
          <w:szCs w:val="21"/>
        </w:rPr>
      </w:r>
    </w:p>
    <w:p>
      <w:pPr>
        <w:pStyle w:val="Heading4"/>
        <w:spacing w:line="332" w:lineRule="exact"/>
        <w:ind w:right="967"/>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12,655,693.91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5,023,119.25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收回银行承兑汇票保证金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12,718,829.05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10,313,363.67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7,073,777.00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675,718.56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1,003,938.56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2,180,351.76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2,955,271.41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38,543,956.95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16,056,106.22</w:t>
            </w:r>
          </w:p>
        </w:tc>
      </w:tr>
    </w:tbl>
    <w:p>
      <w:pPr>
        <w:pStyle w:val="BodyText"/>
        <w:spacing w:line="357" w:lineRule="auto" w:before="49"/>
        <w:ind w:right="7514"/>
        <w:jc w:val="left"/>
      </w:pPr>
      <w:r>
        <w:rPr/>
        <w:t>收到的其他与经营活动有关的现金说明： 无</w:t>
      </w:r>
    </w:p>
    <w:p>
      <w:pPr>
        <w:spacing w:line="240" w:lineRule="auto" w:before="5"/>
        <w:rPr>
          <w:rFonts w:ascii="宋体" w:hAnsi="宋体" w:cs="宋体" w:eastAsia="宋体" w:hint="default"/>
          <w:sz w:val="15"/>
          <w:szCs w:val="15"/>
        </w:rPr>
      </w:pPr>
    </w:p>
    <w:p>
      <w:pPr>
        <w:pStyle w:val="Heading4"/>
        <w:spacing w:line="240" w:lineRule="auto"/>
        <w:ind w:right="967"/>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153,052,831.82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99,562,935.35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支付银行承兑汇票保证金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12,221,213.37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41,796.92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其他及往来款项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2,327,477.33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444,051.03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167,821,522.52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100,328,783.30</w:t>
            </w:r>
          </w:p>
        </w:tc>
      </w:tr>
    </w:tbl>
    <w:p>
      <w:pPr>
        <w:pStyle w:val="BodyText"/>
        <w:spacing w:line="357" w:lineRule="auto" w:before="49"/>
        <w:ind w:right="7514"/>
        <w:jc w:val="left"/>
      </w:pPr>
      <w:r>
        <w:rPr/>
        <w:t>支付的其他与经营活动有关的现金说明： 无</w:t>
      </w:r>
    </w:p>
    <w:p>
      <w:pPr>
        <w:spacing w:line="240" w:lineRule="auto" w:before="5"/>
        <w:rPr>
          <w:rFonts w:ascii="宋体" w:hAnsi="宋体" w:cs="宋体" w:eastAsia="宋体" w:hint="default"/>
          <w:sz w:val="15"/>
          <w:szCs w:val="15"/>
        </w:rPr>
      </w:pPr>
    </w:p>
    <w:p>
      <w:pPr>
        <w:pStyle w:val="Heading4"/>
        <w:spacing w:line="240" w:lineRule="auto"/>
        <w:ind w:right="967"/>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445,000,000.00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4,472,054.80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449,472,054.80</w:t>
            </w:r>
          </w:p>
        </w:tc>
      </w:tr>
    </w:tbl>
    <w:p>
      <w:pPr>
        <w:pStyle w:val="BodyText"/>
        <w:spacing w:line="360" w:lineRule="auto" w:before="49"/>
        <w:ind w:right="7514"/>
        <w:jc w:val="left"/>
      </w:pPr>
      <w:r>
        <w:rPr/>
        <w:t>收到的其他与投资活动有关的现金说明： 无</w:t>
      </w:r>
    </w:p>
    <w:p>
      <w:pPr>
        <w:spacing w:line="240" w:lineRule="auto" w:before="3"/>
        <w:rPr>
          <w:rFonts w:ascii="宋体" w:hAnsi="宋体" w:cs="宋体" w:eastAsia="宋体" w:hint="default"/>
          <w:sz w:val="15"/>
          <w:szCs w:val="15"/>
        </w:rPr>
      </w:pPr>
    </w:p>
    <w:p>
      <w:pPr>
        <w:pStyle w:val="Heading4"/>
        <w:spacing w:line="240" w:lineRule="auto"/>
        <w:ind w:right="967"/>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440,000,000.00</w:t>
            </w:r>
          </w:p>
        </w:tc>
      </w:tr>
    </w:tbl>
    <w:p>
      <w:pPr>
        <w:pStyle w:val="BodyText"/>
        <w:spacing w:line="357" w:lineRule="auto" w:before="49"/>
        <w:ind w:right="7514"/>
        <w:jc w:val="left"/>
      </w:pPr>
      <w:r>
        <w:rPr/>
        <w:t>支付的其他与投资活动有关的现金说明： 无</w:t>
      </w:r>
    </w:p>
    <w:p>
      <w:pPr>
        <w:spacing w:line="240" w:lineRule="auto" w:before="5"/>
        <w:rPr>
          <w:rFonts w:ascii="宋体" w:hAnsi="宋体" w:cs="宋体" w:eastAsia="宋体" w:hint="default"/>
          <w:sz w:val="15"/>
          <w:szCs w:val="15"/>
        </w:rPr>
      </w:pPr>
    </w:p>
    <w:p>
      <w:pPr>
        <w:pStyle w:val="Heading4"/>
        <w:spacing w:line="240" w:lineRule="auto"/>
        <w:ind w:right="967"/>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79</w:t>
      </w:r>
      <w:r>
        <w:rPr/>
        <w:t>、现金流量表补充资料</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967"/>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872,682,323.89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16,609,853.09</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39,389,810.18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16,718,167.81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r>
        <w:rPr/>
        <w:pict>
          <v:shape style="position:absolute;margin-left:190.100006pt;margin-top:295.72998pt;width:185.6pt;height:19.6pt;mso-position-horizontal-relative:page;mso-position-vertical-relative:page;z-index:-1530880" type="#_x0000_t202" filled="false" stroked="false">
            <v:textbox inset="0,0,0,0">
              <w:txbxContent>
                <w:p>
                  <w:pPr>
                    <w:pStyle w:val="BodyText"/>
                    <w:spacing w:line="240" w:lineRule="auto" w:before="49"/>
                    <w:ind w:left="0" w:right="0"/>
                    <w:jc w:val="left"/>
                  </w:pPr>
                  <w:r>
                    <w:rPr/>
                    <w:t>号填列）</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720"/>
              <w:jc w:val="left"/>
              <w:rPr>
                <w:rFonts w:ascii="宋体" w:hAnsi="宋体" w:cs="宋体" w:eastAsia="宋体" w:hint="default"/>
                <w:sz w:val="18"/>
                <w:szCs w:val="18"/>
              </w:rPr>
            </w:pPr>
            <w:r>
              <w:rPr>
                <w:rFonts w:ascii="宋体" w:hAnsi="宋体" w:cs="宋体" w:eastAsia="宋体" w:hint="default"/>
                <w:sz w:val="18"/>
                <w:szCs w:val="18"/>
              </w:rPr>
              <w:t>固定资产折旧、油气资产折耗、 生产性生物资产折旧</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13,074,890.06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9,590,804.35</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1,629,709.90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1,705,610.66</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5,524,668.41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3,113,154.41</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72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-19,667.96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49,840.92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13,155.30</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4"/>
              <w:jc w:val="right"/>
              <w:rPr>
                <w:rFonts w:ascii="宋体" w:hAnsi="宋体" w:cs="宋体" w:eastAsia="宋体" w:hint="default"/>
                <w:sz w:val="18"/>
                <w:szCs w:val="18"/>
              </w:rPr>
            </w:pPr>
            <w:r>
              <w:rPr>
                <w:rFonts w:ascii="宋体" w:hAnsi="宋体" w:cs="宋体" w:eastAsia="宋体" w:hint="default"/>
                <w:spacing w:val="-1"/>
                <w:sz w:val="18"/>
                <w:szCs w:val="18"/>
              </w:rPr>
              <w:t>财务费用（收益以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889.59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-15,548.69</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4"/>
              <w:jc w:val="right"/>
              <w:rPr>
                <w:rFonts w:ascii="宋体" w:hAnsi="宋体" w:cs="宋体" w:eastAsia="宋体" w:hint="default"/>
                <w:sz w:val="18"/>
                <w:szCs w:val="18"/>
              </w:rPr>
            </w:pPr>
            <w:r>
              <w:rPr>
                <w:rFonts w:ascii="宋体" w:hAnsi="宋体" w:cs="宋体" w:eastAsia="宋体" w:hint="default"/>
                <w:spacing w:val="-1"/>
                <w:sz w:val="18"/>
                <w:szCs w:val="18"/>
              </w:rPr>
              <w:t>投资损失（收益以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-9,898,169.79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-4,851,665.35</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-8,953,840.41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-831,814.96</w:t>
            </w:r>
          </w:p>
        </w:tc>
      </w:tr>
      <w:tr>
        <w:trPr>
          <w:trHeight w:val="401"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744"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存货的减少（增加以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p>
        </w:tc>
        <w:tc>
          <w:tcPr>
            <w:tcW w:w="3058" w:type="dxa"/>
            <w:tcBorders>
              <w:top w:val="single" w:sz="4" w:space="0" w:color="000000"/>
              <w:left w:val="single" w:sz="13" w:space="0" w:color="FFFFFF"/>
              <w:bottom w:val="single" w:sz="4" w:space="0" w:color="000000"/>
              <w:right w:val="single" w:sz="12" w:space="0" w:color="FFFFFF"/>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-517,842,932.83</w:t>
            </w:r>
          </w:p>
        </w:tc>
        <w:tc>
          <w:tcPr>
            <w:tcW w:w="3185"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-17,234,928.53</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-608,507,570.15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-57,199,634.27</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1,559,120,065.19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4,308,701.04</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25,783,928.51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1,372,033,945.51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-28,074,145.14</w:t>
            </w:r>
          </w:p>
        </w:tc>
      </w:tr>
      <w:tr>
        <w:trPr>
          <w:trHeight w:val="162" w:hRule="exact"/>
        </w:trPr>
        <w:tc>
          <w:tcPr>
            <w:tcW w:w="3327"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24"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27" w:type="dxa"/>
            <w:vMerge/>
            <w:tcBorders>
              <w:left w:val="single" w:sz="4" w:space="0" w:color="000000"/>
              <w:right w:val="single" w:sz="4" w:space="0" w:color="000000"/>
            </w:tcBorders>
            <w:shd w:val="clear" w:color="auto" w:fill="D2D2D2"/>
          </w:tcPr>
          <w:p>
            <w:pPr/>
          </w:p>
        </w:tc>
        <w:tc>
          <w:tcPr>
            <w:tcW w:w="30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63"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7" w:type="dxa"/>
            <w:vMerge/>
            <w:tcBorders>
              <w:left w:val="single" w:sz="4" w:space="0" w:color="000000"/>
              <w:bottom w:val="single" w:sz="4" w:space="0" w:color="000000"/>
              <w:right w:val="single" w:sz="4" w:space="0" w:color="000000"/>
            </w:tcBorders>
            <w:shd w:val="clear" w:color="auto" w:fill="D2D2D2"/>
          </w:tcPr>
          <w:p>
            <w:pPr/>
          </w:p>
        </w:tc>
        <w:tc>
          <w:tcPr>
            <w:tcW w:w="3058"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63"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1,874,015,546.76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403,918,139.28</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403,918,139.28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640,754,061.53</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1,470,097,407.48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-236,835,922.25</w:t>
            </w:r>
            <w:r>
              <w:rPr>
                <w:rFonts w:ascii="Times New Roman"/>
                <w:sz w:val="18"/>
              </w:rPr>
            </w: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6"/>
        <w:gridCol w:w="3058"/>
        <w:gridCol w:w="3185"/>
      </w:tblGrid>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26"/>
        <w:gridCol w:w="3058"/>
        <w:gridCol w:w="3185"/>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1,874,015,546.76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403,918,139.28</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1,874,015,546.76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403,918,139.28</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1,874,015,546.76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403,918,139.28</w:t>
            </w:r>
          </w:p>
        </w:tc>
      </w:tr>
    </w:tbl>
    <w:p>
      <w:pPr>
        <w:pStyle w:val="BodyText"/>
        <w:spacing w:line="357" w:lineRule="auto" w:before="49"/>
        <w:ind w:right="9854"/>
        <w:jc w:val="left"/>
      </w:pPr>
      <w:r>
        <w:rPr/>
        <w:t>其他说明： 无</w:t>
      </w:r>
    </w:p>
    <w:p>
      <w:pPr>
        <w:spacing w:line="240" w:lineRule="auto" w:before="5"/>
        <w:rPr>
          <w:rFonts w:ascii="宋体" w:hAnsi="宋体" w:cs="宋体" w:eastAsia="宋体" w:hint="default"/>
          <w:sz w:val="15"/>
          <w:szCs w:val="15"/>
        </w:rPr>
      </w:pPr>
    </w:p>
    <w:p>
      <w:pPr>
        <w:pStyle w:val="Heading4"/>
        <w:spacing w:line="240" w:lineRule="auto"/>
        <w:ind w:right="967"/>
        <w:jc w:val="left"/>
        <w:rPr>
          <w:b w:val="0"/>
          <w:bCs w:val="0"/>
        </w:rPr>
      </w:pPr>
      <w:r>
        <w:rPr>
          <w:rFonts w:ascii="Times New Roman" w:hAnsi="Times New Roman" w:cs="Times New Roman" w:eastAsia="Times New Roman" w:hint="default"/>
        </w:rPr>
        <w:t>80</w:t>
      </w:r>
      <w:r>
        <w:rPr/>
        <w:t>、所有者权益变动表项目注释</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5374"/>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 无</w:t>
      </w:r>
    </w:p>
    <w:p>
      <w:pPr>
        <w:spacing w:line="240" w:lineRule="auto" w:before="6"/>
        <w:rPr>
          <w:rFonts w:ascii="宋体" w:hAnsi="宋体" w:cs="宋体" w:eastAsia="宋体" w:hint="default"/>
          <w:sz w:val="16"/>
          <w:szCs w:val="16"/>
        </w:rPr>
      </w:pPr>
    </w:p>
    <w:p>
      <w:pPr>
        <w:pStyle w:val="Heading4"/>
        <w:spacing w:line="240" w:lineRule="auto"/>
        <w:ind w:right="967"/>
        <w:jc w:val="left"/>
        <w:rPr>
          <w:b w:val="0"/>
          <w:bCs w:val="0"/>
        </w:rPr>
      </w:pPr>
      <w:r>
        <w:rPr>
          <w:rFonts w:ascii="Times New Roman" w:hAnsi="Times New Roman" w:cs="Times New Roman" w:eastAsia="Times New Roman" w:hint="default"/>
        </w:rPr>
        <w:t>81</w:t>
      </w:r>
      <w:r>
        <w:rPr/>
        <w:t>、所有权或使用权受到限制的资产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161" w:hRule="exact"/>
        </w:trPr>
        <w:tc>
          <w:tcPr>
            <w:tcW w:w="3327"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6,136,747.13</w:t>
            </w:r>
          </w:p>
        </w:tc>
        <w:tc>
          <w:tcPr>
            <w:tcW w:w="3185"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票据保证金、财政资金监管户、因诉讼 冻结、履约保证金</w:t>
            </w:r>
          </w:p>
        </w:tc>
      </w:tr>
      <w:tr>
        <w:trPr>
          <w:trHeight w:val="391" w:hRule="exact"/>
        </w:trPr>
        <w:tc>
          <w:tcPr>
            <w:tcW w:w="33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vMerge/>
            <w:tcBorders>
              <w:left w:val="single" w:sz="4" w:space="0" w:color="000000"/>
              <w:right w:val="single" w:sz="4" w:space="0" w:color="000000"/>
            </w:tcBorders>
          </w:tcPr>
          <w:p>
            <w:pPr/>
          </w:p>
        </w:tc>
        <w:tc>
          <w:tcPr>
            <w:tcW w:w="3185" w:type="dxa"/>
            <w:vMerge/>
            <w:tcBorders>
              <w:left w:val="single" w:sz="4" w:space="0" w:color="000000"/>
              <w:right w:val="single" w:sz="4" w:space="0" w:color="000000"/>
            </w:tcBorders>
          </w:tcPr>
          <w:p>
            <w:pPr/>
          </w:p>
        </w:tc>
      </w:tr>
      <w:tr>
        <w:trPr>
          <w:trHeight w:val="161" w:hRule="exact"/>
        </w:trPr>
        <w:tc>
          <w:tcPr>
            <w:tcW w:w="3327"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8" w:type="dxa"/>
            <w:vMerge/>
            <w:tcBorders>
              <w:left w:val="single" w:sz="4" w:space="0" w:color="000000"/>
              <w:bottom w:val="single" w:sz="4" w:space="0" w:color="000000"/>
              <w:right w:val="single" w:sz="4" w:space="0" w:color="000000"/>
            </w:tcBorders>
          </w:tcPr>
          <w:p>
            <w:pPr/>
          </w:p>
        </w:tc>
        <w:tc>
          <w:tcPr>
            <w:tcW w:w="3185" w:type="dxa"/>
            <w:vMerge/>
            <w:tcBorders>
              <w:left w:val="single" w:sz="4" w:space="0" w:color="000000"/>
              <w:bottom w:val="single" w:sz="4" w:space="0" w:color="000000"/>
              <w:right w:val="single" w:sz="4" w:space="0" w:color="000000"/>
            </w:tcBorders>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1,900,000.00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已背书未终止确认的应收票据</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8,036,747.13</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67"/>
        <w:jc w:val="left"/>
      </w:pPr>
      <w:r>
        <w:rPr/>
        <w:t>其他说明：</w:t>
      </w:r>
    </w:p>
    <w:p>
      <w:pPr>
        <w:spacing w:line="240" w:lineRule="auto" w:before="7"/>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268"/>
        <w:gridCol w:w="1419"/>
        <w:gridCol w:w="2007"/>
      </w:tblGrid>
      <w:tr>
        <w:trPr>
          <w:trHeight w:val="342" w:hRule="exact"/>
        </w:trPr>
        <w:tc>
          <w:tcPr>
            <w:tcW w:w="22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
              <w:ind w:left="65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4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
              <w:ind w:right="23"/>
              <w:jc w:val="center"/>
              <w:rPr>
                <w:rFonts w:ascii="宋体" w:hAnsi="宋体" w:cs="宋体" w:eastAsia="宋体" w:hint="default"/>
                <w:sz w:val="18"/>
                <w:szCs w:val="18"/>
              </w:rPr>
            </w:pPr>
            <w:r>
              <w:rPr>
                <w:rFonts w:ascii="宋体" w:hAnsi="宋体" w:cs="宋体" w:eastAsia="宋体" w:hint="default"/>
                <w:sz w:val="18"/>
                <w:szCs w:val="18"/>
              </w:rPr>
              <w:t>金额</w:t>
            </w:r>
          </w:p>
        </w:tc>
        <w:tc>
          <w:tcPr>
            <w:tcW w:w="20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
              <w:ind w:left="364" w:right="0"/>
              <w:jc w:val="left"/>
              <w:rPr>
                <w:rFonts w:ascii="宋体" w:hAnsi="宋体" w:cs="宋体" w:eastAsia="宋体" w:hint="default"/>
                <w:sz w:val="18"/>
                <w:szCs w:val="18"/>
              </w:rPr>
            </w:pPr>
            <w:r>
              <w:rPr>
                <w:rFonts w:ascii="宋体" w:hAnsi="宋体" w:cs="宋体" w:eastAsia="宋体" w:hint="default"/>
                <w:sz w:val="18"/>
                <w:szCs w:val="18"/>
              </w:rPr>
              <w:t>权利受限原因</w:t>
            </w:r>
          </w:p>
        </w:tc>
      </w:tr>
      <w:tr>
        <w:trPr>
          <w:trHeight w:val="347" w:hRule="exact"/>
        </w:trPr>
        <w:tc>
          <w:tcPr>
            <w:tcW w:w="22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9"/>
              <w:ind w:right="1167"/>
              <w:jc w:val="right"/>
              <w:rPr>
                <w:rFonts w:ascii="宋体" w:hAnsi="宋体" w:cs="宋体" w:eastAsia="宋体" w:hint="default"/>
                <w:sz w:val="18"/>
                <w:szCs w:val="18"/>
              </w:rPr>
            </w:pPr>
            <w:r>
              <w:rPr>
                <w:rFonts w:ascii="宋体" w:hAnsi="宋体" w:cs="宋体" w:eastAsia="宋体" w:hint="default"/>
                <w:sz w:val="18"/>
                <w:szCs w:val="18"/>
              </w:rPr>
              <w:t>其他货币资金</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2,616,496.00</w:t>
            </w: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票据保证金</w:t>
            </w:r>
          </w:p>
        </w:tc>
      </w:tr>
      <w:tr>
        <w:trPr>
          <w:trHeight w:val="347" w:hRule="exact"/>
        </w:trPr>
        <w:tc>
          <w:tcPr>
            <w:tcW w:w="22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right="1167"/>
              <w:jc w:val="right"/>
              <w:rPr>
                <w:rFonts w:ascii="宋体" w:hAnsi="宋体" w:cs="宋体" w:eastAsia="宋体" w:hint="default"/>
                <w:sz w:val="18"/>
                <w:szCs w:val="18"/>
              </w:rPr>
            </w:pPr>
            <w:r>
              <w:rPr>
                <w:rFonts w:ascii="宋体" w:hAnsi="宋体" w:cs="宋体" w:eastAsia="宋体" w:hint="default"/>
                <w:sz w:val="18"/>
                <w:szCs w:val="18"/>
              </w:rPr>
              <w:t>其他货币资金</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2,718,208.87</w:t>
            </w: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财政资金监管户</w:t>
            </w:r>
          </w:p>
        </w:tc>
      </w:tr>
      <w:tr>
        <w:trPr>
          <w:trHeight w:val="348" w:hRule="exact"/>
        </w:trPr>
        <w:tc>
          <w:tcPr>
            <w:tcW w:w="22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9"/>
              <w:ind w:right="1167"/>
              <w:jc w:val="right"/>
              <w:rPr>
                <w:rFonts w:ascii="宋体" w:hAnsi="宋体" w:cs="宋体" w:eastAsia="宋体" w:hint="default"/>
                <w:sz w:val="18"/>
                <w:szCs w:val="18"/>
              </w:rPr>
            </w:pPr>
            <w:r>
              <w:rPr>
                <w:rFonts w:ascii="宋体" w:hAnsi="宋体" w:cs="宋体" w:eastAsia="宋体" w:hint="default"/>
                <w:sz w:val="18"/>
                <w:szCs w:val="18"/>
              </w:rPr>
              <w:t>其他货币资金</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751,023.09</w:t>
            </w: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因诉讼冻结</w:t>
            </w:r>
          </w:p>
        </w:tc>
      </w:tr>
      <w:tr>
        <w:trPr>
          <w:trHeight w:val="347" w:hRule="exact"/>
        </w:trPr>
        <w:tc>
          <w:tcPr>
            <w:tcW w:w="22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9"/>
              <w:ind w:right="1167"/>
              <w:jc w:val="right"/>
              <w:rPr>
                <w:rFonts w:ascii="宋体" w:hAnsi="宋体" w:cs="宋体" w:eastAsia="宋体" w:hint="default"/>
                <w:sz w:val="18"/>
                <w:szCs w:val="18"/>
              </w:rPr>
            </w:pPr>
            <w:r>
              <w:rPr>
                <w:rFonts w:ascii="宋体" w:hAnsi="宋体" w:cs="宋体" w:eastAsia="宋体" w:hint="default"/>
                <w:sz w:val="18"/>
                <w:szCs w:val="18"/>
              </w:rPr>
              <w:t>其他货币资金</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51,019.17</w:t>
            </w: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履约保证金</w:t>
            </w:r>
          </w:p>
        </w:tc>
      </w:tr>
      <w:tr>
        <w:trPr>
          <w:trHeight w:val="348" w:hRule="exact"/>
        </w:trPr>
        <w:tc>
          <w:tcPr>
            <w:tcW w:w="22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right="1166"/>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3"/>
                <w:sz w:val="18"/>
                <w:szCs w:val="18"/>
              </w:rPr>
              <w:t> </w:t>
            </w:r>
            <w:r>
              <w:rPr>
                <w:rFonts w:ascii="宋体" w:hAnsi="宋体" w:cs="宋体" w:eastAsia="宋体" w:hint="default"/>
                <w:sz w:val="18"/>
                <w:szCs w:val="18"/>
              </w:rPr>
              <w:t>计</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6,136,747.13</w:t>
            </w:r>
          </w:p>
        </w:tc>
        <w:tc>
          <w:tcPr>
            <w:tcW w:w="200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rFonts w:ascii="Times New Roman" w:hAnsi="Times New Roman" w:cs="Times New Roman" w:eastAsia="Times New Roman" w:hint="default"/>
        </w:rPr>
        <w:t>82</w:t>
      </w:r>
      <w:r>
        <w:rPr/>
        <w:t>、外币货币性项目</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4"/>
        <w:spacing w:line="240" w:lineRule="auto"/>
        <w:ind w:right="967"/>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0.14</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0.14</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9854"/>
        <w:jc w:val="left"/>
      </w:pPr>
      <w:r>
        <w:rPr/>
        <w:t>其他说明： 无</w:t>
      </w:r>
    </w:p>
    <w:p>
      <w:pPr>
        <w:spacing w:line="240" w:lineRule="auto" w:before="13"/>
        <w:rPr>
          <w:rFonts w:ascii="宋体" w:hAnsi="宋体" w:cs="宋体" w:eastAsia="宋体" w:hint="default"/>
          <w:sz w:val="19"/>
          <w:szCs w:val="19"/>
        </w:rPr>
      </w:pPr>
    </w:p>
    <w:p>
      <w:pPr>
        <w:pStyle w:val="Heading4"/>
        <w:spacing w:line="314" w:lineRule="exact"/>
        <w:ind w:right="967"/>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26"/>
        </w:rPr>
        <w:t> </w:t>
      </w:r>
      <w:r>
        <w:rPr>
          <w:spacing w:val="26"/>
        </w:rPr>
      </w:r>
      <w:r>
        <w:rPr/>
        <w:t>依据，记账本位币发生变化的还应披露原因。</w:t>
      </w:r>
      <w:r>
        <w:rPr>
          <w:b w:val="0"/>
          <w:bCs w:val="0"/>
        </w:rPr>
      </w:r>
    </w:p>
    <w:p>
      <w:pPr>
        <w:spacing w:line="240" w:lineRule="auto" w:before="11"/>
        <w:rPr>
          <w:rFonts w:ascii="Microsoft JhengHei" w:hAnsi="Microsoft JhengHei" w:cs="Microsoft JhengHei" w:eastAsia="Microsoft JhengHei" w:hint="default"/>
          <w:b/>
          <w:bCs/>
          <w:sz w:val="18"/>
          <w:szCs w:val="18"/>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4"/>
        <w:spacing w:line="240" w:lineRule="auto"/>
        <w:ind w:right="967"/>
        <w:jc w:val="left"/>
        <w:rPr>
          <w:b w:val="0"/>
          <w:bCs w:val="0"/>
        </w:rPr>
      </w:pPr>
      <w:r>
        <w:rPr>
          <w:rFonts w:ascii="Times New Roman" w:hAnsi="Times New Roman" w:cs="Times New Roman" w:eastAsia="Times New Roman" w:hint="default"/>
        </w:rPr>
        <w:t>83</w:t>
      </w:r>
      <w:r>
        <w:rPr/>
        <w:t>、套期</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84</w:t>
      </w:r>
      <w:r>
        <w:rPr/>
        <w:t>、政府补助</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4"/>
        <w:spacing w:line="240" w:lineRule="auto"/>
        <w:ind w:right="967"/>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面向城市智慧交通物联网应 用的</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DSRC</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设备研发及产业化</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4,595,143.45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pacing w:val="1"/>
                <w:sz w:val="18"/>
                <w:szCs w:val="18"/>
              </w:rPr>
              <w:t> </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3,571,622.31</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新型车联网通信技术工程研 究中心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pacing w:val="1"/>
                <w:sz w:val="18"/>
                <w:szCs w:val="18"/>
              </w:rPr>
              <w:t> </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9,866.67</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55"/>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电子车牌的系统实 现核心设备技术研发及城市 级应用示范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1,946,313.39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pacing w:val="1"/>
                <w:sz w:val="18"/>
                <w:szCs w:val="18"/>
              </w:rPr>
              <w:t> </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1,634,461.61</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both"/>
              <w:rPr>
                <w:rFonts w:ascii="宋体" w:hAnsi="宋体" w:cs="宋体" w:eastAsia="宋体" w:hint="default"/>
                <w:sz w:val="18"/>
                <w:szCs w:val="18"/>
              </w:rPr>
            </w:pPr>
            <w:r>
              <w:rPr>
                <w:rFonts w:ascii="宋体" w:hAnsi="宋体" w:cs="宋体" w:eastAsia="宋体" w:hint="default"/>
                <w:sz w:val="18"/>
                <w:szCs w:val="18"/>
              </w:rPr>
              <w:t>深圳市金溢科技股份有限公 司工业设计中心认定和扶持 计划</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pacing w:val="1"/>
                <w:sz w:val="18"/>
                <w:szCs w:val="18"/>
              </w:rPr>
              <w:t> </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智慧城市综合停车信息云平 台与解决方案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pacing w:val="1"/>
                <w:sz w:val="18"/>
                <w:szCs w:val="18"/>
              </w:rPr>
              <w:t> </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54"/>
              <w:jc w:val="both"/>
              <w:rPr>
                <w:rFonts w:ascii="宋体" w:hAnsi="宋体" w:cs="宋体" w:eastAsia="宋体" w:hint="default"/>
                <w:sz w:val="18"/>
                <w:szCs w:val="18"/>
              </w:rPr>
            </w:pPr>
            <w:r>
              <w:rPr>
                <w:rFonts w:ascii="宋体" w:hAnsi="宋体" w:cs="宋体" w:eastAsia="宋体" w:hint="default"/>
                <w:sz w:val="18"/>
                <w:szCs w:val="18"/>
              </w:rPr>
              <w:t>应用于联网收费公路的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5.8G</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多义性路径识别系统的研发 及产业化</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640,769.23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pacing w:val="1"/>
                <w:sz w:val="18"/>
                <w:szCs w:val="18"/>
              </w:rPr>
              <w:t> </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18,461.52</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应急指挥与协调决策支持系 统开发与示范应用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390,598.10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pacing w:val="1"/>
                <w:sz w:val="18"/>
                <w:szCs w:val="18"/>
              </w:rPr>
              <w:t> </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深圳市智慧交通车联网工程 技术研究开发中心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333,470.64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pacing w:val="1"/>
                <w:sz w:val="18"/>
                <w:szCs w:val="18"/>
              </w:rPr>
              <w:t> </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250,447.60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4"/>
              <w:jc w:val="left"/>
              <w:rPr>
                <w:rFonts w:ascii="宋体" w:hAnsi="宋体" w:cs="宋体" w:eastAsia="宋体" w:hint="default"/>
                <w:sz w:val="18"/>
                <w:szCs w:val="18"/>
              </w:rPr>
            </w:pPr>
            <w:r>
              <w:rPr>
                <w:rFonts w:ascii="宋体" w:hAnsi="宋体" w:cs="宋体" w:eastAsia="宋体" w:hint="default"/>
                <w:sz w:val="18"/>
                <w:szCs w:val="18"/>
              </w:rPr>
              <w:t>车路协同（</w:t>
            </w:r>
            <w:r>
              <w:rPr>
                <w:rFonts w:ascii="Times New Roman" w:hAnsi="Times New Roman" w:cs="Times New Roman" w:eastAsia="Times New Roman" w:hint="default"/>
                <w:sz w:val="18"/>
                <w:szCs w:val="18"/>
              </w:rPr>
              <w:t>V2X</w:t>
            </w:r>
            <w:r>
              <w:rPr>
                <w:rFonts w:ascii="宋体" w:hAnsi="宋体" w:cs="宋体" w:eastAsia="宋体" w:hint="default"/>
                <w:sz w:val="18"/>
                <w:szCs w:val="18"/>
              </w:rPr>
              <w:t>）标准体系研 究</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pacing w:val="1"/>
                <w:sz w:val="18"/>
                <w:szCs w:val="18"/>
              </w:rPr>
              <w:t> </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复杂环境下</w:t>
            </w:r>
            <w:r>
              <w:rPr>
                <w:rFonts w:ascii="Times New Roman" w:hAnsi="Times New Roman" w:cs="Times New Roman" w:eastAsia="Times New Roman" w:hint="default"/>
                <w:sz w:val="18"/>
                <w:szCs w:val="18"/>
              </w:rPr>
              <w:t>“</w:t>
            </w:r>
            <w:r>
              <w:rPr>
                <w:rFonts w:ascii="宋体" w:hAnsi="宋体" w:cs="宋体" w:eastAsia="宋体" w:hint="default"/>
                <w:sz w:val="18"/>
                <w:szCs w:val="18"/>
              </w:rPr>
              <w:t>一带一路</w:t>
            </w:r>
            <w:r>
              <w:rPr>
                <w:rFonts w:ascii="Times New Roman" w:hAnsi="Times New Roman" w:cs="Times New Roman" w:eastAsia="Times New Roman" w:hint="default"/>
                <w:sz w:val="18"/>
                <w:szCs w:val="18"/>
              </w:rPr>
              <w:t>”</w:t>
            </w:r>
            <w:r>
              <w:rPr>
                <w:rFonts w:ascii="宋体" w:hAnsi="宋体" w:cs="宋体" w:eastAsia="宋体" w:hint="default"/>
                <w:sz w:val="18"/>
                <w:szCs w:val="18"/>
              </w:rPr>
              <w:t>城市智 能交通系统构建技术系统集 成与工程示范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pacing w:val="1"/>
                <w:sz w:val="18"/>
                <w:szCs w:val="18"/>
              </w:rPr>
              <w:t> </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安全信息资源集中式监控系 统研发与产业化</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pacing w:val="1"/>
                <w:sz w:val="18"/>
                <w:szCs w:val="18"/>
              </w:rPr>
              <w:t> </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新兴交通形态应用边界与协 同管控模式研究</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pacing w:val="1"/>
                <w:sz w:val="18"/>
                <w:szCs w:val="18"/>
              </w:rPr>
              <w:t> </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DSRC</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的智能交通车联网 多功能车载智能终端研发及 示范应用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160,674.68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pacing w:val="1"/>
                <w:sz w:val="18"/>
                <w:szCs w:val="18"/>
              </w:rPr>
              <w:t> </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48,280.83</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基于热舒适的可度量空调节 能监控系统研发及产业化</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pacing w:val="1"/>
                <w:sz w:val="18"/>
                <w:szCs w:val="18"/>
              </w:rPr>
              <w:t> </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38"/>
              <w:jc w:val="left"/>
              <w:rPr>
                <w:rFonts w:ascii="宋体" w:hAnsi="宋体" w:cs="宋体" w:eastAsia="宋体" w:hint="default"/>
                <w:sz w:val="18"/>
                <w:szCs w:val="18"/>
              </w:rPr>
            </w:pPr>
            <w:r>
              <w:rPr>
                <w:rFonts w:ascii="宋体" w:hAnsi="宋体" w:cs="宋体" w:eastAsia="宋体" w:hint="default"/>
                <w:sz w:val="18"/>
                <w:szCs w:val="18"/>
              </w:rPr>
              <w:t>电子不停车收费技术（</w:t>
            </w:r>
            <w:r>
              <w:rPr>
                <w:rFonts w:ascii="Times New Roman" w:hAnsi="Times New Roman" w:cs="Times New Roman" w:eastAsia="Times New Roman" w:hint="default"/>
                <w:sz w:val="18"/>
                <w:szCs w:val="18"/>
              </w:rPr>
              <w:t>ETC</w:t>
            </w:r>
            <w:r>
              <w:rPr>
                <w:rFonts w:ascii="宋体" w:hAnsi="宋体" w:cs="宋体" w:eastAsia="宋体" w:hint="default"/>
                <w:sz w:val="18"/>
                <w:szCs w:val="18"/>
              </w:rPr>
              <w:t>） 标准在东南亚地区应用研究</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pacing w:val="1"/>
                <w:sz w:val="18"/>
                <w:szCs w:val="18"/>
              </w:rPr>
              <w:t> </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城市综合停车收费管理与信 息服务应用示范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118,433.38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pacing w:val="1"/>
                <w:sz w:val="18"/>
                <w:szCs w:val="18"/>
              </w:rPr>
              <w:t> </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83,629.05</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智能车路协同自动化测试关 键技术研究与应用示范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pacing w:val="1"/>
                <w:sz w:val="18"/>
                <w:szCs w:val="18"/>
              </w:rPr>
              <w:t> </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基于无线感知技术的道路停 车管理与服务前端系统研发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30,653.18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pacing w:val="1"/>
                <w:sz w:val="18"/>
                <w:szCs w:val="18"/>
              </w:rPr>
              <w:t> </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30,653.18</w:t>
            </w:r>
          </w:p>
        </w:tc>
      </w:tr>
      <w:tr>
        <w:trPr>
          <w:trHeight w:val="1339"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146"/>
              <w:jc w:val="both"/>
              <w:rPr>
                <w:rFonts w:ascii="宋体" w:hAnsi="宋体" w:cs="宋体" w:eastAsia="宋体" w:hint="default"/>
                <w:sz w:val="18"/>
                <w:szCs w:val="18"/>
              </w:rPr>
            </w:pPr>
            <w:r>
              <w:rPr>
                <w:rFonts w:ascii="宋体" w:hAnsi="宋体" w:cs="宋体" w:eastAsia="宋体" w:hint="default"/>
                <w:sz w:val="18"/>
                <w:szCs w:val="18"/>
              </w:rPr>
              <w:t>基于专用短程通信</w:t>
            </w:r>
            <w:r>
              <w:rPr>
                <w:rFonts w:ascii="Times New Roman" w:hAnsi="Times New Roman" w:cs="Times New Roman" w:eastAsia="Times New Roman" w:hint="default"/>
                <w:sz w:val="18"/>
                <w:szCs w:val="18"/>
              </w:rPr>
              <w:t>(DSRC)</w:t>
            </w:r>
            <w:r>
              <w:rPr>
                <w:rFonts w:ascii="宋体" w:hAnsi="宋体" w:cs="宋体" w:eastAsia="宋体" w:hint="default"/>
                <w:sz w:val="18"/>
                <w:szCs w:val="18"/>
              </w:rPr>
              <w:t>技 术的电子车牌证多车道自由 流关键技术研究与核心设备 研发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25,435.55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pacing w:val="1"/>
                <w:sz w:val="18"/>
                <w:szCs w:val="18"/>
              </w:rPr>
              <w:t> </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25,435.55</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both"/>
              <w:rPr>
                <w:rFonts w:ascii="宋体" w:hAnsi="宋体" w:cs="宋体" w:eastAsia="宋体" w:hint="default"/>
                <w:sz w:val="18"/>
                <w:szCs w:val="18"/>
              </w:rPr>
            </w:pPr>
            <w:r>
              <w:rPr>
                <w:rFonts w:ascii="宋体" w:hAnsi="宋体" w:cs="宋体" w:eastAsia="宋体" w:hint="default"/>
                <w:sz w:val="18"/>
                <w:szCs w:val="18"/>
              </w:rPr>
              <w:t>面向智慧交通的车联网高安 全性内容保障技术研究与核 心产品研发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20,908.27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pacing w:val="1"/>
                <w:sz w:val="18"/>
                <w:szCs w:val="18"/>
              </w:rPr>
              <w:t> </w:t>
            </w: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16,466.94</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软件退税</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46,101,234.92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46,101,234.92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50"/>
              <w:jc w:val="both"/>
              <w:rPr>
                <w:rFonts w:ascii="宋体" w:hAnsi="宋体" w:cs="宋体" w:eastAsia="宋体" w:hint="default"/>
                <w:sz w:val="18"/>
                <w:szCs w:val="18"/>
              </w:rPr>
            </w:pPr>
            <w:r>
              <w:rPr>
                <w:rFonts w:ascii="宋体" w:hAnsi="宋体" w:cs="宋体" w:eastAsia="宋体" w:hint="default"/>
                <w:sz w:val="18"/>
                <w:szCs w:val="18"/>
              </w:rPr>
              <w:t>深圳市科技创新委员会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年深圳市企业研究开发资助 计划</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3,055,000.00</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03"/>
              <w:jc w:val="left"/>
              <w:rPr>
                <w:rFonts w:ascii="宋体" w:hAnsi="宋体" w:cs="宋体" w:eastAsia="宋体" w:hint="default"/>
                <w:sz w:val="18"/>
                <w:szCs w:val="18"/>
              </w:rPr>
            </w:pPr>
            <w:r>
              <w:rPr>
                <w:rFonts w:ascii="宋体" w:hAnsi="宋体" w:cs="宋体" w:eastAsia="宋体" w:hint="default"/>
                <w:sz w:val="18"/>
                <w:szCs w:val="18"/>
              </w:rPr>
              <w:t>深圳市南山区工业和信息化 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年南山区自主创新产 业发展专项资金资助款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深圳市南山区科学技术局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年企业研发投入支持计 划</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1,123,600.00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1,123,600.00</w:t>
            </w:r>
          </w:p>
        </w:tc>
      </w:tr>
      <w:tr>
        <w:trPr>
          <w:trHeight w:val="1028"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50"/>
              <w:jc w:val="both"/>
              <w:rPr>
                <w:rFonts w:ascii="宋体" w:hAnsi="宋体" w:cs="宋体" w:eastAsia="宋体" w:hint="default"/>
                <w:sz w:val="18"/>
                <w:szCs w:val="18"/>
              </w:rPr>
            </w:pPr>
            <w:r>
              <w:rPr>
                <w:rFonts w:ascii="宋体" w:hAnsi="宋体" w:cs="宋体" w:eastAsia="宋体" w:hint="default"/>
                <w:sz w:val="18"/>
                <w:szCs w:val="18"/>
              </w:rPr>
              <w:t>深圳市工业和信息化局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年技术改造倍增专项质量品 牌双提升扶持计划资助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1,120,000.00</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both"/>
              <w:rPr>
                <w:rFonts w:ascii="宋体" w:hAnsi="宋体" w:cs="宋体" w:eastAsia="宋体" w:hint="default"/>
                <w:sz w:val="18"/>
                <w:szCs w:val="18"/>
              </w:rPr>
            </w:pPr>
            <w:r>
              <w:rPr>
                <w:rFonts w:ascii="宋体" w:hAnsi="宋体" w:cs="宋体" w:eastAsia="宋体" w:hint="default"/>
                <w:sz w:val="18"/>
                <w:szCs w:val="18"/>
              </w:rPr>
              <w:t>深圳市市场和质量监督管理 委员会第二十届中国专利奖 配套奖励</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49"/>
              <w:jc w:val="left"/>
              <w:rPr>
                <w:rFonts w:ascii="宋体" w:hAnsi="宋体" w:cs="宋体" w:eastAsia="宋体" w:hint="default"/>
                <w:sz w:val="18"/>
                <w:szCs w:val="18"/>
              </w:rPr>
            </w:pPr>
            <w:r>
              <w:rPr>
                <w:rFonts w:ascii="宋体" w:hAnsi="宋体" w:cs="宋体" w:eastAsia="宋体" w:hint="default"/>
                <w:sz w:val="18"/>
                <w:szCs w:val="18"/>
              </w:rPr>
              <w:t>深圳市南山区经济促进局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年第一季度稳增长资助 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216,600.00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216,600.00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深圳市南山区经济促进局国 家两化融合管理体系评定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深圳市南山区经济促进局奖 励金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深圳市南山区经济促进局</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年稳增长资助项目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深圳市市场监督管理局第十 九届中国专利奖配套奖励</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深圳市市场和质量监督管理 委员会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年深圳市第一批 专利申请资助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65,000.00</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03"/>
              <w:jc w:val="left"/>
              <w:rPr>
                <w:rFonts w:ascii="宋体" w:hAnsi="宋体" w:cs="宋体" w:eastAsia="宋体" w:hint="default"/>
                <w:sz w:val="18"/>
                <w:szCs w:val="18"/>
              </w:rPr>
            </w:pPr>
            <w:r>
              <w:rPr>
                <w:rFonts w:ascii="宋体" w:hAnsi="宋体" w:cs="宋体" w:eastAsia="宋体" w:hint="default"/>
                <w:sz w:val="18"/>
                <w:szCs w:val="18"/>
              </w:rPr>
              <w:t>深圳市商务局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年度中央 支持外贸中小企业开拓市场 资助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58,836.06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58,836.06</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社保局的失业稳岗补贴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44,359.75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44,359.75</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03"/>
              <w:jc w:val="left"/>
              <w:rPr>
                <w:rFonts w:ascii="宋体" w:hAnsi="宋体" w:cs="宋体" w:eastAsia="宋体" w:hint="default"/>
                <w:sz w:val="18"/>
                <w:szCs w:val="18"/>
              </w:rPr>
            </w:pPr>
            <w:r>
              <w:rPr>
                <w:rFonts w:ascii="宋体" w:hAnsi="宋体" w:cs="宋体" w:eastAsia="宋体" w:hint="default"/>
                <w:sz w:val="18"/>
                <w:szCs w:val="18"/>
              </w:rPr>
              <w:t>深圳市南山区工业和信息化 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年第二季度稳增长资 助项目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39,700.00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39,700.00</w:t>
            </w:r>
          </w:p>
        </w:tc>
      </w:tr>
      <w:tr>
        <w:trPr>
          <w:trHeight w:val="1028"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深圳市市场和质量监督管理 委员会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年深圳市第一批 境外商标注册资助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356" w:hRule="exact"/>
        </w:trPr>
        <w:tc>
          <w:tcPr>
            <w:tcW w:w="23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深圳市市场和质量监督管理</w:t>
            </w:r>
          </w:p>
        </w:tc>
        <w:tc>
          <w:tcPr>
            <w:tcW w:w="2391" w:type="dxa"/>
            <w:tcBorders>
              <w:top w:val="single" w:sz="4" w:space="0" w:color="000000"/>
              <w:left w:val="single" w:sz="4" w:space="0" w:color="000000"/>
              <w:bottom w:val="nil" w:sz="6" w:space="0" w:color="auto"/>
              <w:right w:val="single" w:sz="4" w:space="0" w:color="000000"/>
            </w:tcBorders>
          </w:tcPr>
          <w:p>
            <w:pPr/>
          </w:p>
        </w:tc>
        <w:tc>
          <w:tcPr>
            <w:tcW w:w="2393" w:type="dxa"/>
            <w:tcBorders>
              <w:top w:val="single" w:sz="4" w:space="0" w:color="000000"/>
              <w:left w:val="single" w:sz="4" w:space="0" w:color="000000"/>
              <w:bottom w:val="nil" w:sz="6" w:space="0" w:color="auto"/>
              <w:right w:val="single" w:sz="4" w:space="0" w:color="000000"/>
            </w:tcBorders>
          </w:tcPr>
          <w:p>
            <w:pPr/>
          </w:p>
        </w:tc>
        <w:tc>
          <w:tcPr>
            <w:tcW w:w="2393"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委员会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年第二批专利资</w:t>
            </w:r>
          </w:p>
        </w:tc>
        <w:tc>
          <w:tcPr>
            <w:tcW w:w="239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w w:val="95"/>
                <w:sz w:val="18"/>
              </w:rPr>
              <w:t>5,000.00</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w w:val="95"/>
                <w:sz w:val="18"/>
              </w:rPr>
              <w:t>5,000.00</w:t>
            </w:r>
          </w:p>
        </w:tc>
      </w:tr>
      <w:tr>
        <w:trPr>
          <w:trHeight w:val="355" w:hRule="exact"/>
        </w:trPr>
        <w:tc>
          <w:tcPr>
            <w:tcW w:w="23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助</w:t>
            </w:r>
          </w:p>
        </w:tc>
        <w:tc>
          <w:tcPr>
            <w:tcW w:w="2391" w:type="dxa"/>
            <w:tcBorders>
              <w:top w:val="nil" w:sz="6" w:space="0" w:color="auto"/>
              <w:left w:val="single" w:sz="4" w:space="0" w:color="000000"/>
              <w:bottom w:val="single" w:sz="4" w:space="0" w:color="000000"/>
              <w:right w:val="single" w:sz="4" w:space="0" w:color="000000"/>
            </w:tcBorders>
          </w:tcPr>
          <w:p>
            <w:pPr/>
          </w:p>
        </w:tc>
        <w:tc>
          <w:tcPr>
            <w:tcW w:w="2393" w:type="dxa"/>
            <w:tcBorders>
              <w:top w:val="nil" w:sz="6" w:space="0" w:color="auto"/>
              <w:left w:val="single" w:sz="4" w:space="0" w:color="000000"/>
              <w:bottom w:val="single" w:sz="4" w:space="0" w:color="000000"/>
              <w:right w:val="single" w:sz="4" w:space="0" w:color="000000"/>
            </w:tcBorders>
          </w:tcPr>
          <w:p>
            <w:pPr/>
          </w:p>
        </w:tc>
        <w:tc>
          <w:tcPr>
            <w:tcW w:w="2393" w:type="dxa"/>
            <w:tcBorders>
              <w:top w:val="nil" w:sz="6" w:space="0" w:color="auto"/>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335" w:lineRule="exact"/>
        <w:ind w:right="967"/>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0"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4"/>
        <w:rPr>
          <w:rFonts w:ascii="宋体" w:hAnsi="宋体" w:cs="宋体" w:eastAsia="宋体" w:hint="default"/>
          <w:sz w:val="16"/>
          <w:szCs w:val="16"/>
        </w:rPr>
      </w:pPr>
    </w:p>
    <w:p>
      <w:pPr>
        <w:pStyle w:val="Heading4"/>
        <w:spacing w:line="240" w:lineRule="auto"/>
        <w:ind w:right="967"/>
        <w:jc w:val="left"/>
        <w:rPr>
          <w:b w:val="0"/>
          <w:bCs w:val="0"/>
        </w:rPr>
      </w:pPr>
      <w:r>
        <w:rPr>
          <w:rFonts w:ascii="Times New Roman" w:hAnsi="Times New Roman" w:cs="Times New Roman" w:eastAsia="Times New Roman" w:hint="default"/>
        </w:rPr>
        <w:t>85</w:t>
      </w:r>
      <w:r>
        <w:rPr/>
        <w:t>、其他</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5"/>
        <w:rPr>
          <w:rFonts w:ascii="宋体" w:hAnsi="宋体" w:cs="宋体" w:eastAsia="宋体" w:hint="default"/>
          <w:sz w:val="19"/>
          <w:szCs w:val="19"/>
        </w:rPr>
      </w:pPr>
    </w:p>
    <w:p>
      <w:pPr>
        <w:pStyle w:val="Heading2"/>
        <w:spacing w:line="240" w:lineRule="auto"/>
        <w:ind w:right="967"/>
        <w:jc w:val="left"/>
        <w:rPr>
          <w:b w:val="0"/>
          <w:bCs w:val="0"/>
        </w:rPr>
      </w:pPr>
      <w:r>
        <w:rPr/>
        <w:t>八、合并范围的变更</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967"/>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67"/>
        <w:jc w:val="left"/>
      </w:pPr>
      <w:r>
        <w:rPr/>
        <w:t>是否存在单次处置对子公司投资即丧失控制权的情形</w:t>
      </w:r>
    </w:p>
    <w:p>
      <w:pPr>
        <w:pStyle w:val="BodyText"/>
        <w:spacing w:line="338" w:lineRule="auto" w:before="117"/>
        <w:ind w:right="4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是否存在通过多次交易分步处置对子公司投资且在本期丧失控制权的情形</w:t>
      </w:r>
    </w:p>
    <w:p>
      <w:pPr>
        <w:spacing w:line="482" w:lineRule="auto" w:before="44"/>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w:t>
      </w:r>
      <w:r>
        <w:rPr>
          <w:rFonts w:ascii="Times New Roman" w:hAnsi="Times New Roman" w:cs="Times New Roman" w:eastAsia="Times New Roman" w:hint="default"/>
          <w:b/>
          <w:bCs/>
          <w:spacing w:val="-1"/>
          <w:sz w:val="21"/>
          <w:szCs w:val="21"/>
        </w:rPr>
        <w:t>5</w:t>
      </w:r>
      <w:r>
        <w:rPr>
          <w:rFonts w:ascii="Microsoft JhengHei" w:hAnsi="Microsoft JhengHei" w:cs="Microsoft JhengHei" w:eastAsia="Microsoft JhengHei" w:hint="default"/>
          <w:b/>
          <w:bCs/>
          <w:spacing w:val="-1"/>
          <w:sz w:val="21"/>
          <w:szCs w:val="21"/>
        </w:rPr>
        <w:t>、其他原因的合并范围变动</w:t>
      </w:r>
      <w:r>
        <w:rPr>
          <w:rFonts w:ascii="Microsoft JhengHei" w:hAnsi="Microsoft JhengHei" w:cs="Microsoft JhengHei" w:eastAsia="Microsoft JhengHei" w:hint="default"/>
          <w:b/>
          <w:bCs/>
          <w:spacing w:val="-31"/>
          <w:sz w:val="21"/>
          <w:szCs w:val="21"/>
        </w:rPr>
        <w:t> </w:t>
      </w:r>
      <w:r>
        <w:rPr>
          <w:rFonts w:ascii="Microsoft JhengHei" w:hAnsi="Microsoft JhengHei" w:cs="Microsoft JhengHei" w:eastAsia="Microsoft JhengHei" w:hint="default"/>
          <w:b/>
          <w:bCs/>
          <w:spacing w:val="-31"/>
          <w:sz w:val="21"/>
          <w:szCs w:val="21"/>
        </w:rPr>
      </w:r>
      <w:r>
        <w:rPr>
          <w:rFonts w:ascii="宋体" w:hAnsi="宋体" w:cs="宋体" w:eastAsia="宋体" w:hint="default"/>
          <w:sz w:val="18"/>
          <w:szCs w:val="18"/>
        </w:rPr>
        <w:t>无</w:t>
      </w:r>
    </w:p>
    <w:p>
      <w:pPr>
        <w:pStyle w:val="Heading4"/>
        <w:spacing w:line="240" w:lineRule="auto" w:before="107"/>
        <w:ind w:right="967"/>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after="0" w:line="240" w:lineRule="auto"/>
        <w:jc w:val="left"/>
        <w:sectPr>
          <w:pgSz w:w="11910" w:h="16840"/>
          <w:pgMar w:header="877" w:footer="979" w:top="1100" w:bottom="1160" w:left="980" w:right="0"/>
        </w:sectPr>
      </w:pPr>
    </w:p>
    <w:p>
      <w:pPr>
        <w:spacing w:line="240" w:lineRule="auto" w:before="10"/>
        <w:rPr>
          <w:rFonts w:ascii="宋体" w:hAnsi="宋体" w:cs="宋体" w:eastAsia="宋体" w:hint="default"/>
          <w:sz w:val="19"/>
          <w:szCs w:val="19"/>
        </w:rPr>
      </w:pPr>
    </w:p>
    <w:p>
      <w:pPr>
        <w:pStyle w:val="Heading2"/>
        <w:spacing w:line="367" w:lineRule="exact"/>
        <w:ind w:right="967"/>
        <w:jc w:val="left"/>
        <w:rPr>
          <w:b w:val="0"/>
          <w:bCs w:val="0"/>
        </w:rPr>
      </w:pPr>
      <w:r>
        <w:rPr/>
        <w:t>九、在其他主体中的权益</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967"/>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4"/>
        <w:spacing w:line="240" w:lineRule="auto"/>
        <w:ind w:right="967"/>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北京中交金溢科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青岛金溢科技有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伟龙金溢科技</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53.85%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广东华信金溢信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佛山金溢科技有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佛山市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佛山市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无锡金溢科技有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57" w:lineRule="auto" w:before="49"/>
        <w:ind w:right="6974"/>
        <w:jc w:val="left"/>
      </w:pPr>
      <w:r>
        <w:rPr/>
        <w:t>在子公司的持股比例不同于表决权比例的说明： 无</w:t>
      </w:r>
    </w:p>
    <w:p>
      <w:pPr>
        <w:pStyle w:val="BodyText"/>
        <w:spacing w:line="357" w:lineRule="auto" w:before="29"/>
        <w:ind w:right="2834"/>
        <w:jc w:val="left"/>
      </w:pPr>
      <w:r>
        <w:rPr/>
        <w:t>持有半数或以下表决权但仍控制被投资单位、以及持有半数以上表决权但不控制被投资单位的依据： 无</w:t>
      </w:r>
    </w:p>
    <w:p>
      <w:pPr>
        <w:pStyle w:val="BodyText"/>
        <w:spacing w:line="360" w:lineRule="auto" w:before="29"/>
        <w:ind w:right="6434"/>
        <w:jc w:val="left"/>
      </w:pPr>
      <w:r>
        <w:rPr/>
        <w:t>对于纳入合并范围的重要的结构化主体，控制的依据： 无</w:t>
      </w:r>
    </w:p>
    <w:p>
      <w:pPr>
        <w:pStyle w:val="BodyText"/>
        <w:spacing w:line="357" w:lineRule="auto" w:before="27"/>
        <w:ind w:right="7694"/>
        <w:jc w:val="left"/>
      </w:pPr>
      <w:r>
        <w:rPr/>
        <w:t>确定公司是代理人还是委托人的依据： 无</w:t>
      </w:r>
    </w:p>
    <w:p>
      <w:pPr>
        <w:pStyle w:val="BodyText"/>
        <w:spacing w:line="357" w:lineRule="auto" w:before="29"/>
        <w:ind w:right="9854"/>
        <w:jc w:val="left"/>
      </w:pPr>
      <w:r>
        <w:rPr/>
        <w:t>其他说明： 无</w:t>
      </w:r>
    </w:p>
    <w:p>
      <w:pPr>
        <w:spacing w:line="240" w:lineRule="auto" w:before="5"/>
        <w:rPr>
          <w:rFonts w:ascii="宋体" w:hAnsi="宋体" w:cs="宋体" w:eastAsia="宋体" w:hint="default"/>
          <w:sz w:val="15"/>
          <w:szCs w:val="15"/>
        </w:rPr>
      </w:pPr>
    </w:p>
    <w:p>
      <w:pPr>
        <w:pStyle w:val="Heading4"/>
        <w:spacing w:line="240" w:lineRule="auto"/>
        <w:ind w:right="967"/>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6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39"/>
              <w:jc w:val="left"/>
              <w:rPr>
                <w:rFonts w:ascii="宋体" w:hAnsi="宋体" w:cs="宋体" w:eastAsia="宋体" w:hint="default"/>
                <w:sz w:val="18"/>
                <w:szCs w:val="18"/>
              </w:rPr>
            </w:pPr>
            <w:r>
              <w:rPr>
                <w:rFonts w:ascii="宋体" w:hAnsi="宋体" w:cs="宋体" w:eastAsia="宋体" w:hint="default"/>
                <w:sz w:val="18"/>
                <w:szCs w:val="18"/>
              </w:rPr>
              <w:t>伟龙金溢科技</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46.15%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-2,528,273.14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-9,839,613.91</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广东华信金溢信息技术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-54,337.61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-2,149,015.86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60" w:lineRule="auto" w:before="44"/>
        <w:ind w:right="6434"/>
        <w:jc w:val="left"/>
      </w:pPr>
      <w:r>
        <w:rPr/>
        <w:t>子公司少数股东的持股比例不同于表决权比例的说明： 无</w:t>
      </w:r>
    </w:p>
    <w:p>
      <w:pPr>
        <w:pStyle w:val="BodyText"/>
        <w:spacing w:line="357" w:lineRule="auto" w:before="27"/>
        <w:ind w:right="9854"/>
        <w:jc w:val="left"/>
      </w:pPr>
      <w:r>
        <w:rPr/>
        <w:t>其他说明： 无</w:t>
      </w:r>
    </w:p>
    <w:p>
      <w:pPr>
        <w:spacing w:line="240" w:lineRule="auto" w:before="5"/>
        <w:rPr>
          <w:rFonts w:ascii="宋体" w:hAnsi="宋体" w:cs="宋体" w:eastAsia="宋体" w:hint="default"/>
          <w:sz w:val="15"/>
          <w:szCs w:val="15"/>
        </w:rPr>
      </w:pPr>
    </w:p>
    <w:p>
      <w:pPr>
        <w:pStyle w:val="Heading4"/>
        <w:spacing w:line="240" w:lineRule="auto"/>
        <w:ind w:right="967"/>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403"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2"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355" w:hRule="exact"/>
        </w:trPr>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伟龙金</w:t>
            </w: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溢科技</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16,080,6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170,823.</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z w:val="18"/>
              </w:rPr>
              <w:t>16,251,4</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36,424,9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800,000.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37,224,9</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11,884,9</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226,464.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2"/>
                <w:sz w:val="18"/>
              </w:rPr>
              <w:t>12,111,4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27,153,9</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800,000.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27,953,9</w:t>
            </w:r>
          </w:p>
        </w:tc>
      </w:tr>
      <w:tr>
        <w:trPr>
          <w:trHeight w:val="312"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52.79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96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76.75</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42.55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42.55</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53.37</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69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18.06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76.60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76.60</w:t>
            </w:r>
          </w:p>
        </w:tc>
      </w:tr>
      <w:tr>
        <w:trPr>
          <w:trHeight w:val="355" w:hRule="exact"/>
        </w:trPr>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广东华</w:t>
            </w: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61"/>
              <w:jc w:val="both"/>
              <w:rPr>
                <w:rFonts w:ascii="宋体" w:hAnsi="宋体" w:cs="宋体" w:eastAsia="宋体" w:hint="default"/>
                <w:sz w:val="18"/>
                <w:szCs w:val="18"/>
              </w:rPr>
            </w:pPr>
            <w:r>
              <w:rPr>
                <w:rFonts w:ascii="宋体" w:hAnsi="宋体" w:cs="宋体" w:eastAsia="宋体" w:hint="default"/>
                <w:sz w:val="18"/>
                <w:szCs w:val="18"/>
              </w:rPr>
              <w:t>信金溢 信息技 术有限</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209,090.</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209,090.</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7,226,28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9.65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393,200.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7,619,48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9.65</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258,303.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66</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258,303.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7,088,13</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2.11</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393,200.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7,481,33</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2.11</w:t>
            </w:r>
          </w:p>
        </w:tc>
      </w:tr>
      <w:tr>
        <w:trPr>
          <w:trHeight w:val="358" w:hRule="exact"/>
        </w:trPr>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49"/>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401"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伟龙金溢科 技</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16,687,920.3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-5,478,381.66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-5,478,381.66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1,995,438.41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12,621,217.6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-10,818,021.0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-10,818,021.0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-6,000,136.88</w:t>
            </w:r>
          </w:p>
        </w:tc>
      </w:tr>
      <w:tr>
        <w:trPr>
          <w:trHeight w:val="355" w:hRule="exact"/>
        </w:trPr>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广东华信金</w:t>
            </w:r>
          </w:p>
        </w:tc>
        <w:tc>
          <w:tcPr>
            <w:tcW w:w="1061"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溢信息技术</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-187,371.09</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39" w:right="0"/>
              <w:jc w:val="center"/>
              <w:rPr>
                <w:rFonts w:ascii="Times New Roman" w:hAnsi="Times New Roman" w:cs="Times New Roman" w:eastAsia="Times New Roman" w:hint="default"/>
                <w:sz w:val="18"/>
                <w:szCs w:val="18"/>
              </w:rPr>
            </w:pPr>
            <w:r>
              <w:rPr>
                <w:rFonts w:ascii="Times New Roman"/>
                <w:sz w:val="18"/>
              </w:rPr>
              <w:t>-187,371.09</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-5,748.34</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39" w:right="0"/>
              <w:jc w:val="center"/>
              <w:rPr>
                <w:rFonts w:ascii="Times New Roman" w:hAnsi="Times New Roman" w:cs="Times New Roman" w:eastAsia="Times New Roman" w:hint="default"/>
                <w:sz w:val="18"/>
                <w:szCs w:val="18"/>
              </w:rPr>
            </w:pPr>
            <w:r>
              <w:rPr>
                <w:rFonts w:ascii="Times New Roman"/>
                <w:sz w:val="18"/>
              </w:rPr>
              <w:t>-161,209.63</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60" w:right="0"/>
              <w:jc w:val="left"/>
              <w:rPr>
                <w:rFonts w:ascii="Times New Roman" w:hAnsi="Times New Roman" w:cs="Times New Roman" w:eastAsia="Times New Roman" w:hint="default"/>
                <w:sz w:val="18"/>
                <w:szCs w:val="18"/>
              </w:rPr>
            </w:pPr>
            <w:r>
              <w:rPr>
                <w:rFonts w:ascii="Times New Roman"/>
                <w:sz w:val="18"/>
              </w:rPr>
              <w:t>-161,209.63</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936.41</w:t>
            </w:r>
          </w:p>
        </w:tc>
      </w:tr>
      <w:tr>
        <w:trPr>
          <w:trHeight w:val="355" w:hRule="exact"/>
        </w:trPr>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61"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bl>
    <w:p>
      <w:pPr>
        <w:pStyle w:val="BodyText"/>
        <w:spacing w:line="357" w:lineRule="auto" w:before="49"/>
        <w:ind w:right="9854"/>
        <w:jc w:val="left"/>
      </w:pPr>
      <w:r>
        <w:rPr/>
        <w:t>其他说明： 无</w:t>
      </w:r>
    </w:p>
    <w:p>
      <w:pPr>
        <w:spacing w:line="240" w:lineRule="auto" w:before="5"/>
        <w:rPr>
          <w:rFonts w:ascii="宋体" w:hAnsi="宋体" w:cs="宋体" w:eastAsia="宋体" w:hint="default"/>
          <w:sz w:val="15"/>
          <w:szCs w:val="15"/>
        </w:rPr>
      </w:pPr>
    </w:p>
    <w:p>
      <w:pPr>
        <w:pStyle w:val="Heading4"/>
        <w:spacing w:line="240" w:lineRule="auto"/>
        <w:ind w:right="967"/>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335" w:lineRule="exact"/>
        <w:ind w:right="967"/>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4"/>
        <w:spacing w:line="240" w:lineRule="auto"/>
        <w:ind w:right="967"/>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4" w:lineRule="auto"/>
              <w:ind w:left="322"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5"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山东高速信威信 息科技有限公司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济南市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济南市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24.50%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深圳宝溢交通科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pStyle w:val="BodyText"/>
        <w:spacing w:line="360" w:lineRule="auto" w:before="49"/>
        <w:ind w:right="5894"/>
        <w:jc w:val="left"/>
      </w:pPr>
      <w:r>
        <w:rPr/>
        <w:t>在合营企业或联营企业的持股比例不同于表决权比例的说明： 无</w:t>
      </w:r>
    </w:p>
    <w:p>
      <w:pPr>
        <w:pStyle w:val="BodyText"/>
        <w:spacing w:line="338" w:lineRule="auto" w:before="27"/>
        <w:ind w:right="3348"/>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 无</w:t>
      </w:r>
    </w:p>
    <w:p>
      <w:pPr>
        <w:spacing w:line="240" w:lineRule="auto" w:before="6"/>
        <w:rPr>
          <w:rFonts w:ascii="宋体" w:hAnsi="宋体" w:cs="宋体" w:eastAsia="宋体" w:hint="default"/>
          <w:sz w:val="16"/>
          <w:szCs w:val="16"/>
        </w:rPr>
      </w:pPr>
    </w:p>
    <w:p>
      <w:pPr>
        <w:pStyle w:val="Heading4"/>
        <w:spacing w:line="240" w:lineRule="auto"/>
        <w:ind w:right="967"/>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2" w:right="50" w:hanging="540"/>
              <w:jc w:val="left"/>
              <w:rPr>
                <w:rFonts w:ascii="宋体" w:hAnsi="宋体" w:cs="宋体" w:eastAsia="宋体" w:hint="default"/>
                <w:sz w:val="18"/>
                <w:szCs w:val="18"/>
              </w:rPr>
            </w:pPr>
            <w:r>
              <w:rPr>
                <w:rFonts w:ascii="宋体" w:hAnsi="宋体" w:cs="宋体" w:eastAsia="宋体" w:hint="default"/>
                <w:sz w:val="18"/>
                <w:szCs w:val="18"/>
              </w:rPr>
              <w:t>山东高速信威信息科技 有限公司</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2" w:right="51" w:hanging="720"/>
              <w:jc w:val="left"/>
              <w:rPr>
                <w:rFonts w:ascii="宋体" w:hAnsi="宋体" w:cs="宋体" w:eastAsia="宋体" w:hint="default"/>
                <w:sz w:val="18"/>
                <w:szCs w:val="18"/>
              </w:rPr>
            </w:pPr>
            <w:r>
              <w:rPr>
                <w:rFonts w:ascii="宋体" w:hAnsi="宋体" w:cs="宋体" w:eastAsia="宋体" w:hint="default"/>
                <w:sz w:val="18"/>
                <w:szCs w:val="18"/>
              </w:rPr>
              <w:t>深圳宝溢交通科技有限 公司</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2" w:right="48" w:hanging="540"/>
              <w:jc w:val="left"/>
              <w:rPr>
                <w:rFonts w:ascii="宋体" w:hAnsi="宋体" w:cs="宋体" w:eastAsia="宋体" w:hint="default"/>
                <w:sz w:val="18"/>
                <w:szCs w:val="18"/>
              </w:rPr>
            </w:pPr>
            <w:r>
              <w:rPr>
                <w:rFonts w:ascii="宋体" w:hAnsi="宋体" w:cs="宋体" w:eastAsia="宋体" w:hint="default"/>
                <w:sz w:val="18"/>
                <w:szCs w:val="18"/>
              </w:rPr>
              <w:t>山东高速信威信息科技 有限公司</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51" w:hanging="721"/>
              <w:jc w:val="left"/>
              <w:rPr>
                <w:rFonts w:ascii="宋体" w:hAnsi="宋体" w:cs="宋体" w:eastAsia="宋体" w:hint="default"/>
                <w:sz w:val="18"/>
                <w:szCs w:val="18"/>
              </w:rPr>
            </w:pPr>
            <w:r>
              <w:rPr>
                <w:rFonts w:ascii="宋体" w:hAnsi="宋体" w:cs="宋体" w:eastAsia="宋体" w:hint="default"/>
                <w:sz w:val="18"/>
                <w:szCs w:val="18"/>
              </w:rPr>
              <w:t>深圳宝溢交通科技有限 公司</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128,578,362.63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29,955,154.40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25,733,921.75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261,671.67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11,211.40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178,650.59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128,840,034.30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29,966,365.80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25,912,572.34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112,239,519.79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13,379,867.50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112,239,519.79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13,379,867.50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16,600,514.51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29,966,365.80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12,532,704.84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4,067,126.05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14,683,519.24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3,070,512.68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275,917.33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287,562.28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275,917.33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287,562.28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对联营企业权益投资的 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3,791,208.72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14,683,519.24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2,782,950.40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62,948,143.11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29,563,050.63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4,067,809.67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-33,634.20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1,619,073.53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4,067,809.67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-33,634.20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1,619,073.53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本年度收到的来自联营 企业的股利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57" w:lineRule="auto" w:before="49"/>
        <w:ind w:right="10034"/>
        <w:jc w:val="left"/>
      </w:pPr>
      <w:r>
        <w:rPr/>
        <w:t>其他说明 无</w:t>
      </w:r>
    </w:p>
    <w:p>
      <w:pPr>
        <w:spacing w:line="240" w:lineRule="auto" w:before="5"/>
        <w:rPr>
          <w:rFonts w:ascii="宋体" w:hAnsi="宋体" w:cs="宋体" w:eastAsia="宋体" w:hint="default"/>
          <w:sz w:val="15"/>
          <w:szCs w:val="15"/>
        </w:rPr>
      </w:pPr>
    </w:p>
    <w:p>
      <w:pPr>
        <w:pStyle w:val="Heading4"/>
        <w:spacing w:line="240" w:lineRule="auto"/>
        <w:ind w:right="967"/>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335" w:lineRule="exact"/>
        <w:ind w:right="0"/>
        <w:jc w:val="both"/>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both"/>
      </w:pPr>
      <w:r>
        <w:rPr/>
        <w:t>无</w:t>
      </w:r>
    </w:p>
    <w:p>
      <w:pPr>
        <w:spacing w:line="240" w:lineRule="auto" w:before="1"/>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6</w:t>
      </w:r>
      <w:r>
        <w:rPr/>
        <w:t>、其他</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both"/>
      </w:pPr>
      <w:r>
        <w:rPr/>
        <w:t>无</w:t>
      </w:r>
    </w:p>
    <w:p>
      <w:pPr>
        <w:spacing w:line="240" w:lineRule="auto" w:before="5"/>
        <w:rPr>
          <w:rFonts w:ascii="宋体" w:hAnsi="宋体" w:cs="宋体" w:eastAsia="宋体" w:hint="default"/>
          <w:sz w:val="19"/>
          <w:szCs w:val="19"/>
        </w:rPr>
      </w:pPr>
    </w:p>
    <w:p>
      <w:pPr>
        <w:pStyle w:val="Heading2"/>
        <w:spacing w:line="240" w:lineRule="auto"/>
        <w:ind w:right="0"/>
        <w:jc w:val="both"/>
        <w:rPr>
          <w:b w:val="0"/>
          <w:bCs w:val="0"/>
        </w:rPr>
      </w:pPr>
      <w:r>
        <w:rPr/>
        <w:t>十、与金融工具相关的风险</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19" w:lineRule="auto"/>
        <w:ind w:right="967" w:firstLine="420"/>
        <w:jc w:val="left"/>
      </w:pPr>
      <w:r>
        <w:rPr/>
        <w:t>本公司从事风险管理的目标是在风险和收益之间取得平衡，将风险对本公司经营业绩的负面影响降至最低水平，使股 </w:t>
      </w:r>
      <w:r>
        <w:rPr>
          <w:spacing w:val="-4"/>
        </w:rPr>
        <w:t>东和其他权益投资者的利益最大化。基于该风险管理目标，本公司风险管理的基本策略是确认和分析本公司面临的各种风险，</w:t>
      </w:r>
      <w:r>
        <w:rPr>
          <w:spacing w:val="-43"/>
        </w:rPr>
        <w:t> </w:t>
      </w:r>
      <w:r>
        <w:rPr>
          <w:spacing w:val="-43"/>
        </w:rPr>
      </w:r>
      <w:r>
        <w:rPr/>
        <w:t>建立适当的风险承受底线和进行风险管理，并及时可靠地对各种风险进行监督，将风险控制在限定的范围内。</w:t>
      </w:r>
    </w:p>
    <w:p>
      <w:pPr>
        <w:pStyle w:val="BodyText"/>
        <w:spacing w:line="316" w:lineRule="auto" w:before="17"/>
        <w:ind w:right="967" w:firstLine="420"/>
        <w:jc w:val="left"/>
      </w:pPr>
      <w:r>
        <w:rPr/>
        <w:t>本公司在日常活动中面临各种与金融工具相关的风险，主要包括信用风险、流动性风险及市场风险。管理层已审议并 批准管理这些风险的政策，概括如下。</w:t>
      </w:r>
    </w:p>
    <w:p>
      <w:pPr>
        <w:pStyle w:val="BodyText"/>
        <w:spacing w:line="309" w:lineRule="auto" w:before="19"/>
        <w:ind w:left="573" w:right="3853"/>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信用风险</w:t>
      </w:r>
      <w:r>
        <w:rPr>
          <w:w w:val="99"/>
        </w:rPr>
        <w:t> </w:t>
      </w:r>
      <w:r>
        <w:rPr/>
        <w:t>信用风险，是指金融工具的一方不能履行义务，造成另一方发生财务损失的风险。</w:t>
      </w:r>
      <w:r>
        <w:rPr>
          <w:w w:val="99"/>
        </w:rPr>
        <w:t>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信用风险管理实务</w:t>
      </w:r>
    </w:p>
    <w:p>
      <w:pPr>
        <w:pStyle w:val="BodyText"/>
        <w:spacing w:line="300" w:lineRule="auto" w:before="5"/>
        <w:ind w:left="573" w:right="96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信用风险的评价方法</w:t>
      </w:r>
      <w:r>
        <w:rPr>
          <w:w w:val="99"/>
        </w:rPr>
        <w:t> </w:t>
      </w:r>
      <w:r>
        <w:rPr/>
        <w:t>公司在每个资产负债表日评估相关金融工具的信用风险自初始确认后是否已显著增加。在确定信用风险自初始确认后</w:t>
      </w:r>
    </w:p>
    <w:p>
      <w:pPr>
        <w:pStyle w:val="BodyText"/>
        <w:spacing w:line="319" w:lineRule="auto" w:before="31"/>
        <w:ind w:right="1130"/>
        <w:jc w:val="both"/>
      </w:pPr>
      <w:r>
        <w:rPr>
          <w:spacing w:val="-2"/>
        </w:rPr>
        <w:t>是否显著增加时，公司考虑在无须付出不必要的额外成本或努力即可获得合理且有依据的信息，包括基于历史数据的定性和</w:t>
      </w:r>
      <w:r>
        <w:rPr>
          <w:spacing w:val="-64"/>
        </w:rPr>
        <w:t> </w:t>
      </w:r>
      <w:r>
        <w:rPr>
          <w:spacing w:val="-64"/>
        </w:rPr>
      </w:r>
      <w:r>
        <w:rPr>
          <w:spacing w:val="-2"/>
        </w:rPr>
        <w:t>定量分析、外部信用风险评级以及前瞻性信息。公司以单项金融工具或者具有相似信用风险特征的金融工具组合为基础，通</w:t>
      </w:r>
      <w:r>
        <w:rPr>
          <w:spacing w:val="-63"/>
        </w:rPr>
        <w:t> </w:t>
      </w:r>
      <w:r>
        <w:rPr>
          <w:spacing w:val="-63"/>
        </w:rPr>
      </w:r>
      <w:r>
        <w:rPr>
          <w:spacing w:val="-2"/>
        </w:rPr>
        <w:t>过比较金融工具在资产负债表日发生违约的风险与在初始确认日发生违约的风险，以确定金融工具预计存续期内发生违约风</w:t>
      </w:r>
      <w:r>
        <w:rPr>
          <w:spacing w:val="-64"/>
        </w:rPr>
        <w:t> </w:t>
      </w:r>
      <w:r>
        <w:rPr>
          <w:spacing w:val="-64"/>
        </w:rPr>
      </w:r>
      <w:r>
        <w:rPr/>
        <w:t>险的变化情况。</w:t>
      </w:r>
    </w:p>
    <w:p>
      <w:pPr>
        <w:pStyle w:val="BodyText"/>
        <w:spacing w:line="240" w:lineRule="auto" w:before="17"/>
        <w:ind w:left="573" w:right="967"/>
        <w:jc w:val="left"/>
      </w:pPr>
      <w:r>
        <w:rPr/>
        <w:t>当触发以下一个或多个定量、定性标准时，公司认为金融工具的信用风险已发生显著增加：</w:t>
      </w:r>
    </w:p>
    <w:p>
      <w:pPr>
        <w:pStyle w:val="BodyText"/>
        <w:spacing w:line="240" w:lineRule="auto" w:before="76"/>
        <w:ind w:left="573" w:right="96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定量标准主要为资产负债表日剩余存续期违约概率较初始确认时上升超过一定比例；</w:t>
      </w:r>
    </w:p>
    <w:p>
      <w:pPr>
        <w:pStyle w:val="BodyText"/>
        <w:spacing w:line="300" w:lineRule="auto" w:before="63"/>
        <w:ind w:right="1118"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1"/>
        </w:rPr>
        <w:t> </w:t>
      </w:r>
      <w:r>
        <w:rPr/>
        <w:t>定性标准主要为债务人经营或财务情况出现重大不利变化、现存的或预期的技术、市场、经济或法律环境变化并将 对债务人对公司的还款能力产生重大不利影响等。</w:t>
      </w:r>
    </w:p>
    <w:p>
      <w:pPr>
        <w:pStyle w:val="BodyText"/>
        <w:spacing w:line="309" w:lineRule="auto" w:before="31"/>
        <w:ind w:left="573" w:right="96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违约和已发生信用减值资产的定义</w:t>
      </w:r>
      <w:r>
        <w:rPr>
          <w:w w:val="99"/>
        </w:rPr>
        <w:t> </w:t>
      </w:r>
      <w:r>
        <w:rPr>
          <w:spacing w:val="-2"/>
        </w:rPr>
        <w:t>当金融工具符合以下一项或多项条件时，公司将该金融资产界定为已发生违约，其标准与已发生信用减值的定义一致：</w:t>
      </w:r>
      <w:r>
        <w:rPr>
          <w:spacing w:val="-41"/>
        </w:rPr>
        <w:t> </w:t>
      </w:r>
      <w:r>
        <w:rPr>
          <w:spacing w:val="-41"/>
        </w:rPr>
      </w: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债务人发生重大财务困难；</w:t>
      </w:r>
    </w:p>
    <w:p>
      <w:pPr>
        <w:pStyle w:val="BodyText"/>
        <w:spacing w:line="240" w:lineRule="auto" w:before="5"/>
        <w:ind w:left="573" w:right="96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债务人违反合同中对债务人的约束条款；</w:t>
      </w:r>
    </w:p>
    <w:p>
      <w:pPr>
        <w:pStyle w:val="BodyText"/>
        <w:spacing w:line="240" w:lineRule="auto" w:before="63"/>
        <w:ind w:left="573" w:right="96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债务人很可能破产或进行其他财务重组；</w:t>
      </w:r>
    </w:p>
    <w:p>
      <w:pPr>
        <w:pStyle w:val="BodyText"/>
        <w:spacing w:line="240" w:lineRule="auto" w:before="63"/>
        <w:ind w:left="573" w:right="967"/>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8"/>
        </w:rPr>
        <w:t> </w:t>
      </w:r>
      <w:r>
        <w:rPr/>
        <w:t>债权人出于与债务人财务困难有关的经济或合同考虑，给予债务人在任何其他情况下都不会做出的让步。</w:t>
      </w:r>
    </w:p>
    <w:p>
      <w:pPr>
        <w:pStyle w:val="BodyText"/>
        <w:spacing w:line="300" w:lineRule="auto" w:before="63"/>
        <w:ind w:left="573" w:right="109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预期信用损失的计量 预期信用损失计量的关键参数包括违约概率、违约损失率和违约风险敞口。公司考虑历史统计数据</w:t>
      </w:r>
      <w:r>
        <w:rPr>
          <w:rFonts w:ascii="Times New Roman" w:hAnsi="Times New Roman" w:cs="Times New Roman" w:eastAsia="Times New Roman" w:hint="default"/>
        </w:rPr>
        <w:t>(</w:t>
      </w:r>
      <w:r>
        <w:rPr/>
        <w:t>如交易对手评级、</w:t>
      </w:r>
    </w:p>
    <w:p>
      <w:pPr>
        <w:pStyle w:val="BodyText"/>
        <w:spacing w:line="240" w:lineRule="auto" w:before="13"/>
        <w:ind w:right="0"/>
        <w:jc w:val="both"/>
      </w:pPr>
      <w:r>
        <w:rPr/>
        <w:t>担保方式及抵质押物类别、还款方式等</w:t>
      </w:r>
      <w:r>
        <w:rPr>
          <w:rFonts w:ascii="Times New Roman" w:hAnsi="Times New Roman" w:cs="Times New Roman" w:eastAsia="Times New Roman" w:hint="default"/>
        </w:rPr>
        <w:t>)</w:t>
      </w:r>
      <w:r>
        <w:rPr/>
        <w:t>的定量分析及前瞻性信息，建立违约概率、违约损失率及违约风险敞口模型。</w:t>
      </w:r>
    </w:p>
    <w:p>
      <w:pPr>
        <w:pStyle w:val="BodyText"/>
        <w:spacing w:line="240" w:lineRule="auto" w:before="63"/>
        <w:ind w:left="573" w:right="96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5"/>
        </w:rPr>
        <w:t> </w:t>
      </w:r>
      <w:r>
        <w:rPr/>
        <w:t>金融工具损失准备期初余额与期末余额调节表详见本财务报告附注七（</w:t>
      </w:r>
      <w:r>
        <w:rPr>
          <w:rFonts w:ascii="Times New Roman" w:hAnsi="Times New Roman" w:cs="Times New Roman" w:eastAsia="Times New Roman" w:hint="default"/>
        </w:rPr>
        <w:t>4</w:t>
      </w:r>
      <w:r>
        <w:rPr/>
        <w:t>）、七（</w:t>
      </w:r>
      <w:r>
        <w:rPr>
          <w:rFonts w:ascii="Times New Roman" w:hAnsi="Times New Roman" w:cs="Times New Roman" w:eastAsia="Times New Roman" w:hint="default"/>
        </w:rPr>
        <w:t>5</w:t>
      </w:r>
      <w:r>
        <w:rPr/>
        <w:t>）、七（</w:t>
      </w:r>
      <w:r>
        <w:rPr>
          <w:rFonts w:ascii="Times New Roman" w:hAnsi="Times New Roman" w:cs="Times New Roman" w:eastAsia="Times New Roman" w:hint="default"/>
        </w:rPr>
        <w:t>8</w:t>
      </w:r>
      <w:r>
        <w:rPr/>
        <w:t>）之说明。</w:t>
      </w:r>
    </w:p>
    <w:p>
      <w:pPr>
        <w:pStyle w:val="BodyText"/>
        <w:spacing w:line="309" w:lineRule="auto" w:before="63"/>
        <w:ind w:left="513" w:right="2203" w:firstLine="6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信用风险敞口及信用风险集中度 本公司的信用风险主要来自货币资金和应收款项。为控制上述相关风险，本公司分别采取了以下措施。 </w:t>
      </w: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货币资金</w:t>
      </w:r>
    </w:p>
    <w:p>
      <w:pPr>
        <w:pStyle w:val="BodyText"/>
        <w:spacing w:line="240" w:lineRule="auto" w:before="5"/>
        <w:ind w:left="573" w:right="967"/>
        <w:jc w:val="left"/>
      </w:pPr>
      <w:r>
        <w:rPr/>
        <w:t>本公司将银行存款和其他货币资金存放于信用评级较高的金融机构，故其信用风险较低。</w:t>
      </w:r>
    </w:p>
    <w:p>
      <w:pPr>
        <w:pStyle w:val="BodyText"/>
        <w:spacing w:line="300" w:lineRule="auto" w:before="77"/>
        <w:ind w:left="573" w:right="967" w:hanging="6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应收款项</w:t>
      </w:r>
      <w:r>
        <w:rPr>
          <w:w w:val="99"/>
        </w:rPr>
        <w:t> </w:t>
      </w:r>
      <w:r>
        <w:rPr/>
        <w:t>本公司持续对采用信用方式交易的客户进行信用评估。根据信用评估结果，本公司选择与经认可的且信用良好的客户</w:t>
      </w:r>
    </w:p>
    <w:p>
      <w:pPr>
        <w:pStyle w:val="BodyText"/>
        <w:spacing w:line="240" w:lineRule="auto" w:before="31"/>
        <w:ind w:right="0"/>
        <w:jc w:val="both"/>
      </w:pPr>
      <w:r>
        <w:rPr/>
        <w:t>进行交易，并对其应收款项余额进行监控，以确保本公司不会面临重大坏账风险。</w:t>
      </w:r>
    </w:p>
    <w:p>
      <w:pPr>
        <w:spacing w:after="0" w:line="240" w:lineRule="auto"/>
        <w:jc w:val="both"/>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00" w:lineRule="auto" w:before="44"/>
        <w:ind w:right="1033" w:firstLine="420"/>
        <w:jc w:val="left"/>
      </w:pPr>
      <w:r>
        <w:rPr>
          <w:spacing w:val="-3"/>
        </w:rPr>
        <w:t>由于本公司仅与经认可的且信用良好的第三方进行交易，所以无需担保物。信用风险集中按照客户进行管理。截至</w:t>
      </w:r>
      <w:r>
        <w:rPr>
          <w:rFonts w:ascii="Times New Roman" w:hAnsi="Times New Roman" w:cs="Times New Roman" w:eastAsia="Times New Roman" w:hint="default"/>
          <w:spacing w:val="-3"/>
        </w:rPr>
        <w:t>2019</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日，本公司存在一定的信用集中风险，本公司应收账款的</w:t>
      </w:r>
      <w:r>
        <w:rPr>
          <w:rFonts w:ascii="Times New Roman" w:hAnsi="Times New Roman" w:cs="Times New Roman" w:eastAsia="Times New Roman" w:hint="default"/>
        </w:rPr>
        <w:t>64.59%</w:t>
      </w:r>
      <w:r>
        <w:rPr>
          <w:rFonts w:ascii="Times New Roman" w:hAnsi="Times New Roman" w:cs="Times New Roman" w:eastAsia="Times New Roman" w:hint="default"/>
          <w:spacing w:val="-14"/>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35.65%)</w:t>
      </w:r>
      <w:r>
        <w:rPr/>
        <w:t>源于余额前五名客户。 本公司对应收账款余额未持有任何担保物或其他信用增级。</w:t>
      </w:r>
    </w:p>
    <w:p>
      <w:pPr>
        <w:pStyle w:val="BodyText"/>
        <w:spacing w:line="240" w:lineRule="auto" w:before="31"/>
        <w:ind w:left="573" w:right="967"/>
        <w:jc w:val="left"/>
      </w:pPr>
      <w:r>
        <w:rPr/>
        <w:t>本公司所承受的最大信用风险敞口为资产负债表中每项金融资产的账面价值。</w:t>
      </w:r>
    </w:p>
    <w:p>
      <w:pPr>
        <w:pStyle w:val="BodyText"/>
        <w:spacing w:line="300" w:lineRule="auto" w:before="76"/>
        <w:ind w:left="573" w:right="967"/>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流动性风险</w:t>
      </w:r>
      <w:r>
        <w:rPr>
          <w:w w:val="99"/>
        </w:rPr>
        <w:t> </w:t>
      </w:r>
      <w:r>
        <w:rPr/>
        <w:t>流动性风险，是指本公司在履行以交付现金或其他金融资产的方式结算的义务时发生资金短缺的风险。流动性风险可</w:t>
      </w:r>
    </w:p>
    <w:p>
      <w:pPr>
        <w:pStyle w:val="BodyText"/>
        <w:spacing w:line="316" w:lineRule="auto" w:before="31"/>
        <w:ind w:right="967"/>
        <w:jc w:val="left"/>
      </w:pPr>
      <w:r>
        <w:rPr>
          <w:spacing w:val="-2"/>
        </w:rPr>
        <w:t>能源于无法尽快以公允价值售出金融资产；或者源于对方无法偿还其合同债务；或者源于提前到期的债务；或者源于无法产</w:t>
      </w:r>
      <w:r>
        <w:rPr>
          <w:spacing w:val="-63"/>
        </w:rPr>
        <w:t> </w:t>
      </w:r>
      <w:r>
        <w:rPr>
          <w:spacing w:val="-63"/>
        </w:rPr>
      </w:r>
      <w:r>
        <w:rPr/>
        <w:t>生预期的现金流量。</w:t>
      </w:r>
    </w:p>
    <w:p>
      <w:pPr>
        <w:pStyle w:val="BodyText"/>
        <w:spacing w:line="316" w:lineRule="auto" w:before="19"/>
        <w:ind w:right="1132" w:firstLine="420"/>
        <w:jc w:val="both"/>
      </w:pPr>
      <w:r>
        <w:rPr/>
        <w:t>为控制该项风险，本公司综合运用票据结算、银行借款等多种融资手段，并采取长、短期融资方式适当结合，优化融 </w:t>
      </w:r>
      <w:r>
        <w:rPr>
          <w:spacing w:val="-2"/>
        </w:rPr>
        <w:t>资结构的方法，保持融资持续性与灵活性之间的平衡。本公司已从多家商业银行取得银行授信额度以满足营运资金需求和资</w:t>
      </w:r>
      <w:r>
        <w:rPr>
          <w:spacing w:val="-64"/>
        </w:rPr>
        <w:t> </w:t>
      </w:r>
      <w:r>
        <w:rPr>
          <w:spacing w:val="-64"/>
        </w:rPr>
      </w:r>
      <w:r>
        <w:rPr/>
        <w:t>本开支。</w:t>
      </w:r>
    </w:p>
    <w:p>
      <w:pPr>
        <w:pStyle w:val="BodyText"/>
        <w:spacing w:line="240" w:lineRule="auto" w:before="19"/>
        <w:ind w:left="573" w:right="967"/>
        <w:jc w:val="left"/>
      </w:pPr>
      <w:r>
        <w:rPr/>
        <w:t>金融负债按剩余到期日分类</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244"/>
        <w:gridCol w:w="1700"/>
        <w:gridCol w:w="1702"/>
        <w:gridCol w:w="1702"/>
        <w:gridCol w:w="850"/>
        <w:gridCol w:w="994"/>
      </w:tblGrid>
      <w:tr>
        <w:trPr>
          <w:trHeight w:val="348" w:hRule="exact"/>
        </w:trPr>
        <w:tc>
          <w:tcPr>
            <w:tcW w:w="1244" w:type="dxa"/>
            <w:vMerge w:val="restart"/>
            <w:tcBorders>
              <w:top w:val="single" w:sz="6" w:space="0" w:color="000000"/>
              <w:left w:val="single" w:sz="6" w:space="0" w:color="000000"/>
              <w:right w:val="single" w:sz="6" w:space="0" w:color="000000"/>
            </w:tcBorders>
          </w:tcPr>
          <w:p>
            <w:pPr>
              <w:pStyle w:val="TableParagraph"/>
              <w:spacing w:line="240" w:lineRule="auto" w:before="17"/>
              <w:ind w:left="185"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6947"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6" w:hRule="exact"/>
        </w:trPr>
        <w:tc>
          <w:tcPr>
            <w:tcW w:w="1244" w:type="dxa"/>
            <w:vMerge/>
            <w:tcBorders>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8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3"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48" w:hRule="exact"/>
        </w:trPr>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585,887,257.45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585,887,257.45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585,887,257.45</w:t>
            </w:r>
          </w:p>
        </w:tc>
        <w:tc>
          <w:tcPr>
            <w:tcW w:w="8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422,020,050.18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422,020,050.18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422,020,050.18</w:t>
            </w:r>
          </w:p>
        </w:tc>
        <w:tc>
          <w:tcPr>
            <w:tcW w:w="8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106,391,995.42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106,391,995.42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106,391,995.42</w:t>
            </w:r>
            <w:r>
              <w:rPr>
                <w:rFonts w:ascii="Times New Roman"/>
                <w:sz w:val="18"/>
              </w:rPr>
            </w:r>
          </w:p>
        </w:tc>
        <w:tc>
          <w:tcPr>
            <w:tcW w:w="8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85"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1,114,299,303.05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1,114,299,303.05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1,114,299,303.05</w:t>
            </w:r>
          </w:p>
        </w:tc>
        <w:tc>
          <w:tcPr>
            <w:tcW w:w="85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8"/>
        <w:ind w:left="573" w:right="967"/>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9"/>
        <w:rPr>
          <w:rFonts w:ascii="Times New Roman" w:hAnsi="Times New Roman" w:cs="Times New Roman" w:eastAsia="Times New Roman"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1244"/>
        <w:gridCol w:w="1700"/>
        <w:gridCol w:w="1702"/>
        <w:gridCol w:w="1724"/>
        <w:gridCol w:w="828"/>
        <w:gridCol w:w="994"/>
      </w:tblGrid>
      <w:tr>
        <w:trPr>
          <w:trHeight w:val="346" w:hRule="exact"/>
        </w:trPr>
        <w:tc>
          <w:tcPr>
            <w:tcW w:w="1244" w:type="dxa"/>
            <w:vMerge w:val="restart"/>
            <w:tcBorders>
              <w:top w:val="single" w:sz="6" w:space="0" w:color="000000"/>
              <w:left w:val="single" w:sz="6" w:space="0" w:color="000000"/>
              <w:right w:val="single" w:sz="6" w:space="0" w:color="000000"/>
            </w:tcBorders>
          </w:tcPr>
          <w:p>
            <w:pPr>
              <w:pStyle w:val="TableParagraph"/>
              <w:spacing w:line="240" w:lineRule="auto" w:before="17"/>
              <w:ind w:left="185"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6947"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8" w:hRule="exact"/>
        </w:trPr>
        <w:tc>
          <w:tcPr>
            <w:tcW w:w="1244" w:type="dxa"/>
            <w:vMerge/>
            <w:tcBorders>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8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3"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46" w:hRule="exact"/>
        </w:trPr>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64,878,808.83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64,878,808.83</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64,878,808.83</w:t>
            </w:r>
          </w:p>
        </w:tc>
        <w:tc>
          <w:tcPr>
            <w:tcW w:w="82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173,878,876.31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173,878,876.31</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173,878,876.31</w:t>
            </w:r>
          </w:p>
        </w:tc>
        <w:tc>
          <w:tcPr>
            <w:tcW w:w="82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46,564,793.84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46,564,793.84</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46,564,793.84</w:t>
            </w:r>
          </w:p>
        </w:tc>
        <w:tc>
          <w:tcPr>
            <w:tcW w:w="82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85"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285,322,478.98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285,322,478.98</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285,322,478.98</w:t>
            </w:r>
          </w:p>
        </w:tc>
        <w:tc>
          <w:tcPr>
            <w:tcW w:w="82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00" w:lineRule="auto" w:before="8"/>
        <w:ind w:left="573" w:right="967"/>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市场风险</w:t>
      </w:r>
      <w:r>
        <w:rPr>
          <w:w w:val="99"/>
        </w:rPr>
        <w:t> </w:t>
      </w:r>
      <w:r>
        <w:rPr/>
        <w:t>市场风险，是指金融工具的公允价值或未来现金流量因市场价格变动而发生波动的风险。市场风险主要包括利率风险</w:t>
      </w:r>
    </w:p>
    <w:p>
      <w:pPr>
        <w:pStyle w:val="BodyText"/>
        <w:spacing w:line="240" w:lineRule="auto" w:before="31"/>
        <w:ind w:right="967"/>
        <w:jc w:val="left"/>
      </w:pPr>
      <w:r>
        <w:rPr/>
        <w:t>和外汇风险。</w:t>
      </w:r>
    </w:p>
    <w:p>
      <w:pPr>
        <w:pStyle w:val="BodyText"/>
        <w:spacing w:line="300" w:lineRule="auto" w:before="76"/>
        <w:ind w:left="573" w:right="96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利率风险 利率风险，是指金融工具的公允价值或未来现金流量因市场利率变动而发生波动的风险。固定利率的带息金融工具使</w:t>
      </w:r>
    </w:p>
    <w:p>
      <w:pPr>
        <w:pStyle w:val="BodyText"/>
        <w:spacing w:line="316" w:lineRule="auto" w:before="32"/>
        <w:ind w:right="967"/>
        <w:jc w:val="left"/>
      </w:pPr>
      <w:r>
        <w:rPr>
          <w:spacing w:val="-2"/>
        </w:rPr>
        <w:t>本公司面临公允价值利率风险，浮动利率的带息金融工具使本公司面临现金流量利率风险。本公司根据市场环境来决定固定</w:t>
      </w:r>
      <w:r>
        <w:rPr>
          <w:spacing w:val="-64"/>
        </w:rPr>
        <w:t> </w:t>
      </w:r>
      <w:r>
        <w:rPr>
          <w:spacing w:val="-64"/>
        </w:rPr>
      </w:r>
      <w:r>
        <w:rPr/>
        <w:t>利率与浮动利率金融工具的比例，并通过定期审阅与监控维持适当的金融工具组合。</w:t>
      </w:r>
    </w:p>
    <w:p>
      <w:pPr>
        <w:pStyle w:val="BodyText"/>
        <w:spacing w:line="300" w:lineRule="auto" w:before="19"/>
        <w:ind w:left="513" w:right="96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外汇风险 </w:t>
      </w:r>
      <w:r>
        <w:rPr>
          <w:spacing w:val="-2"/>
        </w:rPr>
        <w:t>外汇风险，是指金融工具的公允价值或未来现金流量因外汇汇率变动而发生波动的风险。本公司面临的汇率变动的风险</w:t>
      </w:r>
    </w:p>
    <w:p>
      <w:pPr>
        <w:pStyle w:val="BodyText"/>
        <w:spacing w:line="316" w:lineRule="auto" w:before="31"/>
        <w:ind w:right="967"/>
        <w:jc w:val="left"/>
      </w:pPr>
      <w:r>
        <w:rPr>
          <w:spacing w:val="-2"/>
        </w:rPr>
        <w:t>主要与本公司外币货币性资产和负债有关。本公司于中国内地经营，且主要活动以人民币计价。因此，本公司所承担的外汇</w:t>
      </w:r>
      <w:r>
        <w:rPr>
          <w:spacing w:val="-64"/>
        </w:rPr>
        <w:t> </w:t>
      </w:r>
      <w:r>
        <w:rPr>
          <w:spacing w:val="-64"/>
        </w:rPr>
      </w:r>
      <w:r>
        <w:rPr/>
        <w:t>变动市场风险不重大。</w:t>
      </w:r>
    </w:p>
    <w:p>
      <w:pPr>
        <w:pStyle w:val="BodyText"/>
        <w:spacing w:line="240" w:lineRule="auto" w:before="19"/>
        <w:ind w:left="513" w:right="967"/>
        <w:jc w:val="left"/>
      </w:pPr>
      <w:r>
        <w:rPr/>
        <w:t>本公司期末外币货币性资产和负债情况详见本财务报告附注七（</w:t>
      </w:r>
      <w:r>
        <w:rPr>
          <w:rFonts w:ascii="宋体" w:hAnsi="宋体" w:cs="宋体" w:eastAsia="宋体" w:hint="default"/>
        </w:rPr>
        <w:t>82</w:t>
      </w:r>
      <w:r>
        <w:rPr/>
        <w:t>）之说明。</w:t>
      </w:r>
    </w:p>
    <w:p>
      <w:pPr>
        <w:spacing w:line="240" w:lineRule="auto" w:before="5"/>
        <w:rPr>
          <w:rFonts w:ascii="宋体" w:hAnsi="宋体" w:cs="宋体" w:eastAsia="宋体" w:hint="default"/>
          <w:sz w:val="19"/>
          <w:szCs w:val="19"/>
        </w:rPr>
      </w:pPr>
    </w:p>
    <w:p>
      <w:pPr>
        <w:pStyle w:val="Heading2"/>
        <w:spacing w:line="240" w:lineRule="auto"/>
        <w:ind w:right="967"/>
        <w:jc w:val="left"/>
        <w:rPr>
          <w:b w:val="0"/>
          <w:bCs w:val="0"/>
        </w:rPr>
      </w:pPr>
      <w:r>
        <w:rPr/>
        <w:t>十一、公允价值的披露</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967"/>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23"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4"/>
                <w:sz w:val="18"/>
                <w:szCs w:val="18"/>
              </w:rPr>
              <w:t>（三）其他权益工具投资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45,123,200.00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45,123,200.00</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（六）应收款项融资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66,041,370.00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66,041,370.00</w:t>
            </w:r>
          </w:p>
        </w:tc>
      </w:tr>
      <w:tr>
        <w:trPr>
          <w:trHeight w:val="715"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45,123,200.00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66,041,370.00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111,164,570.00</w:t>
            </w:r>
          </w:p>
        </w:tc>
      </w:tr>
      <w:tr>
        <w:trPr>
          <w:trHeight w:val="715"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pStyle w:val="Heading4"/>
        <w:spacing w:line="335" w:lineRule="exact"/>
        <w:ind w:right="967"/>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13" w:right="967"/>
        <w:jc w:val="left"/>
      </w:pPr>
      <w:r>
        <w:rPr/>
        <w:t>持续第二层次公允价值计量项目结合最近一次增资价格为确定依据。</w:t>
      </w:r>
    </w:p>
    <w:p>
      <w:pPr>
        <w:spacing w:line="240" w:lineRule="auto" w:before="2"/>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513" w:right="967"/>
        <w:jc w:val="left"/>
      </w:pPr>
      <w:r>
        <w:rPr/>
        <w:t>公司持有的应收票据公允价值与账面价值差异较小，故以账面价值作为公允价值。</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2"/>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1034" w:firstLine="360"/>
        <w:jc w:val="left"/>
      </w:pPr>
      <w:r>
        <w:rPr/>
        <w:t>期末公司以摊余成本计量的金融资产和金融负债主要包括：货币资金、应收票据、应收账款、其他应收款、应付账款、 其他应付款等。以上不以公允价值计量的金融资产和金融负债的账面价值与公允价值相差很小。</w:t>
      </w:r>
    </w:p>
    <w:p>
      <w:pPr>
        <w:spacing w:line="240" w:lineRule="auto" w:before="9"/>
        <w:rPr>
          <w:rFonts w:ascii="宋体" w:hAnsi="宋体" w:cs="宋体" w:eastAsia="宋体" w:hint="default"/>
          <w:sz w:val="17"/>
          <w:szCs w:val="17"/>
        </w:rPr>
      </w:pPr>
    </w:p>
    <w:p>
      <w:pPr>
        <w:pStyle w:val="Heading4"/>
        <w:spacing w:line="240" w:lineRule="auto"/>
        <w:ind w:right="967"/>
        <w:jc w:val="left"/>
        <w:rPr>
          <w:b w:val="0"/>
          <w:bCs w:val="0"/>
        </w:rPr>
      </w:pPr>
      <w:r>
        <w:rPr>
          <w:rFonts w:ascii="Times New Roman" w:hAnsi="Times New Roman" w:cs="Times New Roman" w:eastAsia="Times New Roman" w:hint="default"/>
        </w:rPr>
        <w:t>9</w:t>
      </w:r>
      <w:r>
        <w:rPr/>
        <w:t>、其他</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after="0" w:line="240" w:lineRule="auto"/>
        <w:jc w:val="left"/>
        <w:sectPr>
          <w:pgSz w:w="11910" w:h="16840"/>
          <w:pgMar w:header="877" w:footer="979" w:top="1100" w:bottom="1160" w:left="980" w:right="0"/>
        </w:sectPr>
      </w:pPr>
    </w:p>
    <w:p>
      <w:pPr>
        <w:spacing w:line="240" w:lineRule="auto" w:before="10"/>
        <w:rPr>
          <w:rFonts w:ascii="宋体" w:hAnsi="宋体" w:cs="宋体" w:eastAsia="宋体" w:hint="default"/>
          <w:sz w:val="19"/>
          <w:szCs w:val="19"/>
        </w:rPr>
      </w:pPr>
    </w:p>
    <w:p>
      <w:pPr>
        <w:pStyle w:val="Heading2"/>
        <w:spacing w:line="367" w:lineRule="exact"/>
        <w:ind w:right="967"/>
        <w:jc w:val="left"/>
        <w:rPr>
          <w:b w:val="0"/>
          <w:bCs w:val="0"/>
        </w:rPr>
      </w:pPr>
      <w:r>
        <w:rPr/>
        <w:t>十二、关联方及关联交易</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967"/>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57" w:lineRule="auto"/>
        <w:ind w:right="5174"/>
        <w:jc w:val="left"/>
      </w:pPr>
      <w:r>
        <w:rPr/>
        <w:t>本企业的母公司情况的说明 本企业最终控制方是罗瑞发、刘咏平、杨成、王明宽、李娜、李朝莉。 其他说明：</w:t>
      </w:r>
    </w:p>
    <w:p>
      <w:pPr>
        <w:pStyle w:val="BodyText"/>
        <w:spacing w:line="300" w:lineRule="auto" w:before="29"/>
        <w:ind w:right="967" w:firstLine="432"/>
        <w:jc w:val="left"/>
      </w:pPr>
      <w:r>
        <w:rPr>
          <w:spacing w:val="-4"/>
        </w:rPr>
        <w:t>本公司股东罗瑞发、刘咏平、杨成、王明宽、李娜和李朝莉为一致行动人，罗瑞发等一致行动人直接持有本公司</w:t>
      </w:r>
      <w:r>
        <w:rPr>
          <w:rFonts w:ascii="Times New Roman" w:hAnsi="Times New Roman" w:cs="Times New Roman" w:eastAsia="Times New Roman" w:hint="default"/>
          <w:spacing w:val="-4"/>
        </w:rPr>
        <w:t>30.37%</w:t>
      </w:r>
      <w:r>
        <w:rPr>
          <w:rFonts w:ascii="Times New Roman" w:hAnsi="Times New Roman" w:cs="Times New Roman" w:eastAsia="Times New Roman" w:hint="default"/>
        </w:rPr>
        <w:t> </w:t>
      </w:r>
      <w:r>
        <w:rPr/>
        <w:t>的股权，罗瑞发通过其控制的深圳市敏行电子有限公司间接持有本公司</w:t>
      </w:r>
      <w:r>
        <w:rPr>
          <w:rFonts w:ascii="Times New Roman" w:hAnsi="Times New Roman" w:cs="Times New Roman" w:eastAsia="Times New Roman" w:hint="default"/>
        </w:rPr>
        <w:t>18.41%</w:t>
      </w:r>
      <w:r>
        <w:rPr/>
        <w:t>的股权。</w:t>
      </w:r>
    </w:p>
    <w:p>
      <w:pPr>
        <w:spacing w:line="240" w:lineRule="auto" w:before="3"/>
        <w:rPr>
          <w:rFonts w:ascii="宋体" w:hAnsi="宋体" w:cs="宋体" w:eastAsia="宋体" w:hint="default"/>
          <w:sz w:val="17"/>
          <w:szCs w:val="17"/>
        </w:rPr>
      </w:pPr>
    </w:p>
    <w:p>
      <w:pPr>
        <w:pStyle w:val="Heading4"/>
        <w:spacing w:line="240" w:lineRule="auto"/>
        <w:ind w:right="967"/>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本企业子公司的情况详见附注九、在其他主体中的权益。</w:t>
      </w:r>
    </w:p>
    <w:p>
      <w:pPr>
        <w:spacing w:line="240" w:lineRule="auto" w:before="12"/>
        <w:rPr>
          <w:rFonts w:ascii="宋体" w:hAnsi="宋体" w:cs="宋体" w:eastAsia="宋体" w:hint="default"/>
          <w:sz w:val="21"/>
          <w:szCs w:val="21"/>
        </w:rPr>
      </w:pPr>
    </w:p>
    <w:p>
      <w:pPr>
        <w:pStyle w:val="Heading4"/>
        <w:spacing w:line="240" w:lineRule="auto"/>
        <w:ind w:right="967"/>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2294"/>
        <w:jc w:val="left"/>
      </w:pPr>
      <w:r>
        <w:rPr/>
        <w:t>本企业重要的合营或联营企业详见附注九、在其他主体中的权益。 本期与本公司发生关联方交易，或前期与本公司发生关联方交易形成余额的其他合营或联营企业情况如下： 无</w:t>
      </w:r>
    </w:p>
    <w:p>
      <w:pPr>
        <w:spacing w:line="240" w:lineRule="auto" w:before="5"/>
        <w:rPr>
          <w:rFonts w:ascii="宋体" w:hAnsi="宋体" w:cs="宋体" w:eastAsia="宋体" w:hint="default"/>
          <w:sz w:val="15"/>
          <w:szCs w:val="15"/>
        </w:rPr>
      </w:pPr>
    </w:p>
    <w:p>
      <w:pPr>
        <w:pStyle w:val="Heading4"/>
        <w:spacing w:line="240" w:lineRule="auto"/>
        <w:ind w:right="967"/>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WeiLong </w:t>
            </w:r>
            <w:r>
              <w:rPr>
                <w:rFonts w:ascii="Times New Roman" w:hAnsi="Times New Roman" w:cs="Times New Roman" w:eastAsia="Times New Roman" w:hint="default"/>
                <w:sz w:val="18"/>
                <w:szCs w:val="18"/>
              </w:rPr>
              <w:t>Electronics Engineering Pte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（新加坡伟龙）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子公司伟龙金溢科技</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有限公司之少数股东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深圳前海车米云图科技有限公司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公司高管蔡福春投资的企业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山东高速信联科技有限公司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r>
    </w:tbl>
    <w:p>
      <w:pPr>
        <w:pStyle w:val="BodyText"/>
        <w:spacing w:line="240" w:lineRule="auto" w:before="49"/>
        <w:ind w:right="967"/>
        <w:jc w:val="left"/>
      </w:pPr>
      <w:r>
        <w:rPr/>
        <w:t>其他说明</w:t>
      </w:r>
    </w:p>
    <w:p>
      <w:pPr>
        <w:pStyle w:val="BodyText"/>
        <w:spacing w:line="240" w:lineRule="auto" w:before="117"/>
        <w:ind w:left="585" w:right="967"/>
        <w:jc w:val="left"/>
      </w:pPr>
      <w:r>
        <w:rPr>
          <w:rFonts w:ascii="宋体" w:hAnsi="宋体" w:cs="宋体" w:eastAsia="宋体" w:hint="default"/>
        </w:rPr>
        <w:t>[</w:t>
      </w:r>
      <w:r>
        <w:rPr/>
        <w:t>注</w:t>
      </w:r>
      <w:r>
        <w:rPr>
          <w:rFonts w:ascii="宋体" w:hAnsi="宋体" w:cs="宋体" w:eastAsia="宋体" w:hint="default"/>
        </w:rPr>
        <w:t>]</w:t>
      </w:r>
      <w:r>
        <w:rPr/>
        <w:t>：本公司投资企业，持股比例</w:t>
      </w:r>
      <w:r>
        <w:rPr>
          <w:rFonts w:ascii="宋体" w:hAnsi="宋体" w:cs="宋体" w:eastAsia="宋体" w:hint="default"/>
        </w:rPr>
        <w:t>6.20%</w:t>
      </w:r>
      <w:r>
        <w:rPr/>
        <w:t>，于</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14</w:t>
      </w:r>
      <w:r>
        <w:rPr/>
        <w:t>日办理工商变更登记。</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4"/>
        <w:spacing w:line="240" w:lineRule="auto"/>
        <w:ind w:right="967"/>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877" w:footer="979" w:top="1100" w:bottom="1160" w:left="980" w:right="0"/>
        </w:sectPr>
      </w:pPr>
    </w:p>
    <w:p>
      <w:pPr>
        <w:pStyle w:val="BodyText"/>
        <w:spacing w:line="348" w:lineRule="auto" w:before="44"/>
        <w:ind w:right="-19"/>
        <w:jc w:val="left"/>
      </w:pPr>
      <w:r>
        <w:rPr/>
        <w:t>采购商品</w:t>
      </w:r>
      <w:r>
        <w:rPr>
          <w:rFonts w:ascii="Times New Roman" w:hAnsi="Times New Roman" w:cs="Times New Roman" w:eastAsia="Times New Roman" w:hint="default"/>
        </w:rPr>
        <w:t>/</w:t>
      </w:r>
      <w:r>
        <w:rPr/>
        <w:t>接受劳务情况表 无 出售商品</w:t>
      </w:r>
      <w:r>
        <w:rPr>
          <w:rFonts w:ascii="Times New Roman" w:hAnsi="Times New Roman" w:cs="Times New Roman" w:eastAsia="Times New Roman" w:hint="default"/>
        </w:rPr>
        <w:t>/</w:t>
      </w:r>
      <w:r>
        <w:rPr/>
        <w:t>提供劳务情况表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184" w:space="6645"/>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91"/>
              <w:ind w:left="24"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WeiLong </w:t>
            </w:r>
            <w:r>
              <w:rPr>
                <w:rFonts w:ascii="Times New Roman" w:hAnsi="Times New Roman" w:cs="Times New Roman" w:eastAsia="Times New Roman" w:hint="default"/>
                <w:sz w:val="18"/>
                <w:szCs w:val="18"/>
              </w:rPr>
              <w:t>Electronics</w:t>
            </w:r>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pacing w:val="-39"/>
                <w:sz w:val="18"/>
                <w:szCs w:val="18"/>
              </w:rPr>
            </w:r>
            <w:r>
              <w:rPr>
                <w:rFonts w:ascii="Times New Roman" w:hAnsi="Times New Roman" w:cs="Times New Roman" w:eastAsia="Times New Roman" w:hint="default"/>
                <w:spacing w:val="-1"/>
                <w:sz w:val="18"/>
                <w:szCs w:val="18"/>
              </w:rPr>
              <w:t>Engineering</w:t>
            </w:r>
            <w:r>
              <w:rPr>
                <w:rFonts w:ascii="Times New Roman" w:hAnsi="Times New Roman" w:cs="Times New Roman" w:eastAsia="Times New Roman" w:hint="default"/>
                <w:sz w:val="18"/>
                <w:szCs w:val="18"/>
              </w:rPr>
              <w:t> </w:t>
            </w:r>
            <w:r>
              <w:rPr>
                <w:rFonts w:ascii="Times New Roman" w:hAnsi="Times New Roman" w:cs="Times New Roman" w:eastAsia="Times New Roman" w:hint="default"/>
                <w:w w:val="99"/>
                <w:sz w:val="18"/>
                <w:szCs w:val="18"/>
              </w:rPr>
              <w:t>Pte </w:t>
            </w:r>
            <w:r>
              <w:rPr>
                <w:rFonts w:ascii="Times New Roman" w:hAnsi="Times New Roman" w:cs="Times New Roman" w:eastAsia="Times New Roman" w:hint="default"/>
                <w:spacing w:val="-37"/>
                <w:sz w:val="18"/>
                <w:szCs w:val="18"/>
              </w:rPr>
              <w:t>Ltd</w:t>
            </w:r>
            <w:r>
              <w:rPr>
                <w:rFonts w:ascii="宋体" w:hAnsi="宋体" w:cs="宋体" w:eastAsia="宋体" w:hint="default"/>
                <w:spacing w:val="-37"/>
                <w:sz w:val="18"/>
                <w:szCs w:val="18"/>
              </w:rPr>
              <w:t>（</w:t>
            </w:r>
            <w:r>
              <w:rPr>
                <w:rFonts w:ascii="Times New Roman" w:hAnsi="Times New Roman" w:cs="Times New Roman" w:eastAsia="Times New Roman" w:hint="default"/>
                <w:spacing w:val="-37"/>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新加坡伟 龙）</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82" w:right="0"/>
              <w:jc w:val="left"/>
              <w:rPr>
                <w:rFonts w:ascii="Times New Roman" w:hAnsi="Times New Roman" w:cs="Times New Roman" w:eastAsia="Times New Roman" w:hint="default"/>
                <w:sz w:val="18"/>
                <w:szCs w:val="18"/>
              </w:rPr>
            </w:pPr>
            <w:r>
              <w:rPr>
                <w:rFonts w:ascii="Times New Roman"/>
                <w:sz w:val="18"/>
              </w:rPr>
              <w:t>1,580,490.17</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75" w:right="0"/>
              <w:jc w:val="left"/>
              <w:rPr>
                <w:rFonts w:ascii="Times New Roman" w:hAnsi="Times New Roman" w:cs="Times New Roman" w:eastAsia="Times New Roman" w:hint="default"/>
                <w:sz w:val="18"/>
                <w:szCs w:val="18"/>
              </w:rPr>
            </w:pPr>
            <w:r>
              <w:rPr>
                <w:rFonts w:ascii="Times New Roman"/>
                <w:sz w:val="18"/>
              </w:rPr>
              <w:t>3,433,769.57</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山东高速信威信息科技有限公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3,465,257.09</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8,375,603.46</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深圳前海车米云图科技有限公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1,794,927.52</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962,500.00</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山东高速信联科技有限公司</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179,603,539.57</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186,444,214.35</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12,771,873.03</w:t>
            </w:r>
          </w:p>
        </w:tc>
      </w:tr>
    </w:tbl>
    <w:p>
      <w:pPr>
        <w:pStyle w:val="BodyText"/>
        <w:spacing w:line="357" w:lineRule="auto" w:before="49"/>
        <w:ind w:left="585" w:right="5551" w:hanging="433"/>
        <w:jc w:val="left"/>
      </w:pPr>
      <w:r>
        <w:rPr/>
        <w:t>购销商品、提供和接受劳务的关联交易说明 </w:t>
      </w:r>
      <w:r>
        <w:rPr>
          <w:rFonts w:ascii="宋体" w:hAnsi="宋体" w:cs="宋体" w:eastAsia="宋体" w:hint="default"/>
        </w:rPr>
        <w:t>[</w:t>
      </w:r>
      <w:r>
        <w:rPr/>
        <w:t>注</w:t>
      </w:r>
      <w:r>
        <w:rPr>
          <w:rFonts w:ascii="宋体" w:hAnsi="宋体" w:cs="宋体" w:eastAsia="宋体" w:hint="default"/>
        </w:rPr>
        <w:t>]</w:t>
      </w:r>
      <w:r>
        <w:rPr/>
        <w:t>：本期数为</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14</w:t>
      </w:r>
      <w:r>
        <w:rPr/>
        <w:t>日至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日销售金额。</w:t>
      </w:r>
    </w:p>
    <w:p>
      <w:pPr>
        <w:spacing w:line="240" w:lineRule="auto" w:before="5"/>
        <w:rPr>
          <w:rFonts w:ascii="宋体" w:hAnsi="宋体" w:cs="宋体" w:eastAsia="宋体" w:hint="default"/>
          <w:sz w:val="15"/>
          <w:szCs w:val="15"/>
        </w:rPr>
      </w:pPr>
    </w:p>
    <w:p>
      <w:pPr>
        <w:pStyle w:val="Heading4"/>
        <w:spacing w:line="240" w:lineRule="auto"/>
        <w:ind w:right="967"/>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2"/>
        <w:rPr>
          <w:rFonts w:ascii="宋体" w:hAnsi="宋体" w:cs="宋体" w:eastAsia="宋体" w:hint="default"/>
          <w:sz w:val="21"/>
          <w:szCs w:val="21"/>
        </w:rPr>
      </w:pPr>
    </w:p>
    <w:p>
      <w:pPr>
        <w:pStyle w:val="Heading4"/>
        <w:spacing w:line="240" w:lineRule="auto"/>
        <w:ind w:right="967"/>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14,760,193.20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10,134,700.00</w:t>
            </w: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335" w:lineRule="exact"/>
        <w:ind w:right="967"/>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967"/>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山东高速信威信息 科技有限公司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3,219,568.80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173,187.19</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深圳前海车米云图 科技有限公司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1,116,500.00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55,825.00</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山东高速信联科技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84,131,194.73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4,676,269.85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84,131,194.73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4,676,269.85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5" w:right="0"/>
              <w:jc w:val="left"/>
              <w:rPr>
                <w:rFonts w:ascii="Times New Roman" w:hAnsi="Times New Roman" w:cs="Times New Roman" w:eastAsia="Times New Roman" w:hint="default"/>
                <w:sz w:val="18"/>
                <w:szCs w:val="18"/>
              </w:rPr>
            </w:pPr>
            <w:r>
              <w:rPr>
                <w:rFonts w:ascii="Times New Roman"/>
                <w:sz w:val="18"/>
              </w:rPr>
              <w:t>4,336,068.80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229,012.19</w:t>
            </w: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102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91"/>
              <w:ind w:left="23"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WeiLong </w:t>
            </w:r>
            <w:r>
              <w:rPr>
                <w:rFonts w:ascii="Times New Roman" w:hAnsi="Times New Roman" w:cs="Times New Roman" w:eastAsia="Times New Roman" w:hint="default"/>
                <w:sz w:val="18"/>
                <w:szCs w:val="18"/>
              </w:rPr>
              <w:t>Electronics</w:t>
            </w:r>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pacing w:val="-39"/>
                <w:sz w:val="18"/>
                <w:szCs w:val="18"/>
              </w:rPr>
            </w:r>
            <w:r>
              <w:rPr>
                <w:rFonts w:ascii="Times New Roman" w:hAnsi="Times New Roman" w:cs="Times New Roman" w:eastAsia="Times New Roman" w:hint="default"/>
                <w:spacing w:val="-1"/>
                <w:sz w:val="18"/>
                <w:szCs w:val="18"/>
              </w:rPr>
              <w:t>Engineering</w:t>
            </w:r>
            <w:r>
              <w:rPr>
                <w:rFonts w:ascii="Times New Roman" w:hAnsi="Times New Roman" w:cs="Times New Roman" w:eastAsia="Times New Roman" w:hint="default"/>
                <w:sz w:val="18"/>
                <w:szCs w:val="18"/>
              </w:rPr>
              <w:t> </w:t>
            </w:r>
            <w:r>
              <w:rPr>
                <w:rFonts w:ascii="Times New Roman" w:hAnsi="Times New Roman" w:cs="Times New Roman" w:eastAsia="Times New Roman" w:hint="default"/>
                <w:w w:val="99"/>
                <w:sz w:val="18"/>
                <w:szCs w:val="18"/>
              </w:rPr>
              <w:t>Pte </w:t>
            </w:r>
            <w:r>
              <w:rPr>
                <w:rFonts w:ascii="Times New Roman" w:hAnsi="Times New Roman" w:cs="Times New Roman" w:eastAsia="Times New Roman" w:hint="default"/>
                <w:spacing w:val="-37"/>
                <w:sz w:val="18"/>
                <w:szCs w:val="18"/>
              </w:rPr>
              <w:t>Ltd</w:t>
            </w:r>
            <w:r>
              <w:rPr>
                <w:rFonts w:ascii="宋体" w:hAnsi="宋体" w:cs="宋体" w:eastAsia="宋体" w:hint="default"/>
                <w:spacing w:val="-37"/>
                <w:sz w:val="18"/>
                <w:szCs w:val="18"/>
              </w:rPr>
              <w:t>（</w:t>
            </w:r>
            <w:r>
              <w:rPr>
                <w:rFonts w:ascii="Times New Roman" w:hAnsi="Times New Roman" w:cs="Times New Roman" w:eastAsia="Times New Roman" w:hint="default"/>
                <w:spacing w:val="-37"/>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新加坡伟 龙）</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48,443.90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164,991.64</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山东高速信威信息科技有限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39,226,000.14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39,274,444.04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164,991.64</w:t>
            </w: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2"/>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5"/>
        <w:rPr>
          <w:rFonts w:ascii="宋体" w:hAnsi="宋体" w:cs="宋体" w:eastAsia="宋体" w:hint="default"/>
          <w:sz w:val="19"/>
          <w:szCs w:val="19"/>
        </w:rPr>
      </w:pPr>
    </w:p>
    <w:p>
      <w:pPr>
        <w:pStyle w:val="Heading2"/>
        <w:spacing w:line="240" w:lineRule="auto"/>
        <w:ind w:right="967"/>
        <w:jc w:val="left"/>
        <w:rPr>
          <w:b w:val="0"/>
          <w:bCs w:val="0"/>
        </w:rPr>
      </w:pPr>
      <w:r>
        <w:rPr/>
        <w:t>十三、股份支付</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967"/>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pt;mso-position-horizontal-relative:char;mso-position-vertical-relative:line" coordorigin="0,0" coordsize="9581,420">
            <v:group style="position:absolute;left:5433;top:14;width:24;height:392" coordorigin="5433,14" coordsize="24,392">
              <v:shape style="position:absolute;left:5433;top:14;width:24;height:392" coordorigin="5433,14" coordsize="24,392" path="m5433,406l5457,406,5457,14,5433,14,5433,406xe" filled="true" fillcolor="#d2d2d2" stroked="false">
                <v:path arrowok="t"/>
                <v:fill type="solid"/>
              </v:shape>
            </v:group>
            <v:group style="position:absolute;left:12;top:14;width:22;height:392" coordorigin="12,14" coordsize="22,392">
              <v:shape style="position:absolute;left:12;top:14;width:22;height:392" coordorigin="12,14" coordsize="22,392" path="m12,406l34,406,34,14,12,14,12,406xe" filled="true" fillcolor="#d2d2d2" stroked="false">
                <v:path arrowok="t"/>
                <v:fill type="solid"/>
              </v:shape>
            </v:group>
            <v:group style="position:absolute;left:34;top:14;width:5399;height:392" coordorigin="34,14" coordsize="5399,392">
              <v:shape style="position:absolute;left:34;top:14;width:5399;height:392" coordorigin="34,14" coordsize="5399,392" path="m34,406l5433,406,5433,14,34,14,34,406xe" filled="true" fillcolor="#d2d2d2" stroked="false">
                <v:path arrowok="t"/>
                <v:fill type="solid"/>
              </v:shape>
            </v:group>
            <v:group style="position:absolute;left:10;top:10;width:5447;height:2" coordorigin="10,10" coordsize="5447,2">
              <v:shape style="position:absolute;left:10;top:10;width:5447;height:2" coordorigin="10,10" coordsize="5447,0" path="m10,10l5457,10e" filled="false" stroked="true" strokeweight=".47998pt" strokecolor="#000000">
                <v:path arrowok="t"/>
              </v:shape>
            </v:group>
            <v:group style="position:absolute;left:5466;top:10;width:4105;height:2" coordorigin="5466,10" coordsize="4105,2">
              <v:shape style="position:absolute;left:5466;top:10;width:4105;height:2" coordorigin="5466,10" coordsize="4105,0" path="m5466,10l9571,10e" filled="false" stroked="true" strokeweight=".47998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5447;height:2" coordorigin="10,410" coordsize="5447,2">
              <v:shape style="position:absolute;left:10;top:410;width:5447;height:2" coordorigin="10,410" coordsize="5447,0" path="m10,410l5457,410e" filled="false" stroked="true" strokeweight=".48004pt" strokecolor="#000000">
                <v:path arrowok="t"/>
              </v:shape>
            </v:group>
            <v:group style="position:absolute;left:5461;top:5;width:2;height:411" coordorigin="5461,5" coordsize="2,411">
              <v:shape style="position:absolute;left:5461;top:5;width:2;height:411" coordorigin="5461,5" coordsize="0,411" path="m5461,5l5461,415e" filled="false" stroked="true" strokeweight=".48001pt" strokecolor="#000000">
                <v:path arrowok="t"/>
              </v:shape>
            </v:group>
            <v:group style="position:absolute;left:5466;top:410;width:4105;height:2" coordorigin="5466,410" coordsize="4105,2">
              <v:shape style="position:absolute;left:5466;top:410;width:4105;height:2" coordorigin="5466,410" coordsize="4105,0" path="m5466,410l9571,410e" filled="false" stroked="true" strokeweight=".48004pt" strokecolor="#000000">
                <v:path arrowok="t"/>
              </v:shape>
            </v:group>
            <v:group style="position:absolute;left:9576;top:5;width:2;height:411" coordorigin="9576,5" coordsize="2,411">
              <v:shape style="position:absolute;left:9576;top:5;width:2;height:411" coordorigin="9576,5" coordsize="0,411" path="m9576,5l9576,415e" filled="false" stroked="true" strokeweight=".47998pt" strokecolor="#000000">
                <v:path arrowok="t"/>
              </v:shape>
              <v:shape style="position:absolute;left:6;top:10;width:5456;height:401" type="#_x0000_t202" filled="false" stroked="false">
                <v:textbox inset="0,0,0,0">
                  <w:txbxContent>
                    <w:p>
                      <w:pPr>
                        <w:spacing w:before="53"/>
                        <w:ind w:left="27" w:right="0" w:firstLine="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xbxContent>
                </v:textbox>
                <w10:wrap type="none"/>
              </v:shape>
              <v:shape style="position:absolute;left:5461;top:10;width:4115;height:401" type="#_x0000_t202" filled="false" stroked="false">
                <v:textbox inset="0,0,0,0">
                  <w:txbxContent>
                    <w:p>
                      <w:pPr>
                        <w:spacing w:before="96"/>
                        <w:ind w:left="0" w:right="24" w:firstLine="0"/>
                        <w:jc w:val="right"/>
                        <w:rPr>
                          <w:rFonts w:ascii="Times New Roman" w:hAnsi="Times New Roman" w:cs="Times New Roman" w:eastAsia="Times New Roman" w:hint="default"/>
                          <w:sz w:val="18"/>
                          <w:szCs w:val="18"/>
                        </w:rPr>
                      </w:pPr>
                      <w:r>
                        <w:rPr>
                          <w:rFonts w:ascii="Times New Roman"/>
                          <w:spacing w:val="-1"/>
                          <w:sz w:val="18"/>
                        </w:rPr>
                        <w:t>2,718,161.00</w:t>
                      </w:r>
                    </w:p>
                  </w:txbxContent>
                </v:textbox>
                <w10:wrap type="none"/>
              </v:shape>
            </v:group>
          </v:group>
        </w:pict>
      </w:r>
      <w:r>
        <w:rPr>
          <w:rFonts w:ascii="宋体" w:hAnsi="宋体" w:cs="宋体" w:eastAsia="宋体" w:hint="default"/>
          <w:position w:val="-7"/>
          <w:sz w:val="20"/>
          <w:szCs w:val="20"/>
        </w:rPr>
      </w:r>
    </w:p>
    <w:p>
      <w:pPr>
        <w:spacing w:after="0" w:line="420" w:lineRule="exact"/>
        <w:rPr>
          <w:rFonts w:ascii="宋体" w:hAnsi="宋体" w:cs="宋体" w:eastAsia="宋体" w:hint="default"/>
          <w:sz w:val="20"/>
          <w:szCs w:val="20"/>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967"/>
        <w:jc w:val="left"/>
      </w:pPr>
      <w:r>
        <w:rPr/>
        <w:t>其他说明</w:t>
      </w:r>
    </w:p>
    <w:p>
      <w:pPr>
        <w:spacing w:line="240" w:lineRule="auto" w:before="12"/>
        <w:rPr>
          <w:rFonts w:ascii="宋体" w:hAnsi="宋体" w:cs="宋体" w:eastAsia="宋体" w:hint="default"/>
          <w:sz w:val="21"/>
          <w:szCs w:val="21"/>
        </w:rPr>
      </w:pPr>
    </w:p>
    <w:p>
      <w:pPr>
        <w:pStyle w:val="Heading4"/>
        <w:spacing w:line="240" w:lineRule="auto"/>
        <w:ind w:right="967"/>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授予日公司股票的收盘价</w:t>
            </w:r>
          </w:p>
        </w:tc>
      </w:tr>
      <w:tr>
        <w:trPr>
          <w:trHeight w:val="404"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公司业绩考核及个人业绩考核</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25,508,011.18</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25,508,011.18</w:t>
            </w:r>
          </w:p>
        </w:tc>
      </w:tr>
    </w:tbl>
    <w:p>
      <w:pPr>
        <w:pStyle w:val="BodyText"/>
        <w:spacing w:line="240" w:lineRule="auto" w:before="49"/>
        <w:ind w:right="967"/>
        <w:jc w:val="left"/>
      </w:pPr>
      <w:r>
        <w:rPr/>
        <w:t>其他说明</w:t>
      </w:r>
    </w:p>
    <w:p>
      <w:pPr>
        <w:pStyle w:val="BodyText"/>
        <w:spacing w:line="240" w:lineRule="auto" w:before="117"/>
        <w:ind w:left="513" w:right="967"/>
        <w:jc w:val="left"/>
      </w:pPr>
      <w:r>
        <w:rPr/>
        <w:t>（</w:t>
      </w:r>
      <w:r>
        <w:rPr>
          <w:rFonts w:ascii="Times New Roman" w:hAnsi="Times New Roman" w:cs="Times New Roman" w:eastAsia="Times New Roman" w:hint="default"/>
        </w:rPr>
        <w:t>1</w:t>
      </w:r>
      <w:r>
        <w:rPr/>
        <w:t>）基本情况</w:t>
      </w:r>
    </w:p>
    <w:p>
      <w:pPr>
        <w:pStyle w:val="BodyText"/>
        <w:spacing w:line="300" w:lineRule="auto" w:before="63"/>
        <w:ind w:right="1131"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w:t>
      </w:r>
      <w:r>
        <w:rPr>
          <w:rFonts w:ascii="Times New Roman" w:hAnsi="Times New Roman" w:cs="Times New Roman" w:eastAsia="Times New Roman" w:hint="default"/>
          <w:spacing w:val="-14"/>
        </w:rPr>
        <w:t> </w:t>
      </w:r>
      <w:r>
        <w:rPr/>
        <w:t>公司第二届董事会第二十六次会议审议通过了《关于公司</w:t>
      </w:r>
      <w:r>
        <w:rPr>
          <w:rFonts w:ascii="Times New Roman" w:hAnsi="Times New Roman" w:cs="Times New Roman" w:eastAsia="Times New Roman" w:hint="default"/>
        </w:rPr>
        <w:t>&lt;2019</w:t>
      </w:r>
      <w:r>
        <w:rPr/>
        <w:t>年限制性股票激励计划（草案）</w:t>
      </w:r>
      <w:r>
        <w:rPr>
          <w:rFonts w:ascii="Times New Roman" w:hAnsi="Times New Roman" w:cs="Times New Roman" w:eastAsia="Times New Roman" w:hint="default"/>
        </w:rPr>
        <w:t>&gt;</w:t>
      </w:r>
      <w:r>
        <w:rPr/>
        <w:t>及摘要 的议案》；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2019</w:t>
      </w:r>
      <w:r>
        <w:rPr/>
        <w:t>年第三次临时股东大会审议通过了《关于公司</w:t>
      </w:r>
      <w:r>
        <w:rPr>
          <w:rFonts w:ascii="Times New Roman" w:hAnsi="Times New Roman" w:cs="Times New Roman" w:eastAsia="Times New Roman" w:hint="default"/>
        </w:rPr>
        <w:t>&lt;2019</w:t>
      </w:r>
      <w:r>
        <w:rPr/>
        <w:t>年限制性股票激励计划（草案）</w:t>
      </w:r>
      <w:r>
        <w:rPr>
          <w:rFonts w:ascii="Times New Roman" w:hAnsi="Times New Roman" w:cs="Times New Roman" w:eastAsia="Times New Roman" w:hint="default"/>
        </w:rPr>
        <w:t>&gt;</w:t>
      </w:r>
      <w:r>
        <w:rPr>
          <w:rFonts w:ascii="Times New Roman" w:hAnsi="Times New Roman" w:cs="Times New Roman" w:eastAsia="Times New Roman" w:hint="default"/>
          <w:spacing w:val="7"/>
        </w:rPr>
        <w:t> </w:t>
      </w:r>
      <w:r>
        <w:rPr>
          <w:spacing w:val="-3"/>
        </w:rPr>
        <w:t>及摘要的议案》；</w:t>
      </w:r>
      <w:r>
        <w:rPr>
          <w:rFonts w:ascii="Times New Roman" w:hAnsi="Times New Roman" w:cs="Times New Roman" w:eastAsia="Times New Roman" w:hint="default"/>
          <w:spacing w:val="-3"/>
        </w:rPr>
        <w:t>2019</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日，公司第二届董事会第三十二次会议和第二届监事会第十六次会议审议通过了《关于调整 </w:t>
      </w:r>
      <w:r>
        <w:rPr>
          <w:rFonts w:ascii="Times New Roman" w:hAnsi="Times New Roman" w:cs="Times New Roman" w:eastAsia="Times New Roman" w:hint="default"/>
        </w:rPr>
        <w:t>2019</w:t>
      </w:r>
      <w:r>
        <w:rPr/>
        <w:t>年限制性股票激励计划首次授予限制性股票授予价格的议案》。公司本次激励计划首次授予限制性股票的授予价格从</w:t>
      </w:r>
    </w:p>
    <w:p>
      <w:pPr>
        <w:pStyle w:val="BodyText"/>
        <w:spacing w:line="240" w:lineRule="auto" w:before="13"/>
        <w:ind w:right="967"/>
        <w:jc w:val="left"/>
      </w:pPr>
      <w:r>
        <w:rPr>
          <w:rFonts w:ascii="Times New Roman" w:hAnsi="Times New Roman" w:cs="Times New Roman" w:eastAsia="Times New Roman" w:hint="default"/>
        </w:rPr>
        <w:t>21.70</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21.64</w:t>
      </w:r>
      <w:r>
        <w:rPr/>
        <w:t>元</w:t>
      </w:r>
      <w:r>
        <w:rPr>
          <w:rFonts w:ascii="Times New Roman" w:hAnsi="Times New Roman" w:cs="Times New Roman" w:eastAsia="Times New Roman" w:hint="default"/>
        </w:rPr>
        <w:t>/</w:t>
      </w:r>
      <w:r>
        <w:rPr/>
        <w:t>股。</w:t>
      </w:r>
    </w:p>
    <w:p>
      <w:pPr>
        <w:pStyle w:val="BodyText"/>
        <w:spacing w:line="307" w:lineRule="auto" w:before="63"/>
        <w:ind w:right="1042"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16</w:t>
      </w:r>
      <w:r>
        <w:rPr/>
        <w:t>日，公司第二届董事会第三十三次会议和第二届监事会第十七次会议审议通过了《关于调整</w:t>
      </w:r>
      <w:r>
        <w:rPr>
          <w:rFonts w:ascii="Times New Roman" w:hAnsi="Times New Roman" w:cs="Times New Roman" w:eastAsia="Times New Roman" w:hint="default"/>
        </w:rPr>
        <w:t>2019</w:t>
      </w:r>
      <w:r>
        <w:rPr/>
        <w:t>年限制性 股票激励计划激励对象名单及授予数量的议案》和《关于向激励对象首次授予限制性股票的议案》。授予日为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17</w:t>
      </w:r>
      <w:r>
        <w:rPr>
          <w:rFonts w:ascii="Times New Roman" w:hAnsi="Times New Roman" w:cs="Times New Roman" w:eastAsia="Times New Roman" w:hint="default"/>
          <w:spacing w:val="-37"/>
        </w:rPr>
        <w:t> </w:t>
      </w:r>
      <w:r>
        <w:rPr>
          <w:spacing w:val="5"/>
        </w:rPr>
        <w:t>日，</w:t>
      </w:r>
      <w:r>
        <w:rPr>
          <w:spacing w:val="29"/>
        </w:rPr>
        <w:t> </w:t>
      </w:r>
      <w:r>
        <w:rPr>
          <w:spacing w:val="7"/>
        </w:rPr>
        <w:t>本次调整后激励计划首次授予的激励对象人数由</w:t>
      </w:r>
      <w:r>
        <w:rPr>
          <w:rFonts w:ascii="宋体" w:hAnsi="宋体" w:cs="宋体" w:eastAsia="宋体" w:hint="default"/>
          <w:spacing w:val="7"/>
        </w:rPr>
        <w:t>281</w:t>
      </w:r>
      <w:r>
        <w:rPr>
          <w:spacing w:val="7"/>
        </w:rPr>
        <w:t>人调整为</w:t>
      </w:r>
      <w:r>
        <w:rPr>
          <w:rFonts w:ascii="宋体" w:hAnsi="宋体" w:cs="宋体" w:eastAsia="宋体" w:hint="default"/>
          <w:spacing w:val="7"/>
        </w:rPr>
        <w:t>201</w:t>
      </w:r>
      <w:r>
        <w:rPr>
          <w:spacing w:val="7"/>
        </w:rPr>
        <w:t>人；授予限制性股票总数由</w:t>
      </w:r>
      <w:r>
        <w:rPr>
          <w:rFonts w:ascii="宋体" w:hAnsi="宋体" w:cs="宋体" w:eastAsia="宋体" w:hint="default"/>
          <w:spacing w:val="7"/>
        </w:rPr>
        <w:t>4,000,000</w:t>
      </w:r>
      <w:r>
        <w:rPr>
          <w:spacing w:val="7"/>
        </w:rPr>
        <w:t>股调整为</w:t>
      </w:r>
      <w:r>
        <w:rPr>
          <w:spacing w:val="-81"/>
        </w:rPr>
        <w:t> </w:t>
      </w:r>
      <w:r>
        <w:rPr>
          <w:rFonts w:ascii="宋体" w:hAnsi="宋体" w:cs="宋体" w:eastAsia="宋体" w:hint="default"/>
          <w:spacing w:val="-2"/>
        </w:rPr>
        <w:t>3,156,789</w:t>
      </w:r>
      <w:r>
        <w:rPr>
          <w:spacing w:val="-2"/>
        </w:rPr>
        <w:t>股，其中首次授予限制性股票数量由</w:t>
      </w:r>
      <w:r>
        <w:rPr>
          <w:rFonts w:ascii="宋体" w:hAnsi="宋体" w:cs="宋体" w:eastAsia="宋体" w:hint="default"/>
          <w:spacing w:val="-2"/>
        </w:rPr>
        <w:t>3,561,372</w:t>
      </w:r>
      <w:r>
        <w:rPr>
          <w:rFonts w:ascii="宋体" w:hAnsi="宋体" w:cs="宋体" w:eastAsia="宋体" w:hint="default"/>
          <w:spacing w:val="43"/>
        </w:rPr>
        <w:t> </w:t>
      </w:r>
      <w:r>
        <w:rPr>
          <w:spacing w:val="-2"/>
        </w:rPr>
        <w:t>股调整为</w:t>
      </w:r>
      <w:r>
        <w:rPr>
          <w:rFonts w:ascii="宋体" w:hAnsi="宋体" w:cs="宋体" w:eastAsia="宋体" w:hint="default"/>
          <w:spacing w:val="-2"/>
        </w:rPr>
        <w:t>2,718,161</w:t>
      </w:r>
      <w:r>
        <w:rPr>
          <w:spacing w:val="-2"/>
        </w:rPr>
        <w:t>股，预留授予限制性股票</w:t>
      </w:r>
      <w:r>
        <w:rPr>
          <w:rFonts w:ascii="宋体" w:hAnsi="宋体" w:cs="宋体" w:eastAsia="宋体" w:hint="default"/>
          <w:spacing w:val="-2"/>
        </w:rPr>
        <w:t>438,628</w:t>
      </w:r>
      <w:r>
        <w:rPr>
          <w:spacing w:val="-2"/>
        </w:rPr>
        <w:t>股数量不变。</w:t>
      </w:r>
    </w:p>
    <w:p>
      <w:pPr>
        <w:spacing w:line="240" w:lineRule="auto" w:before="11"/>
        <w:rPr>
          <w:rFonts w:ascii="宋体" w:hAnsi="宋体" w:cs="宋体" w:eastAsia="宋体" w:hint="default"/>
          <w:sz w:val="25"/>
          <w:szCs w:val="25"/>
        </w:rPr>
      </w:pPr>
    </w:p>
    <w:p>
      <w:pPr>
        <w:pStyle w:val="BodyText"/>
        <w:spacing w:line="300" w:lineRule="auto"/>
        <w:ind w:left="513" w:right="2743"/>
        <w:jc w:val="left"/>
      </w:pPr>
      <w:r>
        <w:rPr/>
        <w:t>（</w:t>
      </w:r>
      <w:r>
        <w:rPr>
          <w:rFonts w:ascii="Times New Roman" w:hAnsi="Times New Roman" w:cs="Times New Roman" w:eastAsia="Times New Roman" w:hint="default"/>
        </w:rPr>
        <w:t>2</w:t>
      </w:r>
      <w:r>
        <w:rPr/>
        <w:t>）解锁期及解锁比例 本计划首次授予的限制性股票在有效期内按</w:t>
      </w:r>
      <w:r>
        <w:rPr>
          <w:rFonts w:ascii="Times New Roman" w:hAnsi="Times New Roman" w:cs="Times New Roman" w:eastAsia="Times New Roman" w:hint="default"/>
        </w:rPr>
        <w:t>50%</w:t>
      </w:r>
      <w:r>
        <w:rPr/>
        <w:t>、</w:t>
      </w:r>
      <w:r>
        <w:rPr>
          <w:rFonts w:ascii="Times New Roman" w:hAnsi="Times New Roman" w:cs="Times New Roman" w:eastAsia="Times New Roman" w:hint="default"/>
        </w:rPr>
        <w:t>30%</w:t>
      </w:r>
      <w:r>
        <w:rPr/>
        <w:t>、</w:t>
      </w:r>
      <w:r>
        <w:rPr>
          <w:rFonts w:ascii="Times New Roman" w:hAnsi="Times New Roman" w:cs="Times New Roman" w:eastAsia="Times New Roman" w:hint="default"/>
        </w:rPr>
        <w:t>20%</w:t>
      </w:r>
      <w:r>
        <w:rPr/>
        <w:t>的比例分三期解锁，具体安排如下：</w:t>
      </w:r>
    </w:p>
    <w:tbl>
      <w:tblPr>
        <w:tblW w:w="0" w:type="auto"/>
        <w:jc w:val="left"/>
        <w:tblInd w:w="145" w:type="dxa"/>
        <w:tblLayout w:type="fixed"/>
        <w:tblCellMar>
          <w:top w:w="0" w:type="dxa"/>
          <w:left w:w="0" w:type="dxa"/>
          <w:bottom w:w="0" w:type="dxa"/>
          <w:right w:w="0" w:type="dxa"/>
        </w:tblCellMar>
        <w:tblLook w:val="01E0"/>
      </w:tblPr>
      <w:tblGrid>
        <w:gridCol w:w="2420"/>
        <w:gridCol w:w="4964"/>
        <w:gridCol w:w="937"/>
      </w:tblGrid>
      <w:tr>
        <w:trPr>
          <w:trHeight w:val="346"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解锁安排</w:t>
            </w:r>
          </w:p>
        </w:tc>
        <w:tc>
          <w:tcPr>
            <w:tcW w:w="4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解锁时间</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18"/>
                <w:szCs w:val="18"/>
              </w:rPr>
            </w:pPr>
            <w:r>
              <w:rPr>
                <w:rFonts w:ascii="宋体" w:hAnsi="宋体" w:cs="宋体" w:eastAsia="宋体" w:hint="default"/>
                <w:sz w:val="18"/>
                <w:szCs w:val="18"/>
              </w:rPr>
              <w:t>解锁比例</w:t>
            </w:r>
          </w:p>
        </w:tc>
      </w:tr>
      <w:tr>
        <w:trPr>
          <w:trHeight w:val="661"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第一个解锁期</w:t>
            </w:r>
          </w:p>
        </w:tc>
        <w:tc>
          <w:tcPr>
            <w:tcW w:w="496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84"/>
              <w:jc w:val="left"/>
              <w:rPr>
                <w:rFonts w:ascii="宋体" w:hAnsi="宋体" w:cs="宋体" w:eastAsia="宋体" w:hint="default"/>
                <w:sz w:val="18"/>
                <w:szCs w:val="18"/>
              </w:rPr>
            </w:pPr>
            <w:r>
              <w:rPr>
                <w:rFonts w:ascii="宋体" w:hAnsi="宋体" w:cs="宋体" w:eastAsia="宋体" w:hint="default"/>
                <w:sz w:val="18"/>
                <w:szCs w:val="18"/>
              </w:rPr>
              <w:t>自首次授予日起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个月后的首个交易日起至首次授予日起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 月内的最后一个交易日当日止</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50%</w:t>
            </w:r>
          </w:p>
        </w:tc>
      </w:tr>
      <w:tr>
        <w:trPr>
          <w:trHeight w:val="658"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第二个解锁期</w:t>
            </w:r>
          </w:p>
        </w:tc>
        <w:tc>
          <w:tcPr>
            <w:tcW w:w="496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84"/>
              <w:jc w:val="left"/>
              <w:rPr>
                <w:rFonts w:ascii="宋体" w:hAnsi="宋体" w:cs="宋体" w:eastAsia="宋体" w:hint="default"/>
                <w:sz w:val="18"/>
                <w:szCs w:val="18"/>
              </w:rPr>
            </w:pPr>
            <w:r>
              <w:rPr>
                <w:rFonts w:ascii="宋体" w:hAnsi="宋体" w:cs="宋体" w:eastAsia="宋体" w:hint="default"/>
                <w:sz w:val="18"/>
                <w:szCs w:val="18"/>
              </w:rPr>
              <w:t>自首次授予日起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个月后的首个交易日起至首次授予日起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 月内的最后一个交易日当日止</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30%</w:t>
            </w:r>
          </w:p>
        </w:tc>
      </w:tr>
      <w:tr>
        <w:trPr>
          <w:trHeight w:val="660"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第三个解锁期</w:t>
            </w:r>
          </w:p>
        </w:tc>
        <w:tc>
          <w:tcPr>
            <w:tcW w:w="496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84"/>
              <w:jc w:val="left"/>
              <w:rPr>
                <w:rFonts w:ascii="宋体" w:hAnsi="宋体" w:cs="宋体" w:eastAsia="宋体" w:hint="default"/>
                <w:sz w:val="18"/>
                <w:szCs w:val="18"/>
              </w:rPr>
            </w:pPr>
            <w:r>
              <w:rPr>
                <w:rFonts w:ascii="宋体" w:hAnsi="宋体" w:cs="宋体" w:eastAsia="宋体" w:hint="default"/>
                <w:sz w:val="18"/>
                <w:szCs w:val="18"/>
              </w:rPr>
              <w:t>自首次授予日起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个月后的首个交易日起至首次授予日起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 月内的最后一个交易日当日止</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20%</w:t>
            </w:r>
          </w:p>
        </w:tc>
      </w:tr>
    </w:tbl>
    <w:p>
      <w:pPr>
        <w:spacing w:line="240" w:lineRule="auto" w:before="6"/>
        <w:rPr>
          <w:rFonts w:ascii="宋体" w:hAnsi="宋体" w:cs="宋体" w:eastAsia="宋体" w:hint="default"/>
          <w:sz w:val="21"/>
          <w:szCs w:val="21"/>
        </w:rPr>
      </w:pPr>
    </w:p>
    <w:p>
      <w:pPr>
        <w:pStyle w:val="BodyText"/>
        <w:spacing w:line="240" w:lineRule="auto" w:before="44"/>
        <w:ind w:left="513" w:right="967"/>
        <w:jc w:val="left"/>
      </w:pPr>
      <w:r>
        <w:rPr/>
        <w:t>预留授予的限制性股票在有效期内按</w:t>
      </w:r>
      <w:r>
        <w:rPr>
          <w:rFonts w:ascii="Times New Roman" w:hAnsi="Times New Roman" w:cs="Times New Roman" w:eastAsia="Times New Roman" w:hint="default"/>
        </w:rPr>
        <w:t>50%</w:t>
      </w:r>
      <w:r>
        <w:rPr/>
        <w:t>、</w:t>
      </w:r>
      <w:r>
        <w:rPr>
          <w:rFonts w:ascii="Times New Roman" w:hAnsi="Times New Roman" w:cs="Times New Roman" w:eastAsia="Times New Roman" w:hint="default"/>
        </w:rPr>
        <w:t>50%</w:t>
      </w:r>
      <w:r>
        <w:rPr/>
        <w:t>的比例解锁，安排如下：</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2420"/>
        <w:gridCol w:w="4964"/>
        <w:gridCol w:w="937"/>
      </w:tblGrid>
      <w:tr>
        <w:trPr>
          <w:trHeight w:val="348"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解锁安排</w:t>
            </w:r>
          </w:p>
        </w:tc>
        <w:tc>
          <w:tcPr>
            <w:tcW w:w="4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解锁时间</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z w:val="18"/>
                <w:szCs w:val="18"/>
              </w:rPr>
              <w:t>解锁比例</w:t>
            </w:r>
          </w:p>
        </w:tc>
      </w:tr>
      <w:tr>
        <w:trPr>
          <w:trHeight w:val="658"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第一个解锁期</w:t>
            </w:r>
          </w:p>
        </w:tc>
        <w:tc>
          <w:tcPr>
            <w:tcW w:w="496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84"/>
              <w:jc w:val="left"/>
              <w:rPr>
                <w:rFonts w:ascii="宋体" w:hAnsi="宋体" w:cs="宋体" w:eastAsia="宋体" w:hint="default"/>
                <w:sz w:val="18"/>
                <w:szCs w:val="18"/>
              </w:rPr>
            </w:pPr>
            <w:r>
              <w:rPr>
                <w:rFonts w:ascii="宋体" w:hAnsi="宋体" w:cs="宋体" w:eastAsia="宋体" w:hint="default"/>
                <w:sz w:val="18"/>
                <w:szCs w:val="18"/>
              </w:rPr>
              <w:t>自预留授予日起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个月后的首个交易日起至预留授予日起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 月内的最后一个交易日当日止</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50%</w:t>
            </w:r>
          </w:p>
        </w:tc>
      </w:tr>
      <w:tr>
        <w:trPr>
          <w:trHeight w:val="660"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第二个解锁期</w:t>
            </w:r>
          </w:p>
        </w:tc>
        <w:tc>
          <w:tcPr>
            <w:tcW w:w="496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84"/>
              <w:jc w:val="left"/>
              <w:rPr>
                <w:rFonts w:ascii="宋体" w:hAnsi="宋体" w:cs="宋体" w:eastAsia="宋体" w:hint="default"/>
                <w:sz w:val="18"/>
                <w:szCs w:val="18"/>
              </w:rPr>
            </w:pPr>
            <w:r>
              <w:rPr>
                <w:rFonts w:ascii="宋体" w:hAnsi="宋体" w:cs="宋体" w:eastAsia="宋体" w:hint="default"/>
                <w:sz w:val="18"/>
                <w:szCs w:val="18"/>
              </w:rPr>
              <w:t>自预留授予日起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个月后的首个交易日起至预留授予日起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 月内的最后一个交易日当日止</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50%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BodyText"/>
        <w:spacing w:line="240" w:lineRule="auto" w:before="44"/>
        <w:ind w:left="513" w:right="967"/>
        <w:jc w:val="left"/>
      </w:pPr>
      <w:r>
        <w:rPr/>
        <w:t>（</w:t>
      </w:r>
      <w:r>
        <w:rPr>
          <w:rFonts w:ascii="Times New Roman" w:hAnsi="Times New Roman" w:cs="Times New Roman" w:eastAsia="Times New Roman" w:hint="default"/>
        </w:rPr>
        <w:t>3</w:t>
      </w:r>
      <w:r>
        <w:rPr/>
        <w:t>）业绩考核要求</w:t>
      </w:r>
    </w:p>
    <w:p>
      <w:pPr>
        <w:pStyle w:val="BodyText"/>
        <w:spacing w:line="300" w:lineRule="auto" w:before="63"/>
        <w:ind w:left="513" w:right="967"/>
        <w:jc w:val="left"/>
      </w:pPr>
      <w:r>
        <w:rPr>
          <w:rFonts w:ascii="Times New Roman" w:hAnsi="Times New Roman" w:cs="Times New Roman" w:eastAsia="Times New Roman" w:hint="default"/>
        </w:rPr>
        <w:t>1</w:t>
      </w:r>
      <w:r>
        <w:rPr/>
        <w:t>）公司业绩考核要求 </w:t>
      </w:r>
      <w:r>
        <w:rPr>
          <w:spacing w:val="-2"/>
        </w:rPr>
        <w:t>本计划首次授予的限制性股票分三期解锁，解锁考核年度为</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2021</w:t>
      </w:r>
      <w:r>
        <w:rPr>
          <w:spacing w:val="-2"/>
        </w:rPr>
        <w:t>年，预留授予的限制性股票分两期解</w:t>
      </w:r>
    </w:p>
    <w:p>
      <w:pPr>
        <w:pStyle w:val="BodyText"/>
        <w:spacing w:line="300" w:lineRule="auto" w:before="13"/>
        <w:ind w:right="967"/>
        <w:jc w:val="left"/>
      </w:pPr>
      <w:r>
        <w:rPr>
          <w:spacing w:val="-2"/>
        </w:rPr>
        <w:t>锁，解锁考核年度为</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2021</w:t>
      </w:r>
      <w:r>
        <w:rPr>
          <w:spacing w:val="-2"/>
        </w:rPr>
        <w:t>年。公司将对激励对象分年度进行绩效考核，以达到绩效考核目标作为激励对象的解锁条</w:t>
      </w:r>
      <w:r>
        <w:rPr>
          <w:spacing w:val="-60"/>
        </w:rPr>
        <w:t> </w:t>
      </w:r>
      <w:r>
        <w:rPr>
          <w:spacing w:val="-60"/>
        </w:rPr>
      </w:r>
      <w:r>
        <w:rPr/>
        <w:t>件。各年度绩效考核目标如下表所示：</w:t>
      </w:r>
    </w:p>
    <w:tbl>
      <w:tblPr>
        <w:tblW w:w="0" w:type="auto"/>
        <w:jc w:val="left"/>
        <w:tblInd w:w="145" w:type="dxa"/>
        <w:tblLayout w:type="fixed"/>
        <w:tblCellMar>
          <w:top w:w="0" w:type="dxa"/>
          <w:left w:w="0" w:type="dxa"/>
          <w:bottom w:w="0" w:type="dxa"/>
          <w:right w:w="0" w:type="dxa"/>
        </w:tblCellMar>
        <w:tblLook w:val="01E0"/>
      </w:tblPr>
      <w:tblGrid>
        <w:gridCol w:w="3687"/>
        <w:gridCol w:w="4633"/>
      </w:tblGrid>
      <w:tr>
        <w:trPr>
          <w:trHeight w:val="348"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解锁期</w:t>
            </w:r>
          </w:p>
        </w:tc>
        <w:tc>
          <w:tcPr>
            <w:tcW w:w="4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业绩考核目标</w:t>
            </w:r>
          </w:p>
        </w:tc>
      </w:tr>
      <w:tr>
        <w:trPr>
          <w:trHeight w:val="346"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首次授予限制性股票的第一个解锁期</w:t>
            </w:r>
          </w:p>
        </w:tc>
        <w:tc>
          <w:tcPr>
            <w:tcW w:w="4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年公司净利润较</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年增长率不低于</w:t>
            </w:r>
            <w:r>
              <w:rPr>
                <w:rFonts w:ascii="Times New Roman" w:hAnsi="Times New Roman" w:cs="Times New Roman" w:eastAsia="Times New Roman" w:hint="default"/>
                <w:sz w:val="18"/>
                <w:szCs w:val="18"/>
              </w:rPr>
              <w:t>25%</w:t>
            </w:r>
          </w:p>
        </w:tc>
      </w:tr>
      <w:tr>
        <w:trPr>
          <w:trHeight w:val="660"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66"/>
              <w:jc w:val="left"/>
              <w:rPr>
                <w:rFonts w:ascii="宋体" w:hAnsi="宋体" w:cs="宋体" w:eastAsia="宋体" w:hint="default"/>
                <w:sz w:val="18"/>
                <w:szCs w:val="18"/>
              </w:rPr>
            </w:pPr>
            <w:r>
              <w:rPr>
                <w:rFonts w:ascii="宋体" w:hAnsi="宋体" w:cs="宋体" w:eastAsia="宋体" w:hint="default"/>
                <w:sz w:val="18"/>
                <w:szCs w:val="18"/>
              </w:rPr>
              <w:t>首次授予限制性股票的第二个解锁期及预留授 予限制性股票的第一个解锁期</w:t>
            </w:r>
          </w:p>
        </w:tc>
        <w:tc>
          <w:tcPr>
            <w:tcW w:w="4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年公司净利润较</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年增长率不低于</w:t>
            </w:r>
            <w:r>
              <w:rPr>
                <w:rFonts w:ascii="Times New Roman" w:hAnsi="Times New Roman" w:cs="Times New Roman" w:eastAsia="Times New Roman" w:hint="default"/>
                <w:sz w:val="18"/>
                <w:szCs w:val="18"/>
              </w:rPr>
              <w:t>30%</w:t>
            </w:r>
          </w:p>
        </w:tc>
      </w:tr>
      <w:tr>
        <w:trPr>
          <w:trHeight w:val="661"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4" w:right="66"/>
              <w:jc w:val="left"/>
              <w:rPr>
                <w:rFonts w:ascii="宋体" w:hAnsi="宋体" w:cs="宋体" w:eastAsia="宋体" w:hint="default"/>
                <w:sz w:val="18"/>
                <w:szCs w:val="18"/>
              </w:rPr>
            </w:pPr>
            <w:r>
              <w:rPr>
                <w:rFonts w:ascii="宋体" w:hAnsi="宋体" w:cs="宋体" w:eastAsia="宋体" w:hint="default"/>
                <w:sz w:val="18"/>
                <w:szCs w:val="18"/>
              </w:rPr>
              <w:t>首次授予限制性股票的第三个解锁期及预留授 予限制性股票的第二个解锁期</w:t>
            </w:r>
          </w:p>
        </w:tc>
        <w:tc>
          <w:tcPr>
            <w:tcW w:w="4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宋体" w:hAnsi="宋体" w:cs="宋体" w:eastAsia="宋体" w:hint="default"/>
                <w:sz w:val="18"/>
                <w:szCs w:val="18"/>
              </w:rPr>
              <w:t>年公司净利润较</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年增长率不低于</w:t>
            </w:r>
            <w:r>
              <w:rPr>
                <w:rFonts w:ascii="Times New Roman" w:hAnsi="Times New Roman" w:cs="Times New Roman" w:eastAsia="Times New Roman" w:hint="default"/>
                <w:sz w:val="18"/>
                <w:szCs w:val="18"/>
              </w:rPr>
              <w:t>35%</w:t>
            </w:r>
          </w:p>
        </w:tc>
      </w:tr>
    </w:tbl>
    <w:p>
      <w:pPr>
        <w:pStyle w:val="BodyText"/>
        <w:spacing w:line="316" w:lineRule="auto" w:before="31"/>
        <w:ind w:right="967" w:firstLine="360"/>
        <w:jc w:val="left"/>
      </w:pPr>
      <w:r>
        <w:rPr>
          <w:spacing w:val="-2"/>
        </w:rPr>
        <w:t>公司未满足上述业绩考核目标的，所有激励对象对应考核当年可解除限售的限制性股票份额不得解锁，由公司进行回购</w:t>
      </w:r>
      <w:r>
        <w:rPr/>
        <w:t> 注销。</w:t>
      </w:r>
    </w:p>
    <w:p>
      <w:pPr>
        <w:pStyle w:val="BodyText"/>
        <w:spacing w:line="300" w:lineRule="auto" w:before="19"/>
        <w:ind w:left="513" w:right="967"/>
        <w:jc w:val="left"/>
      </w:pPr>
      <w:r>
        <w:rPr>
          <w:rFonts w:ascii="Times New Roman" w:hAnsi="Times New Roman" w:cs="Times New Roman" w:eastAsia="Times New Roman" w:hint="default"/>
        </w:rPr>
        <w:t>2</w:t>
      </w:r>
      <w:r>
        <w:rPr/>
        <w:t>）个人业绩考核要求 根据公司制定的《深圳市金溢科技股份有限公司</w:t>
      </w:r>
      <w:r>
        <w:rPr>
          <w:rFonts w:ascii="Times New Roman" w:hAnsi="Times New Roman" w:cs="Times New Roman" w:eastAsia="Times New Roman" w:hint="default"/>
        </w:rPr>
        <w:t>2019</w:t>
      </w:r>
      <w:r>
        <w:rPr/>
        <w:t>年限制性股票激励计划实施考核管理办法》（以下简称</w:t>
      </w:r>
      <w:r>
        <w:rPr>
          <w:rFonts w:ascii="Times New Roman" w:hAnsi="Times New Roman" w:cs="Times New Roman" w:eastAsia="Times New Roman" w:hint="default"/>
        </w:rPr>
        <w:t>“</w:t>
      </w:r>
      <w:r>
        <w:rPr/>
        <w:t>《考核管</w:t>
      </w:r>
    </w:p>
    <w:p>
      <w:pPr>
        <w:pStyle w:val="BodyText"/>
        <w:spacing w:line="300" w:lineRule="auto" w:before="13"/>
        <w:ind w:right="1133"/>
        <w:jc w:val="both"/>
      </w:pPr>
      <w:r>
        <w:rPr/>
        <w:t>理办法》</w:t>
      </w:r>
      <w:r>
        <w:rPr>
          <w:rFonts w:ascii="Times New Roman" w:hAnsi="Times New Roman" w:cs="Times New Roman" w:eastAsia="Times New Roman" w:hint="default"/>
        </w:rPr>
        <w:t>”</w:t>
      </w:r>
      <w:r>
        <w:rPr/>
        <w:t>），若激励对象上一年度个人绩效考核结果为</w:t>
      </w:r>
      <w:r>
        <w:rPr>
          <w:rFonts w:ascii="Times New Roman" w:hAnsi="Times New Roman" w:cs="Times New Roman" w:eastAsia="Times New Roman" w:hint="default"/>
        </w:rPr>
        <w:t>“</w:t>
      </w:r>
      <w:r>
        <w:rPr/>
        <w:t>不合格</w:t>
      </w:r>
      <w:r>
        <w:rPr>
          <w:rFonts w:ascii="Times New Roman" w:hAnsi="Times New Roman" w:cs="Times New Roman" w:eastAsia="Times New Roman" w:hint="default"/>
        </w:rPr>
        <w:t>”</w:t>
      </w:r>
      <w:r>
        <w:rPr/>
        <w:t>，则公司按照激励计划的有关规定将激励对象所获限制性</w:t>
      </w:r>
      <w:r>
        <w:rPr>
          <w:spacing w:val="-58"/>
        </w:rPr>
        <w:t> </w:t>
      </w:r>
      <w:r>
        <w:rPr>
          <w:spacing w:val="-58"/>
        </w:rPr>
      </w:r>
      <w:r>
        <w:rPr>
          <w:spacing w:val="-2"/>
        </w:rPr>
        <w:t>股票当期可解锁份额注销。激励对象只有在上一年度绩效考核为</w:t>
      </w:r>
      <w:r>
        <w:rPr>
          <w:rFonts w:ascii="Times New Roman" w:hAnsi="Times New Roman" w:cs="Times New Roman" w:eastAsia="Times New Roman" w:hint="default"/>
          <w:spacing w:val="-2"/>
        </w:rPr>
        <w:t>“</w:t>
      </w:r>
      <w:r>
        <w:rPr>
          <w:spacing w:val="-2"/>
        </w:rPr>
        <w:t>合格</w:t>
      </w:r>
      <w:r>
        <w:rPr>
          <w:rFonts w:ascii="Times New Roman" w:hAnsi="Times New Roman" w:cs="Times New Roman" w:eastAsia="Times New Roman" w:hint="default"/>
          <w:spacing w:val="-2"/>
        </w:rPr>
        <w:t>”</w:t>
      </w:r>
      <w:r>
        <w:rPr>
          <w:spacing w:val="-2"/>
        </w:rPr>
        <w:t>以上，才能解锁当期激励股份，个人实际可解锁额度</w:t>
      </w:r>
      <w:r>
        <w:rPr>
          <w:spacing w:val="-45"/>
        </w:rPr>
        <w:t> </w:t>
      </w:r>
      <w:r>
        <w:rPr>
          <w:spacing w:val="-45"/>
        </w:rPr>
      </w:r>
      <w:r>
        <w:rPr/>
        <w:t>与个人层面考核系数相关，具体考核内容根据《考核管理办法》执行。</w:t>
      </w:r>
    </w:p>
    <w:p>
      <w:pPr>
        <w:spacing w:line="240" w:lineRule="auto" w:before="8"/>
        <w:rPr>
          <w:rFonts w:ascii="宋体" w:hAnsi="宋体" w:cs="宋体" w:eastAsia="宋体" w:hint="default"/>
          <w:sz w:val="18"/>
          <w:szCs w:val="18"/>
        </w:rPr>
      </w:pPr>
    </w:p>
    <w:p>
      <w:pPr>
        <w:pStyle w:val="Heading4"/>
        <w:spacing w:line="240" w:lineRule="auto"/>
        <w:ind w:right="967"/>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spacing w:line="482"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4</w:t>
      </w:r>
      <w:r>
        <w:rPr>
          <w:rFonts w:ascii="Microsoft JhengHei" w:hAnsi="Microsoft JhengHei" w:cs="Microsoft JhengHei" w:eastAsia="Microsoft JhengHei" w:hint="default"/>
          <w:b/>
          <w:bCs/>
          <w:spacing w:val="-1"/>
          <w:sz w:val="21"/>
          <w:szCs w:val="21"/>
        </w:rPr>
        <w:t>、股份支付的修改、终止情况</w:t>
      </w:r>
      <w:r>
        <w:rPr>
          <w:rFonts w:ascii="Microsoft JhengHei" w:hAnsi="Microsoft JhengHei" w:cs="Microsoft JhengHei" w:eastAsia="Microsoft JhengHei" w:hint="default"/>
          <w:b/>
          <w:bCs/>
          <w:spacing w:val="-29"/>
          <w:sz w:val="21"/>
          <w:szCs w:val="21"/>
        </w:rPr>
        <w:t> </w:t>
      </w:r>
      <w:r>
        <w:rPr>
          <w:rFonts w:ascii="Microsoft JhengHei" w:hAnsi="Microsoft JhengHei" w:cs="Microsoft JhengHei" w:eastAsia="Microsoft JhengHei" w:hint="default"/>
          <w:b/>
          <w:bCs/>
          <w:spacing w:val="-29"/>
          <w:sz w:val="21"/>
          <w:szCs w:val="21"/>
        </w:rPr>
      </w:r>
      <w:r>
        <w:rPr>
          <w:rFonts w:ascii="宋体" w:hAnsi="宋体" w:cs="宋体" w:eastAsia="宋体" w:hint="default"/>
          <w:sz w:val="18"/>
          <w:szCs w:val="18"/>
        </w:rPr>
        <w:t>无</w:t>
      </w:r>
    </w:p>
    <w:p>
      <w:pPr>
        <w:pStyle w:val="Heading4"/>
        <w:spacing w:line="240" w:lineRule="auto" w:before="107"/>
        <w:ind w:right="967"/>
        <w:jc w:val="left"/>
        <w:rPr>
          <w:b w:val="0"/>
          <w:bCs w:val="0"/>
        </w:rPr>
      </w:pPr>
      <w:r>
        <w:rPr>
          <w:rFonts w:ascii="Times New Roman" w:hAnsi="Times New Roman" w:cs="Times New Roman" w:eastAsia="Times New Roman" w:hint="default"/>
        </w:rPr>
        <w:t>5</w:t>
      </w:r>
      <w:r>
        <w:rPr/>
        <w:t>、其他</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6"/>
        <w:rPr>
          <w:rFonts w:ascii="宋体" w:hAnsi="宋体" w:cs="宋体" w:eastAsia="宋体" w:hint="default"/>
          <w:sz w:val="19"/>
          <w:szCs w:val="19"/>
        </w:rPr>
      </w:pPr>
    </w:p>
    <w:p>
      <w:pPr>
        <w:pStyle w:val="Heading2"/>
        <w:spacing w:line="240" w:lineRule="auto"/>
        <w:ind w:right="967"/>
        <w:jc w:val="left"/>
        <w:rPr>
          <w:b w:val="0"/>
          <w:bCs w:val="0"/>
        </w:rPr>
      </w:pPr>
      <w:r>
        <w:rPr/>
        <w:t>十四、承诺及或有事项</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967"/>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60" w:lineRule="auto"/>
        <w:ind w:left="573" w:right="5653" w:hanging="421"/>
        <w:jc w:val="left"/>
      </w:pPr>
      <w:r>
        <w:rPr/>
        <w:pict>
          <v:shape style="position:absolute;margin-left:56.279999pt;margin-top:32.831692pt;width:476.9pt;height:52.8pt;mso-position-horizontal-relative:page;mso-position-vertical-relative:paragraph;z-index:29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61"/>
                    <w:gridCol w:w="1579"/>
                    <w:gridCol w:w="2748"/>
                    <w:gridCol w:w="2127"/>
                  </w:tblGrid>
                  <w:tr>
                    <w:trPr>
                      <w:trHeight w:val="348" w:hRule="exact"/>
                    </w:trPr>
                    <w:tc>
                      <w:tcPr>
                        <w:tcW w:w="30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出租方</w:t>
                        </w:r>
                      </w:p>
                    </w:tc>
                    <w:tc>
                      <w:tcPr>
                        <w:tcW w:w="15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27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租赁期限</w:t>
                        </w:r>
                      </w:p>
                    </w:tc>
                    <w:tc>
                      <w:tcPr>
                        <w:tcW w:w="21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336" w:right="0"/>
                          <w:jc w:val="left"/>
                          <w:rPr>
                            <w:rFonts w:ascii="宋体" w:hAnsi="宋体" w:cs="宋体" w:eastAsia="宋体" w:hint="default"/>
                            <w:sz w:val="18"/>
                            <w:szCs w:val="18"/>
                          </w:rPr>
                        </w:pPr>
                        <w:r>
                          <w:rPr>
                            <w:rFonts w:ascii="宋体" w:hAnsi="宋体" w:cs="宋体" w:eastAsia="宋体" w:hint="default"/>
                            <w:sz w:val="18"/>
                            <w:szCs w:val="18"/>
                          </w:rPr>
                          <w:t>预计最低支付总额</w:t>
                        </w:r>
                      </w:p>
                    </w:tc>
                  </w:tr>
                  <w:tr>
                    <w:trPr>
                      <w:trHeight w:val="346" w:hRule="exact"/>
                    </w:trPr>
                    <w:tc>
                      <w:tcPr>
                        <w:tcW w:w="306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深圳市投资控股有限公司</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房屋租赁费</w:t>
                        </w:r>
                      </w:p>
                    </w:tc>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2017/12/14-2020/12/13</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41,748,687.43</w:t>
                        </w:r>
                      </w:p>
                    </w:tc>
                  </w:tr>
                  <w:tr>
                    <w:trPr>
                      <w:trHeight w:val="348" w:hRule="exact"/>
                    </w:trPr>
                    <w:tc>
                      <w:tcPr>
                        <w:tcW w:w="3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深圳市科技评审管理中心</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房屋租赁费</w:t>
                        </w:r>
                      </w:p>
                    </w:tc>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2018/2/1-2023/1/31</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16,560,795.96</w:t>
                        </w:r>
                      </w:p>
                    </w:tc>
                  </w:tr>
                </w:tbl>
                <w:p>
                  <w:pPr/>
                </w:p>
              </w:txbxContent>
            </v:textbox>
            <w10:wrap type="none"/>
          </v:shape>
        </w:pict>
      </w:r>
      <w:r>
        <w:rPr/>
        <w:t>资产负债表日存在的重要承诺 根据已签订的正在或准备履行的重要租赁合同，详情如下：</w:t>
      </w:r>
    </w:p>
    <w:p>
      <w:pPr>
        <w:spacing w:after="0" w:line="36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335" w:lineRule="exact"/>
        <w:ind w:left="212" w:right="1194"/>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left="212" w:right="1194"/>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633" w:right="1194"/>
        <w:jc w:val="left"/>
      </w:pPr>
      <w:r>
        <w:rPr/>
        <w:t>截至资产负债表日，本公司不存在需要披露的重要或有事项。</w:t>
      </w:r>
    </w:p>
    <w:p>
      <w:pPr>
        <w:spacing w:line="240" w:lineRule="auto" w:before="1"/>
        <w:rPr>
          <w:rFonts w:ascii="宋体" w:hAnsi="宋体" w:cs="宋体" w:eastAsia="宋体" w:hint="default"/>
          <w:sz w:val="22"/>
          <w:szCs w:val="22"/>
        </w:rPr>
      </w:pPr>
    </w:p>
    <w:p>
      <w:pPr>
        <w:pStyle w:val="Heading4"/>
        <w:spacing w:line="240" w:lineRule="auto"/>
        <w:ind w:left="212" w:right="1194"/>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212" w:right="1194"/>
        <w:jc w:val="left"/>
      </w:pPr>
      <w:r>
        <w:rPr/>
        <w:t>公司不存在需要披露的重要或有事项。</w:t>
      </w:r>
    </w:p>
    <w:p>
      <w:pPr>
        <w:spacing w:line="240" w:lineRule="auto" w:before="12"/>
        <w:rPr>
          <w:rFonts w:ascii="宋体" w:hAnsi="宋体" w:cs="宋体" w:eastAsia="宋体" w:hint="default"/>
          <w:sz w:val="21"/>
          <w:szCs w:val="21"/>
        </w:rPr>
      </w:pPr>
    </w:p>
    <w:p>
      <w:pPr>
        <w:pStyle w:val="Heading4"/>
        <w:spacing w:line="240" w:lineRule="auto"/>
        <w:ind w:left="212" w:right="1194"/>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212" w:right="1194"/>
        <w:jc w:val="left"/>
      </w:pPr>
      <w:r>
        <w:rPr/>
        <w:t>无</w:t>
      </w:r>
    </w:p>
    <w:p>
      <w:pPr>
        <w:spacing w:line="240" w:lineRule="auto" w:before="5"/>
        <w:rPr>
          <w:rFonts w:ascii="宋体" w:hAnsi="宋体" w:cs="宋体" w:eastAsia="宋体" w:hint="default"/>
          <w:sz w:val="19"/>
          <w:szCs w:val="19"/>
        </w:rPr>
      </w:pPr>
    </w:p>
    <w:p>
      <w:pPr>
        <w:pStyle w:val="Heading2"/>
        <w:spacing w:line="240" w:lineRule="auto"/>
        <w:ind w:left="212" w:right="1194"/>
        <w:jc w:val="left"/>
        <w:rPr>
          <w:b w:val="0"/>
          <w:bCs w:val="0"/>
        </w:rPr>
      </w:pPr>
      <w:r>
        <w:rPr/>
        <w:t>十五、资产负债表日后事项</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left="212" w:right="1194"/>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212" w:right="1194"/>
        <w:jc w:val="left"/>
      </w:pPr>
      <w:r>
        <w:rPr/>
        <w:t>无</w:t>
      </w:r>
    </w:p>
    <w:p>
      <w:pPr>
        <w:spacing w:line="240" w:lineRule="auto" w:before="1"/>
        <w:rPr>
          <w:rFonts w:ascii="宋体" w:hAnsi="宋体" w:cs="宋体" w:eastAsia="宋体" w:hint="default"/>
          <w:sz w:val="22"/>
          <w:szCs w:val="22"/>
        </w:rPr>
      </w:pPr>
    </w:p>
    <w:p>
      <w:pPr>
        <w:pStyle w:val="Heading4"/>
        <w:spacing w:line="240" w:lineRule="auto"/>
        <w:ind w:left="212" w:right="1194"/>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2" w:lineRule="exact"/>
        <w:ind w:left="100"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93.3pt;height:21.15pt;mso-position-horizontal-relative:char;mso-position-vertical-relative:line" coordorigin="0,0" coordsize="9866,423">
            <v:group style="position:absolute;left:5031;top:17;width:104;height:392" coordorigin="5031,17" coordsize="104,392">
              <v:shape style="position:absolute;left:5031;top:17;width:104;height:392" coordorigin="5031,17" coordsize="104,392" path="m5031,408l5135,408,5135,17,5031,17,5031,408xe" filled="true" fillcolor="#d0cece" stroked="false">
                <v:path arrowok="t"/>
                <v:fill type="solid"/>
              </v:shape>
            </v:group>
            <v:group style="position:absolute;left:12;top:17;width:101;height:392" coordorigin="12,17" coordsize="101,392">
              <v:shape style="position:absolute;left:12;top:17;width:101;height:392" coordorigin="12,17" coordsize="101,392" path="m12,408l113,408,113,17,12,17,12,408xe" filled="true" fillcolor="#d0cece" stroked="false">
                <v:path arrowok="t"/>
                <v:fill type="solid"/>
              </v:shape>
            </v:group>
            <v:group style="position:absolute;left:113;top:17;width:4919;height:392" coordorigin="113,17" coordsize="4919,392">
              <v:shape style="position:absolute;left:113;top:17;width:4919;height:392" coordorigin="113,17" coordsize="4919,392" path="m113,408l5031,408,5031,17,113,17,113,408xe" filled="true" fillcolor="#d0cece" stroked="false">
                <v:path arrowok="t"/>
                <v:fill type="solid"/>
              </v:shape>
            </v:group>
            <v:group style="position:absolute;left:10;top:10;width:5123;height:2" coordorigin="10,10" coordsize="5123,2">
              <v:shape style="position:absolute;left:10;top:10;width:5123;height:2" coordorigin="10,10" coordsize="5123,0" path="m10,10l5132,10e" filled="false" stroked="true" strokeweight=".48001pt" strokecolor="#000000">
                <v:path arrowok="t"/>
              </v:shape>
            </v:group>
            <v:group style="position:absolute;left:5142;top:10;width:4715;height:2" coordorigin="5142,10" coordsize="4715,2">
              <v:shape style="position:absolute;left:5142;top:10;width:4715;height:2" coordorigin="5142,10" coordsize="4715,0" path="m5142,10l9856,10e" filled="false" stroked="true" strokeweight=".48001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5123;height:2" coordorigin="10,413" coordsize="5123,2">
              <v:shape style="position:absolute;left:10;top:413;width:5123;height:2" coordorigin="10,413" coordsize="5123,0" path="m10,413l5132,413e" filled="false" stroked="true" strokeweight=".48001pt" strokecolor="#000000">
                <v:path arrowok="t"/>
              </v:shape>
            </v:group>
            <v:group style="position:absolute;left:5137;top:5;width:2;height:413" coordorigin="5137,5" coordsize="2,413">
              <v:shape style="position:absolute;left:5137;top:5;width:2;height:413" coordorigin="5137,5" coordsize="0,413" path="m5137,5l5137,418e" filled="false" stroked="true" strokeweight=".48001pt" strokecolor="#000000">
                <v:path arrowok="t"/>
              </v:shape>
            </v:group>
            <v:group style="position:absolute;left:5142;top:413;width:4715;height:2" coordorigin="5142,413" coordsize="4715,2">
              <v:shape style="position:absolute;left:5142;top:413;width:4715;height:2" coordorigin="5142,413" coordsize="4715,0" path="m5142,413l9856,413e" filled="false" stroked="true" strokeweight=".48001pt" strokecolor="#000000">
                <v:path arrowok="t"/>
              </v:shape>
            </v:group>
            <v:group style="position:absolute;left:9861;top:5;width:2;height:413" coordorigin="9861,5" coordsize="2,413">
              <v:shape style="position:absolute;left:9861;top:5;width:2;height:413" coordorigin="9861,5" coordsize="0,413" path="m9861,5l9861,418e" filled="false" stroked="true" strokeweight=".48004pt" strokecolor="#000000">
                <v:path arrowok="t"/>
              </v:shape>
              <v:shape style="position:absolute;left:6;top:10;width:5131;height:404" type="#_x0000_t202" filled="false" stroked="false">
                <v:textbox inset="0,0,0,0">
                  <w:txbxContent>
                    <w:p>
                      <w:pPr>
                        <w:spacing w:before="56"/>
                        <w:ind w:left="106" w:right="0" w:firstLine="0"/>
                        <w:jc w:val="left"/>
                        <w:rPr>
                          <w:rFonts w:ascii="宋体" w:hAnsi="宋体" w:cs="宋体" w:eastAsia="宋体" w:hint="default"/>
                          <w:sz w:val="18"/>
                          <w:szCs w:val="18"/>
                        </w:rPr>
                      </w:pPr>
                      <w:r>
                        <w:rPr>
                          <w:rFonts w:ascii="宋体" w:hAnsi="宋体" w:cs="宋体" w:eastAsia="宋体" w:hint="default"/>
                          <w:sz w:val="18"/>
                          <w:szCs w:val="18"/>
                        </w:rPr>
                        <w:t>拟分配的利润或股利</w:t>
                      </w:r>
                    </w:p>
                  </w:txbxContent>
                </v:textbox>
                <w10:wrap type="none"/>
              </v:shape>
              <v:shape style="position:absolute;left:5137;top:10;width:4725;height:404" type="#_x0000_t202" filled="false" stroked="false">
                <v:textbox inset="0,0,0,0">
                  <w:txbxContent>
                    <w:p>
                      <w:pPr>
                        <w:spacing w:before="56"/>
                        <w:ind w:left="0" w:right="103" w:firstLine="0"/>
                        <w:jc w:val="right"/>
                        <w:rPr>
                          <w:rFonts w:ascii="宋体" w:hAnsi="宋体" w:cs="宋体" w:eastAsia="宋体" w:hint="default"/>
                          <w:sz w:val="18"/>
                          <w:szCs w:val="18"/>
                        </w:rPr>
                      </w:pPr>
                      <w:r>
                        <w:rPr>
                          <w:rFonts w:ascii="宋体"/>
                          <w:spacing w:val="-1"/>
                          <w:sz w:val="18"/>
                        </w:rPr>
                        <w:t>262,729,590.98</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4"/>
        <w:spacing w:line="335" w:lineRule="exact"/>
        <w:ind w:left="212" w:right="1194"/>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212" w:right="1194"/>
        <w:jc w:val="left"/>
      </w:pPr>
      <w:r>
        <w:rPr/>
        <w:t>无</w:t>
      </w:r>
    </w:p>
    <w:p>
      <w:pPr>
        <w:spacing w:line="240" w:lineRule="auto" w:before="1"/>
        <w:rPr>
          <w:rFonts w:ascii="宋体" w:hAnsi="宋体" w:cs="宋体" w:eastAsia="宋体" w:hint="default"/>
          <w:sz w:val="22"/>
          <w:szCs w:val="22"/>
        </w:rPr>
      </w:pPr>
    </w:p>
    <w:p>
      <w:pPr>
        <w:pStyle w:val="Heading4"/>
        <w:spacing w:line="240" w:lineRule="auto"/>
        <w:ind w:left="212" w:right="1194"/>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9" w:lineRule="auto"/>
        <w:ind w:left="573" w:right="0"/>
        <w:jc w:val="left"/>
      </w:pPr>
      <w:r>
        <w:rPr/>
        <w:t>新型冠状病毒感染的肺炎疫情的影响 新型冠状病毒感染的肺炎疫情</w:t>
      </w:r>
      <w:r>
        <w:rPr>
          <w:rFonts w:ascii="Times New Roman" w:hAnsi="Times New Roman" w:cs="Times New Roman" w:eastAsia="Times New Roman" w:hint="default"/>
        </w:rPr>
        <w:t>(</w:t>
      </w:r>
      <w:r>
        <w:rPr/>
        <w:t>以下简称新冠疫情</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月在全国爆发。为防控新冠疫情，全国各地政府均出台了</w:t>
      </w:r>
    </w:p>
    <w:p>
      <w:pPr>
        <w:pStyle w:val="BodyText"/>
        <w:spacing w:line="316" w:lineRule="auto"/>
        <w:ind w:left="573" w:right="0" w:hanging="361"/>
        <w:jc w:val="left"/>
      </w:pPr>
      <w:r>
        <w:rPr/>
        <w:t>新冠疫情防控措施。新冠疫情及相应的防控措施对公司的正常生产经营造成了一定的影响，具体情况如下： </w:t>
      </w:r>
      <w:r>
        <w:rPr>
          <w:spacing w:val="-2"/>
        </w:rPr>
        <w:t>公司按照政府要求努力开展防御和抗击疫情的工作，积极采取措施保障员工及家属健康、履行社会责任。公司及各驻地</w:t>
      </w:r>
    </w:p>
    <w:p>
      <w:pPr>
        <w:pStyle w:val="BodyText"/>
        <w:spacing w:line="300" w:lineRule="auto" w:before="19"/>
        <w:ind w:left="212" w:right="1124"/>
        <w:jc w:val="left"/>
      </w:pPr>
      <w:r>
        <w:rPr/>
        <w:t>子公司自</w:t>
      </w:r>
      <w:r>
        <w:rPr>
          <w:rFonts w:ascii="宋体" w:hAnsi="宋体" w:cs="宋体" w:eastAsia="宋体" w:hint="default"/>
        </w:rPr>
        <w:t>2020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13</w:t>
      </w:r>
      <w:r>
        <w:rPr/>
        <w:t>日起陆续开始有序复工，保证内部项目研发工作按计划推进，并与客户和供应商保持沟通，努力减少</w:t>
      </w:r>
      <w:r>
        <w:rPr>
          <w:spacing w:val="-86"/>
        </w:rPr>
        <w:t> </w:t>
      </w:r>
      <w:r>
        <w:rPr>
          <w:spacing w:val="-86"/>
        </w:rPr>
      </w:r>
      <w:r>
        <w:rPr/>
        <w:t>和克服疫情对产业链造成的不利影响。</w:t>
      </w:r>
    </w:p>
    <w:p>
      <w:pPr>
        <w:pStyle w:val="BodyText"/>
        <w:spacing w:line="316" w:lineRule="auto" w:before="31"/>
        <w:ind w:left="212" w:right="0" w:firstLine="360"/>
        <w:jc w:val="left"/>
      </w:pPr>
      <w:r>
        <w:rPr>
          <w:spacing w:val="-2"/>
        </w:rPr>
        <w:t>公司预计此次新冠疫情及防控措施将对公司的经营造成一定的暂时性影响，影响程度取决于全球各地疫情防控的进展情</w:t>
      </w:r>
      <w:r>
        <w:rPr/>
        <w:t> 况、持续时间以及防控政策的实施情况。具体影响目前尚无法具体估计。</w:t>
      </w:r>
    </w:p>
    <w:p>
      <w:pPr>
        <w:pStyle w:val="BodyText"/>
        <w:spacing w:line="240" w:lineRule="auto" w:before="19"/>
        <w:ind w:left="573" w:right="1194"/>
        <w:jc w:val="left"/>
      </w:pPr>
      <w:r>
        <w:rPr/>
        <w:t>公司将持续密切关注新冠疫情的发展情况，并评估和积极应对其对公司财务状况、经营成果等方面的影响。</w:t>
      </w:r>
    </w:p>
    <w:p>
      <w:pPr>
        <w:spacing w:after="0" w:line="240" w:lineRule="auto"/>
        <w:jc w:val="left"/>
        <w:sectPr>
          <w:pgSz w:w="11910" w:h="16840"/>
          <w:pgMar w:header="877" w:footer="979" w:top="1100" w:bottom="1160" w:left="920" w:right="0"/>
        </w:sectPr>
      </w:pPr>
    </w:p>
    <w:p>
      <w:pPr>
        <w:spacing w:line="240" w:lineRule="auto" w:before="10"/>
        <w:rPr>
          <w:rFonts w:ascii="宋体" w:hAnsi="宋体" w:cs="宋体" w:eastAsia="宋体" w:hint="default"/>
          <w:sz w:val="19"/>
          <w:szCs w:val="19"/>
        </w:rPr>
      </w:pPr>
    </w:p>
    <w:p>
      <w:pPr>
        <w:pStyle w:val="Heading2"/>
        <w:spacing w:line="367" w:lineRule="exact"/>
        <w:ind w:right="967"/>
        <w:jc w:val="left"/>
        <w:rPr>
          <w:b w:val="0"/>
          <w:bCs w:val="0"/>
        </w:rPr>
      </w:pPr>
      <w:r>
        <w:rPr/>
        <w:t>十六、其他重要事项</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967"/>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4"/>
        <w:spacing w:line="240" w:lineRule="auto"/>
        <w:ind w:right="967"/>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715"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0" w:right="108"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r>
        <w:trPr>
          <w:trHeight w:val="227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4"/>
              <w:jc w:val="center"/>
              <w:rPr>
                <w:rFonts w:ascii="宋体" w:hAnsi="宋体" w:cs="宋体" w:eastAsia="宋体" w:hint="default"/>
                <w:sz w:val="18"/>
                <w:szCs w:val="18"/>
              </w:rPr>
            </w:pPr>
            <w:r>
              <w:rPr>
                <w:rFonts w:ascii="宋体" w:hAnsi="宋体" w:cs="宋体" w:eastAsia="宋体" w:hint="default"/>
                <w:sz w:val="18"/>
                <w:szCs w:val="18"/>
              </w:rPr>
              <w:t>确认股权投资的初始投资成本</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9"/>
              <w:jc w:val="both"/>
              <w:rPr>
                <w:rFonts w:ascii="宋体" w:hAnsi="宋体" w:cs="宋体" w:eastAsia="宋体" w:hint="default"/>
                <w:sz w:val="18"/>
                <w:szCs w:val="18"/>
              </w:rPr>
            </w:pPr>
            <w:r>
              <w:rPr>
                <w:rFonts w:ascii="宋体" w:hAnsi="宋体" w:cs="宋体" w:eastAsia="宋体" w:hint="default"/>
                <w:sz w:val="18"/>
                <w:szCs w:val="18"/>
              </w:rPr>
              <w:t>本项差错经公司第三届董事 会第二次会议审议通过，本 期采用追溯重述法对该项差 错进行了更正，符合《企业 会计准则第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会计政策 会计估计变更和差错更正》 的规定。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9"/>
                <w:sz w:val="18"/>
                <w:szCs w:val="18"/>
              </w:rPr>
              <w:t>日：可供出售</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金融资产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其他权益工具投资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03" w:lineRule="exact"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日：其他应付款</w:t>
            </w:r>
          </w:p>
          <w:p>
            <w:pPr>
              <w:pStyle w:val="TableParagraph"/>
              <w:spacing w:line="149" w:lineRule="exact"/>
              <w:ind w:left="-13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pacing w:val="-9"/>
                <w:sz w:val="18"/>
                <w:szCs w:val="18"/>
              </w:rPr>
              <w:t>日：其他应付</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411" w:right="0"/>
              <w:jc w:val="left"/>
              <w:rPr>
                <w:rFonts w:ascii="Times New Roman" w:hAnsi="Times New Roman" w:cs="Times New Roman" w:eastAsia="Times New Roman" w:hint="default"/>
                <w:sz w:val="18"/>
                <w:szCs w:val="18"/>
              </w:rPr>
            </w:pPr>
            <w:r>
              <w:rPr>
                <w:rFonts w:ascii="Times New Roman"/>
                <w:sz w:val="18"/>
              </w:rPr>
              <w:t>1,500,000.00</w:t>
            </w: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pict>
          <v:shape style="position:absolute;margin-left:409.869995pt;margin-top:-126.224998pt;width:125.1pt;height:113.2pt;mso-position-horizontal-relative:page;mso-position-vertical-relative:paragraph;z-index:-153068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0" w:right="0"/>
                    <w:jc w:val="left"/>
                  </w:pPr>
                  <w:r>
                    <w:rPr/>
                    <w:t>：</w:t>
                  </w:r>
                </w:p>
              </w:txbxContent>
            </v:textbox>
            <w10:wrap type="none"/>
          </v:shape>
        </w:pict>
      </w:r>
      <w:r>
        <w:rPr/>
        <w:pict>
          <v:group style="position:absolute;margin-left:296.450012pt;margin-top:-126.224998pt;width:238.5pt;height:113.2pt;mso-position-horizontal-relative:page;mso-position-vertical-relative:paragraph;z-index:-1530664" coordorigin="5929,-2524" coordsize="4770,2264">
            <v:group style="position:absolute;left:5929;top:-2524;width:2379;height:156" coordorigin="5929,-2524" coordsize="2379,156">
              <v:shape style="position:absolute;left:5929;top:-2524;width:2379;height:156" coordorigin="5929,-2524" coordsize="2379,156" path="m5929,-2369l8308,-2369,8308,-2524,5929,-2524,5929,-2369xe" filled="true" fillcolor="#ffffff" stroked="false">
                <v:path arrowok="t"/>
                <v:fill type="solid"/>
              </v:shape>
            </v:group>
            <v:group style="position:absolute;left:5929;top:-417;width:2379;height:156" coordorigin="5929,-417" coordsize="2379,156">
              <v:shape style="position:absolute;left:5929;top:-417;width:2379;height:156" coordorigin="5929,-417" coordsize="2379,156" path="m5929,-261l8308,-261,8308,-417,5929,-417,5929,-261xe" filled="true" fillcolor="#ffffff" stroked="false">
                <v:path arrowok="t"/>
                <v:fill type="solid"/>
              </v:shape>
            </v:group>
            <v:group style="position:absolute;left:5951;top:-1391;width:2336;height:312" coordorigin="5951,-1391" coordsize="2336,312">
              <v:shape style="position:absolute;left:5951;top:-1391;width:2336;height:312" coordorigin="5951,-1391" coordsize="2336,312" path="m5951,-1079l8286,-1079,8286,-1391,5951,-1391,5951,-1079xe" filled="true" fillcolor="#ffffff" stroked="false">
                <v:path arrowok="t"/>
                <v:fill type="solid"/>
              </v:shape>
            </v:group>
            <v:group style="position:absolute;left:5951;top:-1079;width:2336;height:312" coordorigin="5951,-1079" coordsize="2336,312">
              <v:shape style="position:absolute;left:5951;top:-1079;width:2336;height:312" coordorigin="5951,-1079" coordsize="2336,312" path="m5951,-767l8286,-767,8286,-1079,5951,-1079,5951,-767xe" filled="true" fillcolor="#ffffff" stroked="false">
                <v:path arrowok="t"/>
                <v:fill type="solid"/>
              </v:shape>
            </v:group>
            <v:group style="position:absolute;left:8317;top:-2524;width:2382;height:2264" coordorigin="8317,-2524" coordsize="2382,2264">
              <v:shape style="position:absolute;left:8317;top:-2524;width:2382;height:2264" coordorigin="8317,-2524" coordsize="2382,2264" path="m8317,-261l10699,-261,10699,-2524,8317,-2524,8317,-261xe" filled="true" fillcolor="#ffffff" stroked="false">
                <v:path arrowok="t"/>
                <v:fill type="solid"/>
              </v:shape>
            </v:group>
            <v:group style="position:absolute;left:8341;top:-1588;width:2334;height:392" coordorigin="8341,-1588" coordsize="2334,392">
              <v:shape style="position:absolute;left:8341;top:-1588;width:2334;height:392" coordorigin="8341,-1588" coordsize="2334,392" path="m8341,-1197l10675,-1197,10675,-1588,8341,-1588,8341,-1197xe" filled="true" fillcolor="#ffffff" stroked="false">
                <v:path arrowok="t"/>
                <v:fill type="solid"/>
              </v:shape>
            </v:group>
            <w10:wrap type="none"/>
          </v:group>
        </w:pict>
      </w:r>
      <w:r>
        <w:rPr/>
        <w:t>（</w:t>
      </w:r>
      <w:r>
        <w:rPr>
          <w:rFonts w:ascii="Times New Roman" w:hAnsi="Times New Roman" w:cs="Times New Roman" w:eastAsia="Times New Roman" w:hint="default"/>
        </w:rPr>
        <w:t>2</w:t>
      </w:r>
      <w:r>
        <w:rPr/>
        <w:t>）未来适用法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2"/>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2"/>
        <w:rPr>
          <w:rFonts w:ascii="宋体" w:hAnsi="宋体" w:cs="宋体" w:eastAsia="宋体" w:hint="default"/>
          <w:sz w:val="21"/>
          <w:szCs w:val="21"/>
        </w:rPr>
      </w:pPr>
    </w:p>
    <w:p>
      <w:pPr>
        <w:pStyle w:val="Heading4"/>
        <w:spacing w:line="240" w:lineRule="auto"/>
        <w:ind w:right="967"/>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967"/>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2"/>
        <w:rPr>
          <w:rFonts w:ascii="宋体" w:hAnsi="宋体" w:cs="宋体" w:eastAsia="宋体" w:hint="default"/>
          <w:sz w:val="22"/>
          <w:szCs w:val="22"/>
        </w:rPr>
      </w:pPr>
    </w:p>
    <w:p>
      <w:pPr>
        <w:pStyle w:val="Heading4"/>
        <w:spacing w:line="240" w:lineRule="auto"/>
        <w:ind w:right="967"/>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335" w:lineRule="exact"/>
        <w:ind w:left="212" w:right="1194"/>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left="212" w:right="1194"/>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212" w:right="1194"/>
        <w:jc w:val="left"/>
      </w:pPr>
      <w:r>
        <w:rPr/>
        <w:t>无</w:t>
      </w:r>
    </w:p>
    <w:p>
      <w:pPr>
        <w:spacing w:line="240" w:lineRule="auto" w:before="1"/>
        <w:rPr>
          <w:rFonts w:ascii="宋体" w:hAnsi="宋体" w:cs="宋体" w:eastAsia="宋体" w:hint="default"/>
          <w:sz w:val="22"/>
          <w:szCs w:val="22"/>
        </w:rPr>
      </w:pPr>
    </w:p>
    <w:p>
      <w:pPr>
        <w:pStyle w:val="Heading4"/>
        <w:spacing w:line="240" w:lineRule="auto"/>
        <w:ind w:left="212" w:right="1194"/>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212" w:right="1194"/>
        <w:jc w:val="left"/>
      </w:pPr>
      <w:r>
        <w:rPr/>
        <w:t>无</w:t>
      </w:r>
    </w:p>
    <w:p>
      <w:pPr>
        <w:spacing w:line="240" w:lineRule="auto" w:before="12"/>
        <w:rPr>
          <w:rFonts w:ascii="宋体" w:hAnsi="宋体" w:cs="宋体" w:eastAsia="宋体" w:hint="default"/>
          <w:sz w:val="21"/>
          <w:szCs w:val="21"/>
        </w:rPr>
      </w:pPr>
    </w:p>
    <w:p>
      <w:pPr>
        <w:pStyle w:val="Heading4"/>
        <w:spacing w:line="240" w:lineRule="auto"/>
        <w:ind w:left="212" w:right="1194"/>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498" w:right="1194"/>
        <w:jc w:val="left"/>
      </w:pPr>
      <w:r>
        <w:rPr/>
        <w:t>本公司不存在多种经营或跨地区经营，故无报告分部。本公司按产品分类的主营业务收入及主营业务成本明细如下：</w:t>
      </w:r>
    </w:p>
    <w:p>
      <w:pPr>
        <w:spacing w:line="240" w:lineRule="auto" w:before="3"/>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3378"/>
        <w:gridCol w:w="3550"/>
        <w:gridCol w:w="2929"/>
      </w:tblGrid>
      <w:tr>
        <w:trPr>
          <w:trHeight w:val="403"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9"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主营业务收入</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19"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401"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ETC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及相关业务</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2,845,283,780.80</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1,482,585,383.32</w:t>
            </w:r>
          </w:p>
        </w:tc>
      </w:tr>
      <w:tr>
        <w:trPr>
          <w:trHeight w:val="403"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9" w:right="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2,845,283,780.80</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1,482,585,383.32</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335" w:lineRule="exact"/>
        <w:ind w:left="212" w:right="1194"/>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212" w:right="1194"/>
        <w:jc w:val="left"/>
      </w:pPr>
      <w:r>
        <w:rPr/>
        <w:t>无</w:t>
      </w:r>
    </w:p>
    <w:p>
      <w:pPr>
        <w:spacing w:line="240" w:lineRule="auto" w:before="2"/>
        <w:rPr>
          <w:rFonts w:ascii="宋体" w:hAnsi="宋体" w:cs="宋体" w:eastAsia="宋体" w:hint="default"/>
          <w:sz w:val="22"/>
          <w:szCs w:val="22"/>
        </w:rPr>
      </w:pPr>
    </w:p>
    <w:p>
      <w:pPr>
        <w:pStyle w:val="Heading4"/>
        <w:spacing w:line="240" w:lineRule="auto"/>
        <w:ind w:left="212" w:right="1194"/>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73" w:right="119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基本情况</w:t>
      </w:r>
    </w:p>
    <w:p>
      <w:pPr>
        <w:spacing w:line="240" w:lineRule="auto" w:before="2"/>
        <w:rPr>
          <w:rFonts w:ascii="宋体" w:hAnsi="宋体" w:cs="宋体" w:eastAsia="宋体"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5385"/>
        <w:gridCol w:w="4472"/>
      </w:tblGrid>
      <w:tr>
        <w:trPr>
          <w:trHeight w:val="322"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r>
      <w:tr>
        <w:trPr>
          <w:trHeight w:val="322"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山东高速信联支付有限公司</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参股公司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1</w:t>
            </w:r>
            <w:r>
              <w:rPr>
                <w:rFonts w:ascii="Times New Roman" w:hAnsi="Times New Roman" w:cs="Times New Roman" w:eastAsia="Times New Roman" w:hint="default"/>
                <w:sz w:val="18"/>
                <w:szCs w:val="18"/>
              </w:rPr>
              <w:t>]</w:t>
            </w:r>
          </w:p>
        </w:tc>
      </w:tr>
      <w:tr>
        <w:trPr>
          <w:trHeight w:val="324" w:hRule="exact"/>
        </w:trPr>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江苏通行宝智慧交通科技股份有限公司</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联营方</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2]</w:t>
            </w:r>
          </w:p>
        </w:tc>
      </w:tr>
    </w:tbl>
    <w:p>
      <w:pPr>
        <w:pStyle w:val="BodyText"/>
        <w:spacing w:line="316" w:lineRule="auto" w:before="8"/>
        <w:ind w:left="212" w:right="0" w:firstLine="432"/>
        <w:jc w:val="left"/>
      </w:pPr>
      <w:r>
        <w:rPr>
          <w:rFonts w:ascii="宋体" w:hAnsi="宋体" w:cs="宋体" w:eastAsia="宋体" w:hint="default"/>
          <w:spacing w:val="-2"/>
        </w:rPr>
        <w:t>[</w:t>
      </w:r>
      <w:r>
        <w:rPr>
          <w:spacing w:val="-2"/>
        </w:rPr>
        <w:t>注</w:t>
      </w:r>
      <w:r>
        <w:rPr>
          <w:rFonts w:ascii="宋体" w:hAnsi="宋体" w:cs="宋体" w:eastAsia="宋体" w:hint="default"/>
          <w:spacing w:val="-2"/>
        </w:rPr>
        <w:t>1]</w:t>
      </w:r>
      <w:r>
        <w:rPr>
          <w:spacing w:val="-2"/>
        </w:rPr>
        <w:t>：本公司投资企业，与关联方山东高速信联科技有限公司为同一实际控制人山东省人民政府国有资产监督管理委</w:t>
      </w:r>
      <w:r>
        <w:rPr/>
        <w:t> 员会控制下的企业。</w:t>
      </w:r>
    </w:p>
    <w:p>
      <w:pPr>
        <w:pStyle w:val="BodyText"/>
        <w:spacing w:line="319" w:lineRule="auto" w:before="19"/>
        <w:ind w:left="212" w:right="1124" w:firstLine="360"/>
        <w:jc w:val="left"/>
      </w:pPr>
      <w:r>
        <w:rPr>
          <w:rFonts w:ascii="宋体" w:hAnsi="宋体" w:cs="宋体" w:eastAsia="宋体" w:hint="default"/>
        </w:rPr>
        <w:t>[</w:t>
      </w:r>
      <w:r>
        <w:rPr/>
        <w:t>注</w:t>
      </w:r>
      <w:r>
        <w:rPr>
          <w:rFonts w:ascii="宋体" w:hAnsi="宋体" w:cs="宋体" w:eastAsia="宋体" w:hint="default"/>
        </w:rPr>
        <w:t>2]</w:t>
      </w:r>
      <w:r>
        <w:rPr/>
        <w:t>：本公司与江苏通行宝智慧交通科技股份有限公司于</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19</w:t>
      </w:r>
      <w:r>
        <w:rPr/>
        <w:t>日共同设立深圳宝溢交通科技有限公司，本公 司持股</w:t>
      </w:r>
      <w:r>
        <w:rPr>
          <w:rFonts w:ascii="宋体" w:hAnsi="宋体" w:cs="宋体" w:eastAsia="宋体" w:hint="default"/>
        </w:rPr>
        <w:t>49%</w:t>
      </w:r>
      <w:r>
        <w:rPr/>
        <w:t>。</w:t>
      </w:r>
    </w:p>
    <w:p>
      <w:pPr>
        <w:pStyle w:val="BodyText"/>
        <w:spacing w:line="240" w:lineRule="auto" w:before="17"/>
        <w:ind w:left="573" w:right="119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购销商品、提供和接受劳务的交易</w:t>
      </w:r>
    </w:p>
    <w:p>
      <w:pPr>
        <w:spacing w:line="240" w:lineRule="auto" w:before="2"/>
        <w:rPr>
          <w:rFonts w:ascii="宋体" w:hAnsi="宋体" w:cs="宋体" w:eastAsia="宋体"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3567"/>
        <w:gridCol w:w="2163"/>
        <w:gridCol w:w="2377"/>
        <w:gridCol w:w="1750"/>
      </w:tblGrid>
      <w:tr>
        <w:trPr>
          <w:trHeight w:val="322"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7"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3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9"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22"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山东高速信联支付有限公司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1</w:t>
            </w:r>
            <w:r>
              <w:rPr>
                <w:rFonts w:ascii="Times New Roman" w:hAnsi="Times New Roman" w:cs="Times New Roman" w:eastAsia="Times New Roman" w:hint="default"/>
                <w:sz w:val="18"/>
                <w:szCs w:val="18"/>
              </w:rPr>
              <w:t>]</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销售商品、提供服务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414,609,421.03</w:t>
            </w: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3"/>
              <w:jc w:val="left"/>
              <w:rPr>
                <w:rFonts w:ascii="宋体" w:hAnsi="宋体" w:cs="宋体" w:eastAsia="宋体" w:hint="default"/>
                <w:sz w:val="18"/>
                <w:szCs w:val="18"/>
              </w:rPr>
            </w:pPr>
            <w:r>
              <w:rPr>
                <w:rFonts w:ascii="宋体" w:hAnsi="宋体" w:cs="宋体" w:eastAsia="宋体" w:hint="default"/>
                <w:sz w:val="18"/>
                <w:szCs w:val="18"/>
              </w:rPr>
              <w:t>江苏通行宝智慧交通科技股份有限公司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74"/>
                <w:sz w:val="18"/>
                <w:szCs w:val="18"/>
              </w:rPr>
              <w:t> </w:t>
            </w:r>
            <w:r>
              <w:rPr>
                <w:rFonts w:ascii="宋体" w:hAnsi="宋体" w:cs="宋体" w:eastAsia="宋体" w:hint="default"/>
                <w:sz w:val="18"/>
                <w:szCs w:val="18"/>
              </w:rPr>
              <w:t>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销售商品、提供服务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575,221.24</w:t>
            </w: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2163" w:type="dxa"/>
            <w:tcBorders>
              <w:top w:val="single" w:sz="4" w:space="0" w:color="000000"/>
              <w:left w:val="single" w:sz="4" w:space="0" w:color="000000"/>
              <w:bottom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415,184,642.27</w:t>
            </w:r>
          </w:p>
        </w:tc>
        <w:tc>
          <w:tcPr>
            <w:tcW w:w="175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6" w:lineRule="auto" w:before="8"/>
        <w:ind w:left="212" w:right="1194" w:firstLine="432"/>
        <w:jc w:val="left"/>
      </w:pPr>
      <w:r>
        <w:rPr>
          <w:rFonts w:ascii="宋体" w:hAnsi="宋体" w:cs="宋体" w:eastAsia="宋体" w:hint="default"/>
        </w:rPr>
        <w:t>[</w:t>
      </w:r>
      <w:r>
        <w:rPr/>
        <w:t>注</w:t>
      </w:r>
      <w:r>
        <w:rPr>
          <w:rFonts w:ascii="宋体" w:hAnsi="宋体" w:cs="宋体" w:eastAsia="宋体" w:hint="default"/>
        </w:rPr>
        <w:t>1]</w:t>
      </w:r>
      <w:r>
        <w:rPr/>
        <w:t>：与关联方山东高速信联科技有限公司为同一实际控制人山东省人民政府国有资产监督管理委员会控制下的企</w:t>
      </w:r>
      <w:r>
        <w:rPr>
          <w:spacing w:val="2"/>
        </w:rPr>
        <w:t> </w:t>
      </w:r>
      <w:r>
        <w:rPr/>
        <w:t>业，同山东高速信联科技有限公司自</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14</w:t>
      </w:r>
      <w:r>
        <w:rPr/>
        <w:t>日起与本公司产生关系，本期数为</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14</w:t>
      </w:r>
      <w:r>
        <w:rPr/>
        <w:t>日至</w:t>
      </w:r>
      <w:r>
        <w:rPr>
          <w:rFonts w:ascii="宋体" w:hAnsi="宋体" w:cs="宋体" w:eastAsia="宋体" w:hint="default"/>
        </w:rPr>
        <w:t>12</w:t>
      </w:r>
      <w:r>
        <w:rPr/>
        <w:t>月</w:t>
      </w:r>
      <w:r>
        <w:rPr>
          <w:rFonts w:ascii="宋体" w:hAnsi="宋体" w:cs="宋体" w:eastAsia="宋体" w:hint="default"/>
        </w:rPr>
        <w:t>31</w:t>
      </w:r>
      <w:r>
        <w:rPr/>
        <w:t>日销售金额。</w:t>
      </w:r>
    </w:p>
    <w:p>
      <w:pPr>
        <w:pStyle w:val="BodyText"/>
        <w:spacing w:line="240" w:lineRule="auto" w:before="19"/>
        <w:ind w:left="573" w:right="1194"/>
        <w:jc w:val="left"/>
      </w:pPr>
      <w:r>
        <w:rPr>
          <w:rFonts w:ascii="宋体" w:hAnsi="宋体" w:cs="宋体" w:eastAsia="宋体" w:hint="default"/>
        </w:rPr>
        <w:t>[</w:t>
      </w:r>
      <w:r>
        <w:rPr/>
        <w:t>注</w:t>
      </w:r>
      <w:r>
        <w:rPr>
          <w:rFonts w:ascii="宋体" w:hAnsi="宋体" w:cs="宋体" w:eastAsia="宋体" w:hint="default"/>
        </w:rPr>
        <w:t>2]</w:t>
      </w:r>
      <w:r>
        <w:rPr/>
        <w:t>：本期数为</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19</w:t>
      </w:r>
      <w:r>
        <w:rPr/>
        <w:t>日至</w:t>
      </w:r>
      <w:r>
        <w:rPr>
          <w:rFonts w:ascii="宋体" w:hAnsi="宋体" w:cs="宋体" w:eastAsia="宋体" w:hint="default"/>
        </w:rPr>
        <w:t>12</w:t>
      </w:r>
      <w:r>
        <w:rPr/>
        <w:t>月</w:t>
      </w:r>
      <w:r>
        <w:rPr>
          <w:rFonts w:ascii="宋体" w:hAnsi="宋体" w:cs="宋体" w:eastAsia="宋体" w:hint="default"/>
        </w:rPr>
        <w:t>31</w:t>
      </w:r>
      <w:r>
        <w:rPr/>
        <w:t>日销售金额。</w:t>
      </w:r>
    </w:p>
    <w:p>
      <w:pPr>
        <w:pStyle w:val="BodyText"/>
        <w:spacing w:line="240" w:lineRule="auto" w:before="77"/>
        <w:ind w:left="633" w:right="1194"/>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应收款项</w:t>
      </w:r>
    </w:p>
    <w:p>
      <w:pPr>
        <w:spacing w:line="240" w:lineRule="auto" w:before="2"/>
        <w:rPr>
          <w:rFonts w:ascii="宋体" w:hAnsi="宋体" w:cs="宋体" w:eastAsia="宋体"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1126"/>
        <w:gridCol w:w="1753"/>
        <w:gridCol w:w="3819"/>
        <w:gridCol w:w="3159"/>
      </w:tblGrid>
      <w:tr>
        <w:trPr>
          <w:trHeight w:val="324"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1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877" w:footer="979" w:top="1100" w:bottom="1160" w:left="920" w:right="0"/>
        </w:sectPr>
      </w:pPr>
    </w:p>
    <w:p>
      <w:pPr>
        <w:spacing w:line="240" w:lineRule="auto" w:before="8"/>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1126"/>
        <w:gridCol w:w="1753"/>
        <w:gridCol w:w="2002"/>
        <w:gridCol w:w="1817"/>
        <w:gridCol w:w="1707"/>
        <w:gridCol w:w="1452"/>
      </w:tblGrid>
      <w:tr>
        <w:trPr>
          <w:trHeight w:val="322" w:hRule="exact"/>
        </w:trPr>
        <w:tc>
          <w:tcPr>
            <w:tcW w:w="1126" w:type="dxa"/>
            <w:tcBorders>
              <w:top w:val="single" w:sz="4" w:space="0" w:color="000000"/>
              <w:left w:val="single" w:sz="4" w:space="0" w:color="000000"/>
              <w:bottom w:val="single" w:sz="4" w:space="0" w:color="000000"/>
              <w:right w:val="single" w:sz="4" w:space="0" w:color="000000"/>
            </w:tcBorders>
          </w:tcPr>
          <w:p>
            <w:pPr/>
          </w:p>
        </w:tc>
        <w:tc>
          <w:tcPr>
            <w:tcW w:w="175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4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8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34"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195"/>
              <w:jc w:val="left"/>
              <w:rPr>
                <w:rFonts w:ascii="宋体" w:hAnsi="宋体" w:cs="宋体" w:eastAsia="宋体" w:hint="default"/>
                <w:sz w:val="18"/>
                <w:szCs w:val="18"/>
              </w:rPr>
            </w:pPr>
            <w:r>
              <w:rPr>
                <w:rFonts w:ascii="宋体" w:hAnsi="宋体" w:cs="宋体" w:eastAsia="宋体" w:hint="default"/>
                <w:sz w:val="18"/>
                <w:szCs w:val="18"/>
              </w:rPr>
              <w:t>山东高速信联支付 有限公司</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47,953,923.24</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3,240,162.57</w:t>
            </w:r>
          </w:p>
        </w:tc>
        <w:tc>
          <w:tcPr>
            <w:tcW w:w="170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195"/>
              <w:jc w:val="both"/>
              <w:rPr>
                <w:rFonts w:ascii="宋体" w:hAnsi="宋体" w:cs="宋体" w:eastAsia="宋体" w:hint="default"/>
                <w:sz w:val="18"/>
                <w:szCs w:val="18"/>
              </w:rPr>
            </w:pPr>
            <w:r>
              <w:rPr>
                <w:rFonts w:ascii="宋体" w:hAnsi="宋体" w:cs="宋体" w:eastAsia="宋体" w:hint="default"/>
                <w:sz w:val="18"/>
                <w:szCs w:val="18"/>
              </w:rPr>
              <w:t>江苏通行宝智慧交 通科技股份有限公 司</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325,828,490.24</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18,318,273.88</w:t>
            </w:r>
          </w:p>
        </w:tc>
        <w:tc>
          <w:tcPr>
            <w:tcW w:w="170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8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373,782,413.48</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21,558,436.45</w:t>
            </w:r>
          </w:p>
        </w:tc>
        <w:tc>
          <w:tcPr>
            <w:tcW w:w="170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335" w:lineRule="exact"/>
        <w:ind w:left="212" w:right="1194"/>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left="212" w:right="1194"/>
        <w:jc w:val="left"/>
      </w:pPr>
      <w:r>
        <w:rPr/>
        <w:t>无</w:t>
      </w:r>
    </w:p>
    <w:p>
      <w:pPr>
        <w:spacing w:line="240" w:lineRule="auto" w:before="5"/>
        <w:rPr>
          <w:rFonts w:ascii="宋体" w:hAnsi="宋体" w:cs="宋体" w:eastAsia="宋体" w:hint="default"/>
          <w:sz w:val="19"/>
          <w:szCs w:val="19"/>
        </w:rPr>
      </w:pPr>
    </w:p>
    <w:p>
      <w:pPr>
        <w:pStyle w:val="Heading2"/>
        <w:spacing w:line="240" w:lineRule="auto"/>
        <w:ind w:left="212" w:right="1194"/>
        <w:jc w:val="left"/>
        <w:rPr>
          <w:b w:val="0"/>
          <w:bCs w:val="0"/>
        </w:rPr>
      </w:pPr>
      <w:r>
        <w:rPr/>
        <w:t>十七、母公司财务报表主要项目注释</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left="212" w:right="1194"/>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4"/>
        <w:spacing w:line="240" w:lineRule="auto"/>
        <w:ind w:left="212" w:right="1194"/>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4,684,58</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9.67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0.54%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4,684,58</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9.67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1,470,500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1,470,500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单项计提</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4,684,58</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9.67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4,684,58</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9.67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1,470,500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1,470,500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862,243,</w:t>
            </w:r>
          </w:p>
          <w:p>
            <w:pPr>
              <w:pStyle w:val="TableParagraph"/>
              <w:spacing w:line="240" w:lineRule="auto" w:before="103"/>
              <w:ind w:left="216" w:right="0"/>
              <w:jc w:val="center"/>
              <w:rPr>
                <w:rFonts w:ascii="Times New Roman" w:hAnsi="Times New Roman" w:cs="Times New Roman" w:eastAsia="Times New Roman" w:hint="default"/>
                <w:sz w:val="18"/>
                <w:szCs w:val="18"/>
              </w:rPr>
            </w:pPr>
            <w:r>
              <w:rPr>
                <w:rFonts w:ascii="Times New Roman"/>
                <w:sz w:val="18"/>
              </w:rPr>
              <w:t>373.56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99.46%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79,258,7</w:t>
            </w:r>
          </w:p>
          <w:p>
            <w:pPr>
              <w:pStyle w:val="TableParagraph"/>
              <w:spacing w:line="240" w:lineRule="auto" w:before="103"/>
              <w:ind w:left="323" w:right="0"/>
              <w:jc w:val="left"/>
              <w:rPr>
                <w:rFonts w:ascii="Times New Roman" w:hAnsi="Times New Roman" w:cs="Times New Roman" w:eastAsia="Times New Roman" w:hint="default"/>
                <w:sz w:val="18"/>
                <w:szCs w:val="18"/>
              </w:rPr>
            </w:pPr>
            <w:r>
              <w:rPr>
                <w:rFonts w:ascii="Times New Roman"/>
                <w:sz w:val="18"/>
              </w:rPr>
              <w:t>50.56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782,984,6</w:t>
            </w:r>
          </w:p>
          <w:p>
            <w:pPr>
              <w:pStyle w:val="TableParagraph"/>
              <w:spacing w:line="240" w:lineRule="auto" w:before="103"/>
              <w:ind w:left="350" w:right="0"/>
              <w:jc w:val="left"/>
              <w:rPr>
                <w:rFonts w:ascii="Times New Roman" w:hAnsi="Times New Roman" w:cs="Times New Roman" w:eastAsia="Times New Roman" w:hint="default"/>
                <w:sz w:val="18"/>
                <w:szCs w:val="18"/>
              </w:rPr>
            </w:pPr>
            <w:r>
              <w:rPr>
                <w:rFonts w:ascii="Times New Roman"/>
                <w:sz w:val="18"/>
              </w:rPr>
              <w:t>23.00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383,864,3</w:t>
            </w:r>
          </w:p>
          <w:p>
            <w:pPr>
              <w:pStyle w:val="TableParagraph"/>
              <w:spacing w:line="240" w:lineRule="auto" w:before="103"/>
              <w:ind w:left="338" w:right="0"/>
              <w:jc w:val="left"/>
              <w:rPr>
                <w:rFonts w:ascii="Times New Roman" w:hAnsi="Times New Roman" w:cs="Times New Roman" w:eastAsia="Times New Roman" w:hint="default"/>
                <w:sz w:val="18"/>
                <w:szCs w:val="18"/>
              </w:rPr>
            </w:pPr>
            <w:r>
              <w:rPr>
                <w:rFonts w:ascii="Times New Roman"/>
                <w:sz w:val="18"/>
              </w:rPr>
              <w:t>85.78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99.62%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55,035,02</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7.96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14.34%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328,829,35</w:t>
            </w:r>
          </w:p>
          <w:p>
            <w:pPr>
              <w:pStyle w:val="TableParagraph"/>
              <w:spacing w:line="240" w:lineRule="auto" w:before="103"/>
              <w:ind w:left="585" w:right="0"/>
              <w:jc w:val="left"/>
              <w:rPr>
                <w:rFonts w:ascii="Times New Roman" w:hAnsi="Times New Roman" w:cs="Times New Roman" w:eastAsia="Times New Roman" w:hint="default"/>
                <w:sz w:val="18"/>
                <w:szCs w:val="18"/>
              </w:rPr>
            </w:pPr>
            <w:r>
              <w:rPr>
                <w:rFonts w:ascii="Times New Roman"/>
                <w:sz w:val="18"/>
              </w:rPr>
              <w:t>7.82</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货款账龄组合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711,440,</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120.70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82.06%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60,033,0</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81.04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651,407,0</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39.66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293,500,2</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78.06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76.17%</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38,817,94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8.46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13.23%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254,682,32</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9.60</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质保金组合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111,124,7</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48.26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19,225,6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69.52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17.30%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91,899,07</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8.74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55,615,52</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5.68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14.43%</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16,217,07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9.50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29.16%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39,398,446.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18</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合并范围内关联方 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39,678,5</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04.60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39,678,50</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4.60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34,748,58</w:t>
            </w:r>
          </w:p>
          <w:p>
            <w:pPr>
              <w:pStyle w:val="TableParagraph"/>
              <w:spacing w:line="240" w:lineRule="auto" w:before="102"/>
              <w:ind w:left="429" w:right="0"/>
              <w:jc w:val="left"/>
              <w:rPr>
                <w:rFonts w:ascii="Times New Roman" w:hAnsi="Times New Roman" w:cs="Times New Roman" w:eastAsia="Times New Roman" w:hint="default"/>
                <w:sz w:val="18"/>
                <w:szCs w:val="18"/>
              </w:rPr>
            </w:pPr>
            <w:r>
              <w:rPr>
                <w:rFonts w:ascii="Times New Roman"/>
                <w:sz w:val="18"/>
              </w:rPr>
              <w:t>2.04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34,748,582.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04</w:t>
            </w: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866,927,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963.23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83,943,3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40.23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782,984,6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23.00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385,334,8</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85.78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56,505,52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7.96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14.66%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328,829,35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7.82</w:t>
            </w:r>
          </w:p>
        </w:tc>
      </w:tr>
    </w:tbl>
    <w:p>
      <w:pPr>
        <w:pStyle w:val="BodyText"/>
        <w:spacing w:line="240" w:lineRule="auto" w:before="49"/>
        <w:ind w:left="212" w:right="1194"/>
        <w:jc w:val="left"/>
        <w:rPr>
          <w:rFonts w:ascii="Times New Roman" w:hAnsi="Times New Roman" w:cs="Times New Roman" w:eastAsia="Times New Roman" w:hint="default"/>
        </w:rPr>
      </w:pPr>
      <w:r>
        <w:rPr/>
        <w:t>按单项计提坏账准备：</w:t>
      </w:r>
      <w:r>
        <w:rPr>
          <w:rFonts w:ascii="Times New Roman" w:hAnsi="Times New Roman" w:cs="Times New Roman" w:eastAsia="Times New Roman" w:hint="default"/>
        </w:rPr>
        <w:t>4,684,589.67</w:t>
      </w:r>
    </w:p>
    <w:p>
      <w:pPr>
        <w:spacing w:after="0" w:line="240" w:lineRule="auto"/>
        <w:jc w:val="left"/>
        <w:rPr>
          <w:rFonts w:ascii="Times New Roman" w:hAnsi="Times New Roman" w:cs="Times New Roman" w:eastAsia="Times New Roman" w:hint="default"/>
        </w:rPr>
        <w:sectPr>
          <w:pgSz w:w="11910" w:h="16840"/>
          <w:pgMar w:header="877" w:footer="979" w:top="1100" w:bottom="1160" w:left="920" w:right="0"/>
        </w:sectPr>
      </w:pPr>
    </w:p>
    <w:p>
      <w:pPr>
        <w:spacing w:line="240" w:lineRule="auto" w:before="10"/>
        <w:rPr>
          <w:rFonts w:ascii="Times New Roman" w:hAnsi="Times New Roman" w:cs="Times New Roman" w:eastAsia="Times New Roman" w:hint="default"/>
          <w:sz w:val="24"/>
          <w:szCs w:val="24"/>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2,639,486.25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2,639,486.25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80"/>
              <w:jc w:val="left"/>
              <w:rPr>
                <w:rFonts w:ascii="宋体" w:hAnsi="宋体" w:cs="宋体" w:eastAsia="宋体" w:hint="default"/>
                <w:sz w:val="18"/>
                <w:szCs w:val="18"/>
              </w:rPr>
            </w:pPr>
            <w:r>
              <w:rPr>
                <w:rFonts w:ascii="宋体" w:hAnsi="宋体" w:cs="宋体" w:eastAsia="宋体" w:hint="default"/>
                <w:sz w:val="18"/>
                <w:szCs w:val="18"/>
              </w:rPr>
              <w:t>合同纠纷，预计无法收 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1,470,500.00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1,470,500.00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0"/>
              <w:jc w:val="left"/>
              <w:rPr>
                <w:rFonts w:ascii="宋体" w:hAnsi="宋体" w:cs="宋体" w:eastAsia="宋体" w:hint="default"/>
                <w:sz w:val="18"/>
                <w:szCs w:val="18"/>
              </w:rPr>
            </w:pPr>
            <w:r>
              <w:rPr>
                <w:rFonts w:ascii="宋体" w:hAnsi="宋体" w:cs="宋体" w:eastAsia="宋体" w:hint="default"/>
                <w:sz w:val="18"/>
                <w:szCs w:val="18"/>
              </w:rPr>
              <w:t>合同纠纷，预计无法收 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367,800.00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367,800.00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80"/>
              <w:jc w:val="left"/>
              <w:rPr>
                <w:rFonts w:ascii="宋体" w:hAnsi="宋体" w:cs="宋体" w:eastAsia="宋体" w:hint="default"/>
                <w:sz w:val="18"/>
                <w:szCs w:val="18"/>
              </w:rPr>
            </w:pPr>
            <w:r>
              <w:rPr>
                <w:rFonts w:ascii="宋体" w:hAnsi="宋体" w:cs="宋体" w:eastAsia="宋体" w:hint="default"/>
                <w:sz w:val="18"/>
                <w:szCs w:val="18"/>
              </w:rPr>
              <w:t>合同纠纷，预计无法收 回</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206,803.42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206,803.42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0"/>
              <w:jc w:val="left"/>
              <w:rPr>
                <w:rFonts w:ascii="宋体" w:hAnsi="宋体" w:cs="宋体" w:eastAsia="宋体" w:hint="default"/>
                <w:sz w:val="18"/>
                <w:szCs w:val="18"/>
              </w:rPr>
            </w:pPr>
            <w:r>
              <w:rPr>
                <w:rFonts w:ascii="宋体" w:hAnsi="宋体" w:cs="宋体" w:eastAsia="宋体" w:hint="default"/>
                <w:sz w:val="18"/>
                <w:szCs w:val="18"/>
              </w:rPr>
              <w:t>经营不善无履约能力， 预计无法收回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4,684,589.67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4,684,589.67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67"/>
        <w:jc w:val="left"/>
        <w:rPr>
          <w:rFonts w:ascii="Times New Roman" w:hAnsi="Times New Roman" w:cs="Times New Roman" w:eastAsia="Times New Roman" w:hint="default"/>
        </w:rPr>
      </w:pPr>
      <w:r>
        <w:rPr/>
        <w:t>按组合计提坏账准备：</w:t>
      </w:r>
      <w:r>
        <w:rPr>
          <w:rFonts w:ascii="Times New Roman" w:hAnsi="Times New Roman" w:cs="Times New Roman" w:eastAsia="Times New Roman" w:hint="default"/>
        </w:rPr>
        <w:t>60,033,081.04</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625,419,188.50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31,270,959.42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37,158,830.41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3,715,883.04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27,076,281.78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8,122,884.54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5,837,712.35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2,918,856.18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9,718,048.99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7,774,439.19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6,230,058.67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6,230,058.67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711,440,120.70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60,033,081.04</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0"/>
        </w:sectPr>
      </w:pPr>
    </w:p>
    <w:p>
      <w:pPr>
        <w:pStyle w:val="BodyText"/>
        <w:spacing w:line="357" w:lineRule="auto" w:before="49"/>
        <w:ind w:right="-17"/>
        <w:jc w:val="left"/>
        <w:rPr>
          <w:rFonts w:ascii="Times New Roman" w:hAnsi="Times New Roman" w:cs="Times New Roman" w:eastAsia="Times New Roman" w:hint="default"/>
        </w:rPr>
      </w:pPr>
      <w:r>
        <w:rPr/>
        <w:t>确定该组合依据的说明： 按组合计提坏账准备：</w:t>
      </w:r>
      <w:r>
        <w:rPr>
          <w:rFonts w:ascii="Times New Roman" w:hAnsi="Times New Roman" w:cs="Times New Roman" w:eastAsia="Times New Roman" w:hint="default"/>
        </w:rPr>
        <w:t>19,225,669.52</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1"/>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991" w:space="5839"/>
            <w:col w:w="210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质保期以内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98,947,053.26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9,894,705.33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超质保期一年以内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5,693,461.62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2,846,730.81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超质保期一年以上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6,484,233.38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6,484,233.38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111,124,748.26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19,225,669.52</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357" w:lineRule="auto" w:before="49"/>
        <w:ind w:right="-19"/>
        <w:jc w:val="left"/>
        <w:rPr>
          <w:rFonts w:ascii="Times New Roman" w:hAnsi="Times New Roman" w:cs="Times New Roman" w:eastAsia="Times New Roman" w:hint="default"/>
        </w:rPr>
      </w:pPr>
      <w:r>
        <w:rPr/>
        <w:t>确定该组合依据的说明： 按组合计提坏账准备：</w:t>
      </w:r>
      <w:r>
        <w:rPr>
          <w:rFonts w:ascii="Times New Roman" w:hAnsi="Times New Roman" w:cs="Times New Roman" w:eastAsia="Times New Roman" w:hint="default"/>
        </w:rPr>
        <w:t>0.00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1"/>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269" w:space="6560"/>
            <w:col w:w="2101"/>
          </w:cols>
        </w:sectPr>
      </w:pP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69;top:17;width:24;height:392" coordorigin="2369,17" coordsize="24,392">
              <v:shape style="position:absolute;left:2369;top:17;width:24;height:392" coordorigin="2369,17" coordsize="24,392" path="m2369,408l2393,408,2393,17,2369,17,2369,408xe" filled="true" fillcolor="#d2d2d2" stroked="false">
                <v:path arrowok="t"/>
                <v:fill type="solid"/>
              </v:shape>
            </v:group>
            <v:group style="position:absolute;left:12;top:17;width:22;height:392" coordorigin="12,17" coordsize="22,392">
              <v:shape style="position:absolute;left:12;top:17;width:22;height:392" coordorigin="12,17" coordsize="22,392" path="m12,408l34,408,34,17,12,17,12,408xe" filled="true" fillcolor="#d2d2d2" stroked="false">
                <v:path arrowok="t"/>
                <v:fill type="solid"/>
              </v:shape>
            </v:group>
            <v:group style="position:absolute;left:34;top:17;width:2336;height:392" coordorigin="34,17" coordsize="2336,392">
              <v:shape style="position:absolute;left:34;top:17;width:2336;height:392" coordorigin="34,17" coordsize="2336,392" path="m34,408l2369,408,2369,17,34,17,34,408xe" filled="true" fillcolor="#d2d2d2" stroked="false">
                <v:path arrowok="t"/>
                <v:fill type="solid"/>
              </v:shape>
            </v:group>
            <v:group style="position:absolute;left:2403;top:17;width:24;height:392" coordorigin="2403,17" coordsize="24,392">
              <v:shape style="position:absolute;left:2403;top:17;width:24;height:392" coordorigin="2403,17" coordsize="24,392" path="m2403,408l2427,408,2427,17,2403,17,2403,408xe" filled="true" fillcolor="#d2d2d2" stroked="false">
                <v:path arrowok="t"/>
                <v:fill type="solid"/>
              </v:shape>
            </v:group>
            <v:group style="position:absolute;left:9547;top:17;width:24;height:392" coordorigin="9547,17" coordsize="24,392">
              <v:shape style="position:absolute;left:9547;top:17;width:24;height:392" coordorigin="9547,17" coordsize="24,392" path="m9547,408l9571,408,9571,17,9547,17,9547,408xe" filled="true" fillcolor="#d2d2d2" stroked="false">
                <v:path arrowok="t"/>
                <v:fill type="solid"/>
              </v:shape>
            </v:group>
            <v:group style="position:absolute;left:2427;top:17;width:7120;height:392" coordorigin="2427,17" coordsize="7120,392">
              <v:shape style="position:absolute;left:2427;top:17;width:7120;height:392" coordorigin="2427,17" coordsize="7120,392" path="m2427,408l9547,408,9547,17,2427,17,2427,408xe" filled="true" fillcolor="#d2d2d2" stroked="false">
                <v:path arrowok="t"/>
                <v:fill type="solid"/>
              </v:shape>
            </v:group>
            <v:group style="position:absolute;left:10;top:10;width:2384;height:2" coordorigin="10,10" coordsize="2384,2">
              <v:shape style="position:absolute;left:10;top:10;width:2384;height:2" coordorigin="10,10" coordsize="2384,0" path="m10,10l2393,10e" filled="false" stroked="true" strokeweight=".47998pt" strokecolor="#000000">
                <v:path arrowok="t"/>
              </v:shape>
            </v:group>
            <v:group style="position:absolute;left:2403;top:10;width:7168;height:2" coordorigin="2403,10" coordsize="7168,2">
              <v:shape style="position:absolute;left:2403;top:10;width:7168;height:2" coordorigin="2403,10" coordsize="7168,0" path="m2403,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2384;height:2" coordorigin="10,413" coordsize="2384,2">
              <v:shape style="position:absolute;left:10;top:413;width:2384;height:2" coordorigin="10,413" coordsize="2384,0" path="m10,413l2393,413e" filled="false" stroked="true" strokeweight=".47998pt" strokecolor="#000000">
                <v:path arrowok="t"/>
              </v:shape>
            </v:group>
            <v:group style="position:absolute;left:2398;top:5;width:2;height:413" coordorigin="2398,5" coordsize="2,413">
              <v:shape style="position:absolute;left:2398;top:5;width:2;height:413" coordorigin="2398,5" coordsize="0,413" path="m2398,5l2398,418e" filled="false" stroked="true" strokeweight=".48001pt" strokecolor="#000000">
                <v:path arrowok="t"/>
              </v:shape>
            </v:group>
            <v:group style="position:absolute;left:2403;top:413;width:7168;height:2" coordorigin="2403,413" coordsize="7168,2">
              <v:shape style="position:absolute;left:2403;top:413;width:7168;height:2" coordorigin="2403,413" coordsize="7168,0" path="m2403,413l9571,413e" filled="false" stroked="true" strokeweight=".4799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1;width:2392;height:402" type="#_x0000_t202" filled="false" stroked="false">
                <v:textbox inset="0,0,0,0">
                  <w:txbxContent>
                    <w:p>
                      <w:pPr>
                        <w:spacing w:before="55"/>
                        <w:ind w:left="0" w:right="1" w:firstLine="0"/>
                        <w:jc w:val="center"/>
                        <w:rPr>
                          <w:rFonts w:ascii="宋体" w:hAnsi="宋体" w:cs="宋体" w:eastAsia="宋体" w:hint="default"/>
                          <w:sz w:val="18"/>
                          <w:szCs w:val="18"/>
                        </w:rPr>
                      </w:pPr>
                      <w:r>
                        <w:rPr>
                          <w:rFonts w:ascii="宋体" w:hAnsi="宋体" w:cs="宋体" w:eastAsia="宋体" w:hint="default"/>
                          <w:sz w:val="18"/>
                          <w:szCs w:val="18"/>
                        </w:rPr>
                        <w:t>名称</w:t>
                      </w:r>
                    </w:p>
                  </w:txbxContent>
                </v:textbox>
                <w10:wrap type="none"/>
              </v:shape>
              <v:shape style="position:absolute;left:5627;top:12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group>
          </v:group>
        </w:pict>
      </w:r>
      <w:r>
        <w:rPr>
          <w:rFonts w:ascii="宋体" w:hAnsi="宋体" w:cs="宋体" w:eastAsia="宋体" w:hint="default"/>
          <w:position w:val="-7"/>
          <w:sz w:val="20"/>
          <w:szCs w:val="20"/>
        </w:rPr>
      </w:r>
    </w:p>
    <w:p>
      <w:pPr>
        <w:spacing w:after="0" w:line="422" w:lineRule="exact"/>
        <w:rPr>
          <w:rFonts w:ascii="宋体" w:hAnsi="宋体" w:cs="宋体" w:eastAsia="宋体" w:hint="default"/>
          <w:sz w:val="20"/>
          <w:szCs w:val="20"/>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39,678,504.60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39,678,504.60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1754"/>
        <w:jc w:val="left"/>
      </w:pPr>
      <w:r>
        <w:rPr/>
        <w:t>确定该组合依据的说明： 如是按照预期信用损失一般模型计提应收账款坏账准备，请参照其他应收款的披露方式披露坏账准备的相关信息：</w:t>
      </w:r>
    </w:p>
    <w:p>
      <w:pPr>
        <w:pStyle w:val="BodyText"/>
        <w:spacing w:line="338" w:lineRule="auto" w:before="29"/>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4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714,106,472.96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54,740,166.26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43,340,743.27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19,851,731.30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13,726,698.94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21,162,150.50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866,927,963.23</w:t>
            </w: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967"/>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单项计提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3,214,089.67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4,684,589.67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货款账龄组合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38,817,948.46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21,215,132.58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60,033,081.04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质保金组合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16,217,079.50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3,008,590.02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19,225,669.52</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合并范围内关联 方组合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56,505,527.96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27,437,812.27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83,943,340.23</w:t>
            </w: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325,828,490.24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37.58%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18,318,273.88</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84,131,194.73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4,676,269.85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47,392,997.69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3,208,484.37</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44,265,619.50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4,014,314.81</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38,905,758.89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2,300,619.29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540,524,061.05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62.35%</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108,486,278.43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71,290,575.59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108,486,278.43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71,290,575.59</w:t>
            </w: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4"/>
        <w:spacing w:line="240" w:lineRule="auto"/>
        <w:ind w:right="967"/>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合并范围内的关联方往来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74,740,401.77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59,543,145.19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11,304,180.28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11,675,312.29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应退税款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24,919,484.96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代缴社保及公积金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701,781.46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773,042.56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220,310.35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929,401.92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111,886,158.82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72,920,901.96</w:t>
            </w: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2"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49"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bl>
    <w:p>
      <w:pPr>
        <w:pStyle w:val="BodyText"/>
        <w:tabs>
          <w:tab w:pos="2800" w:val="left" w:leader="none"/>
          <w:tab w:pos="4900" w:val="left" w:leader="none"/>
          <w:tab w:pos="7001" w:val="left" w:leader="none"/>
          <w:tab w:pos="8669" w:val="left" w:leader="none"/>
        </w:tabs>
        <w:spacing w:line="240" w:lineRule="auto" w:before="51"/>
        <w:ind w:left="260" w:right="967"/>
        <w:jc w:val="left"/>
        <w:rPr>
          <w:rFonts w:ascii="Times New Roman" w:hAnsi="Times New Roman" w:cs="Times New Roman" w:eastAsia="Times New Roman" w:hint="default"/>
        </w:rPr>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日余额</w:t>
        <w:tab/>
      </w:r>
      <w:r>
        <w:rPr>
          <w:rFonts w:ascii="Times New Roman" w:hAnsi="Times New Roman" w:cs="Times New Roman" w:eastAsia="Times New Roman" w:hint="default"/>
          <w:spacing w:val="-1"/>
        </w:rPr>
        <w:t>313,441.82</w:t>
        <w:tab/>
      </w:r>
      <w:r>
        <w:rPr>
          <w:rFonts w:ascii="Times New Roman" w:hAnsi="Times New Roman" w:cs="Times New Roman" w:eastAsia="Times New Roman" w:hint="default"/>
        </w:rPr>
        <w:t>579,410.91</w:t>
        <w:tab/>
      </w:r>
      <w:r>
        <w:rPr>
          <w:rFonts w:ascii="Times New Roman" w:hAnsi="Times New Roman" w:cs="Times New Roman" w:eastAsia="Times New Roman" w:hint="default"/>
          <w:spacing w:val="-1"/>
        </w:rPr>
        <w:t>737,473.64</w:t>
        <w:tab/>
        <w:t>1,630,326.37</w:t>
      </w:r>
    </w:p>
    <w:p>
      <w:pPr>
        <w:spacing w:line="240" w:lineRule="auto" w:before="1"/>
        <w:rPr>
          <w:rFonts w:ascii="Times New Roman" w:hAnsi="Times New Roman" w:cs="Times New Roman" w:eastAsia="Times New Roman"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38" w:right="0"/>
              <w:jc w:val="left"/>
              <w:rPr>
                <w:rFonts w:ascii="Times New Roman" w:hAnsi="Times New Roman" w:cs="Times New Roman" w:eastAsia="Times New Roman" w:hint="default"/>
                <w:sz w:val="18"/>
                <w:szCs w:val="18"/>
              </w:rPr>
            </w:pPr>
            <w:r>
              <w:rPr>
                <w:rFonts w:ascii="Times New Roman"/>
                <w:sz w:val="18"/>
              </w:rPr>
              <w:t>-98,669.38</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46" w:right="0"/>
              <w:jc w:val="left"/>
              <w:rPr>
                <w:rFonts w:ascii="Times New Roman" w:hAnsi="Times New Roman" w:cs="Times New Roman" w:eastAsia="Times New Roman" w:hint="default"/>
                <w:sz w:val="18"/>
                <w:szCs w:val="18"/>
              </w:rPr>
            </w:pPr>
            <w:r>
              <w:rPr>
                <w:rFonts w:ascii="Times New Roman"/>
                <w:sz w:val="18"/>
              </w:rPr>
              <w:t>98,669.38</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bl>
    <w:tbl>
      <w:tblPr>
        <w:tblW w:w="0" w:type="auto"/>
        <w:jc w:val="left"/>
        <w:tblInd w:w="225" w:type="dxa"/>
        <w:tblLayout w:type="fixed"/>
        <w:tblCellMar>
          <w:top w:w="0" w:type="dxa"/>
          <w:left w:w="0" w:type="dxa"/>
          <w:bottom w:w="0" w:type="dxa"/>
          <w:right w:w="0" w:type="dxa"/>
        </w:tblCellMar>
        <w:tblLook w:val="01E0"/>
      </w:tblPr>
      <w:tblGrid>
        <w:gridCol w:w="2072"/>
        <w:gridCol w:w="1929"/>
        <w:gridCol w:w="2063"/>
        <w:gridCol w:w="1952"/>
        <w:gridCol w:w="1409"/>
      </w:tblGrid>
      <w:tr>
        <w:trPr>
          <w:trHeight w:val="391" w:hRule="exact"/>
        </w:trPr>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929" w:type="dxa"/>
            <w:tcBorders>
              <w:top w:val="nil" w:sz="6" w:space="0" w:color="auto"/>
              <w:left w:val="nil" w:sz="6" w:space="0" w:color="auto"/>
              <w:bottom w:val="nil" w:sz="6" w:space="0" w:color="auto"/>
              <w:right w:val="nil" w:sz="6" w:space="0" w:color="auto"/>
            </w:tcBorders>
          </w:tcPr>
          <w:p>
            <w:pP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75"/>
              <w:jc w:val="right"/>
              <w:rPr>
                <w:rFonts w:ascii="Times New Roman" w:hAnsi="Times New Roman" w:cs="Times New Roman" w:eastAsia="Times New Roman" w:hint="default"/>
                <w:sz w:val="18"/>
                <w:szCs w:val="18"/>
              </w:rPr>
            </w:pPr>
            <w:r>
              <w:rPr>
                <w:rFonts w:ascii="Times New Roman"/>
                <w:spacing w:val="-1"/>
                <w:sz w:val="18"/>
              </w:rPr>
              <w:t>-359,597.26</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26"/>
              <w:jc w:val="right"/>
              <w:rPr>
                <w:rFonts w:ascii="Times New Roman" w:hAnsi="Times New Roman" w:cs="Times New Roman" w:eastAsia="Times New Roman" w:hint="default"/>
                <w:sz w:val="18"/>
                <w:szCs w:val="18"/>
              </w:rPr>
            </w:pPr>
            <w:r>
              <w:rPr>
                <w:rFonts w:ascii="Times New Roman"/>
                <w:spacing w:val="-1"/>
                <w:sz w:val="18"/>
              </w:rPr>
              <w:t>359,597.26</w:t>
            </w:r>
          </w:p>
        </w:tc>
        <w:tc>
          <w:tcPr>
            <w:tcW w:w="1409" w:type="dxa"/>
            <w:tcBorders>
              <w:top w:val="nil" w:sz="6" w:space="0" w:color="auto"/>
              <w:left w:val="nil" w:sz="6" w:space="0" w:color="auto"/>
              <w:bottom w:val="nil" w:sz="6" w:space="0" w:color="auto"/>
              <w:right w:val="nil" w:sz="6" w:space="0" w:color="auto"/>
            </w:tcBorders>
          </w:tcPr>
          <w:p>
            <w:pPr/>
          </w:p>
        </w:tc>
      </w:tr>
      <w:tr>
        <w:trPr>
          <w:trHeight w:val="392" w:hRule="exact"/>
        </w:trPr>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68" w:right="0"/>
              <w:jc w:val="left"/>
              <w:rPr>
                <w:rFonts w:ascii="Times New Roman" w:hAnsi="Times New Roman" w:cs="Times New Roman" w:eastAsia="Times New Roman" w:hint="default"/>
                <w:sz w:val="18"/>
                <w:szCs w:val="18"/>
              </w:rPr>
            </w:pPr>
            <w:r>
              <w:rPr>
                <w:rFonts w:ascii="Times New Roman"/>
                <w:sz w:val="18"/>
              </w:rPr>
              <w:t>1,329,943.72</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75"/>
              <w:jc w:val="right"/>
              <w:rPr>
                <w:rFonts w:ascii="Times New Roman" w:hAnsi="Times New Roman" w:cs="Times New Roman" w:eastAsia="Times New Roman" w:hint="default"/>
                <w:sz w:val="18"/>
                <w:szCs w:val="18"/>
              </w:rPr>
            </w:pPr>
            <w:r>
              <w:rPr>
                <w:rFonts w:ascii="Times New Roman"/>
                <w:spacing w:val="-1"/>
                <w:sz w:val="18"/>
              </w:rPr>
              <w:t>-121,144.28</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426"/>
              <w:jc w:val="right"/>
              <w:rPr>
                <w:rFonts w:ascii="Times New Roman" w:hAnsi="Times New Roman" w:cs="Times New Roman" w:eastAsia="Times New Roman" w:hint="default"/>
                <w:sz w:val="18"/>
                <w:szCs w:val="18"/>
              </w:rPr>
            </w:pPr>
            <w:r>
              <w:rPr>
                <w:rFonts w:ascii="Times New Roman"/>
                <w:spacing w:val="-1"/>
                <w:sz w:val="18"/>
              </w:rPr>
              <w:t>560,754.58</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Times New Roman" w:hAnsi="Times New Roman" w:cs="Times New Roman" w:eastAsia="Times New Roman" w:hint="default"/>
                <w:sz w:val="18"/>
                <w:szCs w:val="18"/>
              </w:rPr>
            </w:pPr>
            <w:r>
              <w:rPr>
                <w:rFonts w:ascii="Times New Roman"/>
                <w:spacing w:val="-1"/>
                <w:sz w:val="18"/>
              </w:rPr>
              <w:t>1,769,554.02</w:t>
            </w:r>
          </w:p>
        </w:tc>
      </w:tr>
      <w:tr>
        <w:trPr>
          <w:trHeight w:val="692" w:hRule="exact"/>
        </w:trPr>
        <w:tc>
          <w:tcPr>
            <w:tcW w:w="2072" w:type="dxa"/>
            <w:tcBorders>
              <w:top w:val="nil" w:sz="6" w:space="0" w:color="auto"/>
              <w:left w:val="nil" w:sz="6" w:space="0" w:color="auto"/>
              <w:bottom w:val="nil" w:sz="6" w:space="0" w:color="auto"/>
              <w:right w:val="nil" w:sz="6" w:space="0" w:color="auto"/>
            </w:tcBorders>
          </w:tcPr>
          <w:p>
            <w:pPr>
              <w:pStyle w:val="TableParagraph"/>
              <w:spacing w:line="297" w:lineRule="auto" w:before="46"/>
              <w:ind w:left="35" w:right="36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 额</w:t>
            </w:r>
          </w:p>
        </w:tc>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68" w:right="0"/>
              <w:jc w:val="left"/>
              <w:rPr>
                <w:rFonts w:ascii="Times New Roman" w:hAnsi="Times New Roman" w:cs="Times New Roman" w:eastAsia="Times New Roman" w:hint="default"/>
                <w:sz w:val="18"/>
                <w:szCs w:val="18"/>
              </w:rPr>
            </w:pPr>
            <w:r>
              <w:rPr>
                <w:rFonts w:ascii="Times New Roman"/>
                <w:sz w:val="18"/>
              </w:rPr>
              <w:t>1,544,716.16</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75"/>
              <w:jc w:val="right"/>
              <w:rPr>
                <w:rFonts w:ascii="Times New Roman" w:hAnsi="Times New Roman" w:cs="Times New Roman" w:eastAsia="Times New Roman" w:hint="default"/>
                <w:sz w:val="18"/>
                <w:szCs w:val="18"/>
              </w:rPr>
            </w:pPr>
            <w:r>
              <w:rPr>
                <w:rFonts w:ascii="Times New Roman"/>
                <w:spacing w:val="-1"/>
                <w:sz w:val="18"/>
              </w:rPr>
              <w:t>197,338.75</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426"/>
              <w:jc w:val="right"/>
              <w:rPr>
                <w:rFonts w:ascii="Times New Roman" w:hAnsi="Times New Roman" w:cs="Times New Roman" w:eastAsia="Times New Roman" w:hint="default"/>
                <w:sz w:val="18"/>
                <w:szCs w:val="18"/>
              </w:rPr>
            </w:pPr>
            <w:r>
              <w:rPr>
                <w:rFonts w:ascii="Times New Roman"/>
                <w:spacing w:val="-1"/>
                <w:sz w:val="18"/>
              </w:rPr>
              <w:t>1,657,825.48</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Times New Roman" w:hAnsi="Times New Roman" w:cs="Times New Roman" w:eastAsia="Times New Roman" w:hint="default"/>
                <w:sz w:val="18"/>
                <w:szCs w:val="18"/>
              </w:rPr>
            </w:pPr>
            <w:r>
              <w:rPr>
                <w:rFonts w:ascii="Times New Roman"/>
                <w:spacing w:val="-1"/>
                <w:sz w:val="18"/>
              </w:rPr>
              <w:t>3,399,880.39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pStyle w:val="BodyText"/>
        <w:spacing w:line="240" w:lineRule="auto" w:before="62"/>
        <w:ind w:right="-19"/>
        <w:jc w:val="left"/>
      </w:pPr>
      <w:r>
        <w:rPr/>
        <w:t>损失准备本期变动金额重大的账面余额变动情况</w:t>
      </w:r>
    </w:p>
    <w:p>
      <w:pPr>
        <w:pStyle w:val="BodyText"/>
        <w:spacing w:line="340" w:lineRule="auto" w:before="115"/>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4" w:space="4895"/>
            <w:col w:w="210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49,691,796.21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14,812,702.87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14,789,704.06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28,716,223.09</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3,699,363.92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176,368.67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111,886,158.82</w:t>
            </w: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967"/>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78"/>
        <w:gridCol w:w="1087"/>
        <w:gridCol w:w="5329"/>
        <w:gridCol w:w="1574"/>
      </w:tblGrid>
      <w:tr>
        <w:trPr>
          <w:trHeight w:val="402" w:hRule="exact"/>
        </w:trPr>
        <w:tc>
          <w:tcPr>
            <w:tcW w:w="1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80"/>
        <w:gridCol w:w="1087"/>
        <w:gridCol w:w="1332"/>
        <w:gridCol w:w="1330"/>
        <w:gridCol w:w="1090"/>
        <w:gridCol w:w="1577"/>
        <w:gridCol w:w="1574"/>
      </w:tblGrid>
      <w:tr>
        <w:trPr>
          <w:trHeight w:val="401"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1,630,326.37</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1,769,554.02</w:t>
            </w:r>
          </w:p>
        </w:tc>
        <w:tc>
          <w:tcPr>
            <w:tcW w:w="13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3,399,880.39</w:t>
            </w:r>
          </w:p>
        </w:tc>
      </w:tr>
      <w:tr>
        <w:trPr>
          <w:trHeight w:val="713"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5"/>
              <w:jc w:val="left"/>
              <w:rPr>
                <w:rFonts w:ascii="宋体" w:hAnsi="宋体" w:cs="宋体" w:eastAsia="宋体" w:hint="default"/>
                <w:sz w:val="18"/>
                <w:szCs w:val="18"/>
              </w:rPr>
            </w:pPr>
            <w:r>
              <w:rPr>
                <w:rFonts w:ascii="宋体" w:hAnsi="宋体" w:cs="宋体" w:eastAsia="宋体" w:hint="default"/>
                <w:sz w:val="18"/>
                <w:szCs w:val="18"/>
              </w:rPr>
              <w:t>合并范围内的关联 方往来组合</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1,630,326.37</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1,769,554.02</w:t>
            </w:r>
          </w:p>
        </w:tc>
        <w:tc>
          <w:tcPr>
            <w:tcW w:w="13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3,399,880.39</w:t>
            </w: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2"/>
        <w:rPr>
          <w:rFonts w:ascii="宋体" w:hAnsi="宋体" w:cs="宋体" w:eastAsia="宋体" w:hint="default"/>
          <w:sz w:val="21"/>
          <w:szCs w:val="21"/>
        </w:rPr>
      </w:pPr>
    </w:p>
    <w:p>
      <w:pPr>
        <w:pStyle w:val="Heading4"/>
        <w:spacing w:line="240" w:lineRule="auto"/>
        <w:ind w:right="967"/>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合并范围内的关联 方往来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62,624,310.08</w:t>
            </w:r>
            <w:r>
              <w:rPr>
                <w:rFonts w:ascii="Times New Roman"/>
                <w:sz w:val="18"/>
              </w:rPr>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55.97%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应退税款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24,859,693.71</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22.22%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1,242,984.69</w:t>
            </w: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合并范围内的关联 方往来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9,956,650.89</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2,368,575.84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710,572.75</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合并范围内的关联 方往来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1,393,143.33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101,202,373.85</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90.46%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1,953,557.44</w:t>
            </w: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26"/>
        <w:gridCol w:w="1865"/>
        <w:gridCol w:w="1868"/>
        <w:gridCol w:w="1867"/>
        <w:gridCol w:w="1945"/>
      </w:tblGrid>
      <w:tr>
        <w:trPr>
          <w:trHeight w:val="713"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8" w:right="65"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715"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0"/>
              <w:jc w:val="left"/>
              <w:rPr>
                <w:rFonts w:ascii="宋体" w:hAnsi="宋体" w:cs="宋体" w:eastAsia="宋体" w:hint="default"/>
                <w:sz w:val="18"/>
                <w:szCs w:val="18"/>
              </w:rPr>
            </w:pPr>
            <w:r>
              <w:rPr>
                <w:rFonts w:ascii="宋体" w:hAnsi="宋体" w:cs="宋体" w:eastAsia="宋体" w:hint="default"/>
                <w:sz w:val="18"/>
                <w:szCs w:val="18"/>
              </w:rPr>
              <w:t>国家税务总局深圳市南 山区税务局</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增值税超税负返还</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1" w:right="0"/>
              <w:jc w:val="left"/>
              <w:rPr>
                <w:rFonts w:ascii="Times New Roman" w:hAnsi="Times New Roman" w:cs="Times New Roman" w:eastAsia="Times New Roman" w:hint="default"/>
                <w:sz w:val="18"/>
                <w:szCs w:val="18"/>
              </w:rPr>
            </w:pPr>
            <w:r>
              <w:rPr>
                <w:rFonts w:ascii="Times New Roman"/>
                <w:sz w:val="18"/>
              </w:rPr>
              <w:t>24,859,693.71</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4"/>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已全额收到该款项。</w:t>
            </w: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60" w:lineRule="auto" w:before="44"/>
        <w:ind w:right="9854"/>
        <w:jc w:val="left"/>
      </w:pPr>
      <w:r>
        <w:rPr/>
        <w:t>其他说明： 无</w:t>
      </w:r>
    </w:p>
    <w:p>
      <w:pPr>
        <w:spacing w:line="240" w:lineRule="auto" w:before="3"/>
        <w:rPr>
          <w:rFonts w:ascii="宋体" w:hAnsi="宋体" w:cs="宋体" w:eastAsia="宋体" w:hint="default"/>
          <w:sz w:val="15"/>
          <w:szCs w:val="15"/>
        </w:rPr>
      </w:pPr>
    </w:p>
    <w:p>
      <w:pPr>
        <w:pStyle w:val="Heading4"/>
        <w:spacing w:line="240" w:lineRule="auto"/>
        <w:ind w:right="967"/>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357,514,544.74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13,469,974.40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344,044,570.34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355,532,100.00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348,432,100.00</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18,474,727.96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18,474,727.96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2,782,950.40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2,782,950.40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375,989,272.70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13,469,974.40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362,519,298.30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358,315,050.40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351,215,050.40</w:t>
            </w: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401"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94"/>
              <w:ind w:left="278" w:right="9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94"/>
              <w:ind w:left="391" w:right="2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422"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3"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计提减值准备</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青岛金溢科技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234,780.00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30,234,780.00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广东华信金溢 信息技术有限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7,100,000.00</w:t>
            </w: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伟龙金溢科技</w:t>
            </w:r>
          </w:p>
          <w:p>
            <w:pPr>
              <w:pStyle w:val="TableParagraph"/>
              <w:spacing w:line="316" w:lineRule="auto" w:before="76"/>
              <w:ind w:left="24" w:right="20"/>
              <w:jc w:val="left"/>
              <w:rPr>
                <w:rFonts w:ascii="宋体" w:hAnsi="宋体" w:cs="宋体" w:eastAsia="宋体" w:hint="default"/>
                <w:sz w:val="18"/>
                <w:szCs w:val="18"/>
              </w:rPr>
            </w:pPr>
            <w:r>
              <w:rPr>
                <w:rFonts w:ascii="宋体" w:hAnsi="宋体" w:cs="宋体" w:eastAsia="宋体" w:hint="default"/>
                <w:spacing w:val="-7"/>
                <w:sz w:val="18"/>
                <w:szCs w:val="18"/>
              </w:rPr>
              <w:t>（深圳）有限公</w:t>
            </w:r>
            <w:r>
              <w:rPr>
                <w:rFonts w:ascii="宋体" w:hAnsi="宋体" w:cs="宋体" w:eastAsia="宋体" w:hint="default"/>
                <w:sz w:val="18"/>
                <w:szCs w:val="18"/>
              </w:rPr>
              <w:t>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6,022,500.00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2" w:right="0"/>
              <w:jc w:val="center"/>
              <w:rPr>
                <w:rFonts w:ascii="Times New Roman" w:hAnsi="Times New Roman" w:cs="Times New Roman" w:eastAsia="Times New Roman" w:hint="default"/>
                <w:sz w:val="18"/>
                <w:szCs w:val="18"/>
              </w:rPr>
            </w:pPr>
            <w:r>
              <w:rPr>
                <w:rFonts w:ascii="Times New Roman"/>
                <w:sz w:val="18"/>
              </w:rPr>
              <w:t>-6,369,974.40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347,474.40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6,369,974.40</w:t>
            </w: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北京中交金溢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无锡金溢科技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佛山金溢科技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306,809,600.0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1,400,190.34</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308,209,790.34</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348,432,100.0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center"/>
              <w:rPr>
                <w:rFonts w:ascii="Times New Roman" w:hAnsi="Times New Roman" w:cs="Times New Roman" w:eastAsia="Times New Roman" w:hint="default"/>
                <w:sz w:val="18"/>
                <w:szCs w:val="18"/>
              </w:rPr>
            </w:pPr>
            <w:r>
              <w:rPr>
                <w:rFonts w:ascii="Times New Roman"/>
                <w:sz w:val="18"/>
              </w:rPr>
              <w:t>-6,369,974.40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1,982,444.74</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344,044,570.34</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13,469,974.40</w:t>
            </w: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6383"/>
        <w:gridCol w:w="799"/>
        <w:gridCol w:w="797"/>
      </w:tblGrid>
      <w:tr>
        <w:trPr>
          <w:trHeight w:val="401"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102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73" w:right="91" w:hanging="18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99"/>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73" w:right="95" w:hanging="18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99"/>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57" w:hRule="exact"/>
        </w:trPr>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山东高速</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317"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信威信息</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2,782,950</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1,008,258</w:t>
            </w: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3,791,208</w:t>
            </w:r>
          </w:p>
        </w:tc>
        <w:tc>
          <w:tcPr>
            <w:tcW w:w="797" w:type="dxa"/>
            <w:vMerge/>
            <w:tcBorders>
              <w:left w:val="single" w:sz="4" w:space="0" w:color="000000"/>
              <w:right w:val="single" w:sz="4" w:space="0" w:color="000000"/>
            </w:tcBorders>
          </w:tcPr>
          <w:p>
            <w:pPr/>
          </w:p>
        </w:tc>
      </w:tr>
      <w:tr>
        <w:trPr>
          <w:trHeight w:val="311"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科技有限</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z w:val="18"/>
              </w:rPr>
              <w:t>.40</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z w:val="18"/>
              </w:rPr>
              <w:t>.32</w:t>
            </w: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z w:val="18"/>
              </w:rPr>
              <w:t>.72</w:t>
            </w:r>
          </w:p>
        </w:tc>
        <w:tc>
          <w:tcPr>
            <w:tcW w:w="797" w:type="dxa"/>
            <w:vMerge/>
            <w:tcBorders>
              <w:left w:val="single" w:sz="4" w:space="0" w:color="000000"/>
              <w:right w:val="single" w:sz="4" w:space="0" w:color="000000"/>
            </w:tcBorders>
          </w:tcPr>
          <w:p>
            <w:pPr/>
          </w:p>
        </w:tc>
      </w:tr>
      <w:tr>
        <w:trPr>
          <w:trHeight w:val="355" w:hRule="exact"/>
        </w:trPr>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深圳宝溢 交通科技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14,700,00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-16,480.7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14,683,51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9.24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2,782,950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14,700,00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991,777.5</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18,474,72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7.96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2,782,950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14,700,00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991,777.5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18,474,72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7.96</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2,831,071,542.21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1,480,873,322.90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586,646,280.77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366,066,702.46</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14,188,400.89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8,527,502.45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4,757,000.40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805,456.96</w:t>
            </w:r>
          </w:p>
        </w:tc>
      </w:tr>
      <w:tr>
        <w:trPr>
          <w:trHeight w:val="40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2,845,259,943.10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1,489,400,825.35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591,403,281.17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366,872,159.42</w:t>
            </w:r>
          </w:p>
        </w:tc>
      </w:tr>
    </w:tbl>
    <w:p>
      <w:pPr>
        <w:pStyle w:val="BodyText"/>
        <w:spacing w:line="240" w:lineRule="auto" w:before="49"/>
        <w:ind w:right="967"/>
        <w:jc w:val="left"/>
      </w:pPr>
      <w:r>
        <w:rPr/>
        <w:t>是否已执行新收入准则</w:t>
      </w:r>
    </w:p>
    <w:p>
      <w:pPr>
        <w:pStyle w:val="BodyText"/>
        <w:spacing w:line="350" w:lineRule="auto" w:before="115"/>
        <w:ind w:right="98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其他说明： 无</w:t>
      </w:r>
    </w:p>
    <w:p>
      <w:pPr>
        <w:spacing w:line="240" w:lineRule="auto" w:before="10"/>
        <w:rPr>
          <w:rFonts w:ascii="宋体" w:hAnsi="宋体" w:cs="宋体" w:eastAsia="宋体" w:hint="default"/>
          <w:sz w:val="15"/>
          <w:szCs w:val="15"/>
        </w:rPr>
      </w:pPr>
    </w:p>
    <w:p>
      <w:pPr>
        <w:pStyle w:val="Heading4"/>
        <w:spacing w:line="240" w:lineRule="auto"/>
        <w:ind w:right="967"/>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991,777.56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92,048.26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购买理财产品取得的投资收益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3,347,054.80</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处置金融工具取得的投资收益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1,543,808.23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2,535,585.79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3,439,103.06</w:t>
            </w:r>
          </w:p>
        </w:tc>
      </w:tr>
    </w:tbl>
    <w:p>
      <w:pPr>
        <w:spacing w:line="240" w:lineRule="auto" w:before="3"/>
        <w:rPr>
          <w:rFonts w:ascii="宋体" w:hAnsi="宋体" w:cs="宋体" w:eastAsia="宋体" w:hint="default"/>
          <w:sz w:val="19"/>
          <w:szCs w:val="19"/>
        </w:rPr>
      </w:pPr>
    </w:p>
    <w:p>
      <w:pPr>
        <w:pStyle w:val="Heading4"/>
        <w:spacing w:line="335" w:lineRule="exact"/>
        <w:ind w:right="967"/>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line="240" w:lineRule="auto" w:before="5"/>
        <w:rPr>
          <w:rFonts w:ascii="宋体" w:hAnsi="宋体" w:cs="宋体" w:eastAsia="宋体" w:hint="default"/>
          <w:sz w:val="19"/>
          <w:szCs w:val="19"/>
        </w:rPr>
      </w:pPr>
    </w:p>
    <w:p>
      <w:pPr>
        <w:pStyle w:val="Heading2"/>
        <w:spacing w:line="240" w:lineRule="auto"/>
        <w:ind w:right="967"/>
        <w:jc w:val="left"/>
        <w:rPr>
          <w:b w:val="0"/>
          <w:bCs w:val="0"/>
        </w:rPr>
      </w:pPr>
      <w:r>
        <w:rPr/>
        <w:t>十八、补充资料</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4"/>
        <w:spacing w:line="240" w:lineRule="auto"/>
        <w:ind w:right="967"/>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-30,172.96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固定资产处置损益</w:t>
            </w:r>
          </w:p>
        </w:tc>
      </w:tr>
      <w:tr>
        <w:trPr>
          <w:trHeight w:val="354" w:hRule="exact"/>
        </w:trPr>
        <w:tc>
          <w:tcPr>
            <w:tcW w:w="332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w:t>
            </w:r>
          </w:p>
        </w:tc>
        <w:tc>
          <w:tcPr>
            <w:tcW w:w="3060" w:type="dxa"/>
            <w:tcBorders>
              <w:top w:val="single" w:sz="4" w:space="0" w:color="000000"/>
              <w:left w:val="single" w:sz="4" w:space="0" w:color="000000"/>
              <w:bottom w:val="nil" w:sz="6" w:space="0" w:color="auto"/>
              <w:right w:val="single" w:sz="4" w:space="0" w:color="000000"/>
            </w:tcBorders>
          </w:tcPr>
          <w:p>
            <w:pPr/>
          </w:p>
        </w:tc>
        <w:tc>
          <w:tcPr>
            <w:tcW w:w="3185"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33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切相关，按照国家统一标准定额或定量享</w:t>
            </w:r>
          </w:p>
        </w:tc>
        <w:tc>
          <w:tcPr>
            <w:tcW w:w="3060"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8"/>
                <w:szCs w:val="18"/>
              </w:rPr>
            </w:pPr>
            <w:r>
              <w:rPr>
                <w:rFonts w:ascii="Times New Roman"/>
                <w:spacing w:val="-1"/>
                <w:sz w:val="18"/>
              </w:rPr>
              <w:t>13,899,421.07</w:t>
            </w:r>
          </w:p>
        </w:tc>
        <w:tc>
          <w:tcPr>
            <w:tcW w:w="31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研发项目补助及其他补助</w:t>
            </w:r>
          </w:p>
        </w:tc>
      </w:tr>
      <w:tr>
        <w:trPr>
          <w:trHeight w:val="354" w:hRule="exact"/>
        </w:trPr>
        <w:tc>
          <w:tcPr>
            <w:tcW w:w="332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3060" w:type="dxa"/>
            <w:tcBorders>
              <w:top w:val="nil" w:sz="6" w:space="0" w:color="auto"/>
              <w:left w:val="single" w:sz="12" w:space="0" w:color="D2D2D2"/>
              <w:bottom w:val="single" w:sz="4" w:space="0" w:color="000000"/>
              <w:right w:val="single" w:sz="4" w:space="0" w:color="000000"/>
            </w:tcBorders>
          </w:tcPr>
          <w:p>
            <w:pPr/>
          </w:p>
        </w:tc>
        <w:tc>
          <w:tcPr>
            <w:tcW w:w="3185"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332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w:t>
            </w:r>
          </w:p>
        </w:tc>
        <w:tc>
          <w:tcPr>
            <w:tcW w:w="3060" w:type="dxa"/>
            <w:tcBorders>
              <w:top w:val="single" w:sz="4" w:space="0" w:color="000000"/>
              <w:left w:val="single" w:sz="4" w:space="0" w:color="000000"/>
              <w:bottom w:val="nil" w:sz="6" w:space="0" w:color="auto"/>
              <w:right w:val="single" w:sz="4" w:space="0" w:color="000000"/>
            </w:tcBorders>
          </w:tcPr>
          <w:p>
            <w:pPr/>
          </w:p>
        </w:tc>
        <w:tc>
          <w:tcPr>
            <w:tcW w:w="31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对联营企业的投资成本小于取得投资时</w:t>
            </w:r>
          </w:p>
        </w:tc>
      </w:tr>
      <w:tr>
        <w:trPr>
          <w:trHeight w:val="317" w:hRule="exact"/>
        </w:trPr>
        <w:tc>
          <w:tcPr>
            <w:tcW w:w="33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投资成本小于取得投资时应享有被投资单</w:t>
            </w:r>
          </w:p>
        </w:tc>
        <w:tc>
          <w:tcPr>
            <w:tcW w:w="306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应享有被投资单位可辨认净资产公允价</w:t>
            </w:r>
          </w:p>
        </w:tc>
      </w:tr>
      <w:tr>
        <w:trPr>
          <w:trHeight w:val="355" w:hRule="exact"/>
        </w:trPr>
        <w:tc>
          <w:tcPr>
            <w:tcW w:w="332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位可辨认净资产公允价值产生的收益</w:t>
            </w:r>
          </w:p>
        </w:tc>
        <w:tc>
          <w:tcPr>
            <w:tcW w:w="3060" w:type="dxa"/>
            <w:tcBorders>
              <w:top w:val="nil" w:sz="6" w:space="0" w:color="auto"/>
              <w:left w:val="single" w:sz="12" w:space="0" w:color="D2D2D2"/>
              <w:bottom w:val="single" w:sz="4" w:space="0" w:color="000000"/>
              <w:right w:val="single" w:sz="4" w:space="0" w:color="000000"/>
            </w:tcBorders>
          </w:tcPr>
          <w:p>
            <w:pPr/>
          </w:p>
        </w:tc>
        <w:tc>
          <w:tcPr>
            <w:tcW w:w="31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值产生的收益</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7,086,666.67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公司购买理财产品产生的收益</w:t>
            </w:r>
          </w:p>
        </w:tc>
      </w:tr>
      <w:tr>
        <w:trPr>
          <w:trHeight w:val="355" w:hRule="exact"/>
        </w:trPr>
        <w:tc>
          <w:tcPr>
            <w:tcW w:w="332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w:t>
            </w:r>
          </w:p>
        </w:tc>
        <w:tc>
          <w:tcPr>
            <w:tcW w:w="3060" w:type="dxa"/>
            <w:tcBorders>
              <w:top w:val="single" w:sz="4" w:space="0" w:color="000000"/>
              <w:left w:val="single" w:sz="4" w:space="0" w:color="000000"/>
              <w:bottom w:val="nil" w:sz="6" w:space="0" w:color="auto"/>
              <w:right w:val="single" w:sz="4" w:space="0" w:color="000000"/>
            </w:tcBorders>
          </w:tcPr>
          <w:p>
            <w:pPr/>
          </w:p>
        </w:tc>
        <w:tc>
          <w:tcPr>
            <w:tcW w:w="318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3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值业务外，持有交易性金融资产、衍生金</w:t>
            </w:r>
          </w:p>
        </w:tc>
        <w:tc>
          <w:tcPr>
            <w:tcW w:w="3060" w:type="dxa"/>
            <w:tcBorders>
              <w:top w:val="nil" w:sz="6" w:space="0" w:color="auto"/>
              <w:left w:val="single" w:sz="4" w:space="0" w:color="000000"/>
              <w:bottom w:val="nil" w:sz="6" w:space="0" w:color="auto"/>
              <w:right w:val="single" w:sz="4" w:space="0" w:color="000000"/>
            </w:tcBorders>
          </w:tcPr>
          <w:p>
            <w:pPr/>
          </w:p>
        </w:tc>
        <w:tc>
          <w:tcPr>
            <w:tcW w:w="318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3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融资产、交易性金融负债、衍生金融负债</w:t>
            </w:r>
          </w:p>
        </w:tc>
        <w:tc>
          <w:tcPr>
            <w:tcW w:w="3060" w:type="dxa"/>
            <w:tcBorders>
              <w:top w:val="nil" w:sz="6" w:space="0" w:color="auto"/>
              <w:left w:val="single" w:sz="4" w:space="0" w:color="000000"/>
              <w:bottom w:val="nil" w:sz="6" w:space="0" w:color="auto"/>
              <w:right w:val="single" w:sz="4" w:space="0" w:color="000000"/>
            </w:tcBorders>
          </w:tcPr>
          <w:p>
            <w:pPr/>
          </w:p>
        </w:tc>
        <w:tc>
          <w:tcPr>
            <w:tcW w:w="318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3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产生的公允价值变动损益，以及处置交易</w:t>
            </w:r>
          </w:p>
        </w:tc>
        <w:tc>
          <w:tcPr>
            <w:tcW w:w="306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1,543,808.23</w:t>
            </w:r>
          </w:p>
        </w:tc>
        <w:tc>
          <w:tcPr>
            <w:tcW w:w="31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公司购买理财产品产生的收益</w:t>
            </w:r>
          </w:p>
        </w:tc>
      </w:tr>
      <w:tr>
        <w:trPr>
          <w:trHeight w:val="307" w:hRule="exact"/>
        </w:trPr>
        <w:tc>
          <w:tcPr>
            <w:tcW w:w="33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性金融资产、衍生金融资产、交易性金融</w:t>
            </w:r>
          </w:p>
        </w:tc>
        <w:tc>
          <w:tcPr>
            <w:tcW w:w="3060" w:type="dxa"/>
            <w:tcBorders>
              <w:top w:val="nil" w:sz="6" w:space="0" w:color="auto"/>
              <w:left w:val="single" w:sz="4" w:space="0" w:color="000000"/>
              <w:bottom w:val="nil" w:sz="6" w:space="0" w:color="auto"/>
              <w:right w:val="single" w:sz="4" w:space="0" w:color="000000"/>
            </w:tcBorders>
          </w:tcPr>
          <w:p>
            <w:pPr/>
          </w:p>
        </w:tc>
        <w:tc>
          <w:tcPr>
            <w:tcW w:w="318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3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负债、衍生金融负债和其他债权投资取得</w:t>
            </w:r>
          </w:p>
        </w:tc>
        <w:tc>
          <w:tcPr>
            <w:tcW w:w="3060" w:type="dxa"/>
            <w:tcBorders>
              <w:top w:val="nil" w:sz="6" w:space="0" w:color="auto"/>
              <w:left w:val="single" w:sz="4" w:space="0" w:color="000000"/>
              <w:bottom w:val="nil" w:sz="6" w:space="0" w:color="auto"/>
              <w:right w:val="single" w:sz="4" w:space="0" w:color="000000"/>
            </w:tcBorders>
          </w:tcPr>
          <w:p>
            <w:pPr/>
          </w:p>
        </w:tc>
        <w:tc>
          <w:tcPr>
            <w:tcW w:w="3185"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332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的投资收益</w:t>
            </w:r>
          </w:p>
        </w:tc>
        <w:tc>
          <w:tcPr>
            <w:tcW w:w="3060" w:type="dxa"/>
            <w:tcBorders>
              <w:top w:val="nil" w:sz="6" w:space="0" w:color="auto"/>
              <w:left w:val="single" w:sz="12" w:space="0" w:color="D2D2D2"/>
              <w:bottom w:val="single" w:sz="4" w:space="0" w:color="000000"/>
              <w:right w:val="single" w:sz="4" w:space="0" w:color="000000"/>
            </w:tcBorders>
          </w:tcPr>
          <w:p>
            <w:pPr/>
          </w:p>
        </w:tc>
        <w:tc>
          <w:tcPr>
            <w:tcW w:w="3185" w:type="dxa"/>
            <w:tcBorders>
              <w:top w:val="nil" w:sz="6" w:space="0" w:color="auto"/>
              <w:left w:val="single" w:sz="4" w:space="0" w:color="000000"/>
              <w:bottom w:val="single" w:sz="4" w:space="0" w:color="000000"/>
              <w:right w:val="single" w:sz="4" w:space="0" w:color="000000"/>
            </w:tcBorders>
          </w:tcPr>
          <w:p>
            <w:pPr/>
          </w:p>
        </w:tc>
      </w:tr>
      <w:tr>
        <w:trPr>
          <w:trHeight w:val="713" w:hRule="exact"/>
        </w:trPr>
        <w:tc>
          <w:tcPr>
            <w:tcW w:w="33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49"/>
              <w:ind w:left="103" w:right="15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-1,495,847.67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417,861.88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代扣个人所得税手续费返还</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21,421,737.22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2,055,481.20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310,865.54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19,055,390.48</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67"/>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1"/>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spacing w:after="0" w:line="30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4"/>
        <w:spacing w:line="240" w:lineRule="auto"/>
        <w:ind w:right="967"/>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662"/>
        <w:gridCol w:w="3083"/>
        <w:gridCol w:w="1913"/>
        <w:gridCol w:w="1913"/>
      </w:tblGrid>
      <w:tr>
        <w:trPr>
          <w:trHeight w:val="401"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3"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3"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
              <w:jc w:val="righ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
              <w:jc w:val="righ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71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207"/>
              <w:jc w:val="left"/>
              <w:rPr>
                <w:rFonts w:ascii="宋体" w:hAnsi="宋体" w:cs="宋体" w:eastAsia="宋体" w:hint="default"/>
                <w:sz w:val="18"/>
                <w:szCs w:val="18"/>
              </w:rPr>
            </w:pPr>
            <w:r>
              <w:rPr>
                <w:rFonts w:ascii="宋体" w:hAnsi="宋体" w:cs="宋体" w:eastAsia="宋体" w:hint="default"/>
                <w:sz w:val="18"/>
                <w:szCs w:val="18"/>
              </w:rPr>
              <w:t>归属于公司普通股股东的净利 润</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60.57%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7.43</w:t>
            </w:r>
          </w:p>
        </w:tc>
      </w:tr>
      <w:tr>
        <w:trPr>
          <w:trHeight w:val="716"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07"/>
              <w:jc w:val="left"/>
              <w:rPr>
                <w:rFonts w:ascii="宋体" w:hAnsi="宋体" w:cs="宋体" w:eastAsia="宋体" w:hint="default"/>
                <w:sz w:val="18"/>
                <w:szCs w:val="18"/>
              </w:rPr>
            </w:pPr>
            <w:r>
              <w:rPr>
                <w:rFonts w:ascii="宋体" w:hAnsi="宋体" w:cs="宋体" w:eastAsia="宋体" w:hint="default"/>
                <w:sz w:val="18"/>
                <w:szCs w:val="18"/>
              </w:rPr>
              <w:t>扣除非经常性损益后归属于公 司普通股股东的净利润</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59.25%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7.27</w:t>
            </w:r>
          </w:p>
        </w:tc>
      </w:tr>
    </w:tbl>
    <w:p>
      <w:pPr>
        <w:spacing w:line="240" w:lineRule="auto" w:before="8"/>
        <w:rPr>
          <w:rFonts w:ascii="Microsoft JhengHei" w:hAnsi="Microsoft JhengHei" w:cs="Microsoft JhengHei" w:eastAsia="Microsoft JhengHei" w:hint="default"/>
          <w:b/>
          <w:bCs/>
          <w:sz w:val="14"/>
          <w:szCs w:val="14"/>
        </w:rPr>
      </w:pPr>
    </w:p>
    <w:p>
      <w:pPr>
        <w:pStyle w:val="Heading4"/>
        <w:spacing w:line="335" w:lineRule="exact"/>
        <w:ind w:right="967"/>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4"/>
        <w:spacing w:line="240" w:lineRule="auto"/>
        <w:ind w:right="967"/>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4"/>
        <w:spacing w:line="240" w:lineRule="auto"/>
        <w:ind w:right="967"/>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4"/>
        <w:spacing w:line="314" w:lineRule="exact"/>
        <w:ind w:right="967"/>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26"/>
        </w:rPr>
        <w:t> </w:t>
      </w:r>
      <w:r>
        <w:rPr>
          <w:spacing w:val="26"/>
        </w:rPr>
      </w:r>
      <w:r>
        <w:rPr/>
        <w:t>明该境外机构的名称</w:t>
      </w:r>
      <w:r>
        <w:rPr>
          <w:b w:val="0"/>
          <w:bCs w:val="0"/>
        </w:rPr>
      </w:r>
    </w:p>
    <w:p>
      <w:pPr>
        <w:spacing w:line="240" w:lineRule="auto" w:before="11"/>
        <w:rPr>
          <w:rFonts w:ascii="Microsoft JhengHei" w:hAnsi="Microsoft JhengHei" w:cs="Microsoft JhengHei" w:eastAsia="Microsoft JhengHei" w:hint="default"/>
          <w:b/>
          <w:bCs/>
          <w:sz w:val="18"/>
          <w:szCs w:val="18"/>
        </w:rPr>
      </w:pPr>
    </w:p>
    <w:p>
      <w:pPr>
        <w:pStyle w:val="BodyText"/>
        <w:spacing w:line="240" w:lineRule="auto"/>
        <w:ind w:right="967"/>
        <w:jc w:val="left"/>
      </w:pPr>
      <w:r>
        <w:rPr/>
        <w:t>无</w:t>
      </w:r>
    </w:p>
    <w:p>
      <w:pPr>
        <w:spacing w:line="240" w:lineRule="auto" w:before="1"/>
        <w:rPr>
          <w:rFonts w:ascii="宋体" w:hAnsi="宋体" w:cs="宋体" w:eastAsia="宋体" w:hint="default"/>
          <w:sz w:val="22"/>
          <w:szCs w:val="22"/>
        </w:rPr>
      </w:pPr>
    </w:p>
    <w:p>
      <w:pPr>
        <w:pStyle w:val="Heading4"/>
        <w:spacing w:line="240" w:lineRule="auto"/>
        <w:ind w:right="967"/>
        <w:jc w:val="left"/>
        <w:rPr>
          <w:b w:val="0"/>
          <w:bCs w:val="0"/>
        </w:rPr>
      </w:pPr>
      <w:r>
        <w:rPr>
          <w:rFonts w:ascii="Times New Roman" w:hAnsi="Times New Roman" w:cs="Times New Roman" w:eastAsia="Times New Roman" w:hint="default"/>
        </w:rPr>
        <w:t>4</w:t>
      </w:r>
      <w:r>
        <w:rPr/>
        <w:t>、其他</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67"/>
        <w:jc w:val="left"/>
      </w:pPr>
      <w:r>
        <w:rPr/>
        <w:t>无</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456" w:lineRule="exact"/>
        <w:ind w:left="3285" w:right="967"/>
        <w:jc w:val="left"/>
        <w:rPr>
          <w:b w:val="0"/>
          <w:bCs w:val="0"/>
        </w:rPr>
      </w:pPr>
      <w:bookmarkStart w:name="_TOC_250000" w:id="13"/>
      <w:r>
        <w:rPr/>
        <w:t>第十三节 </w:t>
      </w:r>
      <w:r>
        <w:rPr>
          <w:spacing w:val="8"/>
        </w:rPr>
        <w:t> </w:t>
      </w:r>
      <w:r>
        <w:rPr/>
        <w:t>备查文件目录</w:t>
      </w:r>
      <w:bookmarkEnd w:id="13"/>
      <w:r>
        <w:rPr>
          <w:b w:val="0"/>
          <w:bCs w:val="0"/>
        </w:rPr>
      </w:r>
    </w:p>
    <w:p>
      <w:pPr>
        <w:spacing w:line="240" w:lineRule="auto" w:before="15"/>
        <w:rPr>
          <w:rFonts w:ascii="Microsoft JhengHei" w:hAnsi="Microsoft JhengHei" w:cs="Microsoft JhengHei" w:eastAsia="Microsoft JhengHei" w:hint="default"/>
          <w:b/>
          <w:bCs/>
          <w:sz w:val="29"/>
          <w:szCs w:val="29"/>
        </w:rPr>
      </w:pPr>
    </w:p>
    <w:p>
      <w:pPr>
        <w:pStyle w:val="BodyText"/>
        <w:spacing w:line="352" w:lineRule="auto"/>
        <w:ind w:right="3554"/>
        <w:jc w:val="left"/>
      </w:pPr>
      <w:r>
        <w:rPr/>
        <w:t>一、载有公司法定代表人、主管会计工作负责人、会计机构负责人签名并盖章的财务报表。 二、载有会计师事务所盖章、注册会计师签名并盖章的审计报告原件。 三、载有公司法定代表人签名并盖章的</w:t>
      </w:r>
      <w:r>
        <w:rPr>
          <w:rFonts w:ascii="Times New Roman" w:hAnsi="Times New Roman" w:cs="Times New Roman" w:eastAsia="Times New Roman" w:hint="default"/>
        </w:rPr>
        <w:t>2019</w:t>
      </w:r>
      <w:r>
        <w:rPr/>
        <w:t>年年度报告原件。 四、报告期内在中国证监会指定报纸上公开披露过的所有公司文件的正本及公告的原稿。 五、以上文件均齐备、完整，并备于本公司董事会办公室以供查阅。</w:t>
      </w:r>
    </w:p>
    <w:p>
      <w:pPr>
        <w:spacing w:line="240" w:lineRule="auto" w:before="12"/>
        <w:rPr>
          <w:rFonts w:ascii="宋体" w:hAnsi="宋体" w:cs="宋体" w:eastAsia="宋体" w:hint="default"/>
          <w:sz w:val="25"/>
          <w:szCs w:val="25"/>
        </w:rPr>
      </w:pPr>
    </w:p>
    <w:p>
      <w:pPr>
        <w:pStyle w:val="BodyText"/>
        <w:spacing w:line="240" w:lineRule="auto" w:before="44"/>
        <w:ind w:left="0" w:right="1131"/>
        <w:jc w:val="right"/>
      </w:pPr>
      <w:r>
        <w:rPr/>
        <w:t>深圳市金溢科技股份有限公司</w:t>
      </w:r>
    </w:p>
    <w:p>
      <w:pPr>
        <w:pStyle w:val="BodyText"/>
        <w:spacing w:line="360" w:lineRule="auto" w:before="117"/>
        <w:ind w:left="7812" w:right="1131" w:firstLine="360"/>
        <w:jc w:val="right"/>
      </w:pPr>
      <w:r>
        <w:rPr/>
        <w:t>法定代表人：罗瑞发 二〇二〇年四月二十八日</w:t>
      </w:r>
    </w:p>
    <w:sectPr>
      <w:pgSz w:w="11910" w:h="16840"/>
      <w:pgMar w:header="877" w:footer="979" w:top="110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32704" type="#_x0000_t75" stroked="false">
          <v:imagedata r:id="rId1" o:title=""/>
        </v:shape>
      </w:pict>
    </w:r>
    <w:r>
      <w:rPr/>
      <w:pict>
        <v:shape style="position:absolute;margin-left:533.099976pt;margin-top:795.637939pt;width:6.5pt;height:11pt;mso-position-horizontal-relative:page;mso-position-vertical-relative:page;z-index:-153268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31984" type="#_x0000_t75" stroked="false">
          <v:imagedata r:id="rId1" o:title=""/>
        </v:shape>
      </w:pict>
    </w:r>
    <w:r>
      <w:rPr/>
      <w:pict>
        <v:shape style="position:absolute;margin-left:527.659973pt;margin-top:781.957947pt;width:13.15pt;height:11pt;mso-position-horizontal-relative:page;mso-position-vertical-relative:page;z-index:-15319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95</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31936" type="#_x0000_t75" stroked="false">
          <v:imagedata r:id="rId1" o:title=""/>
        </v:shape>
      </w:pict>
    </w:r>
    <w:r>
      <w:rPr/>
      <w:pict>
        <v:shape style="position:absolute;margin-left:524.099976pt;margin-top:781.957947pt;width:15.7pt;height:11pt;mso-position-horizontal-relative:page;mso-position-vertical-relative:page;z-index:-153191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31888" type="#_x0000_t75" stroked="false">
          <v:imagedata r:id="rId1" o:title=""/>
        </v:shape>
      </w:pict>
    </w:r>
    <w:r>
      <w:rPr/>
      <w:pict>
        <v:shape style="position:absolute;margin-left:523.099976pt;margin-top:781.957947pt;width:17.7pt;height:11pt;mso-position-horizontal-relative:page;mso-position-vertical-relative:page;z-index:-15318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31840" type="#_x0000_t75" stroked="false">
          <v:imagedata r:id="rId1" o:title=""/>
        </v:shape>
      </w:pict>
    </w:r>
    <w:r>
      <w:rPr/>
      <w:pict>
        <v:shape style="position:absolute;margin-left:523.460022pt;margin-top:781.957947pt;width:17.3pt;height:11pt;mso-position-horizontal-relative:page;mso-position-vertical-relative:page;z-index:-15318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31792" type="#_x0000_t75" stroked="false">
          <v:imagedata r:id="rId1" o:title=""/>
        </v:shape>
      </w:pict>
    </w:r>
    <w:r>
      <w:rPr/>
      <w:pict>
        <v:shape style="position:absolute;margin-left:523.099976pt;margin-top:781.957947pt;width:17.7pt;height:11pt;mso-position-horizontal-relative:page;mso-position-vertical-relative:page;z-index:-15317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31744" type="#_x0000_t75" stroked="false">
          <v:imagedata r:id="rId1" o:title=""/>
        </v:shape>
      </w:pict>
    </w:r>
    <w:r>
      <w:rPr/>
      <w:pict>
        <v:shape style="position:absolute;margin-left:524.099976pt;margin-top:781.957947pt;width:15.7pt;height:11pt;mso-position-horizontal-relative:page;mso-position-vertical-relative:page;z-index:-153172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31696" type="#_x0000_t75" stroked="false">
          <v:imagedata r:id="rId1" o:title=""/>
        </v:shape>
      </w:pict>
    </w:r>
    <w:r>
      <w:rPr/>
      <w:pict>
        <v:shape style="position:absolute;margin-left:523.099976pt;margin-top:781.957947pt;width:17.7pt;height:11pt;mso-position-horizontal-relative:page;mso-position-vertical-relative:page;z-index:-15316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32656" type="#_x0000_t75" stroked="false">
          <v:imagedata r:id="rId1" o:title=""/>
        </v:shape>
      </w:pict>
    </w:r>
    <w:r>
      <w:rPr/>
      <w:pict>
        <v:shape style="position:absolute;margin-left:527.659973pt;margin-top:781.957947pt;width:13.15pt;height:11pt;mso-position-horizontal-relative:page;mso-position-vertical-relative:page;z-index:-15326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532584" type="#_x0000_t75" stroked="false">
          <v:imagedata r:id="rId1" o:title=""/>
        </v:shape>
      </w:pict>
    </w:r>
    <w:r>
      <w:rPr/>
      <w:pict>
        <v:shape style="position:absolute;margin-left:759.039978pt;margin-top:535.333923pt;width:13.15pt;height:11pt;mso-position-horizontal-relative:page;mso-position-vertical-relative:page;z-index:-15325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43</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32488" type="#_x0000_t75" stroked="false">
          <v:imagedata r:id="rId1" o:title=""/>
        </v:shape>
      </w:pict>
    </w:r>
    <w:r>
      <w:rPr/>
      <w:pict>
        <v:shape style="position:absolute;margin-left:527.659973pt;margin-top:781.957947pt;width:13.15pt;height:11pt;mso-position-horizontal-relative:page;mso-position-vertical-relative:page;z-index:-15324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73</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532416" type="#_x0000_t75" stroked="false">
          <v:imagedata r:id="rId1" o:title=""/>
        </v:shape>
      </w:pict>
    </w:r>
    <w:r>
      <w:rPr/>
      <w:pict>
        <v:shape style="position:absolute;margin-left:759.039978pt;margin-top:535.333923pt;width:13.15pt;height:11pt;mso-position-horizontal-relative:page;mso-position-vertical-relative:page;z-index:-15323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77</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32320" type="#_x0000_t75" stroked="false">
          <v:imagedata r:id="rId1" o:title=""/>
        </v:shape>
      </w:pict>
    </w:r>
    <w:r>
      <w:rPr/>
      <w:pict>
        <v:shape style="position:absolute;margin-left:527.659973pt;margin-top:781.957947pt;width:13.15pt;height:11pt;mso-position-horizontal-relative:page;mso-position-vertical-relative:page;z-index:-15322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79</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532248" type="#_x0000_t75" stroked="false">
          <v:imagedata r:id="rId1" o:title=""/>
        </v:shape>
      </w:pict>
    </w:r>
    <w:r>
      <w:rPr/>
      <w:pict>
        <v:shape style="position:absolute;margin-left:759.039978pt;margin-top:535.333923pt;width:13.15pt;height:11pt;mso-position-horizontal-relative:page;mso-position-vertical-relative:page;z-index:-15322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81</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32152" type="#_x0000_t75" stroked="false">
          <v:imagedata r:id="rId1" o:title=""/>
        </v:shape>
      </w:pict>
    </w:r>
    <w:r>
      <w:rPr/>
      <w:pict>
        <v:shape style="position:absolute;margin-left:527.659973pt;margin-top:781.957947pt;width:13.15pt;height:11pt;mso-position-horizontal-relative:page;mso-position-vertical-relative:page;z-index:-15321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83</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532080" type="#_x0000_t75" stroked="false">
          <v:imagedata r:id="rId1" o:title=""/>
        </v:shape>
      </w:pict>
    </w:r>
    <w:r>
      <w:rPr/>
      <w:pict>
        <v:shape style="position:absolute;margin-left:759.039978pt;margin-top:535.333923pt;width:13.15pt;height:11pt;mso-position-horizontal-relative:page;mso-position-vertical-relative:page;z-index:-15320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91</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0.989990pt;margin-top:36.265610pt;width:204.5pt;height:11.5pt;mso-position-horizontal-relative:page;mso-position-vertical-relative:page;z-index:-1532728" type="#_x0000_t202" filled="false" stroked="false">
          <v:textbox inset="0,0,0,0">
            <w:txbxContent>
              <w:p>
                <w:pPr>
                  <w:pStyle w:val="BodyText"/>
                  <w:spacing w:line="214" w:lineRule="exact"/>
                  <w:ind w:left="20" w:right="0"/>
                  <w:jc w:val="left"/>
                </w:pPr>
                <w:r>
                  <w:rPr/>
                  <w:t>深圳市金溢科技股份有限公司</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29993pt;margin-top:42.865631pt;width:204.75pt;height:11.5pt;mso-position-horizontal-relative:page;mso-position-vertical-relative:page;z-index:-1532608" type="#_x0000_t202" filled="false" stroked="false">
          <v:textbox inset="0,0,0,0">
            <w:txbxContent>
              <w:p>
                <w:pPr>
                  <w:pStyle w:val="BodyText"/>
                  <w:spacing w:line="214" w:lineRule="exact"/>
                  <w:ind w:left="20" w:right="0"/>
                  <w:jc w:val="left"/>
                </w:pPr>
                <w:r>
                  <w:rPr/>
                  <w:t>深圳市金溢科技股份有限公司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53253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532512" type="#_x0000_t202" filled="false" stroked="false">
          <v:textbox inset="0,0,0,0">
            <w:txbxContent>
              <w:p>
                <w:pPr>
                  <w:pStyle w:val="BodyText"/>
                  <w:spacing w:line="214" w:lineRule="exact"/>
                  <w:ind w:left="20" w:right="0"/>
                  <w:jc w:val="left"/>
                </w:pPr>
                <w:r>
                  <w:rPr/>
                  <w:t>深圳市金溢科技股份有限公司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29993pt;margin-top:42.865631pt;width:204.75pt;height:11.5pt;mso-position-horizontal-relative:page;mso-position-vertical-relative:page;z-index:-1532440" type="#_x0000_t202" filled="false" stroked="false">
          <v:textbox inset="0,0,0,0">
            <w:txbxContent>
              <w:p>
                <w:pPr>
                  <w:pStyle w:val="BodyText"/>
                  <w:spacing w:line="214" w:lineRule="exact"/>
                  <w:ind w:left="20" w:right="0"/>
                  <w:jc w:val="left"/>
                </w:pPr>
                <w:r>
                  <w:rPr/>
                  <w:t>深圳市金溢科技股份有限公司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53236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532344" type="#_x0000_t202" filled="false" stroked="false">
          <v:textbox inset="0,0,0,0">
            <w:txbxContent>
              <w:p>
                <w:pPr>
                  <w:pStyle w:val="BodyText"/>
                  <w:spacing w:line="214" w:lineRule="exact"/>
                  <w:ind w:left="20" w:right="0"/>
                  <w:jc w:val="left"/>
                </w:pPr>
                <w:r>
                  <w:rPr/>
                  <w:t>深圳市金溢科技股份有限公司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29993pt;margin-top:42.865631pt;width:204.75pt;height:11.5pt;mso-position-horizontal-relative:page;mso-position-vertical-relative:page;z-index:-1532272" type="#_x0000_t202" filled="false" stroked="false">
          <v:textbox inset="0,0,0,0">
            <w:txbxContent>
              <w:p>
                <w:pPr>
                  <w:pStyle w:val="BodyText"/>
                  <w:spacing w:line="214" w:lineRule="exact"/>
                  <w:ind w:left="20" w:right="0"/>
                  <w:jc w:val="left"/>
                </w:pPr>
                <w:r>
                  <w:rPr/>
                  <w:t>深圳市金溢科技股份有限公司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53220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532176" type="#_x0000_t202" filled="false" stroked="false">
          <v:textbox inset="0,0,0,0">
            <w:txbxContent>
              <w:p>
                <w:pPr>
                  <w:pStyle w:val="BodyText"/>
                  <w:spacing w:line="214" w:lineRule="exact"/>
                  <w:ind w:left="20" w:right="0"/>
                  <w:jc w:val="left"/>
                </w:pPr>
                <w:r>
                  <w:rPr/>
                  <w:t>深圳市金溢科技股份有限公司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29993pt;margin-top:42.865631pt;width:204.75pt;height:11.5pt;mso-position-horizontal-relative:page;mso-position-vertical-relative:page;z-index:-1532104" type="#_x0000_t202" filled="false" stroked="false">
          <v:textbox inset="0,0,0,0">
            <w:txbxContent>
              <w:p>
                <w:pPr>
                  <w:pStyle w:val="BodyText"/>
                  <w:spacing w:line="214" w:lineRule="exact"/>
                  <w:ind w:left="20" w:right="0"/>
                  <w:jc w:val="left"/>
                </w:pPr>
                <w:r>
                  <w:rPr/>
                  <w:t>深圳市金溢科技股份有限公司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53203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865608pt;width:204.75pt;height:11.5pt;mso-position-horizontal-relative:page;mso-position-vertical-relative:page;z-index:-1532008" type="#_x0000_t202" filled="false" stroked="false">
          <v:textbox inset="0,0,0,0">
            <w:txbxContent>
              <w:p>
                <w:pPr>
                  <w:pStyle w:val="BodyText"/>
                  <w:spacing w:line="214" w:lineRule="exact"/>
                  <w:ind w:left="20" w:right="0"/>
                  <w:jc w:val="left"/>
                </w:pPr>
                <w:r>
                  <w:rPr/>
                  <w:t>深圳市金溢科技股份有限公司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74"/>
      <w:ind w:left="152"/>
    </w:pPr>
    <w:rPr>
      <w:rFonts w:ascii="Microsoft JhengHei" w:hAnsi="Microsoft JhengHei" w:eastAsia="Microsoft JhengHei"/>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134"/>
      <w:outlineLvl w:val="1"/>
    </w:pPr>
    <w:rPr>
      <w:rFonts w:ascii="Microsoft JhengHei" w:hAnsi="Microsoft JhengHei" w:eastAsia="Microsoft JhengHei"/>
      <w:b/>
      <w:bCs/>
      <w:sz w:val="32"/>
      <w:szCs w:val="32"/>
    </w:rPr>
  </w:style>
  <w:style w:styleId="Heading2" w:type="paragraph">
    <w:name w:val="Heading 2"/>
    <w:basedOn w:val="Normal"/>
    <w:uiPriority w:val="1"/>
    <w:qFormat/>
    <w:pPr>
      <w:ind w:left="152"/>
      <w:outlineLvl w:val="2"/>
    </w:pPr>
    <w:rPr>
      <w:rFonts w:ascii="Microsoft JhengHei" w:hAnsi="Microsoft JhengHei" w:eastAsia="Microsoft JhengHei"/>
      <w:b/>
      <w:bCs/>
      <w:sz w:val="24"/>
      <w:szCs w:val="24"/>
    </w:rPr>
  </w:style>
  <w:style w:styleId="Heading3" w:type="paragraph">
    <w:name w:val="Heading 3"/>
    <w:basedOn w:val="Normal"/>
    <w:uiPriority w:val="1"/>
    <w:qFormat/>
    <w:pPr>
      <w:ind w:left="134"/>
      <w:outlineLvl w:val="3"/>
    </w:pPr>
    <w:rPr>
      <w:rFonts w:ascii="宋体" w:hAnsi="宋体" w:eastAsia="宋体"/>
      <w:sz w:val="24"/>
      <w:szCs w:val="24"/>
    </w:rPr>
  </w:style>
  <w:style w:styleId="Heading4" w:type="paragraph">
    <w:name w:val="Heading 4"/>
    <w:basedOn w:val="Normal"/>
    <w:uiPriority w:val="1"/>
    <w:qFormat/>
    <w:pPr>
      <w:ind w:left="152"/>
      <w:outlineLvl w:val="4"/>
    </w:pPr>
    <w:rPr>
      <w:rFonts w:ascii="Microsoft JhengHei" w:hAnsi="Microsoft JhengHei" w:eastAsia="Microsoft JhengHei"/>
      <w:b/>
      <w:bCs/>
      <w:sz w:val="21"/>
      <w:szCs w:val="21"/>
    </w:rPr>
  </w:style>
  <w:style w:styleId="Heading5" w:type="paragraph">
    <w:name w:val="Heading 5"/>
    <w:basedOn w:val="Normal"/>
    <w:uiPriority w:val="1"/>
    <w:qFormat/>
    <w:pPr>
      <w:ind w:left="513"/>
      <w:outlineLvl w:val="5"/>
    </w:pPr>
    <w:rPr>
      <w:rFonts w:ascii="Microsoft JhengHei" w:hAnsi="Microsoft JhengHei" w:eastAsia="Microsoft JhengHei"/>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genvict.com/" TargetMode="External"/><Relationship Id="rId10" Type="http://schemas.openxmlformats.org/officeDocument/2006/relationships/hyperlink" Target="mailto:ir@genvict.com"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hyperlink" Target="http://ww/" TargetMode="External"/><Relationship Id="rId14" Type="http://schemas.openxmlformats.org/officeDocument/2006/relationships/hyperlink" Target="http://stock.eastmoney.com/hangye/hy421.html" TargetMode="External"/><Relationship Id="rId15" Type="http://schemas.openxmlformats.org/officeDocument/2006/relationships/header" Target="header2.xml"/><Relationship Id="rId16" Type="http://schemas.openxmlformats.org/officeDocument/2006/relationships/footer" Target="footer3.xml"/><Relationship Id="rId17" Type="http://schemas.openxmlformats.org/officeDocument/2006/relationships/header" Target="header3.xml"/><Relationship Id="rId18" Type="http://schemas.openxmlformats.org/officeDocument/2006/relationships/footer" Target="footer4.xml"/><Relationship Id="rId19" Type="http://schemas.openxmlformats.org/officeDocument/2006/relationships/hyperlink" Target="http://www/" TargetMode="External"/><Relationship Id="rId20" Type="http://schemas.openxmlformats.org/officeDocument/2006/relationships/header" Target="header4.xml"/><Relationship Id="rId21" Type="http://schemas.openxmlformats.org/officeDocument/2006/relationships/footer" Target="footer5.xml"/><Relationship Id="rId22" Type="http://schemas.openxmlformats.org/officeDocument/2006/relationships/hyperlink" Target="http://www.cninfo.com.c/" TargetMode="External"/><Relationship Id="rId23" Type="http://schemas.openxmlformats.org/officeDocument/2006/relationships/header" Target="header5.xml"/><Relationship Id="rId24" Type="http://schemas.openxmlformats.org/officeDocument/2006/relationships/footer" Target="footer6.xml"/><Relationship Id="rId25" Type="http://schemas.openxmlformats.org/officeDocument/2006/relationships/header" Target="header6.xml"/><Relationship Id="rId26" Type="http://schemas.openxmlformats.org/officeDocument/2006/relationships/footer" Target="footer7.xml"/><Relationship Id="rId27" Type="http://schemas.openxmlformats.org/officeDocument/2006/relationships/header" Target="header7.xml"/><Relationship Id="rId28" Type="http://schemas.openxmlformats.org/officeDocument/2006/relationships/footer" Target="footer8.xml"/><Relationship Id="rId29" Type="http://schemas.openxmlformats.org/officeDocument/2006/relationships/header" Target="header8.xml"/><Relationship Id="rId30" Type="http://schemas.openxmlformats.org/officeDocument/2006/relationships/footer" Target="footer9.xml"/><Relationship Id="rId31" Type="http://schemas.openxmlformats.org/officeDocument/2006/relationships/header" Target="header9.xml"/><Relationship Id="rId32" Type="http://schemas.openxmlformats.org/officeDocument/2006/relationships/footer" Target="footer10.xml"/><Relationship Id="rId33" Type="http://schemas.openxmlformats.org/officeDocument/2006/relationships/image" Target="media/image4.jpeg"/><Relationship Id="rId34" Type="http://schemas.openxmlformats.org/officeDocument/2006/relationships/footer" Target="footer11.xml"/><Relationship Id="rId35" Type="http://schemas.openxmlformats.org/officeDocument/2006/relationships/footer" Target="footer12.xml"/><Relationship Id="rId36" Type="http://schemas.openxmlformats.org/officeDocument/2006/relationships/footer" Target="footer13.xml"/><Relationship Id="rId37" Type="http://schemas.openxmlformats.org/officeDocument/2006/relationships/footer" Target="footer14.xml"/><Relationship Id="rId38" Type="http://schemas.openxmlformats.org/officeDocument/2006/relationships/footer" Target="footer15.xml"/><Relationship Id="rId39" Type="http://schemas.openxmlformats.org/officeDocument/2006/relationships/footer" Target="footer16.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深圳市金溢科技股份有限公司</dc:creator>
  <dc:title>深圳市金溢科技股份有限公司2019年年度报告全文</dc:title>
  <dcterms:created xsi:type="dcterms:W3CDTF">2020-05-19T14:14:39Z</dcterms:created>
  <dcterms:modified xsi:type="dcterms:W3CDTF">2020-05-19T14:14:39Z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2020-04-28T00:00:00Z</vt:filetime>
  </property>
  <property fmtid="{D5CDD505-2E9C-101B-9397-08002B2CF9AE}" pid="3" name="Creator">
    <vt:lpwstr>Microsoft® Word 2013</vt:lpwstr>
  </property>
  <property fmtid="{D5CDD505-2E9C-101B-9397-08002B2CF9AE}" pid="4" name="LastSaved">
    <vt:filetime>2020-05-19T00:00:00Z</vt:filetime>
  </property>
</Properties>
</file>