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220" w:after="240" w:line="240" w:lineRule="auto"/>
        <w:ind w:left="0" w:right="0" w:firstLine="0"/>
        <w:jc w:val="center"/>
        <w:rPr>
          <w:sz w:val="48"/>
          <w:szCs w:val="48"/>
        </w:rPr>
      </w:pPr>
      <w:r>
        <w:rPr>
          <w:b/>
          <w:bCs/>
          <w:color w:val="000000"/>
          <w:spacing w:val="0"/>
          <w:w w:val="100"/>
          <w:position w:val="0"/>
          <w:sz w:val="48"/>
          <w:szCs w:val="48"/>
        </w:rPr>
        <w:t>深圳市金溢科技股份有限公司</w:t>
      </w:r>
    </w:p>
    <w:p>
      <w:pPr>
        <w:pStyle w:val="Style5"/>
        <w:keepNext w:val="0"/>
        <w:keepLines w:val="0"/>
        <w:widowControl w:val="0"/>
        <w:shd w:val="clear" w:color="auto" w:fill="auto"/>
        <w:bidi w:val="0"/>
        <w:spacing w:before="0" w:after="380" w:line="240" w:lineRule="auto"/>
        <w:ind w:left="0" w:right="0" w:firstLine="0"/>
        <w:jc w:val="center"/>
        <w:rPr>
          <w:sz w:val="30"/>
          <w:szCs w:val="30"/>
        </w:rPr>
      </w:pPr>
      <w:r>
        <w:rPr>
          <w:color w:val="000000"/>
          <w:spacing w:val="0"/>
          <w:w w:val="100"/>
          <w:position w:val="0"/>
          <w:sz w:val="30"/>
          <w:szCs w:val="30"/>
        </w:rPr>
        <w:t>Shenzhen Genvict Technologies Co., Ltd.</w:t>
      </w:r>
    </w:p>
    <w:p>
      <w:pPr>
        <w:pStyle w:val="Style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（深圳市南山区粤海街道高新区社区科技南路</w:t>
      </w:r>
      <w:r>
        <w:rPr>
          <w:color w:val="000000"/>
          <w:spacing w:val="0"/>
          <w:w w:val="100"/>
          <w:position w:val="0"/>
        </w:rPr>
        <w:t>16</w:t>
      </w:r>
      <w:r>
        <w:rPr>
          <w:color w:val="000000"/>
          <w:spacing w:val="0"/>
          <w:w w:val="100"/>
          <w:position w:val="0"/>
        </w:rPr>
        <w:t>号深圳湾科技生态园</w:t>
      </w:r>
      <w:r>
        <w:rPr>
          <w:color w:val="000000"/>
          <w:spacing w:val="0"/>
          <w:w w:val="100"/>
          <w:position w:val="0"/>
        </w:rPr>
        <w:t>11</w:t>
      </w:r>
      <w:r>
        <w:rPr>
          <w:color w:val="000000"/>
          <w:spacing w:val="0"/>
          <w:w w:val="100"/>
          <w:position w:val="0"/>
        </w:rPr>
        <w:t>栋</w:t>
      </w:r>
    </w:p>
    <w:p>
      <w:pPr>
        <w:pStyle w:val="Style8"/>
        <w:keepNext w:val="0"/>
        <w:keepLines w:val="0"/>
        <w:widowControl w:val="0"/>
        <w:shd w:val="clear" w:color="auto" w:fill="auto"/>
        <w:bidi w:val="0"/>
        <w:spacing w:before="0" w:after="1200" w:line="240" w:lineRule="auto"/>
        <w:ind w:left="0" w:right="0" w:firstLine="0"/>
        <w:jc w:val="center"/>
      </w:pPr>
      <w:r>
        <w:rPr>
          <w:color w:val="000000"/>
          <w:spacing w:val="0"/>
          <w:w w:val="100"/>
          <w:position w:val="0"/>
        </w:rPr>
        <w:t>A1901-07</w:t>
      </w:r>
      <w:r>
        <w:rPr>
          <w:color w:val="000000"/>
          <w:spacing w:val="0"/>
          <w:w w:val="100"/>
          <w:position w:val="0"/>
        </w:rPr>
        <w:t>号、</w:t>
      </w:r>
      <w:r>
        <w:rPr>
          <w:color w:val="000000"/>
          <w:spacing w:val="0"/>
          <w:w w:val="100"/>
          <w:position w:val="0"/>
        </w:rPr>
        <w:t>20</w:t>
      </w:r>
      <w:r>
        <w:rPr>
          <w:color w:val="000000"/>
          <w:spacing w:val="0"/>
          <w:w w:val="100"/>
          <w:position w:val="0"/>
        </w:rPr>
        <w:t>层</w:t>
      </w:r>
      <w:r>
        <w:rPr>
          <w:color w:val="000000"/>
          <w:spacing w:val="0"/>
          <w:w w:val="100"/>
          <w:position w:val="0"/>
        </w:rPr>
        <w:t>01-08</w:t>
      </w:r>
      <w:r>
        <w:rPr>
          <w:color w:val="000000"/>
          <w:spacing w:val="0"/>
          <w:w w:val="100"/>
          <w:position w:val="0"/>
        </w:rPr>
        <w:t>号）</w:t>
      </w:r>
    </w:p>
    <w:p>
      <w:pPr>
        <w:widowControl w:val="0"/>
        <w:jc w:val="center"/>
        <w:rPr>
          <w:sz w:val="2"/>
          <w:szCs w:val="2"/>
        </w:rPr>
      </w:pPr>
      <w:r>
        <w:drawing>
          <wp:inline>
            <wp:extent cx="4462145" cy="7740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462145" cy="774065"/>
                    </a:xfrm>
                    <a:prstGeom prst="rect"/>
                  </pic:spPr>
                </pic:pic>
              </a:graphicData>
            </a:graphic>
          </wp:inline>
        </w:drawing>
      </w:r>
    </w:p>
    <w:p>
      <w:pPr>
        <w:widowControl w:val="0"/>
        <w:spacing w:after="599" w:line="1" w:lineRule="exact"/>
      </w:pPr>
    </w:p>
    <w:p>
      <w:pPr>
        <w:pStyle w:val="Style2"/>
        <w:keepNext w:val="0"/>
        <w:keepLines w:val="0"/>
        <w:widowControl w:val="0"/>
        <w:shd w:val="clear" w:color="auto" w:fill="auto"/>
        <w:bidi w:val="0"/>
        <w:spacing w:before="0" w:after="4220" w:line="240" w:lineRule="auto"/>
        <w:ind w:left="0" w:right="0" w:firstLine="0"/>
        <w:jc w:val="center"/>
        <w:rPr>
          <w:sz w:val="44"/>
          <w:szCs w:val="44"/>
        </w:rPr>
      </w:pPr>
      <w:r>
        <w:rPr>
          <w:rFonts w:ascii="Times New Roman" w:eastAsia="Times New Roman" w:hAnsi="Times New Roman" w:cs="Times New Roman"/>
          <w:b/>
          <w:bCs/>
          <w:color w:val="000000"/>
          <w:spacing w:val="0"/>
          <w:w w:val="100"/>
          <w:position w:val="0"/>
          <w:sz w:val="44"/>
          <w:szCs w:val="44"/>
        </w:rPr>
        <w:t>2021</w:t>
      </w:r>
      <w:r>
        <w:rPr>
          <w:b/>
          <w:bCs/>
          <w:color w:val="000000"/>
          <w:spacing w:val="0"/>
          <w:w w:val="100"/>
          <w:position w:val="0"/>
          <w:sz w:val="44"/>
          <w:szCs w:val="44"/>
        </w:rPr>
        <w:t>年年度报告</w:t>
      </w:r>
    </w:p>
    <w:p>
      <w:pPr>
        <w:pStyle w:val="Style5"/>
        <w:keepNext w:val="0"/>
        <w:keepLines w:val="0"/>
        <w:widowControl w:val="0"/>
        <w:shd w:val="clear" w:color="auto" w:fill="auto"/>
        <w:bidi w:val="0"/>
        <w:spacing w:before="0" w:after="500" w:line="240" w:lineRule="auto"/>
        <w:ind w:left="0" w:right="0" w:firstLine="0"/>
        <w:jc w:val="center"/>
        <w:rPr>
          <w:sz w:val="30"/>
          <w:szCs w:val="30"/>
        </w:rPr>
      </w:pPr>
      <w:r>
        <w:rPr>
          <w:color w:val="000000"/>
          <w:spacing w:val="0"/>
          <w:w w:val="100"/>
          <w:position w:val="0"/>
          <w:sz w:val="30"/>
          <w:szCs w:val="30"/>
        </w:rPr>
        <w:t>二</w:t>
      </w:r>
      <w:r>
        <w:rPr>
          <w:color w:val="000000"/>
          <w:spacing w:val="0"/>
          <w:w w:val="100"/>
          <w:position w:val="0"/>
          <w:sz w:val="30"/>
          <w:szCs w:val="30"/>
        </w:rPr>
        <w:t>o</w:t>
      </w:r>
      <w:r>
        <w:rPr>
          <w:color w:val="000000"/>
          <w:spacing w:val="0"/>
          <w:w w:val="100"/>
          <w:position w:val="0"/>
          <w:sz w:val="30"/>
          <w:szCs w:val="30"/>
        </w:rPr>
        <w:t>二二年四月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5"/>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5"/>
        <w:keepNext w:val="0"/>
        <w:keepLines w:val="0"/>
        <w:widowControl w:val="0"/>
        <w:shd w:val="clear" w:color="auto" w:fill="auto"/>
        <w:bidi w:val="0"/>
        <w:spacing w:before="0" w:line="629" w:lineRule="exact"/>
        <w:ind w:left="0" w:right="0"/>
        <w:jc w:val="both"/>
      </w:pPr>
      <w:r>
        <w:rPr>
          <w:color w:val="000000"/>
          <w:spacing w:val="0"/>
          <w:w w:val="100"/>
          <w:position w:val="0"/>
        </w:rPr>
        <w:t>公司负责人罗瑞发、主管会计工作负责人李锋龙及会计机构负责人（会计 主管人员）贺芳声明：保证本年度报告中财务报告的真实、准确、完整。</w:t>
      </w:r>
    </w:p>
    <w:p>
      <w:pPr>
        <w:pStyle w:val="Style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5"/>
        <w:keepNext w:val="0"/>
        <w:keepLines w:val="0"/>
        <w:widowControl w:val="0"/>
        <w:shd w:val="clear" w:color="auto" w:fill="auto"/>
        <w:bidi w:val="0"/>
        <w:spacing w:before="0"/>
        <w:ind w:left="0" w:right="0"/>
        <w:jc w:val="both"/>
      </w:pPr>
      <w:r>
        <w:rPr>
          <w:color w:val="000000"/>
          <w:spacing w:val="0"/>
          <w:w w:val="100"/>
          <w:position w:val="0"/>
        </w:rPr>
        <w:t>本报告中所涉及的发展战略、经营计划等前瞻性陈述属于计划性事项，该 计划不构成公司对投资者的实质承诺，投资者及相关人士均应当对此保持足够 的风险认识，并且应当理解计划、预测与承诺之间的差异，敬请投资者注意投 资风险。</w:t>
      </w:r>
    </w:p>
    <w:p>
      <w:pPr>
        <w:pStyle w:val="Style5"/>
        <w:keepNext w:val="0"/>
        <w:keepLines w:val="0"/>
        <w:widowControl w:val="0"/>
        <w:shd w:val="clear" w:color="auto" w:fill="auto"/>
        <w:bidi w:val="0"/>
        <w:spacing w:before="0" w:line="636" w:lineRule="exact"/>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rPr>
        <w:t>“</w:t>
      </w:r>
      <w:r>
        <w:rPr>
          <w:color w:val="000000"/>
          <w:spacing w:val="0"/>
          <w:w w:val="100"/>
          <w:position w:val="0"/>
        </w:rPr>
        <w:t>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中详细描述了公司未来经营中可能存在的风险和应对措施，敬请投资者关注相 关内容。</w:t>
      </w:r>
    </w:p>
    <w:p>
      <w:pPr>
        <w:pStyle w:val="Style5"/>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810" w:right="1099" w:bottom="2271"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02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263"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41"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69"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10"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76"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80"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684"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r>
        <w:fldChar w:fldCharType="end"/>
      </w:r>
    </w:p>
    <w:p>
      <w:pPr>
        <w:pStyle w:val="Style2"/>
        <w:keepNext w:val="0"/>
        <w:keepLines w:val="0"/>
        <w:widowControl w:val="0"/>
        <w:shd w:val="clear" w:color="auto" w:fill="auto"/>
        <w:bidi w:val="0"/>
        <w:spacing w:before="640" w:after="720" w:line="240" w:lineRule="auto"/>
        <w:ind w:left="0" w:right="0" w:firstLine="0"/>
        <w:jc w:val="center"/>
        <w:rPr>
          <w:sz w:val="32"/>
          <w:szCs w:val="32"/>
        </w:rPr>
      </w:pPr>
      <w:r>
        <w:rPr>
          <w:b/>
          <w:bCs/>
          <w:color w:val="000000"/>
          <w:spacing w:val="0"/>
          <w:w w:val="100"/>
          <w:position w:val="0"/>
          <w:sz w:val="32"/>
          <w:szCs w:val="32"/>
        </w:rPr>
        <w:t>备查文件目录</w:t>
      </w:r>
    </w:p>
    <w:p>
      <w:pPr>
        <w:pStyle w:val="Style8"/>
        <w:keepNext w:val="0"/>
        <w:keepLines w:val="0"/>
        <w:widowControl w:val="0"/>
        <w:shd w:val="clear" w:color="auto" w:fill="auto"/>
        <w:tabs>
          <w:tab w:pos="997" w:val="left"/>
        </w:tabs>
        <w:bidi w:val="0"/>
        <w:spacing w:before="0" w:after="0"/>
        <w:ind w:left="0" w:right="0"/>
        <w:jc w:val="left"/>
      </w:pPr>
      <w:bookmarkStart w:id="4" w:name="bookmark4"/>
      <w:r>
        <w:rPr>
          <w:color w:val="000000"/>
          <w:spacing w:val="0"/>
          <w:w w:val="100"/>
          <w:position w:val="0"/>
        </w:rPr>
        <w:t>一</w:t>
      </w:r>
      <w:bookmarkEnd w:id="4"/>
      <w:r>
        <w:rPr>
          <w:color w:val="000000"/>
          <w:spacing w:val="0"/>
          <w:w w:val="100"/>
          <w:position w:val="0"/>
        </w:rPr>
        <w:t>、</w:t>
        <w:tab/>
        <w:t>载有公司法定代表人、主管会计工作负责人、会计机构负责人签名并盖章的财务报 表。</w:t>
      </w:r>
    </w:p>
    <w:p>
      <w:pPr>
        <w:pStyle w:val="Style8"/>
        <w:keepNext w:val="0"/>
        <w:keepLines w:val="0"/>
        <w:widowControl w:val="0"/>
        <w:shd w:val="clear" w:color="auto" w:fill="auto"/>
        <w:tabs>
          <w:tab w:pos="992" w:val="left"/>
        </w:tabs>
        <w:bidi w:val="0"/>
        <w:spacing w:before="0" w:after="0"/>
        <w:ind w:left="0" w:right="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8"/>
        <w:keepNext w:val="0"/>
        <w:keepLines w:val="0"/>
        <w:widowControl w:val="0"/>
        <w:shd w:val="clear" w:color="auto" w:fill="auto"/>
        <w:tabs>
          <w:tab w:pos="992" w:val="left"/>
        </w:tabs>
        <w:bidi w:val="0"/>
        <w:spacing w:before="0" w:after="0"/>
        <w:ind w:left="0" w:right="0"/>
        <w:jc w:val="left"/>
      </w:pPr>
      <w:bookmarkStart w:id="6" w:name="bookmark6"/>
      <w:r>
        <w:rPr>
          <w:color w:val="000000"/>
          <w:spacing w:val="0"/>
          <w:w w:val="100"/>
          <w:position w:val="0"/>
        </w:rPr>
        <w:t>三</w:t>
      </w:r>
      <w:bookmarkEnd w:id="6"/>
      <w:r>
        <w:rPr>
          <w:color w:val="000000"/>
          <w:spacing w:val="0"/>
          <w:w w:val="100"/>
          <w:position w:val="0"/>
        </w:rPr>
        <w:t>、</w:t>
        <w:tab/>
        <w:t>载有公司法定代表人签名并盖章的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年年度报告原件。</w:t>
      </w:r>
    </w:p>
    <w:p>
      <w:pPr>
        <w:pStyle w:val="Style8"/>
        <w:keepNext w:val="0"/>
        <w:keepLines w:val="0"/>
        <w:widowControl w:val="0"/>
        <w:shd w:val="clear" w:color="auto" w:fill="auto"/>
        <w:tabs>
          <w:tab w:pos="992" w:val="left"/>
        </w:tabs>
        <w:bidi w:val="0"/>
        <w:spacing w:before="0" w:after="0"/>
        <w:ind w:left="0" w:right="0"/>
        <w:jc w:val="left"/>
      </w:pPr>
      <w:bookmarkStart w:id="7" w:name="bookmark7"/>
      <w:r>
        <w:rPr>
          <w:color w:val="000000"/>
          <w:spacing w:val="0"/>
          <w:w w:val="100"/>
          <w:position w:val="0"/>
        </w:rPr>
        <w:t>四</w:t>
      </w:r>
      <w:bookmarkEnd w:id="7"/>
      <w:r>
        <w:rPr>
          <w:color w:val="000000"/>
          <w:spacing w:val="0"/>
          <w:w w:val="100"/>
          <w:position w:val="0"/>
        </w:rPr>
        <w:t>、</w:t>
        <w:tab/>
        <w:t>报告期内在中国证监会指定报纸上公开披露过的所有公司文件的正本及公告的原稿。</w:t>
      </w:r>
    </w:p>
    <w:p>
      <w:pPr>
        <w:pStyle w:val="Style8"/>
        <w:keepNext w:val="0"/>
        <w:keepLines w:val="0"/>
        <w:widowControl w:val="0"/>
        <w:shd w:val="clear" w:color="auto" w:fill="auto"/>
        <w:tabs>
          <w:tab w:pos="987" w:val="left"/>
        </w:tabs>
        <w:bidi w:val="0"/>
        <w:spacing w:before="0" w:after="360"/>
        <w:ind w:left="0" w:right="0"/>
        <w:jc w:val="left"/>
      </w:pPr>
      <w:bookmarkStart w:id="8" w:name="bookmark8"/>
      <w:r>
        <w:rPr>
          <w:color w:val="000000"/>
          <w:spacing w:val="0"/>
          <w:w w:val="100"/>
          <w:position w:val="0"/>
        </w:rPr>
        <w:t>五</w:t>
      </w:r>
      <w:bookmarkEnd w:id="8"/>
      <w:r>
        <w:rPr>
          <w:color w:val="000000"/>
          <w:spacing w:val="0"/>
          <w:w w:val="100"/>
          <w:position w:val="0"/>
        </w:rPr>
        <w:t>、</w:t>
        <w:tab/>
        <w:t>以上文件均齐备、完整，并备于本公司董事会办公室以供查阅。</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金溢科技、公司、本公司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深圳市金溢科技股份有限公司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深圳市金溢科技有限公司，公司前身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青岛金溢科技有限公司，全资子公司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佛山金溢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佛山金溢科技有限公司，全资子公司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福建金溢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福建金溢科技有限公司，全资子公司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敏行电子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深圳市敏行电子有限公司，公司第一大股东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宝溢交通科技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深圳宝溢交通科技有限公司，公司持股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山东高速信威信息科技有限公司，公司持股</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山东高速信联科技股份有限公司，公司持股</w:t>
            </w:r>
            <w:r>
              <w:rPr>
                <w:rFonts w:ascii="Times New Roman" w:eastAsia="Times New Roman" w:hAnsi="Times New Roman" w:cs="Times New Roman"/>
                <w:color w:val="000000"/>
                <w:spacing w:val="0"/>
                <w:w w:val="100"/>
                <w:position w:val="0"/>
                <w:sz w:val="18"/>
                <w:szCs w:val="18"/>
              </w:rPr>
              <w:t>3.98%</w:t>
            </w:r>
            <w:r>
              <w:rPr>
                <w:color w:val="000000"/>
                <w:spacing w:val="0"/>
                <w:w w:val="100"/>
                <w:position w:val="0"/>
              </w:rPr>
              <w:t>的参股公司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山东高速信联支付有限公司，公司持股</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镓华微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深圳镓华微电子有限公司，公司持股</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中交金溢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北京中交金溢科技有限公司，报告期内全资子公司，注销中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无锡金溢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无锡金溢科技有限公司，报告期内全资子公司，注销中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华信金溢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广东华信金溢信息技术有限公司，报告期内已注销的子公司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伟龙金溢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伟龙金溢科技(深圳)有限公司，原控股子公司，现更名为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伟龙科 技(广东)有限公司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中华人民共和国交通运输部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中华人民共和国公安部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RFID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无线射频识别(</w:t>
            </w:r>
            <w:r>
              <w:rPr>
                <w:rFonts w:ascii="Times New Roman" w:eastAsia="Times New Roman" w:hAnsi="Times New Roman" w:cs="Times New Roman"/>
                <w:color w:val="000000"/>
                <w:spacing w:val="0"/>
                <w:w w:val="100"/>
                <w:position w:val="0"/>
                <w:sz w:val="18"/>
                <w:szCs w:val="18"/>
              </w:rPr>
              <w:t>Radio Frequency Identification</w:t>
            </w:r>
            <w:r>
              <w:rPr>
                <w:color w:val="000000"/>
                <w:spacing w:val="0"/>
                <w:w w:val="100"/>
                <w:position w:val="0"/>
              </w:rPr>
              <w:t>)</w:t>
            </w:r>
            <w:r>
              <w:rPr>
                <w:color w:val="000000"/>
                <w:spacing w:val="0"/>
                <w:w w:val="100"/>
                <w:position w:val="0"/>
              </w:rPr>
              <w:t>技术，一种通信技术， 可通过无线电讯号识别特定目标并读写相关数据，而无需识别系统与 特定目标之间建立机械或光学接触。</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技术属于射频技术的范畴。</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DSRC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专用短程通信技术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Dedicated Short Range Communications</w:t>
            </w:r>
            <w:r>
              <w:rPr>
                <w:color w:val="000000"/>
                <w:spacing w:val="0"/>
                <w:w w:val="100"/>
                <w:position w:val="0"/>
              </w:rPr>
              <w:t xml:space="preserve">)， </w:t>
            </w:r>
            <w:r>
              <w:rPr>
                <w:color w:val="000000"/>
                <w:spacing w:val="0"/>
                <w:w w:val="100"/>
                <w:position w:val="0"/>
              </w:rPr>
              <w:t>一种高 效的无线通信技术，它可以实现在特定小区域内(通常为数十米)对 高速运动下的移动目标的识别和双向通信。主要应用在不停车收费、 出入控制、信息服务等领域。</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技术属于射频技术的范畴。</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ETC</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电子不停车收费系统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Electronic Toll Collection</w:t>
            </w:r>
            <w:r>
              <w:rPr>
                <w:color w:val="000000"/>
                <w:spacing w:val="0"/>
                <w:w w:val="100"/>
                <w:position w:val="0"/>
              </w:rPr>
              <w:t>)，</w:t>
            </w:r>
            <w:r>
              <w:rPr>
                <w:color w:val="000000"/>
                <w:spacing w:val="0"/>
                <w:w w:val="100"/>
                <w:position w:val="0"/>
              </w:rPr>
              <w:t>实现了车辆在通过 收费节点时，通过专用短程通信技术实现车辆识别、信息写入并自动</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从预先绑定的</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卡或银行账户上扣除相应资金。这一技术使得道路 的通行能力与收费效率大幅度提高。</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RSU</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路侧单元(</w:t>
            </w:r>
            <w:r>
              <w:rPr>
                <w:rFonts w:ascii="Times New Roman" w:eastAsia="Times New Roman" w:hAnsi="Times New Roman" w:cs="Times New Roman"/>
                <w:color w:val="000000"/>
                <w:spacing w:val="0"/>
                <w:w w:val="100"/>
                <w:position w:val="0"/>
                <w:sz w:val="18"/>
                <w:szCs w:val="18"/>
              </w:rPr>
              <w:t>Road Side Unit</w:t>
            </w:r>
            <w:r>
              <w:rPr>
                <w:color w:val="000000"/>
                <w:spacing w:val="0"/>
                <w:w w:val="100"/>
                <w:position w:val="0"/>
              </w:rPr>
              <w:t>)，</w:t>
            </w:r>
            <w:r>
              <w:rPr>
                <w:color w:val="000000"/>
                <w:spacing w:val="0"/>
                <w:w w:val="100"/>
                <w:position w:val="0"/>
              </w:rPr>
              <w:t>又称路侧天线，电子不停车收费系统中 的路侧组成部分，由微波天线和读写控制器组成，实时采集和更新标 签和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卡中的收费信息，并与计算机和网络连通。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OBU</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车载单元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On Board Unit</w:t>
            </w:r>
            <w:r>
              <w:rPr>
                <w:color w:val="000000"/>
                <w:spacing w:val="0"/>
                <w:w w:val="100"/>
                <w:position w:val="0"/>
              </w:rPr>
              <w:t>)，</w:t>
            </w:r>
            <w:r>
              <w:rPr>
                <w:color w:val="000000"/>
                <w:spacing w:val="0"/>
                <w:w w:val="100"/>
                <w:position w:val="0"/>
              </w:rPr>
              <w:t>又称电子标签，安装于车辆前挡风玻璃 内侧、后视镜内、控制台上下等位置，通过</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之间的通信， 实现不停车收费功能，可分为单片式和双片式。</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多义性路径识别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车辆从高速公路网络中的某一入口进入，至某一出口离开，中间可能 有多种行驶路径。多义性路径识别是利用技术手段对车辆的行驶路径 进行识别，记录车辆的实际行驶路径信息。可用于收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计费清算及拆分、 车流量调节。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自由流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多车道自由流系统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Multi-lane Free Flow</w:t>
            </w:r>
            <w:r>
              <w:rPr>
                <w:color w:val="000000"/>
                <w:spacing w:val="0"/>
                <w:w w:val="100"/>
                <w:position w:val="0"/>
              </w:rPr>
              <w:t>，车道上不设置物理隔离物，不影响车流的正常 通行的电子不停车收费系统；收费过程不对车辆行驶状态提出过多的 限制，如车速、并驰、跨线和并线等。</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智慧停车场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智慧停车场管理系统，是融合了物联网、电子支付及云计算新技术， 能够实现全自动停车联网服务与收费管理的高科技机电一体化产品。 它以车载电子标签和车牌等特征为识别介质，通过物联网识别设备获 取车辆及持卡人的相关信息，通过车辆感知、传输以及集中监控的停 车联网远程服务，辅助以移动终端和监控人机界面，实现全自动无人 值守、不停车通行、非现金收费、集中化联网车辆管理服务。具有管 理高效、运作环保，以及更高服务质量，更好服务体验的特点。</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利用先进传感技术、网络技术、计算技术、控制技术、智能技术，对 道路和交通进行全面感知，实现多个系统间大范围、大容量数据的交 互，对每一辆汽车进行交通全程控制，对每一条道路进行交通全时空 控制，以提高交通效率和交通安全为主的网络与应用。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指产品已经交付并经业主或系统集成商验收合格后，自验收合格之日 起约定时间段内的产品质量保证期。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联网收费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也称为收费联网，在一定的收费路网范围内，将分属不同收费公路经 营单位管理的若干条高速公路纳入一个统一的封闭式收费系统，对各 收费公路经营管理单位实行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统一收费、按比例分成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的收费运营和管 理方式。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射频技术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采用无线电波来传送控制信号的通信技术，信号传播不具方向性，有 效传播距离可达数十米，较常见的应用有无线射频识别。</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Vehicle to Everything</w:t>
            </w:r>
            <w:r>
              <w:rPr>
                <w:color w:val="000000"/>
                <w:spacing w:val="0"/>
                <w:w w:val="100"/>
                <w:position w:val="0"/>
              </w:rPr>
              <w:t>)，</w:t>
            </w:r>
            <w:r>
              <w:rPr>
                <w:color w:val="000000"/>
                <w:spacing w:val="0"/>
                <w:w w:val="100"/>
                <w:position w:val="0"/>
              </w:rPr>
              <w:t>即汽车之间、汽车与其它交通要素之间 的直接通信，是未来智能交通运输系统的关键技术。它使得车与车、 车与基站、基站与基站之间能够通信。从而获得实时路况、道路信息、 行人信息等一系列交通信息，从而提高驾驶安全性、减少拥堵、提高 交通效率、提供车载娱乐信息等。</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Internet of things</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)是新一代信息技术的重要组成 部分，是物物相连的互联网。物联网通过智能感知、识别技术与普适</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计算等通信感知技术，广泛应用于网络的融合中。</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汽车电子标识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汽车电子标识（</w:t>
            </w:r>
            <w:r>
              <w:rPr>
                <w:rFonts w:ascii="Times New Roman" w:eastAsia="Times New Roman" w:hAnsi="Times New Roman" w:cs="Times New Roman"/>
                <w:color w:val="000000"/>
                <w:spacing w:val="0"/>
                <w:w w:val="100"/>
                <w:position w:val="0"/>
                <w:sz w:val="18"/>
                <w:szCs w:val="18"/>
              </w:rPr>
              <w:t>electronic registration identification of the motor vehicle</w:t>
            </w:r>
            <w:r>
              <w:rPr>
                <w:color w:val="000000"/>
                <w:spacing w:val="0"/>
                <w:w w:val="100"/>
                <w:position w:val="0"/>
              </w:rPr>
              <w:t xml:space="preserve">， </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ERI</w:t>
            </w:r>
            <w:r>
              <w:rPr>
                <w:color w:val="000000"/>
                <w:spacing w:val="0"/>
                <w:w w:val="100"/>
                <w:position w:val="0"/>
              </w:rPr>
              <w:t>）</w:t>
            </w:r>
            <w:r>
              <w:rPr>
                <w:color w:val="000000"/>
                <w:spacing w:val="0"/>
                <w:w w:val="100"/>
                <w:position w:val="0"/>
              </w:rPr>
              <w:t>也叫汽车电子身份证、汽车数字化标准信源、俗称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电子车 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，将车牌号码等信息存储在射频标签中，能够自动、非接触、不 停车地完成车辆的识别和监控，是基于物联网无源射频识别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 xml:space="preserve">） </w:t>
            </w:r>
            <w:r>
              <w:rPr>
                <w:color w:val="000000"/>
                <w:spacing w:val="0"/>
                <w:w w:val="100"/>
                <w:position w:val="0"/>
              </w:rPr>
              <w:t>在智慧交通领域的延伸。</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车路协同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车路协同是采用先进的无线通信和新一代互联网等技术，全方位实施 车车、车路动态实时信息交互，并在全时空动态交通信息采集与融合 的基础上开展车辆主动安全控制和道路协同管理，充分实现人车路的 有效协同，保证交通安全，提高通行效率，从而形成的安全、高效和 环保的道路交通系统。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LTE-V2X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Vehicle to Everything</w:t>
            </w:r>
            <w:r>
              <w:rPr>
                <w:color w:val="000000"/>
                <w:spacing w:val="0"/>
                <w:w w:val="100"/>
                <w:position w:val="0"/>
              </w:rPr>
              <w:t>）</w:t>
            </w:r>
            <w:r>
              <w:rPr>
                <w:color w:val="000000"/>
                <w:spacing w:val="0"/>
                <w:w w:val="100"/>
                <w:position w:val="0"/>
              </w:rPr>
              <w:t>的两大技术阵营之一，是基于</w:t>
            </w:r>
            <w:r>
              <w:rPr>
                <w:rFonts w:ascii="Times New Roman" w:eastAsia="Times New Roman" w:hAnsi="Times New Roman" w:cs="Times New Roman"/>
                <w:color w:val="000000"/>
                <w:spacing w:val="0"/>
                <w:w w:val="100"/>
                <w:position w:val="0"/>
                <w:sz w:val="18"/>
                <w:szCs w:val="18"/>
              </w:rPr>
              <w:t xml:space="preserve">4.5G </w:t>
            </w:r>
            <w:r>
              <w:rPr>
                <w:color w:val="000000"/>
                <w:spacing w:val="0"/>
                <w:w w:val="100"/>
                <w:position w:val="0"/>
              </w:rPr>
              <w:t>网络，以</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通信技术作为</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的基础，专门针对车间通讯的协议。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也叫智能公路，可通过交通资讯信息的收集和传递，实现对车流在时 间和空间上的引导、分流，避免公路堵塞，加强公路用户的安全，以 减少交通事故的发生。并改善了高速公路交通运输环境，使车辆和司 乘人员在高速公路上安全、快速、畅通、舒适地运行。</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ETC-X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的车路协同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ETC-X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代表所有交通参与要素），即以</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专用短程通信技术为基础的车路协同应用拓展。基于已有</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网络、 门架系统和基础设施，通过适度的技术升级，以较小代价和更快的速 度实现对提升交通安全和效率有重大意义的车路协同应用。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C-V2X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Cellular V2X</w:t>
            </w:r>
            <w:r>
              <w:rPr>
                <w:color w:val="000000"/>
                <w:spacing w:val="0"/>
                <w:w w:val="100"/>
                <w:position w:val="0"/>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3G/4G</w:t>
            </w:r>
            <w:r>
              <w:rPr>
                <w:color w:val="000000"/>
                <w:spacing w:val="0"/>
                <w:w w:val="100"/>
                <w:position w:val="0"/>
              </w:rPr>
              <w:t>等蜂窝网通信技术演进形成的、主要基 于</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全球统一标准的通信技术，有</w:t>
            </w:r>
            <w:r>
              <w:rPr>
                <w:rFonts w:ascii="Times New Roman" w:eastAsia="Times New Roman" w:hAnsi="Times New Roman" w:cs="Times New Roman"/>
                <w:color w:val="000000"/>
                <w:spacing w:val="0"/>
                <w:w w:val="100"/>
                <w:position w:val="0"/>
                <w:sz w:val="18"/>
                <w:szCs w:val="18"/>
              </w:rPr>
              <w:t>PC5</w:t>
            </w:r>
            <w:r>
              <w:rPr>
                <w:color w:val="000000"/>
                <w:spacing w:val="0"/>
                <w:w w:val="100"/>
                <w:position w:val="0"/>
              </w:rPr>
              <w:t>和和</w:t>
            </w:r>
            <w:r>
              <w:rPr>
                <w:rFonts w:ascii="Times New Roman" w:eastAsia="Times New Roman" w:hAnsi="Times New Roman" w:cs="Times New Roman"/>
                <w:color w:val="000000"/>
                <w:spacing w:val="0"/>
                <w:w w:val="100"/>
                <w:position w:val="0"/>
                <w:sz w:val="18"/>
                <w:szCs w:val="18"/>
              </w:rPr>
              <w:t>Uu</w:t>
            </w:r>
            <w:r>
              <w:rPr>
                <w:color w:val="000000"/>
                <w:spacing w:val="0"/>
                <w:w w:val="100"/>
                <w:position w:val="0"/>
              </w:rPr>
              <w:t xml:space="preserve">两种通信模式， 包含 </w:t>
            </w:r>
            <w:r>
              <w:rPr>
                <w:rFonts w:ascii="Times New Roman" w:eastAsia="Times New Roman" w:hAnsi="Times New Roman" w:cs="Times New Roman"/>
                <w:color w:val="000000"/>
                <w:spacing w:val="0"/>
                <w:w w:val="100"/>
                <w:position w:val="0"/>
                <w:sz w:val="18"/>
                <w:szCs w:val="18"/>
              </w:rPr>
              <w:t>LTE-V2X（Long Term Evolution</w:t>
            </w:r>
            <w:r>
              <w:rPr>
                <w:color w:val="000000"/>
                <w:spacing w:val="0"/>
                <w:w w:val="100"/>
                <w:position w:val="0"/>
              </w:rPr>
              <w:t>，</w:t>
            </w:r>
            <w:r>
              <w:rPr>
                <w:color w:val="000000"/>
                <w:spacing w:val="0"/>
                <w:w w:val="100"/>
                <w:position w:val="0"/>
              </w:rPr>
              <w:t xml:space="preserve">长期演进）和 </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LTE-V2X </w:t>
            </w:r>
            <w:r>
              <w:rPr>
                <w:color w:val="000000"/>
                <w:spacing w:val="0"/>
                <w:w w:val="100"/>
                <w:position w:val="0"/>
              </w:rPr>
              <w:t>支持向</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平滑演进。</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MaaS </w:t>
            </w:r>
            <w:r>
              <w:rPr>
                <w:color w:val="000000"/>
                <w:spacing w:val="0"/>
                <w:w w:val="100"/>
                <w:position w:val="0"/>
              </w:rPr>
              <w:t>（出行即服务）是基于现状已有的交通方式，利用技术综合匹 配乘客出行的时间成本、金钱成本和对环境影响的基础上，采用一种 或多种交通方式服务乘客空间位置移动的一站式出行服务方式。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Robotaxi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Apollo Robotaxi</w:t>
            </w:r>
            <w:r>
              <w:rPr>
                <w:color w:val="000000"/>
                <w:spacing w:val="0"/>
                <w:w w:val="100"/>
                <w:position w:val="0"/>
              </w:rPr>
              <w:t>是百度自动驾驶出租车队。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日，百度 </w:t>
            </w:r>
            <w:r>
              <w:rPr>
                <w:rFonts w:ascii="Times New Roman" w:eastAsia="Times New Roman" w:hAnsi="Times New Roman" w:cs="Times New Roman"/>
                <w:color w:val="000000"/>
                <w:spacing w:val="0"/>
                <w:w w:val="100"/>
                <w:position w:val="0"/>
                <w:sz w:val="18"/>
                <w:szCs w:val="18"/>
              </w:rPr>
              <w:t>Apollo Robotaxi</w:t>
            </w:r>
            <w:r>
              <w:rPr>
                <w:color w:val="000000"/>
                <w:spacing w:val="0"/>
                <w:w w:val="100"/>
                <w:position w:val="0"/>
              </w:rPr>
              <w:t>服务上线百度地图及百度</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智能小程序，成为国内 首个通过国民级应用向公众开放的自动驾驶出租车服务。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 TC204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国际标准化组织（</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年相继成立了一些新技术委员会，</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TC204</w:t>
            </w:r>
            <w:r>
              <w:rPr>
                <w:color w:val="000000"/>
                <w:spacing w:val="0"/>
                <w:w w:val="100"/>
                <w:position w:val="0"/>
              </w:rPr>
              <w:t>便是其中之一。它主要职责在于交通信息和控制系统状况的总 体目标和结构的标准化工作，以及与</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整体计划的协调工作。</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3GPP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月，多个电信标准组织伙伴共同签署了《第 三代伙伴计划协议》。</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最初的工作范围是为第三代移动通信系统 制定全球适用的技术规范和技术报告。第三代移动通信系统基于的是 发展的</w:t>
            </w:r>
            <w:r>
              <w:rPr>
                <w:rFonts w:ascii="Times New Roman" w:eastAsia="Times New Roman" w:hAnsi="Times New Roman" w:cs="Times New Roman"/>
                <w:color w:val="000000"/>
                <w:spacing w:val="0"/>
                <w:w w:val="100"/>
                <w:position w:val="0"/>
                <w:sz w:val="18"/>
                <w:szCs w:val="18"/>
              </w:rPr>
              <w:t>GSM</w:t>
            </w:r>
            <w:r>
              <w:rPr>
                <w:color w:val="000000"/>
                <w:spacing w:val="0"/>
                <w:w w:val="100"/>
                <w:position w:val="0"/>
              </w:rPr>
              <w:t>核心网络和它们所支持的无线接入技术，主要是</w:t>
            </w:r>
            <w:r>
              <w:rPr>
                <w:rFonts w:ascii="Times New Roman" w:eastAsia="Times New Roman" w:hAnsi="Times New Roman" w:cs="Times New Roman"/>
                <w:color w:val="000000"/>
                <w:spacing w:val="0"/>
                <w:w w:val="100"/>
                <w:position w:val="0"/>
                <w:sz w:val="18"/>
                <w:szCs w:val="18"/>
              </w:rPr>
              <w:t>UMTS</w:t>
            </w:r>
            <w:r>
              <w:rPr>
                <w:color w:val="000000"/>
                <w:spacing w:val="0"/>
                <w:w w:val="100"/>
                <w:position w:val="0"/>
              </w:rPr>
              <w:t xml:space="preserve">。 </w:t>
            </w:r>
            <w:r>
              <w:rPr>
                <w:color w:val="000000"/>
                <w:spacing w:val="0"/>
                <w:w w:val="100"/>
                <w:position w:val="0"/>
              </w:rPr>
              <w:t>随后</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的工作范围得到了改进，增加了对</w:t>
            </w:r>
            <w:r>
              <w:rPr>
                <w:rFonts w:ascii="Times New Roman" w:eastAsia="Times New Roman" w:hAnsi="Times New Roman" w:cs="Times New Roman"/>
                <w:color w:val="000000"/>
                <w:spacing w:val="0"/>
                <w:w w:val="100"/>
                <w:position w:val="0"/>
                <w:sz w:val="18"/>
                <w:szCs w:val="18"/>
              </w:rPr>
              <w:t>UTRA</w:t>
            </w:r>
            <w:r>
              <w:rPr>
                <w:color w:val="000000"/>
                <w:spacing w:val="0"/>
                <w:w w:val="100"/>
                <w:position w:val="0"/>
              </w:rPr>
              <w:t>长期演进系统的 研究和标准制定。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POC</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POC</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Proof of Concept</w:t>
            </w:r>
            <w:r>
              <w:rPr>
                <w:color w:val="000000"/>
                <w:spacing w:val="0"/>
                <w:w w:val="100"/>
                <w:position w:val="0"/>
              </w:rPr>
              <w:t>的缩写，意思是概念证明，是一套建议的电</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子模型，可用于论证团队和客户的设计，允许评估和确定概念设计方 案。</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R17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R16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R17</w:t>
            </w:r>
            <w:r>
              <w:rPr>
                <w:color w:val="000000"/>
                <w:spacing w:val="0"/>
                <w:w w:val="100"/>
                <w:position w:val="0"/>
              </w:rPr>
              <w:t>是国际标准化组织</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制定发布的，面向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 xml:space="preserve">） </w:t>
            </w:r>
            <w:r>
              <w:rPr>
                <w:color w:val="000000"/>
                <w:spacing w:val="0"/>
                <w:w w:val="100"/>
                <w:position w:val="0"/>
              </w:rPr>
              <w:t>车路协同的一个技术标准版本编号，主要满足</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增强业务需求， 是未来国际上公认的车路协同通信技术发展方向。在国际上，为了推 进车辆通信，</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进行了针对</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的标准研究和开发，其主要分 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个阶段：第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阶段基于</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技术满足</w:t>
            </w:r>
            <w:r>
              <w:rPr>
                <w:rFonts w:ascii="Times New Roman" w:eastAsia="Times New Roman" w:hAnsi="Times New Roman" w:cs="Times New Roman"/>
                <w:color w:val="000000"/>
                <w:spacing w:val="0"/>
                <w:w w:val="100"/>
                <w:position w:val="0"/>
                <w:sz w:val="18"/>
                <w:szCs w:val="18"/>
              </w:rPr>
              <w:t>LTE-V2X</w:t>
            </w:r>
            <w:r>
              <w:rPr>
                <w:color w:val="000000"/>
                <w:spacing w:val="0"/>
                <w:w w:val="100"/>
                <w:position w:val="0"/>
              </w:rPr>
              <w:t>基本业务需求， 对应</w:t>
            </w:r>
            <w:r>
              <w:rPr>
                <w:rFonts w:ascii="Times New Roman" w:eastAsia="Times New Roman" w:hAnsi="Times New Roman" w:cs="Times New Roman"/>
                <w:color w:val="000000"/>
                <w:spacing w:val="0"/>
                <w:w w:val="100"/>
                <w:position w:val="0"/>
                <w:sz w:val="18"/>
                <w:szCs w:val="18"/>
              </w:rPr>
              <w:t>LTE R14</w:t>
            </w:r>
            <w:r>
              <w:rPr>
                <w:color w:val="000000"/>
                <w:spacing w:val="0"/>
                <w:w w:val="100"/>
                <w:position w:val="0"/>
              </w:rPr>
              <w:t>版本；第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阶段基于</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技术满足部分</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增强 业务需求（</w:t>
            </w:r>
            <w:r>
              <w:rPr>
                <w:rFonts w:ascii="Times New Roman" w:eastAsia="Times New Roman" w:hAnsi="Times New Roman" w:cs="Times New Roman"/>
                <w:color w:val="000000"/>
                <w:spacing w:val="0"/>
                <w:w w:val="100"/>
                <w:position w:val="0"/>
                <w:sz w:val="18"/>
                <w:szCs w:val="18"/>
              </w:rPr>
              <w:t>LTE-eV2X</w:t>
            </w:r>
            <w:r>
              <w:rPr>
                <w:color w:val="000000"/>
                <w:spacing w:val="0"/>
                <w:w w:val="100"/>
                <w:position w:val="0"/>
              </w:rPr>
              <w:t>），</w:t>
            </w:r>
            <w:r>
              <w:rPr>
                <w:color w:val="000000"/>
                <w:spacing w:val="0"/>
                <w:w w:val="100"/>
                <w:position w:val="0"/>
              </w:rPr>
              <w:t>对应</w:t>
            </w:r>
            <w:r>
              <w:rPr>
                <w:rFonts w:ascii="Times New Roman" w:eastAsia="Times New Roman" w:hAnsi="Times New Roman" w:cs="Times New Roman"/>
                <w:color w:val="000000"/>
                <w:spacing w:val="0"/>
                <w:w w:val="100"/>
                <w:position w:val="0"/>
                <w:sz w:val="18"/>
                <w:szCs w:val="18"/>
              </w:rPr>
              <w:t>LTE R15</w:t>
            </w:r>
            <w:r>
              <w:rPr>
                <w:color w:val="000000"/>
                <w:spacing w:val="0"/>
                <w:w w:val="100"/>
                <w:position w:val="0"/>
              </w:rPr>
              <w:t>版本；第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阶段基于</w:t>
            </w:r>
            <w:r>
              <w:rPr>
                <w:rFonts w:ascii="Times New Roman" w:eastAsia="Times New Roman" w:hAnsi="Times New Roman" w:cs="Times New Roman"/>
                <w:color w:val="000000"/>
                <w:spacing w:val="0"/>
                <w:w w:val="100"/>
                <w:position w:val="0"/>
                <w:sz w:val="18"/>
                <w:szCs w:val="18"/>
              </w:rPr>
              <w:t xml:space="preserve">5G NR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新空口）技术实现全部或大部分</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 xml:space="preserve">增强业务需求，对应 </w:t>
            </w:r>
            <w:r>
              <w:rPr>
                <w:rFonts w:ascii="Times New Roman" w:eastAsia="Times New Roman" w:hAnsi="Times New Roman" w:cs="Times New Roman"/>
                <w:color w:val="000000"/>
                <w:spacing w:val="0"/>
                <w:w w:val="100"/>
                <w:position w:val="0"/>
                <w:sz w:val="18"/>
                <w:szCs w:val="18"/>
              </w:rPr>
              <w:t>5G NR R16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R17 </w:t>
            </w:r>
            <w:r>
              <w:rPr>
                <w:color w:val="000000"/>
                <w:spacing w:val="0"/>
                <w:w w:val="100"/>
                <w:position w:val="0"/>
              </w:rPr>
              <w:t>版本。</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4"/>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bookmarkEnd w:id="1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金溢科技</w:t>
              <w:tab/>
              <w:t>股票代码</w:t>
              <w:tab/>
            </w:r>
            <w:r>
              <w:rPr>
                <w:rFonts w:ascii="Times New Roman" w:eastAsia="Times New Roman" w:hAnsi="Times New Roman" w:cs="Times New Roman"/>
                <w:color w:val="000000"/>
                <w:spacing w:val="0"/>
                <w:w w:val="100"/>
                <w:position w:val="0"/>
                <w:sz w:val="18"/>
                <w:szCs w:val="18"/>
              </w:rPr>
              <w:t>002869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Genvict Technologies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GENVICT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深圳市南山区粤海街道高新区社区科技南路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号深圳湾科技生态园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A1901-07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518052</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深圳市南山区科苑路清华信息港研发楼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 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深圳市南山区粤海街道科技南路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号深圳湾科技生态园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18-20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深圳市南山区粤海街道科技南路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号深圳湾科技生态 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18-20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深圳市南山区粤海街道高新区社区科技南路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 圳湾科技生态园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A1901-07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深圳市南山区粤海街道高新区社区科技南路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号深圳湾科技生态园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A1901-07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"http://www.genvict.com" </w:instrText>
            </w:r>
            <w:r>
              <w:fldChar w:fldCharType="separate"/>
            </w:r>
            <w:r>
              <w:rPr>
                <w:rFonts w:ascii="Times New Roman" w:eastAsia="Times New Roman" w:hAnsi="Times New Roman" w:cs="Times New Roman"/>
                <w:color w:val="000000"/>
                <w:spacing w:val="0"/>
                <w:w w:val="100"/>
                <w:position w:val="0"/>
                <w:sz w:val="18"/>
                <w:szCs w:val="18"/>
              </w:rPr>
              <w:t>www.genvict.com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"mailto:ir@genvict.com" </w:instrText>
            </w:r>
            <w:r>
              <w:fldChar w:fldCharType="separate"/>
            </w:r>
            <w:r>
              <w:rPr>
                <w:rFonts w:ascii="Times New Roman" w:eastAsia="Times New Roman" w:hAnsi="Times New Roman" w:cs="Times New Roman"/>
                <w:color w:val="000000"/>
                <w:spacing w:val="0"/>
                <w:w w:val="100"/>
                <w:position w:val="0"/>
                <w:sz w:val="18"/>
                <w:szCs w:val="18"/>
              </w:rPr>
              <w:t>ir@genvict.com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罗瑞发（董事长代行）</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深圳市南山区粤海街道高新区社区科技 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号深圳湾科技生态园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p>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A1901-07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 xml:space="preserve">01-08 </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0755-26624127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0755-86936239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"mailto:ir@genvict.com" </w:instrText>
            </w:r>
            <w:r>
              <w:fldChar w:fldCharType="separate"/>
            </w:r>
            <w:r>
              <w:rPr>
                <w:rFonts w:ascii="Times New Roman" w:eastAsia="Times New Roman" w:hAnsi="Times New Roman" w:cs="Times New Roman"/>
                <w:color w:val="000000"/>
                <w:spacing w:val="0"/>
                <w:w w:val="100"/>
                <w:position w:val="0"/>
                <w:sz w:val="18"/>
                <w:szCs w:val="18"/>
              </w:rPr>
              <w:t>ir@genvict.com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sz se.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《证券时报》、《证券日报》、《中国证券报》、《上海证券报》、巨潮资讯 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、注册变更情况</w:t>
      </w:r>
      <w:bookmarkEnd w:id="25"/>
      <w:bookmarkEnd w:id="26"/>
      <w:bookmarkEnd w:id="28"/>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91440300761987321E</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5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公司原无控股股东，第一大股东为深圳市敏行电子有限公司，原实际控制人为罗 瑞发、刘咏平、杨成、王明宽、李娜和李朝莉。上述原实际控制人于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日签署《关于不续签一致行动协议相关事宜的声明》（以下简称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声明各方在《深圳市金溢科技有限公司股东一致行动协议》（以下简称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日到期后不会续签，一致行动关系在《一致行动协议》 到期后解除。前述股东解除一致行动关系后，公司实际控制人变更为罗瑞发先生， 深圳市敏行电子有限公司为公司第一大股东（控股股东），详见巨潮资讯网《关于 股东权益变动暨公司实际控制人变更的公告》（公告编号：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、其他有关资料</w:t>
      </w:r>
      <w:bookmarkEnd w:id="29"/>
      <w:bookmarkEnd w:id="30"/>
      <w:bookmarkEnd w:id="3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朱中伟、龙海燕</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4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、主要会计数据和财务指标</w:t>
      </w:r>
      <w:bookmarkEnd w:id="33"/>
      <w:bookmarkEnd w:id="34"/>
      <w:bookmarkEnd w:id="36"/>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120"/>
        <w:gridCol w:w="1560"/>
        <w:gridCol w:w="1560"/>
        <w:gridCol w:w="1843"/>
        <w:gridCol w:w="15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2,860,155,936.39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-192,732,391.13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630,630,950.34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875,264,934.64</w:t>
            </w:r>
          </w:p>
        </w:tc>
      </w:tr>
    </w:tbl>
    <w:p>
      <w:pPr>
        <w:spacing w:lineRule="exact" w:line="1"/>
        <w:rPr>
          <w:sz w:val="2"/>
          <w:szCs w:val="2"/>
        </w:rPr>
      </w:pPr>
      <w:r>
        <w:br w:type="page"/>
      </w:r>
    </w:p>
    <w:tbl>
      <w:tblPr>
        <w:tblOverlap w:val="never"/>
        <w:jc w:val="center"/>
        <w:tblLayout w:type="fixed"/>
      </w:tblPr>
      <w:tblGrid>
        <w:gridCol w:w="3120"/>
        <w:gridCol w:w="1560"/>
        <w:gridCol w:w="1560"/>
        <w:gridCol w:w="1843"/>
        <w:gridCol w:w="15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-206,230,630.13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659,945,447.16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856,209,544.16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-36,188,644.35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-83,647,556.44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1,372,033,945.51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2,657,584,277.95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2,896,549,718.88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3,936,724,335.73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2,271,158,328.18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2,370,538,863.60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1,902,654,233.58</w:t>
            </w:r>
          </w:p>
        </w:tc>
      </w:tr>
    </w:tbl>
    <w:p>
      <w:pPr>
        <w:pStyle w:val="Style28"/>
        <w:keepNext w:val="0"/>
        <w:keepLines w:val="0"/>
        <w:widowControl w:val="0"/>
        <w:shd w:val="clear" w:color="auto" w:fill="auto"/>
        <w:bidi w:val="0"/>
        <w:spacing w:before="0" w:after="180" w:line="398"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46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80" w:line="398"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line="46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41,382,038.64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13,733,270.42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智慧高速配件、废品、</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 xml:space="preserve">、 </w:t>
            </w:r>
            <w:r>
              <w:rPr>
                <w:color w:val="000000"/>
                <w:spacing w:val="0"/>
                <w:w w:val="100"/>
                <w:position w:val="0"/>
              </w:rPr>
              <w:t>维修服务、技术服务、租金 等收入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260,173,049.89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1,549,912,762.99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180,148,557</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、境内外会计准则下会计数据差异</w:t>
      </w:r>
      <w:bookmarkEnd w:id="37"/>
      <w:bookmarkEnd w:id="38"/>
      <w:bookmarkEnd w:id="40"/>
    </w:p>
    <w:p>
      <w:pPr>
        <w:pStyle w:val="Style31"/>
        <w:keepNext/>
        <w:keepLines/>
        <w:widowControl w:val="0"/>
        <w:shd w:val="clear" w:color="auto" w:fill="auto"/>
        <w:tabs>
          <w:tab w:pos="368" w:val="left"/>
        </w:tabs>
        <w:bidi w:val="0"/>
        <w:spacing w:before="0" w:after="42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78" w:val="left"/>
        </w:tabs>
        <w:bidi w:val="0"/>
        <w:spacing w:before="0" w:after="42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bidi w:val="0"/>
        <w:spacing w:before="0" w:after="3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、分季度主要财务指标</w:t>
      </w:r>
      <w:bookmarkEnd w:id="49"/>
      <w:bookmarkEnd w:id="50"/>
      <w:bookmarkEnd w:id="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73,747,395.24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56,906,427.91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106,890,886.28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64,010,379.10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-3,428,252.11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-26,465,413.24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-52,538,074.54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-110,300,651.24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-7,608,194.40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-29,746,189.53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-56,429,984.22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-112,446,261.98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-55,031,806.41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-19,893,359.36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-18,897,561.09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57,634,082.51</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九</w:t>
      </w:r>
      <w:bookmarkEnd w:id="55"/>
      <w:r>
        <w:rPr>
          <w:color w:val="000000"/>
          <w:spacing w:val="0"/>
          <w:w w:val="100"/>
          <w:position w:val="0"/>
          <w:sz w:val="24"/>
          <w:szCs w:val="24"/>
        </w:rPr>
        <w:t>、非经常性损益项目及金额</w:t>
      </w:r>
      <w:bookmarkEnd w:id="53"/>
      <w:bookmarkEnd w:id="54"/>
      <w:bookmarkEnd w:id="56"/>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-1,324,328.97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15,255,152.56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固定资产处置损益 及原控股子公司长 期股权投资处置损 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13,262,170.47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13,212,323.07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13,899,421.07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工业增加值奖励、 研发项目补助及其 他补助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7,086,666.67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-17,896,387.62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1,543,808.23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公司购买理财产品 产生的浮动收益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2,674,686.25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-4,638,509.29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-48,621,366.15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-1,495,847.67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滞纳金、诉讼赔偿 等</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5,180,196.15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417,861.88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2,424,777.00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2,055,481.20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310,865.54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13,498,239.00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-29,314,496.82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19,055,390.48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427"/>
        <w:gridCol w:w="1824"/>
        <w:gridCol w:w="307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房租减免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bl>
    <w:p>
      <w:pPr>
        <w:pStyle w:val="Style28"/>
        <w:keepNext w:val="0"/>
        <w:keepLines w:val="0"/>
        <w:widowControl w:val="0"/>
        <w:shd w:val="clear" w:color="auto" w:fill="auto"/>
        <w:bidi w:val="0"/>
        <w:spacing w:before="0" w:after="180" w:line="39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8"/>
        <w:keepNext w:val="0"/>
        <w:keepLines w:val="0"/>
        <w:widowControl w:val="0"/>
        <w:shd w:val="clear" w:color="auto" w:fill="auto"/>
        <w:bidi w:val="0"/>
        <w:spacing w:before="0" w:after="0" w:line="45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96" w:lineRule="exact"/>
        <w:ind w:left="0" w:right="0" w:firstLine="0"/>
        <w:jc w:val="left"/>
        <w:sectPr>
          <w:footnotePr>
            <w:pos w:val="pageBottom"/>
            <w:numFmt w:val="decimal"/>
            <w:numRestart w:val="continuous"/>
          </w:footnotePr>
          <w:pgSz w:w="11900" w:h="16840"/>
          <w:pgMar w:top="1441" w:right="1083" w:bottom="1532" w:left="1020"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4"/>
        <w:keepNext/>
        <w:keepLines/>
        <w:widowControl w:val="0"/>
        <w:shd w:val="clear" w:color="auto" w:fill="auto"/>
        <w:bidi w:val="0"/>
        <w:spacing w:before="560" w:after="56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24"/>
        <w:keepNext/>
        <w:keepLines/>
        <w:widowControl w:val="0"/>
        <w:shd w:val="clear" w:color="auto" w:fill="auto"/>
        <w:bidi w:val="0"/>
        <w:spacing w:before="0" w:after="20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、报告期内公司所处的行业情况</w:t>
      </w:r>
      <w:bookmarkEnd w:id="61"/>
      <w:bookmarkEnd w:id="62"/>
      <w:bookmarkEnd w:id="64"/>
      <w:bookmarkEnd w:id="60"/>
    </w:p>
    <w:p>
      <w:pPr>
        <w:pStyle w:val="Style28"/>
        <w:keepNext w:val="0"/>
        <w:keepLines w:val="0"/>
        <w:widowControl w:val="0"/>
        <w:shd w:val="clear" w:color="auto" w:fill="auto"/>
        <w:bidi w:val="0"/>
        <w:spacing w:before="0" w:after="0" w:line="392" w:lineRule="exact"/>
        <w:ind w:left="0" w:right="0"/>
        <w:jc w:val="left"/>
      </w:pPr>
      <w:r>
        <w:rPr>
          <w:color w:val="000000"/>
          <w:spacing w:val="0"/>
          <w:w w:val="100"/>
          <w:position w:val="0"/>
        </w:rPr>
        <w:t>报告期内，公司产品应用领域所属的智能交通行业，仍为国家重点支持和鼓励发展的行业。</w:t>
      </w:r>
    </w:p>
    <w:p>
      <w:pPr>
        <w:pStyle w:val="Style28"/>
        <w:keepNext w:val="0"/>
        <w:keepLines w:val="0"/>
        <w:widowControl w:val="0"/>
        <w:shd w:val="clear" w:color="auto" w:fill="auto"/>
        <w:tabs>
          <w:tab w:pos="841" w:val="left"/>
        </w:tabs>
        <w:bidi w:val="0"/>
        <w:spacing w:before="0" w:after="0" w:line="392" w:lineRule="exact"/>
        <w:ind w:left="0" w:right="0"/>
        <w:jc w:val="left"/>
      </w:pPr>
      <w:bookmarkStart w:id="65" w:name="bookmark65"/>
      <w:r>
        <w:rPr>
          <w:b/>
          <w:bCs/>
          <w:color w:val="000000"/>
          <w:spacing w:val="0"/>
          <w:w w:val="100"/>
          <w:position w:val="0"/>
        </w:rPr>
        <w:t>（</w:t>
      </w:r>
      <w:bookmarkEnd w:id="65"/>
      <w:r>
        <w:rPr>
          <w:b/>
          <w:bCs/>
          <w:color w:val="000000"/>
          <w:spacing w:val="0"/>
          <w:w w:val="100"/>
          <w:position w:val="0"/>
        </w:rPr>
        <w:t>一）</w:t>
        <w:tab/>
        <w:t>智慧高速</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高速公路是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的主要应用场景。随着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年取消省界收费站以及后续相关</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发展政策的密集出台，高速</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市场快 速发展，相应场景下的</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技术和应用已相对成熟。后装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标签的需求经过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年的高峰期后，需求趋于平稳，目前后装 市场增量主要依赖于存量用户安装、新增用户安装、设备更换、设备升级改造以及收费公路里程增长等。</w:t>
      </w:r>
    </w:p>
    <w:p>
      <w:pPr>
        <w:pStyle w:val="Style28"/>
        <w:keepNext w:val="0"/>
        <w:keepLines w:val="0"/>
        <w:widowControl w:val="0"/>
        <w:shd w:val="clear" w:color="auto" w:fill="auto"/>
        <w:bidi w:val="0"/>
        <w:spacing w:before="0" w:after="0" w:line="39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月，国务院印发的《国家综合立体交通网规划纲要》强调了交通运输创新驱动和智慧发展。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月，交通运 输部印发《交通运输领域新型基础设施建设行动方案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年）》，要求推进高速公路电子不停车收费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系统 应用，推进与公路运行监测等数据融合，全面提升公路信息服务水平，以云计算、大数据、</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人工智能为代表的新技术 与高速应用场景深度融合。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月，交通运输部印发《数字交通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提出构建交通新型融合基础设施网络，加快推进交通新基建，推动新技术与交通基础设施融合发展，赋能传统交通基础设施， 完善公路感知网络，推进公路基础设施全要素全周期数字化，发展车路协同和自动化驾驶，支持重点路段全天候通行，缓解 交通拥堵、提升运行效率；深化高速公路电子不停车收费系统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拓展应用，建设监测、调度、管控、应急、服务一体 的智慧路网云控平台；推进公路智慧服务区建设。目前，全国多省市正在推进智慧高速试点工程，山东、河北、江苏、四川、 广东等省份多条智慧高速试点工程建成通车，在各种智慧化手段的探索和新技术赋能下，或将涌现新的应用或新的商业模式， 为公司带来新的业务机会，实现创新升级。</w:t>
      </w:r>
    </w:p>
    <w:p>
      <w:pPr>
        <w:pStyle w:val="Style28"/>
        <w:keepNext w:val="0"/>
        <w:keepLines w:val="0"/>
        <w:widowControl w:val="0"/>
        <w:shd w:val="clear" w:color="auto" w:fill="auto"/>
        <w:tabs>
          <w:tab w:pos="841" w:val="left"/>
        </w:tabs>
        <w:bidi w:val="0"/>
        <w:spacing w:before="0" w:after="0" w:line="392" w:lineRule="exact"/>
        <w:ind w:left="0" w:right="0"/>
        <w:jc w:val="both"/>
      </w:pPr>
      <w:bookmarkStart w:id="66" w:name="bookmark66"/>
      <w:r>
        <w:rPr>
          <w:b/>
          <w:bCs/>
          <w:color w:val="000000"/>
          <w:spacing w:val="0"/>
          <w:w w:val="100"/>
          <w:position w:val="0"/>
        </w:rPr>
        <w:t>（</w:t>
      </w:r>
      <w:bookmarkEnd w:id="66"/>
      <w:r>
        <w:rPr>
          <w:b/>
          <w:bCs/>
          <w:color w:val="000000"/>
          <w:spacing w:val="0"/>
          <w:w w:val="100"/>
          <w:position w:val="0"/>
        </w:rPr>
        <w:t>二）</w:t>
        <w:tab/>
        <w:t>智慧城市</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在智能停车领域，随着城市经济的快速发展，居民生活条件改善，汽车保有量逐步增长，车多位少的现象越发明显，停 车设施建设速度远滞后于汽车保有量的增长速度，停车位供给缺口巨大。国家在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年远景目标中明确 指出要加快推进城市更新，积极扩建新建停车场、充电桩。建设智能铁路、智慧民航、智慧港口、数字航道、智慧停车场。 近几年，车牌识别、车位诱导、移动支付等新技术不断涌现，智慧停车市场呈现蓬勃发展的态势。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月，国家发改委 等四部门发布了《关于推动城市停车设施发展的意见》，提出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年，全国大中小城市基本建成配建停车设施为主、路 外公共停车设施为辅、路内停车为补充的城市停车系统。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在政策的支持引领下，智能化停车服务预计将得以快速发展。</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领域，交通运输部在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月发布的《关于推动交通运输领域新型基础设施建设的指导意见》中提出，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推进 车路协同等设施建设，丰富车路协同应用场景。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无感加油、</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无感支付等应用场景不仅让应用更加方便，而且还节 省了车主排队交费的时间。在疫情期间，更能减少人员接触，有利于疫情防控。</w:t>
      </w:r>
    </w:p>
    <w:p>
      <w:pPr>
        <w:pStyle w:val="Style28"/>
        <w:keepNext w:val="0"/>
        <w:keepLines w:val="0"/>
        <w:widowControl w:val="0"/>
        <w:shd w:val="clear" w:color="auto" w:fill="auto"/>
        <w:tabs>
          <w:tab w:pos="841" w:val="left"/>
        </w:tabs>
        <w:bidi w:val="0"/>
        <w:spacing w:before="0" w:after="0" w:line="392" w:lineRule="exact"/>
        <w:ind w:left="0" w:right="0"/>
        <w:jc w:val="both"/>
      </w:pPr>
      <w:bookmarkStart w:id="67" w:name="bookmark67"/>
      <w:r>
        <w:rPr>
          <w:b/>
          <w:bCs/>
          <w:color w:val="000000"/>
          <w:spacing w:val="0"/>
          <w:w w:val="100"/>
          <w:position w:val="0"/>
        </w:rPr>
        <w:t>（</w:t>
      </w:r>
      <w:bookmarkEnd w:id="67"/>
      <w:r>
        <w:rPr>
          <w:b/>
          <w:bCs/>
          <w:color w:val="000000"/>
          <w:spacing w:val="0"/>
          <w:w w:val="100"/>
          <w:position w:val="0"/>
        </w:rPr>
        <w:t>三）</w:t>
        <w:tab/>
        <w:t>智慧网联</w:t>
      </w:r>
    </w:p>
    <w:p>
      <w:pPr>
        <w:pStyle w:val="Style28"/>
        <w:keepNext w:val="0"/>
        <w:keepLines w:val="0"/>
        <w:widowControl w:val="0"/>
        <w:shd w:val="clear" w:color="auto" w:fill="auto"/>
        <w:bidi w:val="0"/>
        <w:spacing w:before="0" w:after="200" w:line="39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月，工信部发布相关通知，规定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日起，新申请产品准入的车型应在选装配置中增加</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车载装置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目前国内多数主机厂已经完成了供应商选定工作，</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年开始出货。预计在未来</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年内，汽车</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前装比例将 逐步提升，未来随着汽车</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前装业务作为新车出厂配置的普及，预计可为生产销售</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设备企业带来较为稳定、持续的市 场需求。</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智能网联汽车发展已进入商业应用试点乃至规模落地的关键转折期。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月，八部委印发《物联网新型基础设施建 设三年行动计划》，明确在智能交通领域打造车联网（智能网联汽车）协同服务综合监测平台，加快智慧停车管理、自动驾 驶等应用场景建设，推动城市交通基础设施、交通载运工具、环境网联化和协同化发展。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月，工信部提出坚持汽车 智能化、网联化同步推进战略，加快关键核心技术攻关，加强网联基础设施建设，支持行业机构和企业在更大范围内进行道 路测试，开展多种场景下的示范应用，进一步推动数据共享、结果互认，鼓励探索商业化发展模式，推动中国汽车产业高质 量发展。自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月起，北京、上海、重庆等直辖市及广州、无锡、长沙、武汉等城市纷纷在政策指引下设立了智能网联 汽车示范区，引领汽车智能网联的发展与落地。伴随示范区的陆续设立，汽车智能网联已迈出关键一步，政策指引与示范区 实践结合下汽车智能网联进程有望加速推进。</w:t>
      </w:r>
    </w:p>
    <w:p>
      <w:pPr>
        <w:pStyle w:val="Style28"/>
        <w:keepNext w:val="0"/>
        <w:keepLines w:val="0"/>
        <w:widowControl w:val="0"/>
        <w:shd w:val="clear" w:color="auto" w:fill="auto"/>
        <w:bidi w:val="0"/>
        <w:spacing w:before="0" w:after="400" w:line="39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领域，工信部于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月印发的《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信息通信行业发展规划》提出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重点高速公路、城市道路实现蜂窝 车联网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w:t>
      </w:r>
      <w:r>
        <w:rPr>
          <w:color w:val="000000"/>
          <w:spacing w:val="0"/>
          <w:w w:val="100"/>
          <w:position w:val="0"/>
        </w:rPr>
        <w:t>规模覆盖。加快车联网部署应用，加强基于</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的车联网基础设施部署的顶层设计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。在政策的大力度 推动及社会资本的积极参与下，会有越来越多的</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试点示范项目落地，会有越来越多的示范区向先导区转型，试点规模 化的程度将有所提升，</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的商业化进程将加速推进，市场空间也将持续增长。</w:t>
      </w:r>
    </w:p>
    <w:p>
      <w:pPr>
        <w:pStyle w:val="Style24"/>
        <w:keepNext/>
        <w:keepLines/>
        <w:widowControl w:val="0"/>
        <w:shd w:val="clear" w:color="auto" w:fill="auto"/>
        <w:bidi w:val="0"/>
        <w:spacing w:before="0" w:after="22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、报告期内公司从事的主要业务</w:t>
      </w:r>
      <w:bookmarkEnd w:id="68"/>
      <w:bookmarkEnd w:id="69"/>
      <w:bookmarkEnd w:id="71"/>
    </w:p>
    <w:p>
      <w:pPr>
        <w:pStyle w:val="Style28"/>
        <w:keepNext w:val="0"/>
        <w:keepLines w:val="0"/>
        <w:widowControl w:val="0"/>
        <w:shd w:val="clear" w:color="auto" w:fill="auto"/>
        <w:tabs>
          <w:tab w:pos="841" w:val="left"/>
        </w:tabs>
        <w:bidi w:val="0"/>
        <w:spacing w:before="0" w:after="0" w:line="390" w:lineRule="exact"/>
        <w:ind w:left="0" w:right="0"/>
        <w:jc w:val="both"/>
      </w:pPr>
      <w:bookmarkStart w:id="72" w:name="bookmark72"/>
      <w:r>
        <w:rPr>
          <w:b/>
          <w:bCs/>
          <w:color w:val="000000"/>
          <w:spacing w:val="0"/>
          <w:w w:val="100"/>
          <w:position w:val="0"/>
        </w:rPr>
        <w:t>（</w:t>
      </w:r>
      <w:bookmarkEnd w:id="72"/>
      <w:r>
        <w:rPr>
          <w:b/>
          <w:bCs/>
          <w:color w:val="000000"/>
          <w:spacing w:val="0"/>
          <w:w w:val="100"/>
          <w:position w:val="0"/>
        </w:rPr>
        <w:t>一）</w:t>
        <w:tab/>
        <w:t>公司从事的主要业务</w:t>
      </w:r>
    </w:p>
    <w:p>
      <w:pPr>
        <w:pStyle w:val="Style28"/>
        <w:keepNext w:val="0"/>
        <w:keepLines w:val="0"/>
        <w:widowControl w:val="0"/>
        <w:shd w:val="clear" w:color="auto" w:fill="auto"/>
        <w:bidi w:val="0"/>
        <w:spacing w:before="0" w:after="180" w:line="390" w:lineRule="exact"/>
        <w:ind w:left="0" w:right="0"/>
        <w:jc w:val="both"/>
      </w:pPr>
      <w:r>
        <w:rPr>
          <w:color w:val="000000"/>
          <w:spacing w:val="0"/>
          <w:w w:val="100"/>
          <w:position w:val="0"/>
        </w:rPr>
        <w:t>公司专注于智慧交通和物联网领域的应用开发、产品创新与推广应用，是国内领先的智慧交通与物联网核心产品及解决 方案提供商。目前，公司业务主要为智慧高速、智慧城市、智慧网联三大业务板块。</w:t>
      </w:r>
    </w:p>
    <w:p>
      <w:pPr>
        <w:pStyle w:val="Style28"/>
        <w:keepNext w:val="0"/>
        <w:keepLines w:val="0"/>
        <w:widowControl w:val="0"/>
        <w:shd w:val="clear" w:color="auto" w:fill="auto"/>
        <w:tabs>
          <w:tab w:pos="644" w:val="left"/>
        </w:tabs>
        <w:bidi w:val="0"/>
        <w:spacing w:before="0" w:after="0" w:line="454" w:lineRule="auto"/>
        <w:ind w:left="0" w:right="0"/>
        <w:jc w:val="both"/>
      </w:pPr>
      <w:bookmarkStart w:id="73" w:name="bookmark73"/>
      <w:r>
        <w:rPr>
          <w:rFonts w:ascii="Times New Roman" w:eastAsia="Times New Roman" w:hAnsi="Times New Roman" w:cs="Times New Roman"/>
          <w:b/>
          <w:bCs/>
          <w:color w:val="000000"/>
          <w:spacing w:val="0"/>
          <w:w w:val="100"/>
          <w:position w:val="0"/>
          <w:sz w:val="18"/>
          <w:szCs w:val="18"/>
        </w:rPr>
        <w:t>1</w:t>
      </w:r>
      <w:bookmarkEnd w:id="73"/>
      <w:r>
        <w:rPr>
          <w:b/>
          <w:bCs/>
          <w:color w:val="000000"/>
          <w:spacing w:val="0"/>
          <w:w w:val="100"/>
          <w:position w:val="0"/>
        </w:rPr>
        <w:t>、</w:t>
        <w:tab/>
        <w:t>智慧高速</w:t>
      </w:r>
    </w:p>
    <w:p>
      <w:pPr>
        <w:pStyle w:val="Style28"/>
        <w:keepNext w:val="0"/>
        <w:keepLines w:val="0"/>
        <w:widowControl w:val="0"/>
        <w:shd w:val="clear" w:color="auto" w:fill="auto"/>
        <w:bidi w:val="0"/>
        <w:spacing w:before="0" w:after="180" w:line="390" w:lineRule="exact"/>
        <w:ind w:left="0" w:right="0"/>
        <w:jc w:val="both"/>
      </w:pPr>
      <w:r>
        <w:rPr>
          <w:color w:val="000000"/>
          <w:spacing w:val="0"/>
          <w:w w:val="100"/>
          <w:position w:val="0"/>
        </w:rPr>
        <w:t>公司自成立以来，一直专注于专用短程通信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w:t>
      </w:r>
      <w:r>
        <w:rPr>
          <w:color w:val="000000"/>
          <w:spacing w:val="0"/>
          <w:w w:val="100"/>
          <w:position w:val="0"/>
        </w:rPr>
        <w:t>、无线射频识别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技术在智能交通射频识别与电子支付行 业的应用开发、产品创新与推广，是国内领先的智能交通射频识别与电子支付产品及服务提供商。公司电子不停车收费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 </w:t>
      </w:r>
      <w:r>
        <w:rPr>
          <w:color w:val="000000"/>
          <w:spacing w:val="0"/>
          <w:w w:val="100"/>
          <w:position w:val="0"/>
        </w:rPr>
        <w:t>产品遍布全国</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个联网收费省份。公司依托在行业深耕十八年的技术沉淀及对高速公路行业应用的深刻理解，可为高速公路 行业客户提供联排多</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车道收费、</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MTC</w:t>
      </w:r>
      <w:r>
        <w:rPr>
          <w:color w:val="000000"/>
          <w:spacing w:val="0"/>
          <w:w w:val="100"/>
          <w:position w:val="0"/>
        </w:rPr>
        <w:t>混合收费、货车</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收费、</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自由流收费等系统解决方案及核心设备，以 助力提升高速公路通行效率、缓解交通拥堵，构建智慧、绿色的交通环境。</w:t>
      </w:r>
    </w:p>
    <w:p>
      <w:pPr>
        <w:pStyle w:val="Style28"/>
        <w:keepNext w:val="0"/>
        <w:keepLines w:val="0"/>
        <w:widowControl w:val="0"/>
        <w:shd w:val="clear" w:color="auto" w:fill="auto"/>
        <w:tabs>
          <w:tab w:pos="658" w:val="left"/>
        </w:tabs>
        <w:bidi w:val="0"/>
        <w:spacing w:before="0" w:after="0" w:line="454" w:lineRule="auto"/>
        <w:ind w:left="0" w:right="0"/>
        <w:jc w:val="both"/>
      </w:pPr>
      <w:bookmarkStart w:id="74" w:name="bookmark74"/>
      <w:r>
        <w:rPr>
          <w:rFonts w:ascii="Times New Roman" w:eastAsia="Times New Roman" w:hAnsi="Times New Roman" w:cs="Times New Roman"/>
          <w:b/>
          <w:bCs/>
          <w:color w:val="000000"/>
          <w:spacing w:val="0"/>
          <w:w w:val="100"/>
          <w:position w:val="0"/>
          <w:sz w:val="18"/>
          <w:szCs w:val="18"/>
        </w:rPr>
        <w:t>2</w:t>
      </w:r>
      <w:bookmarkEnd w:id="74"/>
      <w:r>
        <w:rPr>
          <w:b/>
          <w:bCs/>
          <w:color w:val="000000"/>
          <w:spacing w:val="0"/>
          <w:w w:val="100"/>
          <w:position w:val="0"/>
        </w:rPr>
        <w:t>、</w:t>
        <w:tab/>
        <w:t>智慧城市</w:t>
      </w:r>
    </w:p>
    <w:p>
      <w:pPr>
        <w:pStyle w:val="Style28"/>
        <w:keepNext w:val="0"/>
        <w:keepLines w:val="0"/>
        <w:widowControl w:val="0"/>
        <w:shd w:val="clear" w:color="auto" w:fill="auto"/>
        <w:bidi w:val="0"/>
        <w:spacing w:before="0" w:after="180" w:line="390" w:lineRule="exact"/>
        <w:ind w:left="0" w:right="0"/>
        <w:jc w:val="both"/>
      </w:pPr>
      <w:r>
        <w:rPr>
          <w:color w:val="000000"/>
          <w:spacing w:val="0"/>
          <w:w w:val="100"/>
          <w:position w:val="0"/>
        </w:rPr>
        <w:t>智慧城市业务是公司对智慧交通应用领域深入研究后的业务拓展延伸，公司着力城市动静态交通管理与服务的提升，围 绕涉车管理、通行管理、停车管理、出行服务四大领域深入推进新技术、新产品，通过将传感技术、通信技术、互联网技术 等有效融合，形成了以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等核心技术为支撑的应用创新体系，可提供城市交通管理及公众交通服务等一系 列的综合应用解决方案及核心设备，为政府管理者、行业客户、最终用户提供科学的决策支持、高效的运营管理和丰富的交 通服务，以助力智慧城市建设。</w:t>
      </w:r>
    </w:p>
    <w:p>
      <w:pPr>
        <w:pStyle w:val="Style28"/>
        <w:keepNext w:val="0"/>
        <w:keepLines w:val="0"/>
        <w:widowControl w:val="0"/>
        <w:shd w:val="clear" w:color="auto" w:fill="auto"/>
        <w:tabs>
          <w:tab w:pos="658" w:val="left"/>
        </w:tabs>
        <w:bidi w:val="0"/>
        <w:spacing w:before="0" w:after="0" w:line="454" w:lineRule="auto"/>
        <w:ind w:left="0" w:right="0"/>
        <w:jc w:val="both"/>
      </w:pPr>
      <w:bookmarkStart w:id="75" w:name="bookmark75"/>
      <w:r>
        <w:rPr>
          <w:rFonts w:ascii="Times New Roman" w:eastAsia="Times New Roman" w:hAnsi="Times New Roman" w:cs="Times New Roman"/>
          <w:b/>
          <w:bCs/>
          <w:color w:val="000000"/>
          <w:spacing w:val="0"/>
          <w:w w:val="100"/>
          <w:position w:val="0"/>
          <w:sz w:val="18"/>
          <w:szCs w:val="18"/>
        </w:rPr>
        <w:t>3</w:t>
      </w:r>
      <w:bookmarkEnd w:id="75"/>
      <w:r>
        <w:rPr>
          <w:b/>
          <w:bCs/>
          <w:color w:val="000000"/>
          <w:spacing w:val="0"/>
          <w:w w:val="100"/>
          <w:position w:val="0"/>
        </w:rPr>
        <w:t>、</w:t>
        <w:tab/>
        <w:t>智慧网联</w:t>
      </w:r>
    </w:p>
    <w:p>
      <w:pPr>
        <w:pStyle w:val="Style28"/>
        <w:keepNext w:val="0"/>
        <w:keepLines w:val="0"/>
        <w:widowControl w:val="0"/>
        <w:shd w:val="clear" w:color="auto" w:fill="auto"/>
        <w:bidi w:val="0"/>
        <w:spacing w:before="0" w:after="0" w:line="390" w:lineRule="exact"/>
        <w:ind w:left="0" w:right="0"/>
        <w:jc w:val="both"/>
      </w:pPr>
      <w:r>
        <w:rPr>
          <w:color w:val="000000"/>
          <w:spacing w:val="0"/>
          <w:w w:val="100"/>
          <w:position w:val="0"/>
        </w:rPr>
        <w:t>智慧网联业务主要聚焦汽车行业电气化和智能化的细分领域。公司目前主要产品为前装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车载单元和</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车载单元， 并向客户提供对应的软、硬件系统解决方案和技术服务。受益于智能汽车创新发展战略的颁布、</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车联网示范区的需求等 为</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的应用带来的契机，公司以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为切入点，带动前装</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上车，为主机厂提供前装</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设备；与此同时，公司通过积 极参与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车联网示范区、国家及省级重点研发项目、智慧城市试点等项目，为客户提供</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产品及解决方案。</w:t>
      </w:r>
    </w:p>
    <w:p>
      <w:pPr>
        <w:pStyle w:val="Style28"/>
        <w:keepNext w:val="0"/>
        <w:keepLines w:val="0"/>
        <w:widowControl w:val="0"/>
        <w:shd w:val="clear" w:color="auto" w:fill="auto"/>
        <w:tabs>
          <w:tab w:pos="841" w:val="left"/>
        </w:tabs>
        <w:bidi w:val="0"/>
        <w:spacing w:before="0" w:after="180" w:line="390" w:lineRule="exact"/>
        <w:ind w:left="0" w:right="0"/>
        <w:jc w:val="both"/>
      </w:pPr>
      <w:bookmarkStart w:id="76" w:name="bookmark76"/>
      <w:r>
        <w:rPr>
          <w:b/>
          <w:bCs/>
          <w:color w:val="000000"/>
          <w:spacing w:val="0"/>
          <w:w w:val="100"/>
          <w:position w:val="0"/>
        </w:rPr>
        <w:t>（</w:t>
      </w:r>
      <w:bookmarkEnd w:id="76"/>
      <w:r>
        <w:rPr>
          <w:b/>
          <w:bCs/>
          <w:color w:val="000000"/>
          <w:spacing w:val="0"/>
          <w:w w:val="100"/>
          <w:position w:val="0"/>
        </w:rPr>
        <w:t>二）</w:t>
        <w:tab/>
        <w:t>公司主要产品</w:t>
      </w:r>
    </w:p>
    <w:p>
      <w:pPr>
        <w:pStyle w:val="Style28"/>
        <w:keepNext w:val="0"/>
        <w:keepLines w:val="0"/>
        <w:widowControl w:val="0"/>
        <w:shd w:val="clear" w:color="auto" w:fill="auto"/>
        <w:bidi w:val="0"/>
        <w:spacing w:before="0" w:after="0" w:line="395" w:lineRule="exact"/>
        <w:ind w:left="0" w:right="0"/>
        <w:jc w:val="both"/>
      </w:pPr>
      <w:r>
        <w:rPr>
          <w:color w:val="000000"/>
          <w:spacing w:val="0"/>
          <w:w w:val="100"/>
          <w:position w:val="0"/>
        </w:rPr>
        <w:t>公司自成立以来一直深耕</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业务市场，随着物联网技术及智慧交通新基建的发展，为满足不同市场需求，公司积极拓 展新的业务领域，持续开拓新产品，已形成宽度广、品类齐全的产品系列。同时，公司依托多年</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行业应用经验和对智慧 交通应用领域的深刻理解，不断为客户提供各种智慧公路解决方案，致力于从单一产品提供商转向以解决方案带动系统和产 品销售的综合服务商。</w:t>
      </w:r>
    </w:p>
    <w:p>
      <w:pPr>
        <w:pStyle w:val="Style28"/>
        <w:keepNext w:val="0"/>
        <w:keepLines w:val="0"/>
        <w:widowControl w:val="0"/>
        <w:shd w:val="clear" w:color="auto" w:fill="auto"/>
        <w:bidi w:val="0"/>
        <w:spacing w:before="0" w:after="0" w:line="395" w:lineRule="exact"/>
        <w:ind w:left="0" w:right="0"/>
        <w:jc w:val="both"/>
      </w:pPr>
      <w:bookmarkStart w:id="77" w:name="bookmark77"/>
      <w:r>
        <w:rPr>
          <w:rFonts w:ascii="Times New Roman" w:eastAsia="Times New Roman" w:hAnsi="Times New Roman" w:cs="Times New Roman"/>
          <w:b/>
          <w:bCs/>
          <w:color w:val="000000"/>
          <w:spacing w:val="0"/>
          <w:w w:val="100"/>
          <w:position w:val="0"/>
          <w:sz w:val="18"/>
          <w:szCs w:val="18"/>
        </w:rPr>
        <w:t>1</w:t>
      </w:r>
      <w:bookmarkEnd w:id="77"/>
      <w:r>
        <w:rPr>
          <w:b/>
          <w:bCs/>
          <w:color w:val="000000"/>
          <w:spacing w:val="0"/>
          <w:w w:val="100"/>
          <w:position w:val="0"/>
        </w:rPr>
        <w:t>、智慧高速业务相关核心产品</w:t>
      </w:r>
    </w:p>
    <w:p>
      <w:pPr>
        <w:pStyle w:val="Style28"/>
        <w:keepNext w:val="0"/>
        <w:keepLines w:val="0"/>
        <w:widowControl w:val="0"/>
        <w:shd w:val="clear" w:color="auto" w:fill="auto"/>
        <w:bidi w:val="0"/>
        <w:spacing w:before="0" w:after="180" w:line="395" w:lineRule="exact"/>
        <w:ind w:left="0" w:right="0"/>
        <w:jc w:val="both"/>
      </w:pPr>
      <w:r>
        <w:rPr>
          <w:color w:val="000000"/>
          <w:spacing w:val="0"/>
          <w:w w:val="100"/>
          <w:position w:val="0"/>
        </w:rPr>
        <w:t>公司智慧高速核心产品包括车载单元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color w:val="000000"/>
          <w:spacing w:val="0"/>
          <w:w w:val="100"/>
          <w:position w:val="0"/>
        </w:rPr>
        <w:t>、路侧单元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color w:val="000000"/>
          <w:spacing w:val="0"/>
          <w:w w:val="100"/>
          <w:position w:val="0"/>
        </w:rPr>
        <w:t>、标签发行设备、</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读卡器等，可为客户提供智慧 公路建设方案、基于</w:t>
      </w:r>
      <w:r>
        <w:rPr>
          <w:rFonts w:ascii="Times New Roman" w:eastAsia="Times New Roman" w:hAnsi="Times New Roman" w:cs="Times New Roman"/>
          <w:color w:val="000000"/>
          <w:spacing w:val="0"/>
          <w:w w:val="100"/>
          <w:position w:val="0"/>
          <w:sz w:val="18"/>
          <w:szCs w:val="18"/>
        </w:rPr>
        <w:t>5.8GHz</w:t>
      </w:r>
      <w:r>
        <w:rPr>
          <w:color w:val="000000"/>
          <w:spacing w:val="0"/>
          <w:w w:val="100"/>
          <w:position w:val="0"/>
        </w:rPr>
        <w:t>自由流的收费公路多义性路径识别系统方案、联排多</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车道收费系统方案、</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MTC</w:t>
      </w:r>
      <w:r>
        <w:rPr>
          <w:color w:val="000000"/>
          <w:spacing w:val="0"/>
          <w:w w:val="100"/>
          <w:position w:val="0"/>
        </w:rPr>
        <w:t>混合 收费系统方案等解决方案服务。</w:t>
      </w:r>
    </w:p>
    <w:p>
      <w:pPr>
        <w:widowControl w:val="0"/>
        <w:jc w:val="center"/>
        <w:rPr>
          <w:sz w:val="2"/>
          <w:szCs w:val="2"/>
        </w:rPr>
      </w:pPr>
      <w:r>
        <w:drawing>
          <wp:inline>
            <wp:extent cx="4145280" cy="227393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145280" cy="2273935"/>
                    </a:xfrm>
                    <a:prstGeom prst="rect"/>
                  </pic:spPr>
                </pic:pic>
              </a:graphicData>
            </a:graphic>
          </wp:inline>
        </w:drawing>
      </w:r>
    </w:p>
    <w:p>
      <w:pPr>
        <w:pStyle w:val="Style37"/>
        <w:keepNext w:val="0"/>
        <w:keepLines w:val="0"/>
        <w:widowControl w:val="0"/>
        <w:shd w:val="clear" w:color="auto" w:fill="auto"/>
        <w:bidi w:val="0"/>
        <w:spacing w:before="0" w:after="0" w:line="240" w:lineRule="auto"/>
        <w:ind w:left="2026" w:right="0" w:firstLine="0"/>
        <w:jc w:val="left"/>
      </w:pPr>
      <w:r>
        <w:rPr>
          <w:b w:val="0"/>
          <w:bCs w:val="0"/>
          <w:color w:val="000000"/>
          <w:spacing w:val="0"/>
          <w:w w:val="100"/>
          <w:position w:val="0"/>
        </w:rPr>
        <w:t>图一：智慧高速业务核心产品和服务</w:t>
      </w:r>
    </w:p>
    <w:p>
      <w:pPr>
        <w:widowControl w:val="0"/>
        <w:spacing w:after="259" w:line="1" w:lineRule="exact"/>
      </w:pPr>
    </w:p>
    <w:p>
      <w:pPr>
        <w:pStyle w:val="Style28"/>
        <w:keepNext w:val="0"/>
        <w:keepLines w:val="0"/>
        <w:widowControl w:val="0"/>
        <w:shd w:val="clear" w:color="auto" w:fill="auto"/>
        <w:bidi w:val="0"/>
        <w:spacing w:before="0" w:after="0" w:line="394" w:lineRule="exact"/>
        <w:ind w:left="0" w:right="0"/>
        <w:jc w:val="both"/>
      </w:pPr>
      <w:bookmarkStart w:id="78" w:name="bookmark78"/>
      <w:r>
        <w:rPr>
          <w:rFonts w:ascii="Times New Roman" w:eastAsia="Times New Roman" w:hAnsi="Times New Roman" w:cs="Times New Roman"/>
          <w:b/>
          <w:bCs/>
          <w:color w:val="000000"/>
          <w:spacing w:val="0"/>
          <w:w w:val="100"/>
          <w:position w:val="0"/>
          <w:sz w:val="18"/>
          <w:szCs w:val="18"/>
        </w:rPr>
        <w:t>2</w:t>
      </w:r>
      <w:bookmarkEnd w:id="78"/>
      <w:r>
        <w:rPr>
          <w:b/>
          <w:bCs/>
          <w:color w:val="000000"/>
          <w:spacing w:val="0"/>
          <w:w w:val="100"/>
          <w:position w:val="0"/>
        </w:rPr>
        <w:t>、智慧城市业务相关核心产品</w:t>
      </w:r>
    </w:p>
    <w:p>
      <w:pPr>
        <w:pStyle w:val="Style28"/>
        <w:keepNext w:val="0"/>
        <w:keepLines w:val="0"/>
        <w:widowControl w:val="0"/>
        <w:shd w:val="clear" w:color="auto" w:fill="auto"/>
        <w:bidi w:val="0"/>
        <w:spacing w:before="0" w:after="180" w:line="394" w:lineRule="exact"/>
        <w:ind w:left="0" w:right="0"/>
        <w:jc w:val="both"/>
      </w:pPr>
      <w:r>
        <w:rPr>
          <w:color w:val="000000"/>
          <w:spacing w:val="0"/>
          <w:w w:val="100"/>
          <w:position w:val="0"/>
        </w:rPr>
        <w:t>公司智慧城市业务主要为停车场、交通管理运营单位提供智慧停车场管理、路内停车管理、智慧场站管理、</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智慧加 油等系统方案，使用的核心设备包括车道控制器、</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微波读写天线等。</w:t>
      </w:r>
    </w:p>
    <w:p>
      <w:pPr>
        <w:framePr w:w="6178" w:h="3749" w:vSpace="389" w:wrap="notBeside" w:vAnchor="text" w:hAnchor="text" w:x="2156" w:y="1"/>
        <w:widowControl w:val="0"/>
        <w:rPr>
          <w:sz w:val="2"/>
          <w:szCs w:val="2"/>
        </w:rPr>
      </w:pPr>
      <w:r>
        <w:drawing>
          <wp:inline>
            <wp:extent cx="3925570" cy="23837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925570" cy="2383790"/>
                    </a:xfrm>
                    <a:prstGeom prst="rect"/>
                  </pic:spPr>
                </pic:pic>
              </a:graphicData>
            </a:graphic>
          </wp:inline>
        </w:drawing>
      </w:r>
    </w:p>
    <w:p>
      <w:pPr>
        <w:widowControl w:val="0"/>
        <w:spacing w:line="1" w:lineRule="exact"/>
      </w:pPr>
      <w:r>
        <mc:AlternateContent>
          <mc:Choice Requires="wps">
            <w:drawing>
              <wp:anchor distT="0" distB="0" distL="1368425" distR="856615" simplePos="0" relativeHeight="125829378" behindDoc="0" locked="0" layoutInCell="1" allowOverlap="1">
                <wp:simplePos x="0" y="0"/>
                <wp:positionH relativeFrom="column">
                  <wp:posOffset>1493520</wp:posOffset>
                </wp:positionH>
                <wp:positionV relativeFrom="paragraph">
                  <wp:posOffset>2493010</wp:posOffset>
                </wp:positionV>
                <wp:extent cx="1597025" cy="128270"/>
                <wp:wrapTopAndBottom/>
                <wp:docPr id="4" name="Shape 4"/>
                <a:graphic xmlns:a="http://schemas.openxmlformats.org/drawingml/2006/main">
                  <a:graphicData uri="http://schemas.microsoft.com/office/word/2010/wordprocessingShape">
                    <wps:wsp>
                      <wps:cNvSpPr txBox="1"/>
                      <wps:spPr>
                        <a:xfrm>
                          <a:ext cx="1597025" cy="128270"/>
                        </a:xfrm>
                        <a:prstGeom prst="rect"/>
                        <a:noFill/>
                      </wps:spPr>
                      <wps:txbx>
                        <w:txbxContent>
                          <w:p>
                            <w:pPr>
                              <w:pStyle w:val="Style37"/>
                              <w:keepNext w:val="0"/>
                              <w:keepLines w:val="0"/>
                              <w:widowControl w:val="0"/>
                              <w:shd w:val="clear" w:color="auto" w:fill="auto"/>
                              <w:tabs>
                                <w:tab w:pos="1253" w:val="left"/>
                              </w:tabs>
                              <w:bidi w:val="0"/>
                              <w:spacing w:before="0" w:after="0" w:line="240" w:lineRule="auto"/>
                              <w:ind w:left="0" w:right="0" w:firstLine="0"/>
                              <w:jc w:val="left"/>
                            </w:pPr>
                            <w:r>
                              <w:rPr>
                                <w:spacing w:val="0"/>
                                <w:w w:val="100"/>
                                <w:position w:val="0"/>
                              </w:rPr>
                              <w:t>车道控制器</w:t>
                              <w:tab/>
                            </w:r>
                            <w:r>
                              <w:rPr>
                                <w:rFonts w:ascii="Times New Roman" w:eastAsia="Times New Roman" w:hAnsi="Times New Roman" w:cs="Times New Roman"/>
                                <w:spacing w:val="0"/>
                                <w:w w:val="100"/>
                                <w:position w:val="0"/>
                                <w:sz w:val="13"/>
                                <w:szCs w:val="13"/>
                              </w:rPr>
                              <w:t>DSRC</w:t>
                            </w:r>
                            <w:r>
                              <w:rPr>
                                <w:spacing w:val="0"/>
                                <w:w w:val="100"/>
                                <w:position w:val="0"/>
                              </w:rPr>
                              <w:t>微波读写天线</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17.60000000000001pt;margin-top:196.30000000000001pt;width:125.75pt;height:10.1pt;z-index:-125829375;mso-wrap-distance-left:107.75pt;mso-wrap-distance-right:67.450000000000003pt" filled="f" stroked="f">
                <v:textbox inset="0,0,0,0">
                  <w:txbxContent>
                    <w:p>
                      <w:pPr>
                        <w:pStyle w:val="Style37"/>
                        <w:keepNext w:val="0"/>
                        <w:keepLines w:val="0"/>
                        <w:widowControl w:val="0"/>
                        <w:shd w:val="clear" w:color="auto" w:fill="auto"/>
                        <w:tabs>
                          <w:tab w:pos="1253" w:val="left"/>
                        </w:tabs>
                        <w:bidi w:val="0"/>
                        <w:spacing w:before="0" w:after="0" w:line="240" w:lineRule="auto"/>
                        <w:ind w:left="0" w:right="0" w:firstLine="0"/>
                        <w:jc w:val="left"/>
                      </w:pPr>
                      <w:r>
                        <w:rPr>
                          <w:spacing w:val="0"/>
                          <w:w w:val="100"/>
                          <w:position w:val="0"/>
                        </w:rPr>
                        <w:t>车道控制器</w:t>
                        <w:tab/>
                      </w:r>
                      <w:r>
                        <w:rPr>
                          <w:rFonts w:ascii="Times New Roman" w:eastAsia="Times New Roman" w:hAnsi="Times New Roman" w:cs="Times New Roman"/>
                          <w:spacing w:val="0"/>
                          <w:w w:val="100"/>
                          <w:position w:val="0"/>
                          <w:sz w:val="13"/>
                          <w:szCs w:val="13"/>
                        </w:rPr>
                        <w:t>DSRC</w:t>
                      </w:r>
                      <w:r>
                        <w:rPr>
                          <w:spacing w:val="0"/>
                          <w:w w:val="100"/>
                          <w:position w:val="0"/>
                        </w:rPr>
                        <w:t>微波读写天线</w:t>
                      </w:r>
                    </w:p>
                  </w:txbxContent>
                </v:textbox>
                <w10:wrap type="topAndBottom"/>
              </v:shape>
            </w:pict>
          </mc:Fallback>
        </mc:AlternateContent>
      </w:r>
      <w:r>
        <mc:AlternateContent>
          <mc:Choice Requires="wps">
            <w:drawing>
              <wp:anchor distT="0" distB="0" distL="1368425" distR="856615" simplePos="0" relativeHeight="125829380" behindDoc="0" locked="0" layoutInCell="1" allowOverlap="1">
                <wp:simplePos x="0" y="0"/>
                <wp:positionH relativeFrom="column">
                  <wp:posOffset>3449955</wp:posOffset>
                </wp:positionH>
                <wp:positionV relativeFrom="paragraph">
                  <wp:posOffset>2493010</wp:posOffset>
                </wp:positionV>
                <wp:extent cx="1597025" cy="133985"/>
                <wp:wrapTopAndBottom/>
                <wp:docPr id="6" name="Shape 6"/>
                <a:graphic xmlns:a="http://schemas.openxmlformats.org/drawingml/2006/main">
                  <a:graphicData uri="http://schemas.microsoft.com/office/word/2010/wordprocessingShape">
                    <wps:wsp>
                      <wps:cNvSpPr txBox="1"/>
                      <wps:spPr>
                        <a:xfrm>
                          <a:ext cx="1597025" cy="133985"/>
                        </a:xfrm>
                        <a:prstGeom prst="rect"/>
                        <a:noFill/>
                      </wps:spPr>
                      <wps:txbx>
                        <w:txbxContent>
                          <w:p>
                            <w:pPr>
                              <w:pStyle w:val="Style37"/>
                              <w:keepNext w:val="0"/>
                              <w:keepLines w:val="0"/>
                              <w:widowControl w:val="0"/>
                              <w:shd w:val="clear" w:color="auto" w:fill="auto"/>
                              <w:tabs>
                                <w:tab w:pos="1190" w:val="left"/>
                              </w:tabs>
                              <w:bidi w:val="0"/>
                              <w:spacing w:before="0" w:after="0" w:line="240" w:lineRule="auto"/>
                              <w:ind w:left="0" w:right="0" w:firstLine="0"/>
                              <w:jc w:val="left"/>
                            </w:pPr>
                            <w:r>
                              <w:rPr>
                                <w:spacing w:val="0"/>
                                <w:w w:val="100"/>
                                <w:position w:val="0"/>
                              </w:rPr>
                              <w:t>地磁检测器</w:t>
                              <w:tab/>
                            </w:r>
                            <w:r>
                              <w:rPr>
                                <w:rFonts w:ascii="Times New Roman" w:eastAsia="Times New Roman" w:hAnsi="Times New Roman" w:cs="Times New Roman"/>
                                <w:spacing w:val="0"/>
                                <w:w w:val="100"/>
                                <w:position w:val="0"/>
                                <w:sz w:val="13"/>
                                <w:szCs w:val="13"/>
                              </w:rPr>
                              <w:t>ETC</w:t>
                            </w:r>
                            <w:r>
                              <w:rPr>
                                <w:spacing w:val="0"/>
                                <w:w w:val="100"/>
                                <w:position w:val="0"/>
                              </w:rPr>
                              <w:t>视频一体收费桩</w:t>
                            </w:r>
                          </w:p>
                        </w:txbxContent>
                      </wps:txbx>
                      <wps:bodyPr lIns="0" tIns="0" rIns="0" bIns="0">
                        <a:noAutoFit/>
                      </wps:bodyPr>
                    </wps:wsp>
                  </a:graphicData>
                </a:graphic>
              </wp:anchor>
            </w:drawing>
          </mc:Choice>
          <mc:Fallback>
            <w:pict>
              <v:shape id="_x0000_s1032" type="#_x0000_t202" style="position:absolute;margin-left:271.64999999999998pt;margin-top:196.30000000000001pt;width:125.75pt;height:10.550000000000001pt;z-index:-125829373;mso-wrap-distance-left:107.75pt;mso-wrap-distance-right:67.450000000000003pt" filled="f" stroked="f">
                <v:textbox inset="0,0,0,0">
                  <w:txbxContent>
                    <w:p>
                      <w:pPr>
                        <w:pStyle w:val="Style37"/>
                        <w:keepNext w:val="0"/>
                        <w:keepLines w:val="0"/>
                        <w:widowControl w:val="0"/>
                        <w:shd w:val="clear" w:color="auto" w:fill="auto"/>
                        <w:tabs>
                          <w:tab w:pos="1190" w:val="left"/>
                        </w:tabs>
                        <w:bidi w:val="0"/>
                        <w:spacing w:before="0" w:after="0" w:line="240" w:lineRule="auto"/>
                        <w:ind w:left="0" w:right="0" w:firstLine="0"/>
                        <w:jc w:val="left"/>
                      </w:pPr>
                      <w:r>
                        <w:rPr>
                          <w:spacing w:val="0"/>
                          <w:w w:val="100"/>
                          <w:position w:val="0"/>
                        </w:rPr>
                        <w:t>地磁检测器</w:t>
                        <w:tab/>
                      </w:r>
                      <w:r>
                        <w:rPr>
                          <w:rFonts w:ascii="Times New Roman" w:eastAsia="Times New Roman" w:hAnsi="Times New Roman" w:cs="Times New Roman"/>
                          <w:spacing w:val="0"/>
                          <w:w w:val="100"/>
                          <w:position w:val="0"/>
                          <w:sz w:val="13"/>
                          <w:szCs w:val="13"/>
                        </w:rPr>
                        <w:t>ETC</w:t>
                      </w:r>
                      <w:r>
                        <w:rPr>
                          <w:spacing w:val="0"/>
                          <w:w w:val="100"/>
                          <w:position w:val="0"/>
                        </w:rPr>
                        <w:t>视频一体收费桩</w:t>
                      </w:r>
                    </w:p>
                  </w:txbxContent>
                </v:textbox>
                <w10:wrap type="topAndBottom"/>
              </v:shape>
            </w:pict>
          </mc:Fallback>
        </mc:AlternateContent>
      </w:r>
    </w:p>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图二：智慧城市业务核心产品和服务</w:t>
      </w:r>
    </w:p>
    <w:p>
      <w:pPr>
        <w:pStyle w:val="Style28"/>
        <w:keepNext w:val="0"/>
        <w:keepLines w:val="0"/>
        <w:widowControl w:val="0"/>
        <w:shd w:val="clear" w:color="auto" w:fill="auto"/>
        <w:bidi w:val="0"/>
        <w:spacing w:before="0" w:after="180" w:line="240" w:lineRule="auto"/>
        <w:ind w:left="0" w:right="0" w:firstLine="380"/>
        <w:jc w:val="both"/>
      </w:pPr>
      <w:bookmarkStart w:id="79" w:name="bookmark79"/>
      <w:r>
        <w:rPr>
          <w:rFonts w:ascii="Times New Roman" w:eastAsia="Times New Roman" w:hAnsi="Times New Roman" w:cs="Times New Roman"/>
          <w:b/>
          <w:bCs/>
          <w:color w:val="000000"/>
          <w:spacing w:val="0"/>
          <w:w w:val="100"/>
          <w:position w:val="0"/>
          <w:sz w:val="18"/>
          <w:szCs w:val="18"/>
        </w:rPr>
        <w:t>3</w:t>
      </w:r>
      <w:bookmarkEnd w:id="79"/>
      <w:r>
        <w:rPr>
          <w:b/>
          <w:bCs/>
          <w:color w:val="000000"/>
          <w:spacing w:val="0"/>
          <w:w w:val="100"/>
          <w:position w:val="0"/>
        </w:rPr>
        <w:t>、智慧网联业务相关核心产品</w:t>
      </w:r>
    </w:p>
    <w:p>
      <w:pPr>
        <w:pStyle w:val="Style28"/>
        <w:keepNext w:val="0"/>
        <w:keepLines w:val="0"/>
        <w:widowControl w:val="0"/>
        <w:shd w:val="clear" w:color="auto" w:fill="auto"/>
        <w:bidi w:val="0"/>
        <w:spacing w:before="0" w:after="180" w:line="240" w:lineRule="auto"/>
        <w:ind w:left="0" w:right="0" w:firstLine="380"/>
        <w:jc w:val="both"/>
      </w:pPr>
      <w:r>
        <w:rPr>
          <w:color w:val="000000"/>
          <w:spacing w:val="0"/>
          <w:w w:val="100"/>
          <w:position w:val="0"/>
        </w:rPr>
        <w:t>目前公司智慧网联业务主要是向客户提供对应的软、硬件系统解决方案和技术服务，主要设备有前装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车载单元、</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车载单元、</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路侧设备、高性能专用短程通信（</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）模块等，可为客户提供</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车载端解决方案、道路全息</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感知平台等全系统搭建服务</w:t>
      </w:r>
      <w:r>
        <w:rPr>
          <w:b/>
          <w:bCs/>
          <w:color w:val="000000"/>
          <w:spacing w:val="0"/>
          <w:w w:val="100"/>
          <w:position w:val="0"/>
        </w:rPr>
        <w:t>。</w:t>
      </w:r>
    </w:p>
    <w:p>
      <w:pPr>
        <w:framePr w:w="7742" w:h="1709" w:vSpace="336" w:wrap="notBeside" w:vAnchor="text" w:hAnchor="text" w:x="1016" w:y="1"/>
        <w:widowControl w:val="0"/>
        <w:rPr>
          <w:sz w:val="2"/>
          <w:szCs w:val="2"/>
        </w:rPr>
      </w:pPr>
      <w:r>
        <w:drawing>
          <wp:inline>
            <wp:extent cx="4919345" cy="108521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4919345" cy="1085215"/>
                    </a:xfrm>
                    <a:prstGeom prst="rect"/>
                  </pic:spPr>
                </pic:pic>
              </a:graphicData>
            </a:graphic>
          </wp:inline>
        </w:drawing>
      </w:r>
    </w:p>
    <w:p>
      <w:pPr>
        <w:widowControl w:val="0"/>
        <w:spacing w:line="1" w:lineRule="exact"/>
      </w:pPr>
      <w:r>
        <mc:AlternateContent>
          <mc:Choice Requires="wps">
            <w:drawing>
              <wp:anchor distT="0" distB="0" distL="644525" distR="4897120" simplePos="0" relativeHeight="125829382" behindDoc="0" locked="0" layoutInCell="1" allowOverlap="1">
                <wp:simplePos x="0" y="0"/>
                <wp:positionH relativeFrom="column">
                  <wp:posOffset>4634230</wp:posOffset>
                </wp:positionH>
                <wp:positionV relativeFrom="paragraph">
                  <wp:posOffset>917575</wp:posOffset>
                </wp:positionV>
                <wp:extent cx="664210" cy="128270"/>
                <wp:wrapTopAndBottom/>
                <wp:docPr id="9" name="Shape 9"/>
                <a:graphic xmlns:a="http://schemas.openxmlformats.org/drawingml/2006/main">
                  <a:graphicData uri="http://schemas.microsoft.com/office/word/2010/wordprocessingShape">
                    <wps:wsp>
                      <wps:cNvSpPr txBox="1"/>
                      <wps:spPr>
                        <a:xfrm>
                          <a:ext cx="664210" cy="1282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3"/>
                                <w:szCs w:val="13"/>
                              </w:rPr>
                              <w:t>C-V2X</w:t>
                            </w:r>
                            <w:r>
                              <w:rPr>
                                <w:spacing w:val="0"/>
                                <w:w w:val="100"/>
                                <w:position w:val="0"/>
                              </w:rPr>
                              <w:t>车载设备</w:t>
                            </w:r>
                          </w:p>
                        </w:txbxContent>
                      </wps:txbx>
                      <wps:bodyPr lIns="0" tIns="0" rIns="0" bIns="0">
                        <a:noAutoFit/>
                      </wps:bodyPr>
                    </wps:wsp>
                  </a:graphicData>
                </a:graphic>
              </wp:anchor>
            </w:drawing>
          </mc:Choice>
          <mc:Fallback>
            <w:pict>
              <v:shape id="_x0000_s1035" type="#_x0000_t202" style="position:absolute;margin-left:364.90000000000003pt;margin-top:72.25pt;width:52.300000000000004pt;height:10.1pt;z-index:-125829371;mso-wrap-distance-left:50.75pt;mso-wrap-distance-right:385.60000000000002pt"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3"/>
                          <w:szCs w:val="13"/>
                        </w:rPr>
                        <w:t>C-V2X</w:t>
                      </w:r>
                      <w:r>
                        <w:rPr>
                          <w:spacing w:val="0"/>
                          <w:w w:val="100"/>
                          <w:position w:val="0"/>
                        </w:rPr>
                        <w:t>车载设备</w:t>
                      </w:r>
                    </w:p>
                  </w:txbxContent>
                </v:textbox>
                <w10:wrap type="topAndBottom"/>
              </v:shape>
            </w:pict>
          </mc:Fallback>
        </mc:AlternateContent>
      </w:r>
      <w:r>
        <mc:AlternateContent>
          <mc:Choice Requires="wps">
            <w:drawing>
              <wp:anchor distT="0" distB="0" distL="644525" distR="4802505" simplePos="0" relativeHeight="125829384" behindDoc="0" locked="0" layoutInCell="1" allowOverlap="1">
                <wp:simplePos x="0" y="0"/>
                <wp:positionH relativeFrom="column">
                  <wp:posOffset>873125</wp:posOffset>
                </wp:positionH>
                <wp:positionV relativeFrom="paragraph">
                  <wp:posOffset>917575</wp:posOffset>
                </wp:positionV>
                <wp:extent cx="758825" cy="128270"/>
                <wp:wrapTopAndBottom/>
                <wp:docPr id="11" name="Shape 11"/>
                <a:graphic xmlns:a="http://schemas.openxmlformats.org/drawingml/2006/main">
                  <a:graphicData uri="http://schemas.microsoft.com/office/word/2010/wordprocessingShape">
                    <wps:wsp>
                      <wps:cNvSpPr txBox="1"/>
                      <wps:spPr>
                        <a:xfrm>
                          <a:ext cx="758825" cy="1282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4"/>
                                <w:szCs w:val="14"/>
                              </w:rPr>
                              <w:t>前装</w:t>
                            </w:r>
                            <w:r>
                              <w:rPr>
                                <w:rFonts w:ascii="Times New Roman" w:eastAsia="Times New Roman" w:hAnsi="Times New Roman" w:cs="Times New Roman"/>
                                <w:spacing w:val="0"/>
                                <w:w w:val="100"/>
                                <w:position w:val="0"/>
                                <w:sz w:val="13"/>
                                <w:szCs w:val="13"/>
                              </w:rPr>
                              <w:t>ETC</w:t>
                            </w:r>
                            <w:r>
                              <w:rPr>
                                <w:spacing w:val="0"/>
                                <w:w w:val="100"/>
                                <w:position w:val="0"/>
                                <w:sz w:val="14"/>
                                <w:szCs w:val="14"/>
                              </w:rPr>
                              <w:t>车载单元</w:t>
                            </w:r>
                            <w:r>
                              <w:rPr>
                                <w:rFonts w:ascii="Times New Roman" w:eastAsia="Times New Roman" w:hAnsi="Times New Roman" w:cs="Times New Roman"/>
                                <w:spacing w:val="0"/>
                                <w:w w:val="100"/>
                                <w:position w:val="0"/>
                                <w:sz w:val="13"/>
                                <w:szCs w:val="13"/>
                              </w:rPr>
                              <w:t>1</w:t>
                            </w:r>
                          </w:p>
                        </w:txbxContent>
                      </wps:txbx>
                      <wps:bodyPr lIns="0" tIns="0" rIns="0" bIns="0">
                        <a:noAutoFit/>
                      </wps:bodyPr>
                    </wps:wsp>
                  </a:graphicData>
                </a:graphic>
              </wp:anchor>
            </w:drawing>
          </mc:Choice>
          <mc:Fallback>
            <w:pict>
              <v:shape id="_x0000_s1037" type="#_x0000_t202" style="position:absolute;margin-left:68.75pt;margin-top:72.25pt;width:59.75pt;height:10.1pt;z-index:-125829369;mso-wrap-distance-left:50.75pt;mso-wrap-distance-right:378.15000000000003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4"/>
                          <w:szCs w:val="14"/>
                        </w:rPr>
                        <w:t>前装</w:t>
                      </w:r>
                      <w:r>
                        <w:rPr>
                          <w:rFonts w:ascii="Times New Roman" w:eastAsia="Times New Roman" w:hAnsi="Times New Roman" w:cs="Times New Roman"/>
                          <w:spacing w:val="0"/>
                          <w:w w:val="100"/>
                          <w:position w:val="0"/>
                          <w:sz w:val="13"/>
                          <w:szCs w:val="13"/>
                        </w:rPr>
                        <w:t>ETC</w:t>
                      </w:r>
                      <w:r>
                        <w:rPr>
                          <w:spacing w:val="0"/>
                          <w:w w:val="100"/>
                          <w:position w:val="0"/>
                          <w:sz w:val="14"/>
                          <w:szCs w:val="14"/>
                        </w:rPr>
                        <w:t>车载单元</w:t>
                      </w:r>
                      <w:r>
                        <w:rPr>
                          <w:rFonts w:ascii="Times New Roman" w:eastAsia="Times New Roman" w:hAnsi="Times New Roman" w:cs="Times New Roman"/>
                          <w:spacing w:val="0"/>
                          <w:w w:val="100"/>
                          <w:position w:val="0"/>
                          <w:sz w:val="13"/>
                          <w:szCs w:val="13"/>
                        </w:rPr>
                        <w:t>1</w:t>
                      </w:r>
                    </w:p>
                  </w:txbxContent>
                </v:textbox>
                <w10:wrap type="topAndBottom"/>
              </v:shape>
            </w:pict>
          </mc:Fallback>
        </mc:AlternateContent>
      </w:r>
      <w:r>
        <mc:AlternateContent>
          <mc:Choice Requires="wps">
            <w:drawing>
              <wp:anchor distT="0" distB="0" distL="644525" distR="4799330" simplePos="0" relativeHeight="125829386" behindDoc="0" locked="0" layoutInCell="1" allowOverlap="1">
                <wp:simplePos x="0" y="0"/>
                <wp:positionH relativeFrom="column">
                  <wp:posOffset>2174875</wp:posOffset>
                </wp:positionH>
                <wp:positionV relativeFrom="paragraph">
                  <wp:posOffset>917575</wp:posOffset>
                </wp:positionV>
                <wp:extent cx="762000" cy="128270"/>
                <wp:wrapTopAndBottom/>
                <wp:docPr id="13" name="Shape 13"/>
                <a:graphic xmlns:a="http://schemas.openxmlformats.org/drawingml/2006/main">
                  <a:graphicData uri="http://schemas.microsoft.com/office/word/2010/wordprocessingShape">
                    <wps:wsp>
                      <wps:cNvSpPr txBox="1"/>
                      <wps:spPr>
                        <a:xfrm>
                          <a:ext cx="762000" cy="1282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4"/>
                                <w:szCs w:val="14"/>
                              </w:rPr>
                              <w:t>前装</w:t>
                            </w:r>
                            <w:r>
                              <w:rPr>
                                <w:rFonts w:ascii="Times New Roman" w:eastAsia="Times New Roman" w:hAnsi="Times New Roman" w:cs="Times New Roman"/>
                                <w:spacing w:val="0"/>
                                <w:w w:val="100"/>
                                <w:position w:val="0"/>
                                <w:sz w:val="13"/>
                                <w:szCs w:val="13"/>
                              </w:rPr>
                              <w:t>ETC</w:t>
                            </w:r>
                            <w:r>
                              <w:rPr>
                                <w:spacing w:val="0"/>
                                <w:w w:val="100"/>
                                <w:position w:val="0"/>
                                <w:sz w:val="14"/>
                                <w:szCs w:val="14"/>
                              </w:rPr>
                              <w:t>车载单元</w:t>
                            </w:r>
                            <w:r>
                              <w:rPr>
                                <w:rFonts w:ascii="Times New Roman" w:eastAsia="Times New Roman" w:hAnsi="Times New Roman" w:cs="Times New Roman"/>
                                <w:spacing w:val="0"/>
                                <w:w w:val="100"/>
                                <w:position w:val="0"/>
                                <w:sz w:val="13"/>
                                <w:szCs w:val="13"/>
                              </w:rPr>
                              <w:t>2</w:t>
                            </w:r>
                          </w:p>
                        </w:txbxContent>
                      </wps:txbx>
                      <wps:bodyPr lIns="0" tIns="0" rIns="0" bIns="0">
                        <a:noAutoFit/>
                      </wps:bodyPr>
                    </wps:wsp>
                  </a:graphicData>
                </a:graphic>
              </wp:anchor>
            </w:drawing>
          </mc:Choice>
          <mc:Fallback>
            <w:pict>
              <v:shape id="_x0000_s1039" type="#_x0000_t202" style="position:absolute;margin-left:171.25pt;margin-top:72.25pt;width:60.pt;height:10.1pt;z-index:-125829367;mso-wrap-distance-left:50.75pt;mso-wrap-distance-right:377.90000000000003pt"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4"/>
                          <w:szCs w:val="14"/>
                        </w:rPr>
                        <w:t>前装</w:t>
                      </w:r>
                      <w:r>
                        <w:rPr>
                          <w:rFonts w:ascii="Times New Roman" w:eastAsia="Times New Roman" w:hAnsi="Times New Roman" w:cs="Times New Roman"/>
                          <w:spacing w:val="0"/>
                          <w:w w:val="100"/>
                          <w:position w:val="0"/>
                          <w:sz w:val="13"/>
                          <w:szCs w:val="13"/>
                        </w:rPr>
                        <w:t>ETC</w:t>
                      </w:r>
                      <w:r>
                        <w:rPr>
                          <w:spacing w:val="0"/>
                          <w:w w:val="100"/>
                          <w:position w:val="0"/>
                          <w:sz w:val="14"/>
                          <w:szCs w:val="14"/>
                        </w:rPr>
                        <w:t>车载单元</w:t>
                      </w:r>
                      <w:r>
                        <w:rPr>
                          <w:rFonts w:ascii="Times New Roman" w:eastAsia="Times New Roman" w:hAnsi="Times New Roman" w:cs="Times New Roman"/>
                          <w:spacing w:val="0"/>
                          <w:w w:val="100"/>
                          <w:position w:val="0"/>
                          <w:sz w:val="13"/>
                          <w:szCs w:val="13"/>
                        </w:rPr>
                        <w:t>2</w:t>
                      </w:r>
                    </w:p>
                  </w:txbxContent>
                </v:textbox>
                <w10:wrap type="topAndBottom"/>
              </v:shape>
            </w:pict>
          </mc:Fallback>
        </mc:AlternateContent>
      </w:r>
      <w:r>
        <mc:AlternateContent>
          <mc:Choice Requires="wps">
            <w:drawing>
              <wp:anchor distT="0" distB="0" distL="644525" distR="4897120" simplePos="0" relativeHeight="125829388" behindDoc="0" locked="0" layoutInCell="1" allowOverlap="1">
                <wp:simplePos x="0" y="0"/>
                <wp:positionH relativeFrom="column">
                  <wp:posOffset>3436620</wp:posOffset>
                </wp:positionH>
                <wp:positionV relativeFrom="paragraph">
                  <wp:posOffset>920750</wp:posOffset>
                </wp:positionV>
                <wp:extent cx="664210" cy="125095"/>
                <wp:wrapTopAndBottom/>
                <wp:docPr id="15" name="Shape 15"/>
                <a:graphic xmlns:a="http://schemas.openxmlformats.org/drawingml/2006/main">
                  <a:graphicData uri="http://schemas.microsoft.com/office/word/2010/wordprocessingShape">
                    <wps:wsp>
                      <wps:cNvSpPr txBox="1"/>
                      <wps:spPr>
                        <a:xfrm>
                          <a:ext cx="664210" cy="12509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3"/>
                                <w:szCs w:val="13"/>
                              </w:rPr>
                              <w:t>C-V2X</w:t>
                            </w:r>
                            <w:r>
                              <w:rPr>
                                <w:spacing w:val="0"/>
                                <w:w w:val="100"/>
                                <w:position w:val="0"/>
                              </w:rPr>
                              <w:t>路侧设备</w:t>
                            </w:r>
                          </w:p>
                        </w:txbxContent>
                      </wps:txbx>
                      <wps:bodyPr lIns="0" tIns="0" rIns="0" bIns="0">
                        <a:noAutoFit/>
                      </wps:bodyPr>
                    </wps:wsp>
                  </a:graphicData>
                </a:graphic>
              </wp:anchor>
            </w:drawing>
          </mc:Choice>
          <mc:Fallback>
            <w:pict>
              <v:shape id="_x0000_s1041" type="#_x0000_t202" style="position:absolute;margin-left:270.60000000000002pt;margin-top:72.5pt;width:52.300000000000004pt;height:9.8499999999999996pt;z-index:-125829365;mso-wrap-distance-left:50.75pt;mso-wrap-distance-right:385.60000000000002pt"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3"/>
                          <w:szCs w:val="13"/>
                        </w:rPr>
                        <w:t>C-V2X</w:t>
                      </w:r>
                      <w:r>
                        <w:rPr>
                          <w:spacing w:val="0"/>
                          <w:w w:val="100"/>
                          <w:position w:val="0"/>
                        </w:rPr>
                        <w:t>路侧设备</w:t>
                      </w:r>
                    </w:p>
                  </w:txbxContent>
                </v:textbox>
                <w10:wrap type="topAndBottom"/>
              </v:shape>
            </w:pict>
          </mc:Fallback>
        </mc:AlternateContent>
      </w:r>
      <w:r>
        <mc:AlternateContent>
          <mc:Choice Requires="wps">
            <w:drawing>
              <wp:anchor distT="0" distB="0" distL="644525" distR="4302760" simplePos="0" relativeHeight="125829390" behindDoc="0" locked="0" layoutInCell="1" allowOverlap="1">
                <wp:simplePos x="0" y="0"/>
                <wp:positionH relativeFrom="column">
                  <wp:posOffset>2543175</wp:posOffset>
                </wp:positionH>
                <wp:positionV relativeFrom="paragraph">
                  <wp:posOffset>1170305</wp:posOffset>
                </wp:positionV>
                <wp:extent cx="1258570" cy="128270"/>
                <wp:wrapTopAndBottom/>
                <wp:docPr id="17" name="Shape 17"/>
                <a:graphic xmlns:a="http://schemas.openxmlformats.org/drawingml/2006/main">
                  <a:graphicData uri="http://schemas.microsoft.com/office/word/2010/wordprocessingShape">
                    <wps:wsp>
                      <wps:cNvSpPr txBox="1"/>
                      <wps:spPr>
                        <a:xfrm>
                          <a:ext cx="1258570" cy="1282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图三：智慧网联业务核心产品</w:t>
                            </w:r>
                          </w:p>
                        </w:txbxContent>
                      </wps:txbx>
                      <wps:bodyPr lIns="0" tIns="0" rIns="0" bIns="0">
                        <a:noAutoFit/>
                      </wps:bodyPr>
                    </wps:wsp>
                  </a:graphicData>
                </a:graphic>
              </wp:anchor>
            </w:drawing>
          </mc:Choice>
          <mc:Fallback>
            <w:pict>
              <v:shape id="_x0000_s1043" type="#_x0000_t202" style="position:absolute;margin-left:200.25pt;margin-top:92.150000000000006pt;width:99.100000000000009pt;height:10.1pt;z-index:-125829363;mso-wrap-distance-left:50.75pt;mso-wrap-distance-right:338.80000000000001pt"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图三：智慧网联业务核心产品</w:t>
                      </w:r>
                    </w:p>
                  </w:txbxContent>
                </v:textbox>
                <w10:wrap type="topAndBottom"/>
              </v:shape>
            </w:pict>
          </mc:Fallback>
        </mc:AlternateContent>
      </w:r>
    </w:p>
    <w:p>
      <w:pPr>
        <w:pStyle w:val="Style28"/>
        <w:keepNext w:val="0"/>
        <w:keepLines w:val="0"/>
        <w:widowControl w:val="0"/>
        <w:shd w:val="clear" w:color="auto" w:fill="auto"/>
        <w:bidi w:val="0"/>
        <w:spacing w:before="0" w:after="180" w:line="240" w:lineRule="auto"/>
        <w:ind w:left="0" w:right="0" w:firstLine="380"/>
        <w:jc w:val="both"/>
      </w:pPr>
      <w:bookmarkStart w:id="80" w:name="bookmark80"/>
      <w:r>
        <w:rPr>
          <w:b/>
          <w:bCs/>
          <w:color w:val="000000"/>
          <w:spacing w:val="0"/>
          <w:w w:val="100"/>
          <w:position w:val="0"/>
        </w:rPr>
        <w:t>（</w:t>
      </w:r>
      <w:bookmarkEnd w:id="80"/>
      <w:r>
        <w:rPr>
          <w:b/>
          <w:bCs/>
          <w:color w:val="000000"/>
          <w:spacing w:val="0"/>
          <w:w w:val="100"/>
          <w:position w:val="0"/>
        </w:rPr>
        <w:t>三）经营模式</w:t>
      </w:r>
    </w:p>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公司始终立足自主研发，相关产品拥有自主知识产权。公司具备相关产品生产、销售与服务所需的各项资质，并已通过 </w:t>
      </w:r>
      <w:r>
        <w:rPr>
          <w:color w:val="000000"/>
          <w:spacing w:val="0"/>
          <w:w w:val="100"/>
          <w:position w:val="0"/>
        </w:rPr>
        <w:t>多项管理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质量体系认证。公司通过不断提升产品性能，严格管控产品质量，努力提升服务水平，从而获得市场的高度认可。</w:t>
      </w:r>
    </w:p>
    <w:p>
      <w:pPr>
        <w:pStyle w:val="Style28"/>
        <w:keepNext w:val="0"/>
        <w:keepLines w:val="0"/>
        <w:widowControl w:val="0"/>
        <w:shd w:val="clear" w:color="auto" w:fill="auto"/>
        <w:tabs>
          <w:tab w:pos="721" w:val="left"/>
        </w:tabs>
        <w:bidi w:val="0"/>
        <w:spacing w:before="0" w:after="0" w:line="390" w:lineRule="exact"/>
        <w:ind w:left="0" w:right="0" w:firstLine="380"/>
        <w:jc w:val="both"/>
      </w:pPr>
      <w:bookmarkStart w:id="81" w:name="bookmark81"/>
      <w:r>
        <w:rPr>
          <w:rFonts w:ascii="Times New Roman" w:eastAsia="Times New Roman" w:hAnsi="Times New Roman" w:cs="Times New Roman"/>
          <w:b/>
          <w:bCs/>
          <w:color w:val="000000"/>
          <w:spacing w:val="0"/>
          <w:w w:val="100"/>
          <w:position w:val="0"/>
          <w:sz w:val="18"/>
          <w:szCs w:val="18"/>
        </w:rPr>
        <w:t>1</w:t>
      </w:r>
      <w:bookmarkEnd w:id="81"/>
      <w:r>
        <w:rPr>
          <w:b/>
          <w:bCs/>
          <w:color w:val="000000"/>
          <w:spacing w:val="0"/>
          <w:w w:val="100"/>
          <w:position w:val="0"/>
        </w:rPr>
        <w:t>、</w:t>
        <w:tab/>
        <w:t>销售模式</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公司主要以提供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的方式获取收入及利润，主要销售的产品是智慧交通的路侧设备和车载设备，以及设备配 套的软件和系统，并向客户提供产品安装调试、用户培训、售后维保等服务。公司的销售模式主要为直接销售和通过参与招 投标方式销售，公司建立了可基本覆盖全国的售后服务网络，为客户提供优质的产品与的服务。报告期内，公司的主要客户 包括高速公路运营商、系统集成商、银行，以及移动通信运营商、物业运营商、汽车厂商等。</w:t>
      </w:r>
    </w:p>
    <w:p>
      <w:pPr>
        <w:pStyle w:val="Style28"/>
        <w:keepNext w:val="0"/>
        <w:keepLines w:val="0"/>
        <w:widowControl w:val="0"/>
        <w:shd w:val="clear" w:color="auto" w:fill="auto"/>
        <w:tabs>
          <w:tab w:pos="735" w:val="left"/>
        </w:tabs>
        <w:bidi w:val="0"/>
        <w:spacing w:before="0" w:after="0" w:line="390" w:lineRule="exact"/>
        <w:ind w:left="0" w:right="0" w:firstLine="380"/>
        <w:jc w:val="both"/>
      </w:pPr>
      <w:bookmarkStart w:id="82" w:name="bookmark82"/>
      <w:r>
        <w:rPr>
          <w:rFonts w:ascii="Times New Roman" w:eastAsia="Times New Roman" w:hAnsi="Times New Roman" w:cs="Times New Roman"/>
          <w:b/>
          <w:bCs/>
          <w:color w:val="000000"/>
          <w:spacing w:val="0"/>
          <w:w w:val="100"/>
          <w:position w:val="0"/>
          <w:sz w:val="18"/>
          <w:szCs w:val="18"/>
        </w:rPr>
        <w:t>2</w:t>
      </w:r>
      <w:bookmarkEnd w:id="82"/>
      <w:r>
        <w:rPr>
          <w:b/>
          <w:bCs/>
          <w:color w:val="000000"/>
          <w:spacing w:val="0"/>
          <w:w w:val="100"/>
          <w:position w:val="0"/>
        </w:rPr>
        <w:t>、</w:t>
        <w:tab/>
        <w:t>采购模式</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公司结合客户订单、市场需求预测等综合因素制订相应的采购计划，采购部门根据需求寻找合适的供应商，供应商按照 公司订单要求进行货物交付。公司采购的物料主要有</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板</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Printed Circuit Board</w:t>
      </w:r>
      <w:r>
        <w:rPr>
          <w:color w:val="000000"/>
          <w:spacing w:val="0"/>
          <w:w w:val="100"/>
          <w:position w:val="0"/>
        </w:rPr>
        <w:t>，印制电路板，是重要的电子部件，电 子元器件的支撑体，电子元器件电气连接的载体）、电子元器件、电池、连接器件、五金结构件以及包装件等。每项物料均 需进行严格的验证和导入流程，包括样品确认、小批量试产等相关流程确认后方可进行批量采购，以确保采购物料品质及性 能稳定性。</w:t>
      </w:r>
    </w:p>
    <w:p>
      <w:pPr>
        <w:pStyle w:val="Style28"/>
        <w:keepNext w:val="0"/>
        <w:keepLines w:val="0"/>
        <w:widowControl w:val="0"/>
        <w:shd w:val="clear" w:color="auto" w:fill="auto"/>
        <w:tabs>
          <w:tab w:pos="735" w:val="left"/>
        </w:tabs>
        <w:bidi w:val="0"/>
        <w:spacing w:before="0" w:after="0" w:line="390" w:lineRule="exact"/>
        <w:ind w:left="0" w:right="0" w:firstLine="380"/>
        <w:jc w:val="both"/>
      </w:pPr>
      <w:bookmarkStart w:id="83" w:name="bookmark83"/>
      <w:r>
        <w:rPr>
          <w:rFonts w:ascii="Times New Roman" w:eastAsia="Times New Roman" w:hAnsi="Times New Roman" w:cs="Times New Roman"/>
          <w:b/>
          <w:bCs/>
          <w:color w:val="000000"/>
          <w:spacing w:val="0"/>
          <w:w w:val="100"/>
          <w:position w:val="0"/>
          <w:sz w:val="18"/>
          <w:szCs w:val="18"/>
        </w:rPr>
        <w:t>3</w:t>
      </w:r>
      <w:bookmarkEnd w:id="83"/>
      <w:r>
        <w:rPr>
          <w:b/>
          <w:bCs/>
          <w:color w:val="000000"/>
          <w:spacing w:val="0"/>
          <w:w w:val="100"/>
          <w:position w:val="0"/>
        </w:rPr>
        <w:t>、</w:t>
        <w:tab/>
        <w:t>生产模式</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公司主要采用自主研发、设计，自行生产的模式。报告期内，公司针对各类产品不同特点，推行备货生产和备料生产两 种方式以对应市场需求。例如，对于路侧单元（</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color w:val="000000"/>
          <w:spacing w:val="0"/>
          <w:w w:val="100"/>
          <w:position w:val="0"/>
        </w:rPr>
        <w:t>产品等生产周期较长、设计稳定变化少的产品，采用备货方式生产； 对于生产周期较短的产品，则采用备料方式生产。公司配置了先进的生产设备，对于生产中的异常情况可予以及时纠正；公 司组装线通过自动测试设备形成数据库，使产品产能管理成为可能，确保产品出货品质。</w:t>
      </w:r>
    </w:p>
    <w:p>
      <w:pPr>
        <w:pStyle w:val="Style28"/>
        <w:keepNext w:val="0"/>
        <w:keepLines w:val="0"/>
        <w:widowControl w:val="0"/>
        <w:shd w:val="clear" w:color="auto" w:fill="auto"/>
        <w:bidi w:val="0"/>
        <w:spacing w:before="0" w:after="0" w:line="390" w:lineRule="exact"/>
        <w:ind w:left="0" w:right="0" w:firstLine="380"/>
        <w:jc w:val="both"/>
      </w:pPr>
      <w:bookmarkStart w:id="84" w:name="bookmark84"/>
      <w:r>
        <w:rPr>
          <w:b/>
          <w:bCs/>
          <w:color w:val="000000"/>
          <w:spacing w:val="0"/>
          <w:w w:val="100"/>
          <w:position w:val="0"/>
        </w:rPr>
        <w:t>（</w:t>
      </w:r>
      <w:bookmarkEnd w:id="84"/>
      <w:r>
        <w:rPr>
          <w:b/>
          <w:bCs/>
          <w:color w:val="000000"/>
          <w:spacing w:val="0"/>
          <w:w w:val="100"/>
          <w:position w:val="0"/>
        </w:rPr>
        <w:t>四）主要业绩变动因素</w:t>
      </w:r>
    </w:p>
    <w:p>
      <w:pPr>
        <w:pStyle w:val="Style28"/>
        <w:keepNext w:val="0"/>
        <w:keepLines w:val="0"/>
        <w:widowControl w:val="0"/>
        <w:shd w:val="clear" w:color="auto" w:fill="auto"/>
        <w:bidi w:val="0"/>
        <w:spacing w:before="0" w:after="400" w:line="390"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行业发展逐渐进入常态，用户需求主要来源于新增汽车初装和老旧设备更换。受行业需求短期 下滑、疫情反复等外部不利因素影响，市场需求释放有所滞后。报告期内，公司实现营业收入</w:t>
      </w:r>
      <w:r>
        <w:rPr>
          <w:rFonts w:ascii="Times New Roman" w:eastAsia="Times New Roman" w:hAnsi="Times New Roman" w:cs="Times New Roman"/>
          <w:color w:val="000000"/>
          <w:spacing w:val="0"/>
          <w:w w:val="100"/>
          <w:position w:val="0"/>
          <w:sz w:val="18"/>
          <w:szCs w:val="18"/>
        </w:rPr>
        <w:t>30,155.5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万元，较上年同期下 降</w:t>
      </w:r>
      <w:r>
        <w:rPr>
          <w:rFonts w:ascii="Times New Roman" w:eastAsia="Times New Roman" w:hAnsi="Times New Roman" w:cs="Times New Roman"/>
          <w:color w:val="000000"/>
          <w:spacing w:val="0"/>
          <w:w w:val="100"/>
          <w:position w:val="0"/>
          <w:sz w:val="18"/>
          <w:szCs w:val="18"/>
        </w:rPr>
        <w:t>80.71%</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-19,273.24</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130.56%</w:t>
      </w:r>
      <w:r>
        <w:rPr>
          <w:color w:val="000000"/>
          <w:spacing w:val="0"/>
          <w:w w:val="100"/>
          <w:position w:val="0"/>
        </w:rPr>
        <w:t>。</w:t>
      </w:r>
    </w:p>
    <w:p>
      <w:pPr>
        <w:pStyle w:val="Style24"/>
        <w:keepNext/>
        <w:keepLines/>
        <w:widowControl w:val="0"/>
        <w:shd w:val="clear" w:color="auto" w:fill="auto"/>
        <w:bidi w:val="0"/>
        <w:spacing w:before="0" w:after="40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28"/>
        <w:keepNext w:val="0"/>
        <w:keepLines w:val="0"/>
        <w:widowControl w:val="0"/>
        <w:shd w:val="clear" w:color="auto" w:fill="auto"/>
        <w:bidi w:val="0"/>
        <w:spacing w:before="0" w:after="180" w:line="240" w:lineRule="auto"/>
        <w:ind w:left="0" w:right="0" w:firstLine="380"/>
        <w:jc w:val="both"/>
      </w:pPr>
      <w:bookmarkStart w:id="89" w:name="bookmark89"/>
      <w:r>
        <w:rPr>
          <w:b/>
          <w:bCs/>
          <w:color w:val="000000"/>
          <w:spacing w:val="0"/>
          <w:w w:val="100"/>
          <w:position w:val="0"/>
        </w:rPr>
        <w:t>（</w:t>
      </w:r>
      <w:bookmarkEnd w:id="89"/>
      <w:r>
        <w:rPr>
          <w:b/>
          <w:bCs/>
          <w:color w:val="000000"/>
          <w:spacing w:val="0"/>
          <w:w w:val="100"/>
          <w:position w:val="0"/>
        </w:rPr>
        <w:t>一）技术创新优势</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公司高度重视技术创新，持续推进研发投入，凭借良好的自主创新能力和研发实力，公司参与主导</w:t>
      </w:r>
      <w:r>
        <w:rPr>
          <w:rFonts w:ascii="Times New Roman" w:eastAsia="Times New Roman" w:hAnsi="Times New Roman" w:cs="Times New Roman"/>
          <w:color w:val="000000"/>
          <w:spacing w:val="0"/>
          <w:w w:val="100"/>
          <w:position w:val="0"/>
          <w:sz w:val="18"/>
          <w:szCs w:val="18"/>
        </w:rPr>
        <w:t>ETC-X</w:t>
      </w:r>
      <w:r>
        <w:rPr>
          <w:color w:val="000000"/>
          <w:spacing w:val="0"/>
          <w:w w:val="100"/>
          <w:position w:val="0"/>
        </w:rPr>
        <w:t>团体系列标准 制定，参与主编</w:t>
      </w:r>
      <w:r>
        <w:rPr>
          <w:rFonts w:ascii="Times New Roman" w:eastAsia="Times New Roman" w:hAnsi="Times New Roman" w:cs="Times New Roman"/>
          <w:color w:val="000000"/>
          <w:spacing w:val="0"/>
          <w:w w:val="100"/>
          <w:position w:val="0"/>
          <w:sz w:val="18"/>
          <w:szCs w:val="18"/>
        </w:rPr>
        <w:t>ETC-X</w:t>
      </w:r>
      <w:r>
        <w:rPr>
          <w:color w:val="000000"/>
          <w:spacing w:val="0"/>
          <w:w w:val="100"/>
          <w:position w:val="0"/>
        </w:rPr>
        <w:t>行业标准《公路电子不停车收费车路协同拓展服务技术规范》等，并不断推出创新产品。公司作为国 家级高新技术企业，具备较强的技术研发实力，近年来每年研发投入都保持在较高水平，截至本报告期末，公司拥有</w:t>
      </w:r>
      <w:r>
        <w:rPr>
          <w:rFonts w:ascii="Times New Roman" w:eastAsia="Times New Roman" w:hAnsi="Times New Roman" w:cs="Times New Roman"/>
          <w:color w:val="000000"/>
          <w:spacing w:val="0"/>
          <w:w w:val="100"/>
          <w:position w:val="0"/>
          <w:sz w:val="18"/>
          <w:szCs w:val="18"/>
        </w:rPr>
        <w:t>449</w:t>
      </w:r>
      <w:r>
        <w:rPr>
          <w:color w:val="000000"/>
          <w:spacing w:val="0"/>
          <w:w w:val="100"/>
          <w:position w:val="0"/>
        </w:rPr>
        <w:t>项 自主知识产权，其中发明专利</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年公司新增专利权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项。公司拥有射频、微波、天线、数字电路、嵌入式系统和 软件等多个专业领域的技术人才，掌握了从基础芯片到终端产品的关键技术。</w:t>
      </w:r>
    </w:p>
    <w:p>
      <w:pPr>
        <w:pStyle w:val="Style28"/>
        <w:keepNext w:val="0"/>
        <w:keepLines w:val="0"/>
        <w:widowControl w:val="0"/>
        <w:shd w:val="clear" w:color="auto" w:fill="auto"/>
        <w:tabs>
          <w:tab w:pos="861" w:val="left"/>
        </w:tabs>
        <w:bidi w:val="0"/>
        <w:spacing w:before="0" w:after="0" w:line="391" w:lineRule="exact"/>
        <w:ind w:left="0" w:right="0" w:firstLine="380"/>
        <w:jc w:val="both"/>
      </w:pPr>
      <w:bookmarkStart w:id="90" w:name="bookmark90"/>
      <w:r>
        <w:rPr>
          <w:b/>
          <w:bCs/>
          <w:color w:val="000000"/>
          <w:spacing w:val="0"/>
          <w:w w:val="100"/>
          <w:position w:val="0"/>
        </w:rPr>
        <w:t>（</w:t>
      </w:r>
      <w:bookmarkEnd w:id="90"/>
      <w:r>
        <w:rPr>
          <w:b/>
          <w:bCs/>
          <w:color w:val="000000"/>
          <w:spacing w:val="0"/>
          <w:w w:val="100"/>
          <w:position w:val="0"/>
        </w:rPr>
        <w:t>二）</w:t>
        <w:tab/>
        <w:t>先进的产品制造优势</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公司拥有专业的产品制造生产基地，配备多条</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w:t>
      </w:r>
      <w:r>
        <w:rPr>
          <w:color w:val="000000"/>
          <w:spacing w:val="0"/>
          <w:w w:val="100"/>
          <w:position w:val="0"/>
        </w:rPr>
        <w:t>表面贴装技术）生产线和装配生产线，具有强大的批量生产能力。 公司拥有行业领先的生产装备和生产技术，自主设计并研发了</w:t>
      </w:r>
      <w:r>
        <w:rPr>
          <w:rFonts w:ascii="Times New Roman" w:eastAsia="Times New Roman" w:hAnsi="Times New Roman" w:cs="Times New Roman"/>
          <w:color w:val="000000"/>
          <w:spacing w:val="0"/>
          <w:w w:val="100"/>
          <w:position w:val="0"/>
          <w:sz w:val="18"/>
          <w:szCs w:val="18"/>
        </w:rPr>
        <w:t>TIA</w:t>
      </w:r>
      <w:r>
        <w:rPr>
          <w:color w:val="000000"/>
          <w:spacing w:val="0"/>
          <w:w w:val="100"/>
          <w:position w:val="0"/>
        </w:rPr>
        <w:t>全面集成的自动化装配生产线，实现了</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从贴片到组装 全过程自动化生产，自动化生产线的建设在提升生产效率的同时，也为公司产品质量提供了强有力的保障。</w:t>
      </w:r>
    </w:p>
    <w:p>
      <w:pPr>
        <w:pStyle w:val="Style28"/>
        <w:keepNext w:val="0"/>
        <w:keepLines w:val="0"/>
        <w:widowControl w:val="0"/>
        <w:shd w:val="clear" w:color="auto" w:fill="auto"/>
        <w:tabs>
          <w:tab w:pos="861" w:val="left"/>
        </w:tabs>
        <w:bidi w:val="0"/>
        <w:spacing w:before="0" w:after="0" w:line="391" w:lineRule="exact"/>
        <w:ind w:left="0" w:right="0" w:firstLine="380"/>
        <w:jc w:val="both"/>
      </w:pPr>
      <w:bookmarkStart w:id="91" w:name="bookmark91"/>
      <w:r>
        <w:rPr>
          <w:b/>
          <w:bCs/>
          <w:color w:val="000000"/>
          <w:spacing w:val="0"/>
          <w:w w:val="100"/>
          <w:position w:val="0"/>
        </w:rPr>
        <w:t>（</w:t>
      </w:r>
      <w:bookmarkEnd w:id="91"/>
      <w:r>
        <w:rPr>
          <w:b/>
          <w:bCs/>
          <w:color w:val="000000"/>
          <w:spacing w:val="0"/>
          <w:w w:val="100"/>
          <w:position w:val="0"/>
        </w:rPr>
        <w:t>三）</w:t>
        <w:tab/>
        <w:t>完善的质量控制体系</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为确保产品质量，公司投建了研发自动化测试平台，设立了多个研发实验室，并通过了</w:t>
      </w:r>
      <w:r>
        <w:rPr>
          <w:rFonts w:ascii="Times New Roman" w:eastAsia="Times New Roman" w:hAnsi="Times New Roman" w:cs="Times New Roman"/>
          <w:color w:val="000000"/>
          <w:spacing w:val="0"/>
          <w:w w:val="100"/>
          <w:position w:val="0"/>
          <w:sz w:val="18"/>
          <w:szCs w:val="18"/>
        </w:rPr>
        <w:t xml:space="preserve">CNAS </w:t>
      </w:r>
      <w:r>
        <w:rPr>
          <w:color w:val="000000"/>
          <w:spacing w:val="0"/>
          <w:w w:val="100"/>
          <w:position w:val="0"/>
        </w:rPr>
        <w:t>（中国合格评定国家认可 委员会）的实验室认证，可完成机械可靠性、模拟应用环境、电磁兼容可靠性、环境可靠性、射频电路、跑车交易等多项工 艺测试。公司先后通过</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ISO45001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IATF </w:t>
      </w:r>
      <w:r>
        <w:rPr>
          <w:rFonts w:ascii="Times New Roman" w:eastAsia="Times New Roman" w:hAnsi="Times New Roman" w:cs="Times New Roman"/>
          <w:color w:val="000000"/>
          <w:spacing w:val="0"/>
          <w:w w:val="100"/>
          <w:position w:val="0"/>
          <w:sz w:val="18"/>
          <w:szCs w:val="18"/>
        </w:rPr>
        <w:t>16949</w:t>
      </w:r>
      <w:r>
        <w:rPr>
          <w:color w:val="000000"/>
          <w:spacing w:val="0"/>
          <w:w w:val="100"/>
          <w:position w:val="0"/>
        </w:rPr>
        <w:t>等管理体系认证。公司严格实施标准化、专 业化管理，将质量管控贯穿于各项工作的全过程，全力打造让客户放心的高品质产品、令客户满意的高品质服务。</w:t>
      </w:r>
    </w:p>
    <w:p>
      <w:pPr>
        <w:pStyle w:val="Style28"/>
        <w:keepNext w:val="0"/>
        <w:keepLines w:val="0"/>
        <w:widowControl w:val="0"/>
        <w:shd w:val="clear" w:color="auto" w:fill="auto"/>
        <w:tabs>
          <w:tab w:pos="861" w:val="left"/>
        </w:tabs>
        <w:bidi w:val="0"/>
        <w:spacing w:before="0" w:after="0" w:line="391" w:lineRule="exact"/>
        <w:ind w:left="0" w:right="0" w:firstLine="380"/>
        <w:jc w:val="both"/>
      </w:pPr>
      <w:bookmarkStart w:id="92" w:name="bookmark92"/>
      <w:r>
        <w:rPr>
          <w:b/>
          <w:bCs/>
          <w:color w:val="000000"/>
          <w:spacing w:val="0"/>
          <w:w w:val="100"/>
          <w:position w:val="0"/>
        </w:rPr>
        <w:t>（</w:t>
      </w:r>
      <w:bookmarkEnd w:id="92"/>
      <w:r>
        <w:rPr>
          <w:b/>
          <w:bCs/>
          <w:color w:val="000000"/>
          <w:spacing w:val="0"/>
          <w:w w:val="100"/>
          <w:position w:val="0"/>
        </w:rPr>
        <w:t>四）</w:t>
        <w:tab/>
        <w:t>全方位的产学研合作优势</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公司与清华大学、同济大学、北京航空航天大学、中山大学、电子科技大学、华中师范大学、华南理工大学、北京邮电 大学、清华大学深圳国际研究生院、长安大学、南京大学、交通部公路科学研究院等著名高等院校和科研机构建立了良好的 互信合作关系，在前沿探索、科技攻关、产品研究、工程试验和应用示范等方面开展了广泛的产学研合作。公司通过与上述 院校机构的强强联合，形成优势互补、相互促进和共同发展的良好局面。公司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年获批成立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交通运输部智能车路协同关 键技术及装备行业研发中心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，该中心集合了交通部公路科学研究院、广东省交通集团、同济大学、清华大学、北汽研究总 院等五家一流科研机构和企业。公司将充分发挥在这一平台的主导作用，与其他五家联合单位一起，共同打造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政产学研用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合作创新平台，推进我国</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车路协同领域的技术创新和示范应用。</w:t>
      </w:r>
    </w:p>
    <w:p>
      <w:pPr>
        <w:pStyle w:val="Style28"/>
        <w:keepNext w:val="0"/>
        <w:keepLines w:val="0"/>
        <w:widowControl w:val="0"/>
        <w:shd w:val="clear" w:color="auto" w:fill="auto"/>
        <w:tabs>
          <w:tab w:pos="861" w:val="left"/>
        </w:tabs>
        <w:bidi w:val="0"/>
        <w:spacing w:before="0" w:after="0" w:line="391" w:lineRule="exact"/>
        <w:ind w:left="0" w:right="0" w:firstLine="380"/>
        <w:jc w:val="both"/>
      </w:pPr>
      <w:bookmarkStart w:id="93" w:name="bookmark93"/>
      <w:r>
        <w:rPr>
          <w:b/>
          <w:bCs/>
          <w:color w:val="000000"/>
          <w:spacing w:val="0"/>
          <w:w w:val="100"/>
          <w:position w:val="0"/>
        </w:rPr>
        <w:t>（</w:t>
      </w:r>
      <w:bookmarkEnd w:id="93"/>
      <w:r>
        <w:rPr>
          <w:b/>
          <w:bCs/>
          <w:color w:val="000000"/>
          <w:spacing w:val="0"/>
          <w:w w:val="100"/>
          <w:position w:val="0"/>
        </w:rPr>
        <w:t>五）</w:t>
        <w:tab/>
        <w:t>高效、优质的服务优势</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聚焦客户、追求卓越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的服务理念，通过多种方式为客户提供全面、高效的综合服务。同时，公司在深圳、广 州、北京、杭州、成都、武汉、青岛、昆明、南京、沈阳、西安等多个城市设有区域服务团队，能够快速响应客户需求，为 客户提供从产品交付、设备安装、培训管理、售后维护管理的全程跟踪管理服务。</w:t>
      </w:r>
    </w:p>
    <w:p>
      <w:pPr>
        <w:pStyle w:val="Style28"/>
        <w:keepNext w:val="0"/>
        <w:keepLines w:val="0"/>
        <w:widowControl w:val="0"/>
        <w:shd w:val="clear" w:color="auto" w:fill="auto"/>
        <w:tabs>
          <w:tab w:pos="861" w:val="left"/>
        </w:tabs>
        <w:bidi w:val="0"/>
        <w:spacing w:before="0" w:after="0" w:line="391" w:lineRule="exact"/>
        <w:ind w:left="0" w:right="0" w:firstLine="380"/>
        <w:jc w:val="both"/>
      </w:pPr>
      <w:bookmarkStart w:id="94" w:name="bookmark94"/>
      <w:r>
        <w:rPr>
          <w:b/>
          <w:bCs/>
          <w:color w:val="000000"/>
          <w:spacing w:val="0"/>
          <w:w w:val="100"/>
          <w:position w:val="0"/>
        </w:rPr>
        <w:t>（</w:t>
      </w:r>
      <w:bookmarkEnd w:id="94"/>
      <w:r>
        <w:rPr>
          <w:b/>
          <w:bCs/>
          <w:color w:val="000000"/>
          <w:spacing w:val="0"/>
          <w:w w:val="100"/>
          <w:position w:val="0"/>
        </w:rPr>
        <w:t>六）</w:t>
        <w:tab/>
        <w:t>良好的品牌形象和优秀荣誉</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公司是国内较早布局</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业务的优质企业，技术实力处于行业领先地位。目前，</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行业集中度较高，公司高速公路</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产品已在全国</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个省市广泛应用，可满足各地客户区域化差异需求。公司深耕智能交通领域多年，依靠过硬的产品质量和强 大的技术研发实力，在行业内建立了良好的信誉和品牌形象。</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公司凭借自身雄厚的技术实力、生产制造优势，获得行业广泛认可，先后荣获“工信部第六批制造业单项冠军”、“工 信部第二批专精特精小巨人”、“深圳工业大奖”、“产学研合作创新奖”、“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年杰出上市公司奖”、“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年企业社 会责任典范奖”、“第十届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年中国车路协同行业年度优秀服务供应商”、“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年第十届中国智能交通三十强”、“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年度广东省智能交通协会十佳会员单位”、“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中国高速公路信息化奖最佳产品奖”、“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年第九届智能交通建设推 荐品牌”等荣誉。</w:t>
      </w:r>
    </w:p>
    <w:p>
      <w:pPr>
        <w:pStyle w:val="Style24"/>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四</w:t>
      </w:r>
      <w:bookmarkEnd w:id="97"/>
      <w:r>
        <w:rPr>
          <w:color w:val="000000"/>
          <w:spacing w:val="0"/>
          <w:w w:val="100"/>
          <w:position w:val="0"/>
          <w:sz w:val="24"/>
          <w:szCs w:val="24"/>
        </w:rPr>
        <w:t>、主营业务分析</w:t>
      </w:r>
      <w:bookmarkEnd w:id="95"/>
      <w:bookmarkEnd w:id="96"/>
      <w:bookmarkEnd w:id="98"/>
    </w:p>
    <w:p>
      <w:pPr>
        <w:pStyle w:val="Style31"/>
        <w:keepNext/>
        <w:keepLines/>
        <w:widowControl w:val="0"/>
        <w:shd w:val="clear" w:color="auto" w:fill="auto"/>
        <w:tabs>
          <w:tab w:pos="330" w:val="left"/>
        </w:tabs>
        <w:bidi w:val="0"/>
        <w:spacing w:before="0" w:after="22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在交通强国背景下，智慧交通正从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单纯以新技术应用为导向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以业务问题解决的效率和质量为导向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，单一设备 已无法满足新时代要求。为应对新发展形势，报告期内，公司及时调整经营策略，确立了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核心产品服务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 模式。公司一方面配合行业主管部门推进技术标准升级，创造更多市场机会；另一方面根据业务发展目标，深度整合行业上 下游资源，积极为发展蓄能，助推业务升级，积极寻求新的利润增长点。与此同时，对内深化基本功，全面提升中台支撑能 力，强化组织能力建设，推进降本增效措施，减少运营成本，提升利润空间。</w:t>
      </w:r>
    </w:p>
    <w:p>
      <w:pPr>
        <w:pStyle w:val="Style28"/>
        <w:keepNext w:val="0"/>
        <w:keepLines w:val="0"/>
        <w:widowControl w:val="0"/>
        <w:shd w:val="clear" w:color="auto" w:fill="auto"/>
        <w:tabs>
          <w:tab w:pos="796" w:val="left"/>
        </w:tabs>
        <w:bidi w:val="0"/>
        <w:spacing w:before="0" w:after="0" w:line="392" w:lineRule="exact"/>
        <w:ind w:left="0" w:right="0" w:firstLine="380"/>
        <w:jc w:val="both"/>
      </w:pPr>
      <w:bookmarkStart w:id="103" w:name="bookmark103"/>
      <w:r>
        <w:rPr>
          <w:b/>
          <w:bCs/>
          <w:color w:val="000000"/>
          <w:spacing w:val="0"/>
          <w:w w:val="100"/>
          <w:position w:val="0"/>
        </w:rPr>
        <w:t>（</w:t>
      </w:r>
      <w:bookmarkEnd w:id="10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智慧高速</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收费系统方面，公司围绕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月发布的《加快推进高速公路联网收费系统优化升级实施方案》的要求，整合 行业资源，推出了《新一代智能化收费系统整体解决方案》，实现了业务能力从提供单纯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设备到提供全套收费系统软硬 产品的转变，有效扩大了业务范围，将大大促进业务增长。</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在智慧高速方面，公司依托多年深耕高速公路领域的行业资源，围绕高速公路安全、高效、节能等运营管理需求，整合 智慧隧道、全域能耗管控、智慧服务区碳中和、车路协同等行业应用解决方案，形成了智慧高速建设解决方案集。并与多家 合作伙伴建立了深度战略合作关系，打造了面向智慧高速建设的业务服务生态，实现业务多渠道增收。目前，新一代收费系 统已在部分省市开展试点。</w:t>
      </w:r>
    </w:p>
    <w:p>
      <w:pPr>
        <w:pStyle w:val="Style28"/>
        <w:keepNext w:val="0"/>
        <w:keepLines w:val="0"/>
        <w:widowControl w:val="0"/>
        <w:shd w:val="clear" w:color="auto" w:fill="auto"/>
        <w:tabs>
          <w:tab w:pos="796" w:val="left"/>
        </w:tabs>
        <w:bidi w:val="0"/>
        <w:spacing w:before="0" w:after="0" w:line="392" w:lineRule="exact"/>
        <w:ind w:left="0" w:right="0" w:firstLine="380"/>
        <w:jc w:val="both"/>
      </w:pPr>
      <w:bookmarkStart w:id="104" w:name="bookmark104"/>
      <w:r>
        <w:rPr>
          <w:b/>
          <w:bCs/>
          <w:color w:val="000000"/>
          <w:spacing w:val="0"/>
          <w:w w:val="100"/>
          <w:position w:val="0"/>
        </w:rPr>
        <w:t>（</w:t>
      </w:r>
      <w:bookmarkEnd w:id="10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智慧城市</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动态交通方面，以雷达、</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等技术能力为基底，构建了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全息感知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交通监控诊断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智慧管控与服务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的城市数字 道路综合应用解决方案，公司趋向以系统集成商的角色为客户提供从解决方案到产品、平台和系统集成的全方位服务。</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静态交通方面，公司总结</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拓展应用推广经验，摸索出</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在停车场和路边停车场景中可复制的业务模式，拓展</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无感加油、无感充电等创新应用场景。</w:t>
      </w:r>
    </w:p>
    <w:p>
      <w:pPr>
        <w:pStyle w:val="Style28"/>
        <w:keepNext w:val="0"/>
        <w:keepLines w:val="0"/>
        <w:widowControl w:val="0"/>
        <w:shd w:val="clear" w:color="auto" w:fill="auto"/>
        <w:tabs>
          <w:tab w:pos="796" w:val="left"/>
        </w:tabs>
        <w:bidi w:val="0"/>
        <w:spacing w:before="0" w:after="0" w:line="392" w:lineRule="exact"/>
        <w:ind w:left="0" w:right="0" w:firstLine="380"/>
        <w:jc w:val="both"/>
      </w:pPr>
      <w:bookmarkStart w:id="105" w:name="bookmark105"/>
      <w:r>
        <w:rPr>
          <w:b/>
          <w:bCs/>
          <w:color w:val="000000"/>
          <w:spacing w:val="0"/>
          <w:w w:val="100"/>
          <w:position w:val="0"/>
        </w:rPr>
        <w:t>（</w:t>
      </w:r>
      <w:bookmarkEnd w:id="10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智慧网联</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公司强化供应链支撑能力，推进</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前装业务。同时，以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前装为切入点，大力推进</w:t>
      </w:r>
      <w:r>
        <w:rPr>
          <w:rFonts w:ascii="Times New Roman" w:eastAsia="Times New Roman" w:hAnsi="Times New Roman" w:cs="Times New Roman"/>
          <w:color w:val="000000"/>
          <w:spacing w:val="0"/>
          <w:w w:val="100"/>
          <w:position w:val="0"/>
          <w:sz w:val="18"/>
          <w:szCs w:val="18"/>
        </w:rPr>
        <w:t>ETC2.0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前装定点，以确保 相关业务可持续发展。公司依托</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前装发行渠道，创新拓展汽车精品市场。但由于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年度全球汽车行业“缺芯”问题严 重，</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前装业务市场需求尚未有效释放。在</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产业化推广部署方面，由于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等新技术实现车路协同应用 主要体现在交互手段上的不同，其余大部分子系统均可以实现复用，公司具备从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车路协同拓展服务向</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等更高级形 态的智慧公路演进的坚实基础。报告期内，公司基于在</w:t>
      </w:r>
      <w:r>
        <w:rPr>
          <w:rFonts w:ascii="Times New Roman" w:eastAsia="Times New Roman" w:hAnsi="Times New Roman" w:cs="Times New Roman"/>
          <w:color w:val="000000"/>
          <w:spacing w:val="0"/>
          <w:w w:val="100"/>
          <w:position w:val="0"/>
          <w:sz w:val="18"/>
          <w:szCs w:val="18"/>
        </w:rPr>
        <w:t>ETC1.0</w:t>
      </w:r>
      <w:r>
        <w:rPr>
          <w:color w:val="000000"/>
          <w:spacing w:val="0"/>
          <w:w w:val="100"/>
          <w:position w:val="0"/>
        </w:rPr>
        <w:t>标准体系建设领域的技术领先优势，积极参与</w:t>
      </w:r>
      <w:r>
        <w:rPr>
          <w:rFonts w:ascii="Times New Roman" w:eastAsia="Times New Roman" w:hAnsi="Times New Roman" w:cs="Times New Roman"/>
          <w:color w:val="000000"/>
          <w:spacing w:val="0"/>
          <w:w w:val="100"/>
          <w:position w:val="0"/>
          <w:sz w:val="18"/>
          <w:szCs w:val="18"/>
        </w:rPr>
        <w:t>ETC-X</w:t>
      </w:r>
      <w:r>
        <w:rPr>
          <w:color w:val="000000"/>
          <w:spacing w:val="0"/>
          <w:w w:val="100"/>
          <w:position w:val="0"/>
        </w:rPr>
        <w:t>行业标 准，积极推动行业标准升级，为未来发展蓄能。</w:t>
      </w:r>
    </w:p>
    <w:p>
      <w:pPr>
        <w:pStyle w:val="Style28"/>
        <w:keepNext w:val="0"/>
        <w:keepLines w:val="0"/>
        <w:widowControl w:val="0"/>
        <w:shd w:val="clear" w:color="auto" w:fill="auto"/>
        <w:bidi w:val="0"/>
        <w:spacing w:before="0" w:after="440" w:line="392" w:lineRule="exact"/>
        <w:ind w:left="0" w:right="0" w:firstLine="3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30,155.51</w:t>
      </w:r>
      <w:r>
        <w:rPr>
          <w:color w:val="000000"/>
          <w:spacing w:val="0"/>
          <w:w w:val="100"/>
          <w:position w:val="0"/>
        </w:rPr>
        <w:t>万元，成本</w:t>
      </w:r>
      <w:r>
        <w:rPr>
          <w:rFonts w:ascii="Times New Roman" w:eastAsia="Times New Roman" w:hAnsi="Times New Roman" w:cs="Times New Roman"/>
          <w:color w:val="000000"/>
          <w:spacing w:val="0"/>
          <w:w w:val="100"/>
          <w:position w:val="0"/>
          <w:sz w:val="18"/>
          <w:szCs w:val="18"/>
        </w:rPr>
        <w:t>18,665.09</w:t>
      </w:r>
      <w:r>
        <w:rPr>
          <w:color w:val="000000"/>
          <w:spacing w:val="0"/>
          <w:w w:val="100"/>
          <w:position w:val="0"/>
        </w:rPr>
        <w:t>万元，期间费用</w:t>
      </w:r>
      <w:r>
        <w:rPr>
          <w:rFonts w:ascii="Times New Roman" w:eastAsia="Times New Roman" w:hAnsi="Times New Roman" w:cs="Times New Roman"/>
          <w:color w:val="000000"/>
          <w:spacing w:val="0"/>
          <w:w w:val="100"/>
          <w:position w:val="0"/>
          <w:sz w:val="18"/>
          <w:szCs w:val="18"/>
        </w:rPr>
        <w:t>26,232.49</w:t>
      </w:r>
      <w:r>
        <w:rPr>
          <w:color w:val="000000"/>
          <w:spacing w:val="0"/>
          <w:w w:val="100"/>
          <w:position w:val="0"/>
        </w:rPr>
        <w:t>万元，研发投入</w:t>
      </w:r>
      <w:r>
        <w:rPr>
          <w:rFonts w:ascii="Times New Roman" w:eastAsia="Times New Roman" w:hAnsi="Times New Roman" w:cs="Times New Roman"/>
          <w:color w:val="000000"/>
          <w:spacing w:val="0"/>
          <w:w w:val="100"/>
          <w:position w:val="0"/>
          <w:sz w:val="18"/>
          <w:szCs w:val="18"/>
        </w:rPr>
        <w:t>8,293.28</w:t>
      </w:r>
      <w:r>
        <w:rPr>
          <w:color w:val="000000"/>
          <w:spacing w:val="0"/>
          <w:w w:val="100"/>
          <w:position w:val="0"/>
        </w:rPr>
        <w:t>万元，经 营性现金流量净额</w:t>
      </w:r>
      <w:r>
        <w:rPr>
          <w:rFonts w:ascii="Times New Roman" w:eastAsia="Times New Roman" w:hAnsi="Times New Roman" w:cs="Times New Roman"/>
          <w:color w:val="000000"/>
          <w:spacing w:val="0"/>
          <w:w w:val="100"/>
          <w:position w:val="0"/>
          <w:sz w:val="18"/>
          <w:szCs w:val="18"/>
        </w:rPr>
        <w:t>-3,618.86</w:t>
      </w:r>
      <w:r>
        <w:rPr>
          <w:color w:val="000000"/>
          <w:spacing w:val="0"/>
          <w:w w:val="100"/>
          <w:position w:val="0"/>
        </w:rPr>
        <w:t>万元。</w:t>
      </w:r>
    </w:p>
    <w:p>
      <w:pPr>
        <w:pStyle w:val="Style31"/>
        <w:keepNext/>
        <w:keepLines/>
        <w:widowControl w:val="0"/>
        <w:shd w:val="clear" w:color="auto" w:fill="auto"/>
        <w:tabs>
          <w:tab w:pos="339" w:val="left"/>
        </w:tabs>
        <w:bidi w:val="0"/>
        <w:spacing w:before="0" w:after="360" w:line="24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w:t>
        <w:tab/>
        <w:t>收入与成本</w:t>
      </w:r>
      <w:bookmarkEnd w:id="106"/>
      <w:bookmarkEnd w:id="107"/>
      <w:bookmarkEnd w:id="109"/>
    </w:p>
    <w:p>
      <w:pPr>
        <w:pStyle w:val="Style42"/>
        <w:keepNext/>
        <w:keepLines/>
        <w:widowControl w:val="0"/>
        <w:shd w:val="clear" w:color="auto" w:fill="auto"/>
        <w:bidi w:val="0"/>
        <w:spacing w:before="0" w:after="22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0"/>
      <w:bookmarkEnd w:id="111"/>
      <w:bookmarkEnd w:id="113"/>
    </w:p>
    <w:p>
      <w:pPr>
        <w:pStyle w:val="Style28"/>
        <w:keepNext w:val="0"/>
        <w:keepLines w:val="0"/>
        <w:widowControl w:val="0"/>
        <w:shd w:val="clear" w:color="auto" w:fill="auto"/>
        <w:bidi w:val="0"/>
        <w:spacing w:before="0" w:after="280" w:line="39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280,993,791.82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1,532,684,489.19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智能停车场设备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3,861,545.33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10,295,557.45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16,699,751.38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20,665,986.77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84,836,600.55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648,218,999.09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30,154,860.53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145,700,960.40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67,529,945.92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171,424,071.24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30,231,854.21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164,566,921.12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19,659,055.51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123,302,872.69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34,048,255.05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141,366,259.12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32,786,541.55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168,910,677.96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2,307,975.21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1,386.41%</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r>
    </w:tbl>
    <w:p>
      <w:pPr>
        <w:widowControl w:val="0"/>
        <w:spacing w:after="319" w:line="1" w:lineRule="exact"/>
      </w:pPr>
    </w:p>
    <w:p>
      <w:pPr>
        <w:pStyle w:val="Style42"/>
        <w:keepNext/>
        <w:keepLines/>
        <w:widowControl w:val="0"/>
        <w:numPr>
          <w:ilvl w:val="0"/>
          <w:numId w:val="1"/>
        </w:numPr>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4"/>
      <w:bookmarkEnd w:id="115"/>
      <w:bookmarkEnd w:id="11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186,650,920.32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-24.89%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280,993,791.82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168,058,619.25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-23.07%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84,836,600.55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54,664,183.92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30,154,860.53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14,503,732.23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-8.04%</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67,529,945.92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47,871,259.06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30,231,854.21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14,232,962.97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34,048,255.05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24,208,673.52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32,786,541.55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17,313,345.51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398"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186,650,920.32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-24.89%</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40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8"/>
      <w:bookmarkEnd w:id="119"/>
      <w:bookmarkEnd w:id="121"/>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-OBU</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其他减少量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-RSU</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其他减少量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智能停车场设备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-RSU</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其他减少量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智能停车场设备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 道控制机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其他减少量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其他减少量系上期处置原控股子公司伟龙金溢股权，期末库存不纳入合并范围导致的减少量，本报告期内无此项。</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受国家相关政策调整及市场环境等综合因素的影响，市场订单减少，公司</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销量下降。</w:t>
      </w:r>
    </w:p>
    <w:p>
      <w:pPr>
        <w:pStyle w:val="Style42"/>
        <w:keepNext/>
        <w:keepLines/>
        <w:widowControl w:val="0"/>
        <w:shd w:val="clear" w:color="auto" w:fill="auto"/>
        <w:tabs>
          <w:tab w:pos="493" w:val="left"/>
        </w:tabs>
        <w:bidi w:val="0"/>
        <w:spacing w:before="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2"/>
      <w:bookmarkEnd w:id="123"/>
      <w:bookmarkEnd w:id="125"/>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6"/>
      <w:bookmarkEnd w:id="127"/>
      <w:bookmarkEnd w:id="129"/>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142,474,171.03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483,512,362.18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21,364,039.55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37,988,990.25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22,812,709.75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57,086,379.81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1070"/>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168,058,619.25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563,124,078.06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智能停车场设备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2,467,857.57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2,801,450.18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16,124,443.50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12,662,204.00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说明：受行业政策影响，公司整体业务量下降导致产能过剩，成本构成中人工和制造费用占比上升。</w:t>
      </w:r>
    </w:p>
    <w:p>
      <w:pPr>
        <w:pStyle w:val="Style42"/>
        <w:keepNext/>
        <w:keepLines/>
        <w:widowControl w:val="0"/>
        <w:shd w:val="clear" w:color="auto" w:fill="auto"/>
        <w:bidi w:val="0"/>
        <w:spacing w:before="0" w:after="44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0"/>
      <w:bookmarkEnd w:id="131"/>
      <w:bookmarkEnd w:id="133"/>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390" w:lineRule="exact"/>
        <w:ind w:left="0" w:right="0"/>
        <w:jc w:val="both"/>
      </w:pPr>
      <w:bookmarkStart w:id="134" w:name="bookmark134"/>
      <w:r>
        <w:rPr>
          <w:color w:val="000000"/>
          <w:spacing w:val="0"/>
          <w:w w:val="100"/>
          <w:position w:val="0"/>
        </w:rPr>
        <w:t>（</w:t>
      </w:r>
      <w:bookmarkEnd w:id="1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月设立全资子公司深圳市金溢智慧城市科技有限公司，注册资本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公司已实缴出资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月起纳入合并报表范围。</w:t>
      </w:r>
    </w:p>
    <w:p>
      <w:pPr>
        <w:pStyle w:val="Style28"/>
        <w:keepNext w:val="0"/>
        <w:keepLines w:val="0"/>
        <w:widowControl w:val="0"/>
        <w:shd w:val="clear" w:color="auto" w:fill="auto"/>
        <w:tabs>
          <w:tab w:pos="901" w:val="left"/>
        </w:tabs>
        <w:bidi w:val="0"/>
        <w:spacing w:before="0" w:after="0" w:line="390" w:lineRule="exact"/>
        <w:ind w:left="0" w:right="0"/>
        <w:jc w:val="both"/>
      </w:pPr>
      <w:bookmarkStart w:id="135" w:name="bookmark135"/>
      <w:r>
        <w:rPr>
          <w:color w:val="000000"/>
          <w:spacing w:val="0"/>
          <w:w w:val="100"/>
          <w:position w:val="0"/>
        </w:rPr>
        <w:t>（</w:t>
      </w:r>
      <w:bookmarkEnd w:id="1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广东华信金溢信息技术有限公司于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日召开股东会，鉴于严重亏损不能到期清偿债务，并且资产不足 以清偿全部债务，向广东省东莞市中级人民法院提出破产清算。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日，广东省东莞市中级人民法院裁定受理广东 华信金溢信息技术有限公司提出的破产清算申请，并出具了民事裁定书（（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日，广东 省东莞市中级人民法院指定广东天健会计师事务所有限公司为管理人，并出具了公告（（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破</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号），公司对广东 华信金溢信息技术有限公司丧失控制权，从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月起不再纳入合并范围。</w:t>
      </w:r>
    </w:p>
    <w:p>
      <w:pPr>
        <w:pStyle w:val="Style28"/>
        <w:keepNext w:val="0"/>
        <w:keepLines w:val="0"/>
        <w:widowControl w:val="0"/>
        <w:shd w:val="clear" w:color="auto" w:fill="auto"/>
        <w:bidi w:val="0"/>
        <w:spacing w:before="0" w:after="440" w:line="390" w:lineRule="exact"/>
        <w:ind w:left="0" w:right="0" w:firstLine="0"/>
        <w:jc w:val="both"/>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月设立全资孙公司青岛经溢园区运营管理有限公司，注册资本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月起纳入合并范围。</w:t>
      </w:r>
    </w:p>
    <w:p>
      <w:pPr>
        <w:pStyle w:val="Style42"/>
        <w:keepNext/>
        <w:keepLines/>
        <w:widowControl w:val="0"/>
        <w:shd w:val="clear" w:color="auto" w:fill="auto"/>
        <w:bidi w:val="0"/>
        <w:spacing w:before="0" w:after="20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7"/>
      <w:bookmarkEnd w:id="138"/>
      <w:bookmarkEnd w:id="140"/>
    </w:p>
    <w:p>
      <w:pPr>
        <w:pStyle w:val="Style28"/>
        <w:keepNext w:val="0"/>
        <w:keepLines w:val="0"/>
        <w:widowControl w:val="0"/>
        <w:shd w:val="clear" w:color="auto" w:fill="auto"/>
        <w:bidi w:val="0"/>
        <w:spacing w:before="0" w:after="300" w:line="39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1"/>
      <w:bookmarkEnd w:id="142"/>
      <w:bookmarkEnd w:id="14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102,132,476.19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27,986,725.61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22,238,584.07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20,405,845.97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18,599,617.78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12,901,702.76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102,132,476.19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33.87%</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主要客户其他情况说明</w:t>
      </w: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以上股东、实际控制人和其</w:t>
      </w: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他关联方在主要客户中未直接或者间接拥有权益。</w:t>
      </w:r>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65,833,914.76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23,262,212.83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20,216,859.15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10,293,329.28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6,441,308.90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5,620,204.60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65,833,914.76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40.74%</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主要供应商其他情况说明</w:t>
      </w: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前五名供应商与公司不存在关联关系，公司董事、监事、高级管理人员、核心技术人员、持股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w:t>
      </w: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其他关联方在主要供应商中未直接或者间接拥有权益。</w:t>
      </w:r>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421"/>
        <w:gridCol w:w="1272"/>
        <w:gridCol w:w="43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105,346,119.00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105,634,201.74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主要系业绩下滑销售人工成本下降、限制性股票股权 激励等待期确认的股份支付费用减少，及售后维修成 本增加综合影响所致。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94,067,096.61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107,128,776.59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主要系限制性股票股权激励等待期确认的股份支付 费用减少所致。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-20,021,100.62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-31,525,184.53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主要系存量资金减少，利息收入减少所致。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82,932,771.58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124,204,674.89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主要系限制性股票股权激励等待期确认的股份支付 费用减少和研发人工成本下降所致。</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2448"/>
        <w:gridCol w:w="1272"/>
        <w:gridCol w:w="2270"/>
        <w:gridCol w:w="206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预计对公司未来发展的影 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基站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开发通用版</w:t>
            </w:r>
            <w:r>
              <w:rPr>
                <w:rFonts w:ascii="Times New Roman" w:eastAsia="Times New Roman" w:hAnsi="Times New Roman" w:cs="Times New Roman"/>
                <w:color w:val="000000"/>
                <w:spacing w:val="0"/>
                <w:w w:val="100"/>
                <w:position w:val="0"/>
                <w:sz w:val="18"/>
                <w:szCs w:val="18"/>
              </w:rPr>
              <w:t>5G C-V2X RSU</w:t>
            </w:r>
            <w:r>
              <w:rPr>
                <w:color w:val="000000"/>
                <w:spacing w:val="0"/>
                <w:w w:val="100"/>
                <w:position w:val="0"/>
              </w:rPr>
              <w:t xml:space="preserve">， </w:t>
            </w:r>
            <w:r>
              <w:rPr>
                <w:color w:val="000000"/>
                <w:spacing w:val="0"/>
                <w:w w:val="100"/>
                <w:position w:val="0"/>
              </w:rPr>
              <w:t>满足市场需求。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项目完成验收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支持所有市场</w:t>
            </w:r>
            <w:r>
              <w:rPr>
                <w:rFonts w:ascii="Times New Roman" w:eastAsia="Times New Roman" w:hAnsi="Times New Roman" w:cs="Times New Roman"/>
                <w:color w:val="000000"/>
                <w:spacing w:val="0"/>
                <w:w w:val="100"/>
                <w:position w:val="0"/>
                <w:sz w:val="18"/>
                <w:szCs w:val="18"/>
              </w:rPr>
              <w:t>5G C-V2X RSU</w:t>
            </w:r>
            <w:r>
              <w:rPr>
                <w:color w:val="000000"/>
                <w:spacing w:val="0"/>
                <w:w w:val="100"/>
                <w:position w:val="0"/>
              </w:rPr>
              <w:t>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助力</w:t>
            </w:r>
            <w:r>
              <w:rPr>
                <w:rFonts w:ascii="Times New Roman" w:eastAsia="Times New Roman" w:hAnsi="Times New Roman" w:cs="Times New Roman"/>
                <w:color w:val="000000"/>
                <w:spacing w:val="0"/>
                <w:w w:val="100"/>
                <w:position w:val="0"/>
                <w:sz w:val="18"/>
                <w:szCs w:val="18"/>
              </w:rPr>
              <w:t>5G C-V2X RSU</w:t>
            </w:r>
            <w:r>
              <w:rPr>
                <w:color w:val="000000"/>
                <w:spacing w:val="0"/>
                <w:w w:val="100"/>
                <w:position w:val="0"/>
              </w:rPr>
              <w:t>销售 产品，提高公司在车路协 同领域的竞争力。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定位电子标 签项目的研究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满足</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行业营运车辆的应用 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已结项，可销售 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开发</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技术与定位、通信 技术相结合的平台型产品， 满足细分领域不同客户的个 性需求。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发掘</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行业横向发展 过程中的潜在需求，探索 新商业模式，提高公司竞 争力和市场影响力。</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前装</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下线检 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用于车厂下线检测</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满足车厂下线检测要求。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为前装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设备检测提 供支撑。</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车路协同全息管理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通过接入智能路侧设备、智能 车载设备、</w:t>
            </w:r>
            <w:r>
              <w:rPr>
                <w:rFonts w:ascii="Times New Roman" w:eastAsia="Times New Roman" w:hAnsi="Times New Roman" w:cs="Times New Roman"/>
                <w:color w:val="000000"/>
                <w:spacing w:val="0"/>
                <w:w w:val="100"/>
                <w:position w:val="0"/>
                <w:sz w:val="18"/>
                <w:szCs w:val="18"/>
              </w:rPr>
              <w:t>ETC2.0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及相 关联设备，结合环境、道路设 施等监测数据，为智能网联车 辆提供车路协同全息感知及可 视化呈现的管理平台。将采用 道路状况融合感知技术，设备 远程运维技术，实现车辆、基 础设施、交通环境等领域的数 据融合应用，为智能网联车辆 的安全运行、交通管理、应用 服务等提供支撑。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项目完成验收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产品特性要求：全息感知及 </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可视化、动画展示能力， 真实还原道路中交通运行情 况及态势；具备</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ETC2.0</w:t>
            </w:r>
            <w:r>
              <w:rPr>
                <w:color w:val="000000"/>
                <w:spacing w:val="0"/>
                <w:w w:val="100"/>
                <w:position w:val="0"/>
              </w:rPr>
              <w:t>标准中所有场景展示 及测试验证支持；具有平台 层数据分析及辅助决策，支 持图表化展示；支持接入多 种型号的</w:t>
            </w:r>
            <w:r>
              <w:rPr>
                <w:rFonts w:ascii="Times New Roman" w:eastAsia="Times New Roman" w:hAnsi="Times New Roman" w:cs="Times New Roman"/>
                <w:color w:val="000000"/>
                <w:spacing w:val="0"/>
                <w:w w:val="100"/>
                <w:position w:val="0"/>
                <w:sz w:val="18"/>
                <w:szCs w:val="18"/>
              </w:rPr>
              <w:t>ETC2.0</w:t>
            </w:r>
            <w:r>
              <w:rPr>
                <w:color w:val="000000"/>
                <w:spacing w:val="0"/>
                <w:w w:val="100"/>
                <w:position w:val="0"/>
              </w:rPr>
              <w:t xml:space="preserve">设备， </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及各类路 侧传感设备能力。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具备系统级车路协同方案 的支持能力，满足车路网 云一体化交通管理需求， 对各类交通元素（车、路、 环境与平台）数据支持测 试及结果分析，充分展示 公司 </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MEC </w:t>
            </w:r>
            <w:r>
              <w:rPr>
                <w:color w:val="000000"/>
                <w:spacing w:val="0"/>
                <w:w w:val="100"/>
                <w:position w:val="0"/>
              </w:rPr>
              <w:t>产品竞争力</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82,932,771.58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124,204,674.89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公司研发人员构成发生重大变化的原因及影响</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受行业政策影响，收入下降，基数变小，所以研发投入占营业收入比例上升。</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625,639,627.46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1,454,858,804.67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661,828,271.81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1,538,506,361.11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-36,188,644.35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-83,647,556.44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120,312,338.16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196,876,154.17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442,955,052.22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283,650,826.95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w:t>
            </w:r>
          </w:p>
        </w:tc>
      </w:tr>
    </w:tbl>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-322,642,714.06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-86,774,672.78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208,140,661.27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264,596,333.30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-208,140,661.27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-264,596,333.30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-566,976,527.41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-434,972,603.15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1</w:t>
      </w:r>
      <w:bookmarkEnd w:id="157"/>
      <w:r>
        <w:rPr>
          <w:color w:val="000000"/>
          <w:spacing w:val="0"/>
          <w:w w:val="100"/>
          <w:position w:val="0"/>
        </w:rPr>
        <w:t>、 经营活动现金流入同比减少</w:t>
      </w:r>
      <w:r>
        <w:rPr>
          <w:rFonts w:ascii="Times New Roman" w:eastAsia="Times New Roman" w:hAnsi="Times New Roman" w:cs="Times New Roman"/>
          <w:color w:val="000000"/>
          <w:spacing w:val="0"/>
          <w:w w:val="100"/>
          <w:position w:val="0"/>
          <w:sz w:val="18"/>
          <w:szCs w:val="18"/>
        </w:rPr>
        <w:t>57.00%</w:t>
      </w:r>
      <w:r>
        <w:rPr>
          <w:color w:val="000000"/>
          <w:spacing w:val="0"/>
          <w:w w:val="100"/>
          <w:position w:val="0"/>
        </w:rPr>
        <w:t>，主要系本报告期业务量下滑，销售回款额同比减少及收到的相应税费返还金额减少</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所致；</w:t>
      </w:r>
    </w:p>
    <w:p>
      <w:pPr>
        <w:pStyle w:val="Style28"/>
        <w:keepNext w:val="0"/>
        <w:keepLines w:val="0"/>
        <w:widowControl w:val="0"/>
        <w:shd w:val="clear" w:color="auto" w:fill="auto"/>
        <w:tabs>
          <w:tab w:pos="354" w:val="left"/>
        </w:tabs>
        <w:bidi w:val="0"/>
        <w:spacing w:before="0" w:after="180" w:line="240" w:lineRule="auto"/>
        <w:ind w:left="0" w:right="0" w:firstLine="0"/>
        <w:jc w:val="left"/>
      </w:pPr>
      <w:bookmarkStart w:id="158" w:name="bookmark158"/>
      <w:r>
        <w:rPr>
          <w:rFonts w:ascii="Times New Roman" w:eastAsia="Times New Roman" w:hAnsi="Times New Roman" w:cs="Times New Roman"/>
          <w:color w:val="000000"/>
          <w:spacing w:val="0"/>
          <w:w w:val="100"/>
          <w:position w:val="0"/>
          <w:sz w:val="18"/>
          <w:szCs w:val="18"/>
        </w:rPr>
        <w:t>2</w:t>
      </w:r>
      <w:bookmarkEnd w:id="158"/>
      <w:r>
        <w:rPr>
          <w:color w:val="000000"/>
          <w:spacing w:val="0"/>
          <w:w w:val="100"/>
          <w:position w:val="0"/>
        </w:rPr>
        <w:t>、</w:t>
        <w:tab/>
        <w:t>经营活动现金流出同比减少</w:t>
      </w:r>
      <w:r>
        <w:rPr>
          <w:rFonts w:ascii="Times New Roman" w:eastAsia="Times New Roman" w:hAnsi="Times New Roman" w:cs="Times New Roman"/>
          <w:color w:val="000000"/>
          <w:spacing w:val="0"/>
          <w:w w:val="100"/>
          <w:position w:val="0"/>
          <w:sz w:val="18"/>
          <w:szCs w:val="18"/>
        </w:rPr>
        <w:t>56.98%</w:t>
      </w:r>
      <w:r>
        <w:rPr>
          <w:color w:val="000000"/>
          <w:spacing w:val="0"/>
          <w:w w:val="100"/>
          <w:position w:val="0"/>
        </w:rPr>
        <w:t>，主要系本报告期采购付款额同比减少所致；</w:t>
      </w:r>
    </w:p>
    <w:p>
      <w:pPr>
        <w:pStyle w:val="Style28"/>
        <w:keepNext w:val="0"/>
        <w:keepLines w:val="0"/>
        <w:widowControl w:val="0"/>
        <w:shd w:val="clear" w:color="auto" w:fill="auto"/>
        <w:tabs>
          <w:tab w:pos="354" w:val="left"/>
        </w:tabs>
        <w:bidi w:val="0"/>
        <w:spacing w:before="0" w:after="180" w:line="240" w:lineRule="auto"/>
        <w:ind w:left="0" w:right="0" w:firstLine="0"/>
        <w:jc w:val="left"/>
      </w:pPr>
      <w:bookmarkStart w:id="159" w:name="bookmark159"/>
      <w:r>
        <w:rPr>
          <w:rFonts w:ascii="Times New Roman" w:eastAsia="Times New Roman" w:hAnsi="Times New Roman" w:cs="Times New Roman"/>
          <w:color w:val="000000"/>
          <w:spacing w:val="0"/>
          <w:w w:val="100"/>
          <w:position w:val="0"/>
          <w:sz w:val="18"/>
          <w:szCs w:val="18"/>
        </w:rPr>
        <w:t>3</w:t>
      </w:r>
      <w:bookmarkEnd w:id="159"/>
      <w:r>
        <w:rPr>
          <w:color w:val="000000"/>
          <w:spacing w:val="0"/>
          <w:w w:val="100"/>
          <w:position w:val="0"/>
        </w:rPr>
        <w:t>、</w:t>
        <w:tab/>
        <w:t>投资活动现金流入同比减少</w:t>
      </w:r>
      <w:r>
        <w:rPr>
          <w:rFonts w:ascii="Times New Roman" w:eastAsia="Times New Roman" w:hAnsi="Times New Roman" w:cs="Times New Roman"/>
          <w:color w:val="000000"/>
          <w:spacing w:val="0"/>
          <w:w w:val="100"/>
          <w:position w:val="0"/>
          <w:sz w:val="18"/>
          <w:szCs w:val="18"/>
        </w:rPr>
        <w:t>38.89%</w:t>
      </w:r>
      <w:r>
        <w:rPr>
          <w:color w:val="000000"/>
          <w:spacing w:val="0"/>
          <w:w w:val="100"/>
          <w:position w:val="0"/>
        </w:rPr>
        <w:t>，主要系本报告期收到股权转让款增加但理财产品到期金额较少综合原因所致；</w:t>
      </w:r>
    </w:p>
    <w:p>
      <w:pPr>
        <w:pStyle w:val="Style28"/>
        <w:keepNext w:val="0"/>
        <w:keepLines w:val="0"/>
        <w:widowControl w:val="0"/>
        <w:shd w:val="clear" w:color="auto" w:fill="auto"/>
        <w:tabs>
          <w:tab w:pos="354" w:val="left"/>
        </w:tabs>
        <w:bidi w:val="0"/>
        <w:spacing w:before="0" w:after="180" w:line="240" w:lineRule="auto"/>
        <w:ind w:left="0" w:right="0" w:firstLine="0"/>
        <w:jc w:val="left"/>
      </w:pPr>
      <w:bookmarkStart w:id="160" w:name="bookmark160"/>
      <w:r>
        <w:rPr>
          <w:rFonts w:ascii="Times New Roman" w:eastAsia="Times New Roman" w:hAnsi="Times New Roman" w:cs="Times New Roman"/>
          <w:color w:val="000000"/>
          <w:spacing w:val="0"/>
          <w:w w:val="100"/>
          <w:position w:val="0"/>
          <w:sz w:val="18"/>
          <w:szCs w:val="18"/>
        </w:rPr>
        <w:t>4</w:t>
      </w:r>
      <w:bookmarkEnd w:id="160"/>
      <w:r>
        <w:rPr>
          <w:color w:val="000000"/>
          <w:spacing w:val="0"/>
          <w:w w:val="100"/>
          <w:position w:val="0"/>
        </w:rPr>
        <w:t>、</w:t>
        <w:tab/>
        <w:t>投资活动现金流出同比增加</w:t>
      </w:r>
      <w:r>
        <w:rPr>
          <w:rFonts w:ascii="Times New Roman" w:eastAsia="Times New Roman" w:hAnsi="Times New Roman" w:cs="Times New Roman"/>
          <w:color w:val="000000"/>
          <w:spacing w:val="0"/>
          <w:w w:val="100"/>
          <w:position w:val="0"/>
          <w:sz w:val="18"/>
          <w:szCs w:val="18"/>
        </w:rPr>
        <w:t>56.16%</w:t>
      </w:r>
      <w:r>
        <w:rPr>
          <w:color w:val="000000"/>
          <w:spacing w:val="0"/>
          <w:w w:val="100"/>
          <w:position w:val="0"/>
        </w:rPr>
        <w:t>，主要系本报告期购买理财产品的金额增加所致；</w:t>
      </w:r>
    </w:p>
    <w:p>
      <w:pPr>
        <w:pStyle w:val="Style28"/>
        <w:keepNext w:val="0"/>
        <w:keepLines w:val="0"/>
        <w:widowControl w:val="0"/>
        <w:shd w:val="clear" w:color="auto" w:fill="auto"/>
        <w:tabs>
          <w:tab w:pos="354" w:val="left"/>
        </w:tabs>
        <w:bidi w:val="0"/>
        <w:spacing w:before="0" w:after="180" w:line="240" w:lineRule="auto"/>
        <w:ind w:left="0" w:right="0" w:firstLine="0"/>
        <w:jc w:val="left"/>
      </w:pPr>
      <w:bookmarkStart w:id="161" w:name="bookmark161"/>
      <w:r>
        <w:rPr>
          <w:rFonts w:ascii="Times New Roman" w:eastAsia="Times New Roman" w:hAnsi="Times New Roman" w:cs="Times New Roman"/>
          <w:color w:val="000000"/>
          <w:spacing w:val="0"/>
          <w:w w:val="100"/>
          <w:position w:val="0"/>
          <w:sz w:val="18"/>
          <w:szCs w:val="18"/>
        </w:rPr>
        <w:t>5</w:t>
      </w:r>
      <w:bookmarkEnd w:id="161"/>
      <w:r>
        <w:rPr>
          <w:color w:val="000000"/>
          <w:spacing w:val="0"/>
          <w:w w:val="100"/>
          <w:position w:val="0"/>
        </w:rPr>
        <w:t>、</w:t>
        <w:tab/>
        <w:t>筹资活动现金流出同比减少</w:t>
      </w:r>
      <w:r>
        <w:rPr>
          <w:rFonts w:ascii="Times New Roman" w:eastAsia="Times New Roman" w:hAnsi="Times New Roman" w:cs="Times New Roman"/>
          <w:color w:val="000000"/>
          <w:spacing w:val="0"/>
          <w:w w:val="100"/>
          <w:position w:val="0"/>
          <w:sz w:val="18"/>
          <w:szCs w:val="18"/>
        </w:rPr>
        <w:t>21.34%</w:t>
      </w:r>
      <w:r>
        <w:rPr>
          <w:color w:val="000000"/>
          <w:spacing w:val="0"/>
          <w:w w:val="100"/>
          <w:position w:val="0"/>
        </w:rPr>
        <w:t>，主要系本报告期分配现金股利同比减少所致。</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报告期内，公司经营活动产生的现金流量净额与净利润存在差异的原因是存在如下影响当期净利润但不影响现金流的事项：</w:t>
      </w:r>
    </w:p>
    <w:p>
      <w:pPr>
        <w:pStyle w:val="Style28"/>
        <w:keepNext w:val="0"/>
        <w:keepLines w:val="0"/>
        <w:widowControl w:val="0"/>
        <w:shd w:val="clear" w:color="auto" w:fill="auto"/>
        <w:tabs>
          <w:tab w:pos="445" w:val="left"/>
        </w:tabs>
        <w:bidi w:val="0"/>
        <w:spacing w:before="0" w:after="180" w:line="240" w:lineRule="auto"/>
        <w:ind w:left="0" w:right="0" w:firstLine="0"/>
        <w:jc w:val="left"/>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报告期内计提资产减值损失和信用减值损失合计</w:t>
      </w:r>
      <w:r>
        <w:rPr>
          <w:rFonts w:ascii="Times New Roman" w:eastAsia="Times New Roman" w:hAnsi="Times New Roman" w:cs="Times New Roman"/>
          <w:color w:val="000000"/>
          <w:spacing w:val="0"/>
          <w:w w:val="100"/>
          <w:position w:val="0"/>
          <w:sz w:val="18"/>
          <w:szCs w:val="18"/>
        </w:rPr>
        <w:t>12,509.55</w:t>
      </w:r>
      <w:r>
        <w:rPr>
          <w:color w:val="000000"/>
          <w:spacing w:val="0"/>
          <w:w w:val="100"/>
          <w:position w:val="0"/>
        </w:rPr>
        <w:t>万元；</w:t>
      </w:r>
    </w:p>
    <w:p>
      <w:pPr>
        <w:pStyle w:val="Style28"/>
        <w:keepNext w:val="0"/>
        <w:keepLines w:val="0"/>
        <w:widowControl w:val="0"/>
        <w:shd w:val="clear" w:color="auto" w:fill="auto"/>
        <w:tabs>
          <w:tab w:pos="445" w:val="left"/>
        </w:tabs>
        <w:bidi w:val="0"/>
        <w:spacing w:before="0" w:after="180" w:line="240" w:lineRule="auto"/>
        <w:ind w:left="0" w:right="0" w:firstLine="0"/>
        <w:jc w:val="left"/>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长期资产计提折旧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摊销等</w:t>
      </w:r>
      <w:r>
        <w:rPr>
          <w:rFonts w:ascii="Times New Roman" w:eastAsia="Times New Roman" w:hAnsi="Times New Roman" w:cs="Times New Roman"/>
          <w:color w:val="000000"/>
          <w:spacing w:val="0"/>
          <w:w w:val="100"/>
          <w:position w:val="0"/>
          <w:sz w:val="18"/>
          <w:szCs w:val="18"/>
        </w:rPr>
        <w:t>4,539.89</w:t>
      </w:r>
      <w:r>
        <w:rPr>
          <w:color w:val="000000"/>
          <w:spacing w:val="0"/>
          <w:w w:val="100"/>
          <w:position w:val="0"/>
        </w:rPr>
        <w:t>万元；</w:t>
      </w:r>
    </w:p>
    <w:p>
      <w:pPr>
        <w:pStyle w:val="Style28"/>
        <w:keepNext w:val="0"/>
        <w:keepLines w:val="0"/>
        <w:widowControl w:val="0"/>
        <w:shd w:val="clear" w:color="auto" w:fill="auto"/>
        <w:tabs>
          <w:tab w:pos="445" w:val="left"/>
        </w:tabs>
        <w:bidi w:val="0"/>
        <w:spacing w:before="0" w:after="180" w:line="240" w:lineRule="auto"/>
        <w:ind w:left="0" w:right="0" w:firstLine="0"/>
        <w:jc w:val="left"/>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确认投资收益</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,047.9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8"/>
        <w:keepNext w:val="0"/>
        <w:keepLines w:val="0"/>
        <w:widowControl w:val="0"/>
        <w:shd w:val="clear" w:color="auto" w:fill="auto"/>
        <w:tabs>
          <w:tab w:pos="445" w:val="left"/>
        </w:tabs>
        <w:bidi w:val="0"/>
        <w:spacing w:before="0" w:after="180" w:line="240" w:lineRule="auto"/>
        <w:ind w:left="0" w:right="0" w:firstLine="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递延所得税资产增加</w:t>
      </w:r>
      <w:r>
        <w:rPr>
          <w:rFonts w:ascii="Times New Roman" w:eastAsia="Times New Roman" w:hAnsi="Times New Roman" w:cs="Times New Roman"/>
          <w:color w:val="000000"/>
          <w:spacing w:val="0"/>
          <w:w w:val="100"/>
          <w:position w:val="0"/>
          <w:sz w:val="18"/>
          <w:szCs w:val="18"/>
        </w:rPr>
        <w:t>3,008.62</w:t>
      </w:r>
      <w:r>
        <w:rPr>
          <w:color w:val="000000"/>
          <w:spacing w:val="0"/>
          <w:w w:val="100"/>
          <w:position w:val="0"/>
        </w:rPr>
        <w:t>万元；</w:t>
      </w:r>
    </w:p>
    <w:p>
      <w:pPr>
        <w:pStyle w:val="Style28"/>
        <w:keepNext w:val="0"/>
        <w:keepLines w:val="0"/>
        <w:widowControl w:val="0"/>
        <w:shd w:val="clear" w:color="auto" w:fill="auto"/>
        <w:tabs>
          <w:tab w:pos="445" w:val="left"/>
        </w:tabs>
        <w:bidi w:val="0"/>
        <w:spacing w:before="0" w:after="180" w:line="240" w:lineRule="auto"/>
        <w:ind w:left="0" w:right="0" w:firstLine="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color w:val="000000"/>
          <w:spacing w:val="0"/>
          <w:w w:val="100"/>
          <w:position w:val="0"/>
        </w:rPr>
        <w:t>存货减少</w:t>
      </w:r>
      <w:r>
        <w:rPr>
          <w:rFonts w:ascii="Times New Roman" w:eastAsia="Times New Roman" w:hAnsi="Times New Roman" w:cs="Times New Roman"/>
          <w:color w:val="000000"/>
          <w:spacing w:val="0"/>
          <w:w w:val="100"/>
          <w:position w:val="0"/>
          <w:sz w:val="18"/>
          <w:szCs w:val="18"/>
        </w:rPr>
        <w:t>1,078.27</w:t>
      </w:r>
      <w:r>
        <w:rPr>
          <w:color w:val="000000"/>
          <w:spacing w:val="0"/>
          <w:w w:val="100"/>
          <w:position w:val="0"/>
        </w:rPr>
        <w:t>万元，经营性应收减少</w:t>
      </w:r>
      <w:r>
        <w:rPr>
          <w:rFonts w:ascii="Times New Roman" w:eastAsia="Times New Roman" w:hAnsi="Times New Roman" w:cs="Times New Roman"/>
          <w:color w:val="000000"/>
          <w:spacing w:val="0"/>
          <w:w w:val="100"/>
          <w:position w:val="0"/>
          <w:sz w:val="18"/>
          <w:szCs w:val="18"/>
        </w:rPr>
        <w:t>19,933.82</w:t>
      </w:r>
      <w:r>
        <w:rPr>
          <w:color w:val="000000"/>
          <w:spacing w:val="0"/>
          <w:w w:val="100"/>
          <w:position w:val="0"/>
        </w:rPr>
        <w:t>万元，经营性应付减少</w:t>
      </w:r>
      <w:r>
        <w:rPr>
          <w:color w:val="000000"/>
          <w:spacing w:val="0"/>
          <w:w w:val="100"/>
          <w:position w:val="0"/>
        </w:rPr>
        <w:t>16,976.96</w:t>
      </w:r>
      <w:r>
        <w:rPr>
          <w:color w:val="000000"/>
          <w:spacing w:val="0"/>
          <w:w w:val="100"/>
          <w:position w:val="0"/>
        </w:rPr>
        <w:t>万元；</w:t>
      </w:r>
    </w:p>
    <w:p>
      <w:pPr>
        <w:pStyle w:val="Style28"/>
        <w:keepNext w:val="0"/>
        <w:keepLines w:val="0"/>
        <w:widowControl w:val="0"/>
        <w:shd w:val="clear" w:color="auto" w:fill="auto"/>
        <w:tabs>
          <w:tab w:pos="445" w:val="left"/>
        </w:tabs>
        <w:bidi w:val="0"/>
        <w:spacing w:before="0" w:after="400" w:line="240" w:lineRule="auto"/>
        <w:ind w:left="0" w:right="0" w:firstLine="0"/>
        <w:jc w:val="left"/>
      </w:pPr>
      <w:bookmarkStart w:id="167" w:name="bookmark167"/>
      <w:r>
        <w:rPr>
          <w:color w:val="000000"/>
          <w:spacing w:val="0"/>
          <w:w w:val="100"/>
          <w:position w:val="0"/>
        </w:rPr>
        <w:t>（</w:t>
      </w:r>
      <w:bookmarkEnd w:id="167"/>
      <w:r>
        <w:rPr>
          <w:color w:val="000000"/>
          <w:spacing w:val="0"/>
          <w:w w:val="100"/>
          <w:position w:val="0"/>
        </w:rPr>
        <w:t>6）</w:t>
        <w:tab/>
      </w:r>
      <w:r>
        <w:rPr>
          <w:color w:val="000000"/>
          <w:spacing w:val="0"/>
          <w:w w:val="100"/>
          <w:position w:val="0"/>
        </w:rPr>
        <w:t>其他不影响经营活动现金流量但影响净利润的项目合计</w:t>
      </w:r>
      <w:r>
        <w:rPr>
          <w:rFonts w:ascii="Times New Roman" w:eastAsia="Times New Roman" w:hAnsi="Times New Roman" w:cs="Times New Roman"/>
          <w:color w:val="000000"/>
          <w:spacing w:val="0"/>
          <w:w w:val="100"/>
          <w:position w:val="0"/>
          <w:sz w:val="18"/>
          <w:szCs w:val="18"/>
        </w:rPr>
        <w:t>1,373.67</w:t>
      </w:r>
      <w:r>
        <w:rPr>
          <w:color w:val="000000"/>
          <w:spacing w:val="0"/>
          <w:w w:val="100"/>
          <w:position w:val="0"/>
        </w:rPr>
        <w:t>万元。</w:t>
      </w:r>
    </w:p>
    <w:p>
      <w:pPr>
        <w:pStyle w:val="Style24"/>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五</w:t>
      </w:r>
      <w:bookmarkEnd w:id="170"/>
      <w:r>
        <w:rPr>
          <w:color w:val="000000"/>
          <w:spacing w:val="0"/>
          <w:w w:val="100"/>
          <w:position w:val="0"/>
          <w:sz w:val="24"/>
          <w:szCs w:val="24"/>
        </w:rPr>
        <w:t>、非主营业务分析</w:t>
      </w:r>
      <w:bookmarkEnd w:id="168"/>
      <w:bookmarkEnd w:id="169"/>
      <w:bookmarkEnd w:id="171"/>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454"/>
        <w:gridCol w:w="1560"/>
        <w:gridCol w:w="3226"/>
        <w:gridCol w:w="181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10,479,050.02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主要系对联营企业股权投资产生的投资 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主要系银行理财产品产生的浮动收益。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-111,865,582.72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主要系公司计提的存货跌价准备、镓华微 股权减值。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1,449,331.75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主要系供应商赔偿款。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6,190,473.81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主要系诉讼赔偿金及罚款。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454"/>
        <w:gridCol w:w="1560"/>
        <w:gridCol w:w="3226"/>
        <w:gridCol w:w="18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39,894,302.64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主要系增值税软件退税和与日常经营活 动相关的政府补助。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增值税软件退税可持 续，其他不可持续。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-13,229,889.26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主要系公司计提的坏账准备。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六</w:t>
      </w:r>
      <w:bookmarkEnd w:id="174"/>
      <w:r>
        <w:rPr>
          <w:color w:val="000000"/>
          <w:spacing w:val="0"/>
          <w:w w:val="100"/>
          <w:position w:val="0"/>
          <w:sz w:val="24"/>
          <w:szCs w:val="24"/>
        </w:rPr>
        <w:t>、资产及负债状况分析</w:t>
      </w:r>
      <w:bookmarkEnd w:id="172"/>
      <w:bookmarkEnd w:id="173"/>
      <w:bookmarkEnd w:id="175"/>
    </w:p>
    <w:p>
      <w:pPr>
        <w:pStyle w:val="Style31"/>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416"/>
        <w:gridCol w:w="854"/>
        <w:gridCol w:w="1560"/>
        <w:gridCol w:w="850"/>
        <w:gridCol w:w="850"/>
        <w:gridCol w:w="249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875,287,524.62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1,464,649,007.64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主要系报告期派发现金股利， 及购买银行理财产品所致。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293,807,669.06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447,984,243.82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主要系业务规模下降，应收账 款相应下降所致。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30,510,048.59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75,766,978.37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主要系业务规模下降，合同资 产相应下降所致。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149,253,050.34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258,050,591.97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主要系业务规模下降，材料消 耗未达预期，计提存货跌价所 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16,801,496.29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主要系自有物业出租，固定资 产转投资性房地产核算所致。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70,947,719.57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主要系新增参股公司投资所 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272,450,289.34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349,242,961.37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主要系自有物业出租，固定资 产转投资性房地产核算，及青 岛金溢房产进行大型修缮，转 在建工程核算所致。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57,370,992.77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主要系青岛房产进行大型修 缮，转入在建工程核算所致。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24,288,265.80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42,928,376.57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42,463,919.26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33,350,432.85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17,192,202.24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28,779,369.60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300,768,801.39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主要系本期购买的银行理财 产品在交易性金融资产核算 所致。</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171"/>
        <w:gridCol w:w="1013"/>
        <w:gridCol w:w="1258"/>
        <w:gridCol w:w="922"/>
        <w:gridCol w:w="1205"/>
        <w:gridCol w:w="1277"/>
        <w:gridCol w:w="422"/>
        <w:gridCol w:w="12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300,768,801.39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319,710,429.78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274,890,000.00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319,710,429.78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575,658,801.39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319,710,429.78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575,658,801.39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其他变动的内容：无。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4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tbl>
      <w:tblPr>
        <w:tblOverlap w:val="never"/>
        <w:jc w:val="center"/>
        <w:tblLayout w:type="fixed"/>
      </w:tblPr>
      <w:tblGrid>
        <w:gridCol w:w="2462"/>
        <w:gridCol w:w="3341"/>
        <w:gridCol w:w="387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财政资金监管户、保证金等</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七</w:t>
      </w:r>
      <w:bookmarkEnd w:id="190"/>
      <w:r>
        <w:rPr>
          <w:color w:val="000000"/>
          <w:spacing w:val="0"/>
          <w:w w:val="100"/>
          <w:position w:val="0"/>
          <w:sz w:val="24"/>
          <w:szCs w:val="24"/>
        </w:rPr>
        <w:t>、投资状况分析</w:t>
      </w:r>
      <w:bookmarkEnd w:id="188"/>
      <w:bookmarkEnd w:id="189"/>
      <w:bookmarkEnd w:id="191"/>
    </w:p>
    <w:p>
      <w:pPr>
        <w:pStyle w:val="Style31"/>
        <w:keepNext/>
        <w:keepLines/>
        <w:widowControl w:val="0"/>
        <w:shd w:val="clear" w:color="auto" w:fill="auto"/>
        <w:bidi w:val="0"/>
        <w:spacing w:before="0" w:after="34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139,389,642.76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40,527,573.02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243.94%</w:t>
            </w:r>
          </w:p>
        </w:tc>
      </w:tr>
    </w:tbl>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45" w:right="1068" w:bottom="1455" w:left="1059" w:header="0" w:footer="3" w:gutter="0"/>
          <w:cols w:space="720"/>
          <w:noEndnote/>
          <w:rtlGutter w:val="0"/>
          <w:docGrid w:linePitch="360"/>
        </w:sectPr>
      </w:pPr>
      <w:r>
        <w:rPr>
          <w:color w:val="000000"/>
          <w:spacing w:val="0"/>
          <w:w w:val="100"/>
          <w:position w:val="0"/>
        </w:rPr>
        <w:t>注：报告期内发生股权投资额为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亿元，发生非股权投资额</w:t>
      </w:r>
      <w:r>
        <w:rPr>
          <w:rFonts w:ascii="Times New Roman" w:eastAsia="Times New Roman" w:hAnsi="Times New Roman" w:cs="Times New Roman"/>
          <w:color w:val="000000"/>
          <w:spacing w:val="0"/>
          <w:w w:val="100"/>
          <w:position w:val="0"/>
          <w:sz w:val="18"/>
          <w:szCs w:val="18"/>
        </w:rPr>
        <w:t>1,938.96</w:t>
      </w:r>
      <w:r>
        <w:rPr>
          <w:color w:val="000000"/>
          <w:spacing w:val="0"/>
          <w:w w:val="100"/>
          <w:position w:val="0"/>
        </w:rPr>
        <w:t>万元（主要包括信息系统建设及在建工程投入）。</w:t>
      </w:r>
    </w:p>
    <w:p>
      <w:pPr>
        <w:pStyle w:val="Style31"/>
        <w:keepNext/>
        <w:keepLines/>
        <w:widowControl w:val="0"/>
        <w:shd w:val="clear" w:color="auto" w:fill="auto"/>
        <w:bidi w:val="0"/>
        <w:spacing w:before="0" w:after="3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946"/>
        <w:gridCol w:w="2779"/>
        <w:gridCol w:w="427"/>
        <w:gridCol w:w="1421"/>
        <w:gridCol w:w="706"/>
        <w:gridCol w:w="566"/>
        <w:gridCol w:w="566"/>
        <w:gridCol w:w="710"/>
        <w:gridCol w:w="850"/>
        <w:gridCol w:w="994"/>
        <w:gridCol w:w="710"/>
        <w:gridCol w:w="989"/>
        <w:gridCol w:w="494"/>
        <w:gridCol w:w="936"/>
        <w:gridCol w:w="94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截至资产负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债表日的进</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展情况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本期投资盈 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深圳镓华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微电子有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电子科技、半导体科技领域内的技 术开发、技术咨询、技术服务、技 术转让，商务信息咨询，企业管理 咨询，市场营销策划，电子元器件 的制造、加工（以上限分支机构经 营）；半导体设备、机电设备、电子 元器件的批发、佣金代理（拍卖除 外），进出口及其相关配套服务，依 托第三方平台开展电子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半导体产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股权产权登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r>
              <w:rPr>
                <w:rFonts w:ascii="Times New Roman" w:eastAsia="Times New Roman" w:hAnsi="Times New Roman" w:cs="Times New Roman"/>
                <w:color w:val="000000"/>
                <w:spacing w:val="0"/>
                <w:w w:val="100"/>
                <w:position w:val="0"/>
                <w:sz w:val="18"/>
                <w:szCs w:val="18"/>
              </w:rPr>
              <w:t xml:space="preserve"> w.cninfo.co m.cn</w:t>
            </w:r>
            <w:r>
              <w:rPr>
                <w:color w:val="000000"/>
                <w:spacing w:val="0"/>
                <w:w w:val="100"/>
                <w:position w:val="0"/>
              </w:rPr>
              <w:t>）</w:t>
            </w:r>
            <w:r>
              <w:rPr>
                <w:color w:val="000000"/>
                <w:spacing w:val="0"/>
                <w:w w:val="100"/>
                <w:position w:val="0"/>
              </w:rPr>
              <w:t xml:space="preserve">《关 于对外投 资进展暨 仲裁的公 告》（公告 编号： </w:t>
            </w:r>
            <w:r>
              <w:rPr>
                <w:rFonts w:ascii="Times New Roman" w:eastAsia="Times New Roman" w:hAnsi="Times New Roman" w:cs="Times New Roman"/>
                <w:color w:val="000000"/>
                <w:spacing w:val="0"/>
                <w:w w:val="100"/>
                <w:position w:val="0"/>
                <w:sz w:val="18"/>
                <w:szCs w:val="18"/>
              </w:rPr>
              <w:t>2022-003</w:t>
            </w:r>
            <w:r>
              <w:rPr>
                <w:color w:val="000000"/>
                <w:spacing w:val="0"/>
                <w:w w:val="100"/>
                <w:position w:val="0"/>
              </w:rPr>
              <w:t>）</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深圳市金 溢智慧城 市科技有</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智慧停车系统平台、硬件的研发、 销售、维护；数据库及计算机网络 服务、计算机软硬件、信息系统、 智能网联系统集成、人工智能设备、 </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标签、电子终端 设备、车牌识别系统、智能车载终 端、停车场出入口设备、通信技术、 通讯设备的技术开发和销售；立体 停车库、机械自动停车库的技术开 发、销售；智慧城市、智能交通、 智慧停车、互联网、物联网相关的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股权产权登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833,489.31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r>
    </w:tbl>
    <w:tbl>
      <w:tblPr>
        <w:tblOverlap w:val="never"/>
        <w:jc w:val="center"/>
        <w:tblLayout w:type="fixed"/>
      </w:tblPr>
      <w:tblGrid>
        <w:gridCol w:w="946"/>
        <w:gridCol w:w="2779"/>
        <w:gridCol w:w="427"/>
        <w:gridCol w:w="1421"/>
        <w:gridCol w:w="706"/>
        <w:gridCol w:w="566"/>
        <w:gridCol w:w="566"/>
        <w:gridCol w:w="710"/>
        <w:gridCol w:w="850"/>
        <w:gridCol w:w="994"/>
        <w:gridCol w:w="710"/>
        <w:gridCol w:w="989"/>
        <w:gridCol w:w="494"/>
        <w:gridCol w:w="936"/>
        <w:gridCol w:w="941"/>
      </w:tblGrid>
      <w:tr>
        <w:trPr>
          <w:trHeight w:val="3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技术服务、及相关软硬件的开发及 销售、运营及提供信息化解决方案、 集成应用与技术服务；物业管理； 智慧城市、智能交通、智慧停车、 互联网、物联网相关的工程专业承 包及相关项目投资（具体投资项目 另行申报）；国内贸易；货物及技术 进出口业务。（依法须经批准的项 目，经相关部门批准后方可开展经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833,489.31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金融资产投资</w:t>
      </w:r>
      <w:bookmarkEnd w:id="204"/>
      <w:bookmarkEnd w:id="205"/>
      <w:bookmarkEnd w:id="207"/>
    </w:p>
    <w:p>
      <w:pPr>
        <w:pStyle w:val="Style42"/>
        <w:keepNext/>
        <w:keepLines/>
        <w:widowControl w:val="0"/>
        <w:shd w:val="clear" w:color="auto" w:fill="auto"/>
        <w:tabs>
          <w:tab w:pos="488" w:val="left"/>
        </w:tabs>
        <w:bidi w:val="0"/>
        <w:spacing w:before="0" w:after="40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8"/>
      <w:bookmarkEnd w:id="209"/>
      <w:bookmarkEnd w:id="211"/>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公司报告期不存在证券投资。</w:t>
      </w:r>
    </w:p>
    <w:p>
      <w:pPr>
        <w:pStyle w:val="Style42"/>
        <w:keepNext/>
        <w:keepLines/>
        <w:widowControl w:val="0"/>
        <w:shd w:val="clear" w:color="auto" w:fill="auto"/>
        <w:tabs>
          <w:tab w:pos="488" w:val="left"/>
        </w:tabs>
        <w:bidi w:val="0"/>
        <w:spacing w:before="0" w:after="40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2"/>
      <w:bookmarkEnd w:id="213"/>
      <w:bookmarkEnd w:id="215"/>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公司报告期不存在衍生品投资。</w:t>
      </w:r>
    </w:p>
    <w:p>
      <w:pPr>
        <w:pStyle w:val="Style31"/>
        <w:keepNext/>
        <w:keepLines/>
        <w:widowControl w:val="0"/>
        <w:shd w:val="clear" w:color="auto" w:fill="auto"/>
        <w:bidi w:val="0"/>
        <w:spacing w:before="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、募集资金使用情况</w:t>
      </w:r>
      <w:bookmarkEnd w:id="216"/>
      <w:bookmarkEnd w:id="217"/>
      <w:bookmarkEnd w:id="219"/>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公司报告期无募集资金使用情况。</w:t>
      </w:r>
    </w:p>
    <w:p>
      <w:pPr>
        <w:pStyle w:val="Style24"/>
        <w:keepNext/>
        <w:keepLines/>
        <w:widowControl w:val="0"/>
        <w:shd w:val="clear" w:color="auto" w:fill="auto"/>
        <w:bidi w:val="0"/>
        <w:spacing w:before="0" w:after="400" w:line="240" w:lineRule="auto"/>
        <w:ind w:left="0" w:right="0" w:firstLine="0"/>
        <w:jc w:val="both"/>
      </w:pPr>
      <w:bookmarkStart w:id="220" w:name="bookmark220"/>
      <w:bookmarkStart w:id="221" w:name="bookmark221"/>
      <w:bookmarkStart w:id="222" w:name="bookmark222"/>
      <w:bookmarkStart w:id="223" w:name="bookmark223"/>
      <w:r>
        <w:rPr>
          <w:color w:val="000000"/>
          <w:spacing w:val="0"/>
          <w:w w:val="100"/>
          <w:position w:val="0"/>
          <w:sz w:val="24"/>
          <w:szCs w:val="24"/>
        </w:rPr>
        <w:t>八</w:t>
      </w:r>
      <w:bookmarkEnd w:id="222"/>
      <w:r>
        <w:rPr>
          <w:color w:val="000000"/>
          <w:spacing w:val="0"/>
          <w:w w:val="100"/>
          <w:position w:val="0"/>
          <w:sz w:val="24"/>
          <w:szCs w:val="24"/>
        </w:rPr>
        <w:t>、重大资产和股权出售</w:t>
      </w:r>
      <w:bookmarkEnd w:id="220"/>
      <w:bookmarkEnd w:id="221"/>
      <w:bookmarkEnd w:id="223"/>
    </w:p>
    <w:p>
      <w:pPr>
        <w:pStyle w:val="Style31"/>
        <w:keepNext/>
        <w:keepLines/>
        <w:widowControl w:val="0"/>
        <w:shd w:val="clear" w:color="auto" w:fill="auto"/>
        <w:tabs>
          <w:tab w:pos="368" w:val="left"/>
        </w:tabs>
        <w:bidi w:val="0"/>
        <w:spacing w:before="0" w:line="240" w:lineRule="auto"/>
        <w:ind w:left="0" w:right="0" w:firstLine="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t>出售重大资产情况</w:t>
      </w:r>
      <w:bookmarkEnd w:id="224"/>
      <w:bookmarkEnd w:id="225"/>
      <w:bookmarkEnd w:id="227"/>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line="240" w:lineRule="auto"/>
        <w:ind w:left="0" w:right="0" w:firstLine="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出售重大股权情况</w:t>
      </w:r>
      <w:bookmarkEnd w:id="228"/>
      <w:bookmarkEnd w:id="229"/>
      <w:bookmarkEnd w:id="231"/>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71"/>
        <w:gridCol w:w="1138"/>
        <w:gridCol w:w="706"/>
        <w:gridCol w:w="638"/>
        <w:gridCol w:w="782"/>
        <w:gridCol w:w="1704"/>
        <w:gridCol w:w="845"/>
        <w:gridCol w:w="566"/>
        <w:gridCol w:w="427"/>
        <w:gridCol w:w="706"/>
        <w:gridCol w:w="566"/>
        <w:gridCol w:w="994"/>
        <w:gridCol w:w="850"/>
        <w:gridCol w:w="2942"/>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本期初起</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股权出售 为上市公 司贡献的 净利润占 净利润总 额的比例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是否按计划</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1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被出售股权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至出售日 该股权为 上市公司 贡献的净 利润（万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出售对公司的影响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100" w:after="0" w:line="309" w:lineRule="exact"/>
              <w:ind w:left="0" w:right="0" w:firstLine="0"/>
              <w:jc w:val="left"/>
            </w:pPr>
            <w:r>
              <w:rPr>
                <w:color w:val="000000"/>
                <w:spacing w:val="0"/>
                <w:w w:val="100"/>
                <w:position w:val="0"/>
              </w:rPr>
              <w:t>股权 出售 定价 原则</w:t>
            </w:r>
          </w:p>
        </w:tc>
        <w:tc>
          <w:tcPr>
            <w:tcBorders>
              <w:left w:val="single" w:sz="4"/>
            </w:tcBorders>
            <w:shd w:val="clear" w:color="auto" w:fill="D3D3D3"/>
            <w:vAlign w:val="top"/>
          </w:tcPr>
          <w:p>
            <w:pPr>
              <w:pStyle w:val="Style2"/>
              <w:keepNext w:val="0"/>
              <w:keepLines w:val="0"/>
              <w:widowControl w:val="0"/>
              <w:shd w:val="clear" w:color="auto" w:fill="auto"/>
              <w:bidi w:val="0"/>
              <w:spacing w:before="100" w:after="0" w:line="310" w:lineRule="exact"/>
              <w:ind w:left="0" w:right="0" w:firstLine="0"/>
              <w:jc w:val="both"/>
            </w:pPr>
            <w:r>
              <w:rPr>
                <w:color w:val="000000"/>
                <w:spacing w:val="0"/>
                <w:w w:val="100"/>
                <w:position w:val="0"/>
              </w:rPr>
              <w:t>是否 为关 联交 易</w:t>
            </w:r>
          </w:p>
        </w:tc>
        <w:tc>
          <w:tcPr>
            <w:tcBorders>
              <w:left w:val="single" w:sz="4"/>
            </w:tcBorders>
            <w:shd w:val="clear" w:color="auto" w:fill="D3D3D3"/>
            <w:vAlign w:val="top"/>
          </w:tcPr>
          <w:p>
            <w:pPr>
              <w:pStyle w:val="Style2"/>
              <w:keepNext w:val="0"/>
              <w:keepLines w:val="0"/>
              <w:widowControl w:val="0"/>
              <w:shd w:val="clear" w:color="auto" w:fill="auto"/>
              <w:bidi w:val="0"/>
              <w:spacing w:before="100" w:after="0" w:line="310" w:lineRule="exact"/>
              <w:ind w:left="0" w:right="0" w:firstLine="0"/>
              <w:jc w:val="center"/>
            </w:pPr>
            <w:r>
              <w:rPr>
                <w:color w:val="000000"/>
                <w:spacing w:val="0"/>
                <w:w w:val="100"/>
                <w:position w:val="0"/>
              </w:rPr>
              <w:t>与交易 对方的 关联关 系</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及的 股权 是否 已全 部过 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如期实施，</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如未按计划 实施，应当 说明原因及 公司已采取 的措施</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披露索引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青岛山高智远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私募股权投资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基金合伙企业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山东高速信联 科技股份有限 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采用金融工具准则计 量，收益部分直接计 入未分配利润，对利 润无影响。对本公司 业务无影响。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《关于出</w:t>
            </w:r>
            <w:r>
              <w:rPr>
                <w:color w:val="000000"/>
                <w:spacing w:val="0"/>
                <w:w w:val="100"/>
                <w:position w:val="0"/>
              </w:rPr>
              <w:t xml:space="preserve"> 售参股公司部分股权的公告》（公告 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）及《关于出售参股 公司部分股权的进展公告》（公告编 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tc>
      </w:tr>
    </w:tbl>
    <w:p>
      <w:pPr>
        <w:sectPr>
          <w:footnotePr>
            <w:pos w:val="pageBottom"/>
            <w:numFmt w:val="decimal"/>
            <w:numRestart w:val="continuous"/>
          </w:footnotePr>
          <w:pgSz w:w="16840" w:h="11900" w:orient="landscape"/>
          <w:pgMar w:top="1129" w:right="1402" w:bottom="1267" w:left="1402" w:header="0" w:footer="3" w:gutter="0"/>
          <w:cols w:space="720"/>
          <w:noEndnote/>
          <w:rtlGutter w:val="0"/>
          <w:docGrid w:linePitch="360"/>
        </w:sectPr>
      </w:pPr>
    </w:p>
    <w:p>
      <w:pPr>
        <w:pStyle w:val="Style24"/>
        <w:keepNext/>
        <w:keepLines/>
        <w:widowControl w:val="0"/>
        <w:shd w:val="clear" w:color="auto" w:fill="auto"/>
        <w:bidi w:val="0"/>
        <w:spacing w:before="100" w:after="3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九</w:t>
      </w:r>
      <w:bookmarkEnd w:id="234"/>
      <w:r>
        <w:rPr>
          <w:color w:val="000000"/>
          <w:spacing w:val="0"/>
          <w:w w:val="100"/>
          <w:position w:val="0"/>
          <w:sz w:val="24"/>
          <w:szCs w:val="24"/>
        </w:rPr>
        <w:t>、主要控股参股公司分析</w:t>
      </w:r>
      <w:bookmarkEnd w:id="232"/>
      <w:bookmarkEnd w:id="233"/>
      <w:bookmarkEnd w:id="235"/>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93"/>
        <w:gridCol w:w="485"/>
        <w:gridCol w:w="960"/>
        <w:gridCol w:w="1027"/>
        <w:gridCol w:w="1334"/>
        <w:gridCol w:w="1339"/>
        <w:gridCol w:w="1344"/>
        <w:gridCol w:w="1162"/>
        <w:gridCol w:w="117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佛山金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溢科技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全 资 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生产、销 售 </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等智 慧高速、 智慧城 市、智慧 网联业务 相关产品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446,114,975.39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314,818,970.78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156,042,529.70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7,238,038.58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6,240,536.22</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深圳市 金溢智 慧城市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全 资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市、智能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交通相关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38,344,919.44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30,828,501.98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22,238,584.07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1,104,669.31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828,501.98</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广东华信金溢信息技术有限公司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破产清算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青岛经溢园区运营管理有限公司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主要控股参股公司情况说明：无。</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r>
        <w:rPr>
          <w:color w:val="000000"/>
          <w:spacing w:val="0"/>
          <w:w w:val="100"/>
          <w:position w:val="0"/>
          <w:sz w:val="24"/>
          <w:szCs w:val="24"/>
        </w:rPr>
        <w:t>十、公司控制的结构化主体情况</w:t>
      </w:r>
      <w:bookmarkEnd w:id="236"/>
      <w:bookmarkEnd w:id="237"/>
      <w:bookmarkEnd w:id="238"/>
    </w:p>
    <w:p>
      <w:pPr>
        <w:pStyle w:val="Style28"/>
        <w:keepNext w:val="0"/>
        <w:keepLines w:val="0"/>
        <w:widowControl w:val="0"/>
        <w:shd w:val="clear" w:color="auto" w:fill="auto"/>
        <w:bidi w:val="0"/>
        <w:spacing w:before="0" w:after="160" w:line="45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left"/>
      </w:pPr>
      <w:bookmarkStart w:id="239" w:name="bookmark239"/>
      <w:bookmarkStart w:id="240" w:name="bookmark240"/>
      <w:bookmarkStart w:id="241" w:name="bookmark241"/>
      <w:r>
        <w:rPr>
          <w:color w:val="000000"/>
          <w:spacing w:val="0"/>
          <w:w w:val="100"/>
          <w:position w:val="0"/>
          <w:sz w:val="24"/>
          <w:szCs w:val="24"/>
        </w:rPr>
        <w:t>十一、公司未来发展的展望</w:t>
      </w:r>
      <w:bookmarkEnd w:id="239"/>
      <w:bookmarkEnd w:id="240"/>
      <w:bookmarkEnd w:id="241"/>
    </w:p>
    <w:p>
      <w:pPr>
        <w:pStyle w:val="Style28"/>
        <w:keepNext w:val="0"/>
        <w:keepLines w:val="0"/>
        <w:widowControl w:val="0"/>
        <w:shd w:val="clear" w:color="auto" w:fill="auto"/>
        <w:bidi w:val="0"/>
        <w:spacing w:before="0" w:after="0" w:line="394" w:lineRule="exact"/>
        <w:ind w:left="0" w:right="0" w:firstLine="380"/>
        <w:jc w:val="both"/>
      </w:pPr>
      <w:bookmarkStart w:id="242" w:name="bookmark242"/>
      <w:r>
        <w:rPr>
          <w:b/>
          <w:bCs/>
          <w:color w:val="000000"/>
          <w:spacing w:val="0"/>
          <w:w w:val="100"/>
          <w:position w:val="0"/>
        </w:rPr>
        <w:t>（</w:t>
      </w:r>
      <w:bookmarkEnd w:id="242"/>
      <w:r>
        <w:rPr>
          <w:b/>
          <w:bCs/>
          <w:color w:val="000000"/>
          <w:spacing w:val="0"/>
          <w:w w:val="100"/>
          <w:position w:val="0"/>
        </w:rPr>
        <w:t>一）公司未来发展规划</w:t>
      </w:r>
    </w:p>
    <w:p>
      <w:pPr>
        <w:pStyle w:val="Style28"/>
        <w:keepNext w:val="0"/>
        <w:keepLines w:val="0"/>
        <w:widowControl w:val="0"/>
        <w:shd w:val="clear" w:color="auto" w:fill="auto"/>
        <w:bidi w:val="0"/>
        <w:spacing w:before="0" w:after="0" w:line="394" w:lineRule="exact"/>
        <w:ind w:left="0" w:right="0" w:firstLine="380"/>
        <w:jc w:val="both"/>
      </w:pPr>
      <w:bookmarkStart w:id="243" w:name="bookmark243"/>
      <w:r>
        <w:rPr>
          <w:rFonts w:ascii="Times New Roman" w:eastAsia="Times New Roman" w:hAnsi="Times New Roman" w:cs="Times New Roman"/>
          <w:b/>
          <w:bCs/>
          <w:color w:val="000000"/>
          <w:spacing w:val="0"/>
          <w:w w:val="100"/>
          <w:position w:val="0"/>
          <w:sz w:val="18"/>
          <w:szCs w:val="18"/>
        </w:rPr>
        <w:t>1</w:t>
      </w:r>
      <w:bookmarkEnd w:id="243"/>
      <w:r>
        <w:rPr>
          <w:b/>
          <w:bCs/>
          <w:color w:val="000000"/>
          <w:spacing w:val="0"/>
          <w:w w:val="100"/>
          <w:position w:val="0"/>
        </w:rPr>
        <w:t>、持续推进标准升级，打造驱动车</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路协同发展的新引擎</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公司将结合国家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规划纲要及交通行业发展趋势，积极布局引领建设各类智慧交通领域标准，包括</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拓展应用、 车路协同（</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w:t>
      </w:r>
      <w:r>
        <w:rPr>
          <w:color w:val="000000"/>
          <w:spacing w:val="0"/>
          <w:w w:val="100"/>
          <w:position w:val="0"/>
        </w:rPr>
        <w:t>、智慧公路等标准，并持续推进标准升级。</w:t>
      </w:r>
    </w:p>
    <w:p>
      <w:pPr>
        <w:pStyle w:val="Style28"/>
        <w:keepNext w:val="0"/>
        <w:keepLines w:val="0"/>
        <w:widowControl w:val="0"/>
        <w:shd w:val="clear" w:color="auto" w:fill="auto"/>
        <w:bidi w:val="0"/>
        <w:spacing w:before="0" w:after="160" w:line="394" w:lineRule="exact"/>
        <w:ind w:left="0" w:right="0" w:firstLine="38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拓展应用可以快速盘活</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存量用户，迅速构建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利旧衔接，面向未来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的车路协同基础设施体系。只有先行探索其 运营管理和商业模式，才能抢抓时间窗口，推动车路协同产业落地；</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由于其更加多元化的车路协同应用场景，尤其是</w:t>
      </w:r>
    </w:p>
    <w:p>
      <w:pPr>
        <w:pStyle w:val="Style28"/>
        <w:keepNext w:val="0"/>
        <w:keepLines w:val="0"/>
        <w:widowControl w:val="0"/>
        <w:shd w:val="clear" w:color="auto" w:fill="auto"/>
        <w:bidi w:val="0"/>
        <w:spacing w:before="0" w:after="0" w:line="393" w:lineRule="exact"/>
        <w:ind w:left="0" w:right="0" w:firstLine="0"/>
        <w:jc w:val="left"/>
      </w:pPr>
      <w:r>
        <w:rPr>
          <w:rFonts w:ascii="Times New Roman" w:eastAsia="Times New Roman" w:hAnsi="Times New Roman" w:cs="Times New Roman"/>
          <w:color w:val="000000"/>
          <w:spacing w:val="0"/>
          <w:w w:val="100"/>
          <w:position w:val="0"/>
          <w:sz w:val="18"/>
          <w:szCs w:val="18"/>
        </w:rPr>
        <w:t>V2V</w:t>
      </w:r>
      <w:r>
        <w:rPr>
          <w:color w:val="000000"/>
          <w:spacing w:val="0"/>
          <w:w w:val="100"/>
          <w:position w:val="0"/>
        </w:rPr>
        <w:t>场景，以其低时延、高可靠性、大速率、大容量等优异性能，对于自动驾驶具有更高的商用价值，预计将是未来车路协 同的重要发展方向。</w:t>
      </w:r>
    </w:p>
    <w:p>
      <w:pPr>
        <w:pStyle w:val="Style28"/>
        <w:keepNext w:val="0"/>
        <w:keepLines w:val="0"/>
        <w:widowControl w:val="0"/>
        <w:shd w:val="clear" w:color="auto" w:fill="auto"/>
        <w:bidi w:val="0"/>
        <w:spacing w:before="0" w:after="0" w:line="393" w:lineRule="exact"/>
        <w:ind w:left="0" w:right="0" w:firstLine="380"/>
        <w:jc w:val="left"/>
      </w:pPr>
      <w:bookmarkStart w:id="244" w:name="bookmark244"/>
      <w:r>
        <w:rPr>
          <w:rFonts w:ascii="Times New Roman" w:eastAsia="Times New Roman" w:hAnsi="Times New Roman" w:cs="Times New Roman"/>
          <w:b/>
          <w:bCs/>
          <w:color w:val="000000"/>
          <w:spacing w:val="0"/>
          <w:w w:val="100"/>
          <w:position w:val="0"/>
          <w:sz w:val="18"/>
          <w:szCs w:val="18"/>
        </w:rPr>
        <w:t>2</w:t>
      </w:r>
      <w:bookmarkEnd w:id="244"/>
      <w:r>
        <w:rPr>
          <w:b/>
          <w:bCs/>
          <w:color w:val="000000"/>
          <w:spacing w:val="0"/>
          <w:w w:val="100"/>
          <w:position w:val="0"/>
        </w:rPr>
        <w:t>、深入推进业务升级，由单一产品的提供商转向以解决方案带动系统和产品销售的综合服务商</w:t>
      </w:r>
    </w:p>
    <w:p>
      <w:pPr>
        <w:pStyle w:val="Style28"/>
        <w:keepNext w:val="0"/>
        <w:keepLines w:val="0"/>
        <w:widowControl w:val="0"/>
        <w:shd w:val="clear" w:color="auto" w:fill="auto"/>
        <w:bidi w:val="0"/>
        <w:spacing w:before="0" w:after="0" w:line="39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月，交通运输部印发了《加快推进高速公路联网收费系统优化升级实施方案》，明确提出探索站级收费系统标 准化建设。研究新一代收费站站级系统建设标准，选择具备条件的收费站开展新一代站级收费系统建设试点工作，逐步推动 收费站向标准化、智能化、自动化方向发展。随着智能交通行业的不断演化发展，公司将深入推进业务升级，推动公司从单 一产品供应商转向以解决方案带动系统和产品销售的综合服务商转型，打造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核心产品服务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的业务模式。</w:t>
      </w:r>
    </w:p>
    <w:p>
      <w:pPr>
        <w:pStyle w:val="Style28"/>
        <w:keepNext w:val="0"/>
        <w:keepLines w:val="0"/>
        <w:widowControl w:val="0"/>
        <w:shd w:val="clear" w:color="auto" w:fill="auto"/>
        <w:tabs>
          <w:tab w:pos="861" w:val="left"/>
        </w:tabs>
        <w:bidi w:val="0"/>
        <w:spacing w:before="0" w:after="0" w:line="393" w:lineRule="exact"/>
        <w:ind w:left="0" w:right="0" w:firstLine="380"/>
        <w:jc w:val="both"/>
      </w:pPr>
      <w:bookmarkStart w:id="245" w:name="bookmark245"/>
      <w:r>
        <w:rPr>
          <w:b/>
          <w:bCs/>
          <w:color w:val="000000"/>
          <w:spacing w:val="0"/>
          <w:w w:val="100"/>
          <w:position w:val="0"/>
        </w:rPr>
        <w:t>（</w:t>
      </w:r>
      <w:bookmarkEnd w:id="245"/>
      <w:r>
        <w:rPr>
          <w:b/>
          <w:bCs/>
          <w:color w:val="000000"/>
          <w:spacing w:val="0"/>
          <w:w w:val="100"/>
          <w:position w:val="0"/>
        </w:rPr>
        <w:t>二）</w:t>
        <w:tab/>
        <w:t>公司</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年度经营计划</w:t>
      </w:r>
    </w:p>
    <w:p>
      <w:pPr>
        <w:pStyle w:val="Style28"/>
        <w:keepNext w:val="0"/>
        <w:keepLines w:val="0"/>
        <w:widowControl w:val="0"/>
        <w:shd w:val="clear" w:color="auto" w:fill="auto"/>
        <w:tabs>
          <w:tab w:pos="664" w:val="left"/>
        </w:tabs>
        <w:bidi w:val="0"/>
        <w:spacing w:before="0" w:after="0" w:line="393" w:lineRule="exact"/>
        <w:ind w:left="0" w:right="0" w:firstLine="380"/>
        <w:jc w:val="both"/>
      </w:pPr>
      <w:bookmarkStart w:id="246" w:name="bookmark246"/>
      <w:r>
        <w:rPr>
          <w:rFonts w:ascii="Times New Roman" w:eastAsia="Times New Roman" w:hAnsi="Times New Roman" w:cs="Times New Roman"/>
          <w:b/>
          <w:bCs/>
          <w:color w:val="000000"/>
          <w:spacing w:val="0"/>
          <w:w w:val="100"/>
          <w:position w:val="0"/>
          <w:sz w:val="18"/>
          <w:szCs w:val="18"/>
        </w:rPr>
        <w:t>1</w:t>
      </w:r>
      <w:bookmarkEnd w:id="246"/>
      <w:r>
        <w:rPr>
          <w:b/>
          <w:bCs/>
          <w:color w:val="000000"/>
          <w:spacing w:val="0"/>
          <w:w w:val="100"/>
          <w:position w:val="0"/>
        </w:rPr>
        <w:t>、</w:t>
        <w:tab/>
        <w:t>积极主导参与行业标准建设，充分发挥公司在标准化建设中的主体作用</w:t>
      </w:r>
    </w:p>
    <w:p>
      <w:pPr>
        <w:pStyle w:val="Style28"/>
        <w:keepNext w:val="0"/>
        <w:keepLines w:val="0"/>
        <w:widowControl w:val="0"/>
        <w:shd w:val="clear" w:color="auto" w:fill="auto"/>
        <w:bidi w:val="0"/>
        <w:spacing w:before="0" w:after="0" w:line="393"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年，为进一步落实国家和行业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智慧公路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、广东省交通运输厅《广东省数字交通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发展规划》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深化高速公路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拓展应用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等发展战略，作为交通运输部智能车路协同关键技术及装备行业研发中心和交通强国建设试点， 公司将以交通运输行业发展及市场需求为导向，采取团体标准、行业标准、国家标准等三位一体的标准化工作机制，紧紧围 绕</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扩展应用、车路协同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w:t>
      </w:r>
      <w:r>
        <w:rPr>
          <w:color w:val="000000"/>
          <w:spacing w:val="0"/>
          <w:w w:val="100"/>
          <w:position w:val="0"/>
        </w:rPr>
        <w:t>、智慧公路等业务方向开展标准化工作，持续推进标准升级，打造驱动车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路协同发 展的新引擎。充分发挥企业在标准化中的主体作用，稳步推进标准化工作，支撑交通运输行业规范化、健康发展。</w:t>
      </w:r>
    </w:p>
    <w:p>
      <w:pPr>
        <w:pStyle w:val="Style28"/>
        <w:keepNext w:val="0"/>
        <w:keepLines w:val="0"/>
        <w:widowControl w:val="0"/>
        <w:shd w:val="clear" w:color="auto" w:fill="auto"/>
        <w:tabs>
          <w:tab w:pos="678" w:val="left"/>
        </w:tabs>
        <w:bidi w:val="0"/>
        <w:spacing w:before="0" w:after="0" w:line="393" w:lineRule="exact"/>
        <w:ind w:left="0" w:right="0" w:firstLine="380"/>
        <w:jc w:val="both"/>
      </w:pPr>
      <w:bookmarkStart w:id="247" w:name="bookmark247"/>
      <w:r>
        <w:rPr>
          <w:rFonts w:ascii="Times New Roman" w:eastAsia="Times New Roman" w:hAnsi="Times New Roman" w:cs="Times New Roman"/>
          <w:b/>
          <w:bCs/>
          <w:color w:val="000000"/>
          <w:spacing w:val="0"/>
          <w:w w:val="100"/>
          <w:position w:val="0"/>
          <w:sz w:val="18"/>
          <w:szCs w:val="18"/>
        </w:rPr>
        <w:t>2</w:t>
      </w:r>
      <w:bookmarkEnd w:id="247"/>
      <w:r>
        <w:rPr>
          <w:b/>
          <w:bCs/>
          <w:color w:val="000000"/>
          <w:spacing w:val="0"/>
          <w:w w:val="100"/>
          <w:position w:val="0"/>
        </w:rPr>
        <w:t>、</w:t>
        <w:tab/>
        <w:t>深挖新业务新项目机会，助推业务升级步伐</w:t>
      </w:r>
    </w:p>
    <w:p>
      <w:pPr>
        <w:pStyle w:val="Style28"/>
        <w:keepNext w:val="0"/>
        <w:keepLines w:val="0"/>
        <w:widowControl w:val="0"/>
        <w:shd w:val="clear" w:color="auto" w:fill="auto"/>
        <w:bidi w:val="0"/>
        <w:spacing w:before="0" w:after="0" w:line="39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年，公司根据内外部环境变化，优化公司现有业务体系，依托原有技术及产品应用市场，明确了智慧高速、智慧城 市、智能网联三大板块业务发展方向，并推动业务升级。</w:t>
      </w:r>
    </w:p>
    <w:p>
      <w:pPr>
        <w:pStyle w:val="Style28"/>
        <w:keepNext w:val="0"/>
        <w:keepLines w:val="0"/>
        <w:widowControl w:val="0"/>
        <w:shd w:val="clear" w:color="auto" w:fill="auto"/>
        <w:bidi w:val="0"/>
        <w:spacing w:before="0" w:after="0" w:line="393"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年，在智慧高速业务板块，公司将基于传统</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业务，对原有项目进行升级维护，保证市场占有率稳中有增。通过 整合资源、拓展增量市场等方式，为客户提供整体解决方案以及综合服务，带动核心设备和系统销售；针对智慧城市业务板 块，公司将积极开拓</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停车业务应用场景，以部分城市成功落地项目为样板，向全国推广。在动态交通方面，深挖各地城 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规划的智慧城市项目合作机会，拓展项目合作机会，通过</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停车业务、</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无感支付、</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无感加油等多业务 模式实现</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进城战略目标；针对智能网联业务板块，公司将深挖客户价值，结合主机厂</w:t>
      </w:r>
      <w:r>
        <w:rPr>
          <w:rFonts w:ascii="Times New Roman" w:eastAsia="Times New Roman" w:hAnsi="Times New Roman" w:cs="Times New Roman"/>
          <w:color w:val="000000"/>
          <w:spacing w:val="0"/>
          <w:w w:val="100"/>
          <w:position w:val="0"/>
          <w:sz w:val="18"/>
          <w:szCs w:val="18"/>
        </w:rPr>
        <w:t>ETC2.0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国标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的技术演进， 打造可持续的前装业务盈利模式，与此同时，拓宽精品件、后装产品前装发行渠道。在</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领域，以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为切入点，为主机 厂提供前装</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设备，带动前装</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上车。</w:t>
      </w:r>
    </w:p>
    <w:p>
      <w:pPr>
        <w:pStyle w:val="Style28"/>
        <w:keepNext w:val="0"/>
        <w:keepLines w:val="0"/>
        <w:widowControl w:val="0"/>
        <w:shd w:val="clear" w:color="auto" w:fill="auto"/>
        <w:tabs>
          <w:tab w:pos="678" w:val="left"/>
        </w:tabs>
        <w:bidi w:val="0"/>
        <w:spacing w:before="0" w:after="0" w:line="393" w:lineRule="exact"/>
        <w:ind w:left="0" w:right="0" w:firstLine="380"/>
        <w:jc w:val="both"/>
      </w:pPr>
      <w:bookmarkStart w:id="248" w:name="bookmark248"/>
      <w:r>
        <w:rPr>
          <w:rFonts w:ascii="Times New Roman" w:eastAsia="Times New Roman" w:hAnsi="Times New Roman" w:cs="Times New Roman"/>
          <w:b/>
          <w:bCs/>
          <w:color w:val="000000"/>
          <w:spacing w:val="0"/>
          <w:w w:val="100"/>
          <w:position w:val="0"/>
          <w:sz w:val="18"/>
          <w:szCs w:val="18"/>
        </w:rPr>
        <w:t>3</w:t>
      </w:r>
      <w:bookmarkEnd w:id="248"/>
      <w:r>
        <w:rPr>
          <w:b/>
          <w:bCs/>
          <w:color w:val="000000"/>
          <w:spacing w:val="0"/>
          <w:w w:val="100"/>
          <w:position w:val="0"/>
        </w:rPr>
        <w:t>、</w:t>
        <w:tab/>
        <w:t>全面提升中台支撑能力，助力业务转型</w:t>
      </w:r>
    </w:p>
    <w:p>
      <w:pPr>
        <w:pStyle w:val="Style28"/>
        <w:keepNext w:val="0"/>
        <w:keepLines w:val="0"/>
        <w:widowControl w:val="0"/>
        <w:shd w:val="clear" w:color="auto" w:fill="auto"/>
        <w:bidi w:val="0"/>
        <w:spacing w:before="0" w:after="0" w:line="393"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年，公司将围绕业务升级转型需要，持续优化业务流程，提升研发、采购、生产、质量管控全业务线的经营管理效 率，助力业务转型。公司将通过加强研发项目精细化管理，全面提升研发效率与技术创新能力，加强研发团队建设，进一步 发挥和提升学习型组织作用，建设符合公司现状的专业人才梯队。公司将兼顾降本增效，推动精细化工厂成本管理，推动实 现工装治具和生产线的标准化、智能化、效率化，提升整体制造效率。建立健全质量管理体系，大力推广先进技术手段和现 代质量管理理念，广泛开展质量改进、质量攻关等活动，全面提升质量管理水平。</w:t>
      </w:r>
    </w:p>
    <w:p>
      <w:pPr>
        <w:pStyle w:val="Style28"/>
        <w:keepNext w:val="0"/>
        <w:keepLines w:val="0"/>
        <w:widowControl w:val="0"/>
        <w:shd w:val="clear" w:color="auto" w:fill="auto"/>
        <w:tabs>
          <w:tab w:pos="674" w:val="left"/>
        </w:tabs>
        <w:bidi w:val="0"/>
        <w:spacing w:before="0" w:after="0" w:line="393" w:lineRule="exact"/>
        <w:ind w:left="0" w:right="0" w:firstLine="380"/>
        <w:jc w:val="left"/>
      </w:pPr>
      <w:bookmarkStart w:id="249" w:name="bookmark249"/>
      <w:r>
        <w:rPr>
          <w:rFonts w:ascii="Times New Roman" w:eastAsia="Times New Roman" w:hAnsi="Times New Roman" w:cs="Times New Roman"/>
          <w:b/>
          <w:bCs/>
          <w:color w:val="000000"/>
          <w:spacing w:val="0"/>
          <w:w w:val="100"/>
          <w:position w:val="0"/>
          <w:sz w:val="18"/>
          <w:szCs w:val="18"/>
        </w:rPr>
        <w:t>4</w:t>
      </w:r>
      <w:bookmarkEnd w:id="249"/>
      <w:r>
        <w:rPr>
          <w:b/>
          <w:bCs/>
          <w:color w:val="000000"/>
          <w:spacing w:val="0"/>
          <w:w w:val="100"/>
          <w:position w:val="0"/>
        </w:rPr>
        <w:t>、</w:t>
        <w:tab/>
        <w:t>强化组织能力建设，推动文化、组织、人才、文化全方位升级</w:t>
      </w:r>
    </w:p>
    <w:p>
      <w:pPr>
        <w:pStyle w:val="Style28"/>
        <w:keepNext w:val="0"/>
        <w:keepLines w:val="0"/>
        <w:widowControl w:val="0"/>
        <w:shd w:val="clear" w:color="auto" w:fill="auto"/>
        <w:bidi w:val="0"/>
        <w:spacing w:before="0" w:after="0" w:line="393" w:lineRule="exact"/>
        <w:ind w:left="0" w:right="0" w:firstLine="38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年，公司将聚焦业务价值实现，继续围绕从战略、组织、机制、人才、文化全方位升级目标，强化组织能力建设， 推动组织结构优化、人才密度提升、企业文化建设。在组织目标指引下，强化企业文化理念体系。围绕业务组织进行架构优 化，打造敏捷性组织。加强人才队伍培养，打造多层次的人才梯队。</w:t>
      </w:r>
    </w:p>
    <w:p>
      <w:pPr>
        <w:pStyle w:val="Style28"/>
        <w:keepNext w:val="0"/>
        <w:keepLines w:val="0"/>
        <w:widowControl w:val="0"/>
        <w:shd w:val="clear" w:color="auto" w:fill="auto"/>
        <w:tabs>
          <w:tab w:pos="861" w:val="left"/>
        </w:tabs>
        <w:bidi w:val="0"/>
        <w:spacing w:before="0" w:after="0" w:line="393" w:lineRule="exact"/>
        <w:ind w:left="0" w:right="0" w:firstLine="380"/>
        <w:jc w:val="left"/>
      </w:pPr>
      <w:bookmarkStart w:id="250" w:name="bookmark250"/>
      <w:r>
        <w:rPr>
          <w:b/>
          <w:bCs/>
          <w:color w:val="000000"/>
          <w:spacing w:val="0"/>
          <w:w w:val="100"/>
          <w:position w:val="0"/>
        </w:rPr>
        <w:t>（</w:t>
      </w:r>
      <w:bookmarkEnd w:id="250"/>
      <w:r>
        <w:rPr>
          <w:b/>
          <w:bCs/>
          <w:color w:val="000000"/>
          <w:spacing w:val="0"/>
          <w:w w:val="100"/>
          <w:position w:val="0"/>
        </w:rPr>
        <w:t>三）</w:t>
        <w:tab/>
        <w:t>公司面临的风险和应对措施</w:t>
      </w:r>
    </w:p>
    <w:p>
      <w:pPr>
        <w:pStyle w:val="Style28"/>
        <w:keepNext w:val="0"/>
        <w:keepLines w:val="0"/>
        <w:widowControl w:val="0"/>
        <w:shd w:val="clear" w:color="auto" w:fill="auto"/>
        <w:tabs>
          <w:tab w:pos="664" w:val="left"/>
        </w:tabs>
        <w:bidi w:val="0"/>
        <w:spacing w:before="0" w:after="0" w:line="391" w:lineRule="exact"/>
        <w:ind w:left="0" w:right="0" w:firstLine="380"/>
        <w:jc w:val="left"/>
      </w:pPr>
      <w:bookmarkStart w:id="251" w:name="bookmark251"/>
      <w:r>
        <w:rPr>
          <w:rFonts w:ascii="Times New Roman" w:eastAsia="Times New Roman" w:hAnsi="Times New Roman" w:cs="Times New Roman"/>
          <w:b/>
          <w:bCs/>
          <w:color w:val="000000"/>
          <w:spacing w:val="0"/>
          <w:w w:val="100"/>
          <w:position w:val="0"/>
          <w:sz w:val="18"/>
          <w:szCs w:val="18"/>
        </w:rPr>
        <w:t>1</w:t>
      </w:r>
      <w:bookmarkEnd w:id="251"/>
      <w:r>
        <w:rPr>
          <w:b/>
          <w:bCs/>
          <w:color w:val="000000"/>
          <w:spacing w:val="0"/>
          <w:w w:val="100"/>
          <w:position w:val="0"/>
        </w:rPr>
        <w:t>、</w:t>
        <w:tab/>
        <w:t>行业政策对公司经营带来的业绩波动风险</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公司业务属于智能交通领域，该领域的发展受到国家政策的影响较为显著，公司业务的发展受到国家对智能交通行业支 持性政策及国家在交通基础设施行业的投资及交通治理、城市化进程等方面投入程度的影响，公司业绩也受政策刺激因素影 响可能产生相应波动。如果未来国家对智能交通有关领域的支持政策或支持力度发生变化，公司经营业绩可能将受到一定程 度影响。</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针对上述风险，公司将研发更多系列的新产品，拓展新的业务领域和客户群体，积极探索新的商业模式，使自身持续保 持竞争优势。</w:t>
      </w:r>
    </w:p>
    <w:p>
      <w:pPr>
        <w:pStyle w:val="Style28"/>
        <w:keepNext w:val="0"/>
        <w:keepLines w:val="0"/>
        <w:widowControl w:val="0"/>
        <w:shd w:val="clear" w:color="auto" w:fill="auto"/>
        <w:tabs>
          <w:tab w:pos="678" w:val="left"/>
        </w:tabs>
        <w:bidi w:val="0"/>
        <w:spacing w:before="0" w:after="0" w:line="391" w:lineRule="exact"/>
        <w:ind w:left="0" w:right="0" w:firstLine="380"/>
        <w:jc w:val="both"/>
      </w:pPr>
      <w:bookmarkStart w:id="252" w:name="bookmark252"/>
      <w:r>
        <w:rPr>
          <w:rFonts w:ascii="Times New Roman" w:eastAsia="Times New Roman" w:hAnsi="Times New Roman" w:cs="Times New Roman"/>
          <w:b/>
          <w:bCs/>
          <w:color w:val="000000"/>
          <w:spacing w:val="0"/>
          <w:w w:val="100"/>
          <w:position w:val="0"/>
          <w:sz w:val="18"/>
          <w:szCs w:val="18"/>
        </w:rPr>
        <w:t>2</w:t>
      </w:r>
      <w:bookmarkEnd w:id="252"/>
      <w:r>
        <w:rPr>
          <w:b/>
          <w:bCs/>
          <w:color w:val="000000"/>
          <w:spacing w:val="0"/>
          <w:w w:val="100"/>
          <w:position w:val="0"/>
        </w:rPr>
        <w:t>、</w:t>
        <w:tab/>
        <w:t>市场竞争风险</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公司所处的行业产品需要相对较高的研发投入以支撑技术和产品不断升级。虽然公司目前具有较强的技术优势和市场占 有率优势，但随着其他同行业厂商在市场拓展和技术研发的不断投入和积累，公司能否继续保持上述竞争优势存在一定风险。 随着市场竞争的程度加剧，可能会影响公司的盈利能力，同时，市场上新进入者有可能会采用低价策略增加其市场份额，从 而造成市场的平均价格下滑，相应影响公司的盈利能力。</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针对上述市场竞争风险，公司将持续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固老拓新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，通过有效的市场和产品策略拓展新的产品应用与服务，确保持续保持 市场领先地位。公司将全面布局市场营销网络、渠道建设、团队建设，及时调整相应的市场策略。公司将继续加大研发投入， 持续改进产品和提升用户体验。根据行业最新发展态势，不断拓展新的业务发展机会，大力开拓新的应用市场，积极参与国 家相关建设项目，以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多头并进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的策略降低业务风险。</w:t>
      </w:r>
    </w:p>
    <w:p>
      <w:pPr>
        <w:pStyle w:val="Style28"/>
        <w:keepNext w:val="0"/>
        <w:keepLines w:val="0"/>
        <w:widowControl w:val="0"/>
        <w:shd w:val="clear" w:color="auto" w:fill="auto"/>
        <w:tabs>
          <w:tab w:pos="678" w:val="left"/>
        </w:tabs>
        <w:bidi w:val="0"/>
        <w:spacing w:before="0" w:after="0" w:line="391" w:lineRule="exact"/>
        <w:ind w:left="0" w:right="0" w:firstLine="380"/>
        <w:jc w:val="both"/>
      </w:pPr>
      <w:bookmarkStart w:id="253" w:name="bookmark253"/>
      <w:r>
        <w:rPr>
          <w:rFonts w:ascii="Times New Roman" w:eastAsia="Times New Roman" w:hAnsi="Times New Roman" w:cs="Times New Roman"/>
          <w:b/>
          <w:bCs/>
          <w:color w:val="000000"/>
          <w:spacing w:val="0"/>
          <w:w w:val="100"/>
          <w:position w:val="0"/>
          <w:sz w:val="18"/>
          <w:szCs w:val="18"/>
        </w:rPr>
        <w:t>3</w:t>
      </w:r>
      <w:bookmarkEnd w:id="253"/>
      <w:r>
        <w:rPr>
          <w:b/>
          <w:bCs/>
          <w:color w:val="000000"/>
          <w:spacing w:val="0"/>
          <w:w w:val="100"/>
          <w:position w:val="0"/>
        </w:rPr>
        <w:t>、</w:t>
        <w:tab/>
        <w:t>疫情影响的风险</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目前，疫情在局部地区仍存在反复，尚未完全结束，如果疫情大面积反弹，将可能导致交通领域的工程建设、业务开展、 商务活动的开展难度加大。受此影响，经济复苏力度、汽车销售量和交通出行需求可能会有所降低，车主的安装需求也会减 弱。可能对公司业绩会造成较大影响。</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针对可能发生的影响，公司会加强对疫情的关注和防控，保障员工健康，灵活调整业务策略，尽量减轻疫情对生产经营 的影响。同时，公司</w:t>
      </w:r>
      <w:r>
        <w:rPr>
          <w:rFonts w:ascii="Times New Roman" w:eastAsia="Times New Roman" w:hAnsi="Times New Roman" w:cs="Times New Roman"/>
          <w:color w:val="000000"/>
          <w:spacing w:val="0"/>
          <w:w w:val="100"/>
          <w:position w:val="0"/>
          <w:sz w:val="18"/>
          <w:szCs w:val="18"/>
        </w:rPr>
        <w:t>ET C</w:t>
      </w:r>
      <w:r>
        <w:rPr>
          <w:color w:val="000000"/>
          <w:spacing w:val="0"/>
          <w:w w:val="100"/>
          <w:position w:val="0"/>
        </w:rPr>
        <w:t>技术非接触的特性、对无人值守方式的支持，亦可助力国家的疫情防控。</w:t>
      </w:r>
    </w:p>
    <w:p>
      <w:pPr>
        <w:pStyle w:val="Style28"/>
        <w:keepNext w:val="0"/>
        <w:keepLines w:val="0"/>
        <w:widowControl w:val="0"/>
        <w:shd w:val="clear" w:color="auto" w:fill="auto"/>
        <w:tabs>
          <w:tab w:pos="674" w:val="left"/>
        </w:tabs>
        <w:bidi w:val="0"/>
        <w:spacing w:before="0" w:after="0" w:line="391" w:lineRule="exact"/>
        <w:ind w:left="0" w:right="0" w:firstLine="380"/>
        <w:jc w:val="both"/>
      </w:pPr>
      <w:bookmarkStart w:id="254" w:name="bookmark254"/>
      <w:r>
        <w:rPr>
          <w:rFonts w:ascii="Times New Roman" w:eastAsia="Times New Roman" w:hAnsi="Times New Roman" w:cs="Times New Roman"/>
          <w:b/>
          <w:bCs/>
          <w:color w:val="000000"/>
          <w:spacing w:val="0"/>
          <w:w w:val="100"/>
          <w:position w:val="0"/>
          <w:sz w:val="18"/>
          <w:szCs w:val="18"/>
        </w:rPr>
        <w:t>4</w:t>
      </w:r>
      <w:bookmarkEnd w:id="254"/>
      <w:r>
        <w:rPr>
          <w:b/>
          <w:bCs/>
          <w:color w:val="000000"/>
          <w:spacing w:val="0"/>
          <w:w w:val="100"/>
          <w:position w:val="0"/>
        </w:rPr>
        <w:t>、</w:t>
        <w:tab/>
        <w:t>新业务拓展及技术创新风险</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公司近年来积极发展新业务，将产品从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向智慧公路、</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r>
        <w:rPr>
          <w:color w:val="000000"/>
          <w:spacing w:val="0"/>
          <w:w w:val="100"/>
          <w:position w:val="0"/>
        </w:rPr>
        <w:t>城市智慧停车、城市交通管理等方向延伸，不断拓宽城 市交通、车联网的应用场景，但上述新业务商业模式尚未成熟，关键应用场景有待进一步挖掘。同时，部分新技术还需经过 大规模验证才能最终推向市场，相关问题成为制约上述技术和产品大规模推广应用的重要原因。公司为新业务发展投入大量 资金和人力成本，如新业务市场拓展进度未达预期或公司的技术创新最终未能被市场接纳，新增的技术研发及市场开拓投入 将对公司业绩造成影响，公司业绩将可能出现急剧下滑的风险。</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针对新业务拓展及技术创新风险，公司将在新业务拓展及新技术产品开发之前做好相关市场调研，充分把握技术发展趋 势和市场需求方向，制定精准的业务规划和市场策略，同时通过加强多方合作来分散相应风险。</w:t>
      </w:r>
    </w:p>
    <w:p>
      <w:pPr>
        <w:pStyle w:val="Style28"/>
        <w:keepNext w:val="0"/>
        <w:keepLines w:val="0"/>
        <w:widowControl w:val="0"/>
        <w:shd w:val="clear" w:color="auto" w:fill="auto"/>
        <w:tabs>
          <w:tab w:pos="674" w:val="left"/>
        </w:tabs>
        <w:bidi w:val="0"/>
        <w:spacing w:before="0" w:after="0" w:line="391" w:lineRule="exact"/>
        <w:ind w:left="0" w:right="0" w:firstLine="380"/>
        <w:jc w:val="both"/>
      </w:pPr>
      <w:bookmarkStart w:id="255" w:name="bookmark255"/>
      <w:r>
        <w:rPr>
          <w:rFonts w:ascii="Times New Roman" w:eastAsia="Times New Roman" w:hAnsi="Times New Roman" w:cs="Times New Roman"/>
          <w:b/>
          <w:bCs/>
          <w:color w:val="000000"/>
          <w:spacing w:val="0"/>
          <w:w w:val="100"/>
          <w:position w:val="0"/>
          <w:sz w:val="18"/>
          <w:szCs w:val="18"/>
        </w:rPr>
        <w:t>5</w:t>
      </w:r>
      <w:bookmarkEnd w:id="255"/>
      <w:r>
        <w:rPr>
          <w:b/>
          <w:bCs/>
          <w:color w:val="000000"/>
          <w:spacing w:val="0"/>
          <w:w w:val="100"/>
          <w:position w:val="0"/>
        </w:rPr>
        <w:t>、</w:t>
        <w:tab/>
        <w:t>技术泄密或被侵权及技术人员流失的风险</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公司所处行业是知识经济时代的代表性产业，为近年来我国增长速度较快的高新技术行业之一。经过多年的积累和发展， 公司掌握了智能交通领域内的一系列关键技术，公司非常重视对核心技术的保护。公司虽然与相关核心技术人员以及因业务 关系知悉技术秘密的相关人员签订了保密及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或竞业限制协议，但是若公司核心技术人员离职后继续从事与公司业务相同或 相似的工作，或者关键岗位技术人员发生泄密事件，将有可能削弱公司的技术优势，进而对经营带来不利影响。此外，公司 </w:t>
      </w:r>
      <w:r>
        <w:rPr>
          <w:color w:val="000000"/>
          <w:spacing w:val="0"/>
          <w:w w:val="100"/>
          <w:position w:val="0"/>
        </w:rPr>
        <w:t>也可能存在知识产权被侵犯的风险。</w:t>
      </w:r>
    </w:p>
    <w:p>
      <w:pPr>
        <w:pStyle w:val="Style28"/>
        <w:keepNext w:val="0"/>
        <w:keepLines w:val="0"/>
        <w:widowControl w:val="0"/>
        <w:shd w:val="clear" w:color="auto" w:fill="auto"/>
        <w:bidi w:val="0"/>
        <w:spacing w:before="0" w:after="180" w:line="391" w:lineRule="exact"/>
        <w:ind w:left="0" w:right="0"/>
        <w:jc w:val="both"/>
      </w:pPr>
      <w:r>
        <w:rPr>
          <w:color w:val="000000"/>
          <w:spacing w:val="0"/>
          <w:w w:val="100"/>
          <w:position w:val="0"/>
        </w:rPr>
        <w:t>对此，公司将加大知识产权保护力度，对于可能出现的严重侵犯公司知识产权的情形，将通过法律手段保护自身合法权 益。公司也将不断完善人力资源管理体系，采取一系列吸引和稳定核心技术人员的举措，包括但不限于核心技术人员股权激 励、提高福利待遇、增加培训机会、创造良好工作氛围等。</w:t>
      </w:r>
    </w:p>
    <w:p>
      <w:pPr>
        <w:pStyle w:val="Style28"/>
        <w:keepNext w:val="0"/>
        <w:keepLines w:val="0"/>
        <w:widowControl w:val="0"/>
        <w:shd w:val="clear" w:color="auto" w:fill="auto"/>
        <w:tabs>
          <w:tab w:pos="683" w:val="left"/>
        </w:tabs>
        <w:bidi w:val="0"/>
        <w:spacing w:before="0" w:after="0" w:line="454" w:lineRule="auto"/>
        <w:ind w:left="0" w:right="0"/>
        <w:jc w:val="both"/>
      </w:pPr>
      <w:bookmarkStart w:id="256" w:name="bookmark256"/>
      <w:r>
        <w:rPr>
          <w:rFonts w:ascii="Times New Roman" w:eastAsia="Times New Roman" w:hAnsi="Times New Roman" w:cs="Times New Roman"/>
          <w:b/>
          <w:bCs/>
          <w:color w:val="000000"/>
          <w:spacing w:val="0"/>
          <w:w w:val="100"/>
          <w:position w:val="0"/>
          <w:sz w:val="18"/>
          <w:szCs w:val="18"/>
        </w:rPr>
        <w:t>6</w:t>
      </w:r>
      <w:bookmarkEnd w:id="256"/>
      <w:r>
        <w:rPr>
          <w:b/>
          <w:bCs/>
          <w:color w:val="000000"/>
          <w:spacing w:val="0"/>
          <w:w w:val="100"/>
          <w:position w:val="0"/>
        </w:rPr>
        <w:t>、</w:t>
        <w:tab/>
        <w:t>上游原材料价格波动及供应风险</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公司生产所需原材料主要包括电子元器件、芯片等。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年度受全球“缺芯”影响，全球芯片价格上涨并处于供不应求 状态，公司生产所需的汽车电子方面的主控芯片价格也产生波动，影响到公司的生产成本。虽然公司与供应商建立了长期稳 定的合作关系，但如果出现原材料价格快速上涨的情况，将对公司利润产生负面影响。</w:t>
      </w:r>
    </w:p>
    <w:p>
      <w:pPr>
        <w:pStyle w:val="Style28"/>
        <w:keepNext w:val="0"/>
        <w:keepLines w:val="0"/>
        <w:widowControl w:val="0"/>
        <w:shd w:val="clear" w:color="auto" w:fill="auto"/>
        <w:bidi w:val="0"/>
        <w:spacing w:before="0" w:after="180" w:line="391" w:lineRule="exact"/>
        <w:ind w:left="0" w:right="0"/>
        <w:jc w:val="both"/>
      </w:pPr>
      <w:r>
        <w:rPr>
          <w:color w:val="000000"/>
          <w:spacing w:val="0"/>
          <w:w w:val="100"/>
          <w:position w:val="0"/>
        </w:rPr>
        <w:t>为应对原材料价格上涨带来的成本压力，公司通过积极与供应商协商沟通、调整采购渠道、寻求替代方案以及优化产品 设计等多种方式降低原材料价格上涨对公司造成的影响，同时根据物料性质和资金情况，适当储备库存，避免供求关系持续 紧张带来的供应不足及资金压力。</w:t>
      </w:r>
    </w:p>
    <w:p>
      <w:pPr>
        <w:pStyle w:val="Style28"/>
        <w:keepNext w:val="0"/>
        <w:keepLines w:val="0"/>
        <w:widowControl w:val="0"/>
        <w:shd w:val="clear" w:color="auto" w:fill="auto"/>
        <w:tabs>
          <w:tab w:pos="683" w:val="left"/>
        </w:tabs>
        <w:bidi w:val="0"/>
        <w:spacing w:before="0" w:after="0" w:line="454" w:lineRule="auto"/>
        <w:ind w:left="0" w:right="0"/>
        <w:jc w:val="both"/>
      </w:pPr>
      <w:bookmarkStart w:id="257" w:name="bookmark257"/>
      <w:r>
        <w:rPr>
          <w:rFonts w:ascii="Times New Roman" w:eastAsia="Times New Roman" w:hAnsi="Times New Roman" w:cs="Times New Roman"/>
          <w:b/>
          <w:bCs/>
          <w:color w:val="000000"/>
          <w:spacing w:val="0"/>
          <w:w w:val="100"/>
          <w:position w:val="0"/>
          <w:sz w:val="18"/>
          <w:szCs w:val="18"/>
        </w:rPr>
        <w:t>7</w:t>
      </w:r>
      <w:bookmarkEnd w:id="257"/>
      <w:r>
        <w:rPr>
          <w:b/>
          <w:bCs/>
          <w:color w:val="000000"/>
          <w:spacing w:val="0"/>
          <w:w w:val="100"/>
          <w:position w:val="0"/>
        </w:rPr>
        <w:t>、</w:t>
        <w:tab/>
        <w:t>经营管理风险</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随着智能交通行业的不断演化发展，公司发展定位从单一产品供应商转向以解决方案带动系统和产品销售的综合服务商。 公司战略规划、制度建设、组织设置、内部控制等方面都面临更高的要求和挑战。如果公司管理层不能恰当调整公司的组织 结构、管理体系和人才储备以适应公司内外部环境的变化，公司未来可能存在管理能力滞后于经营规模增长的风险。</w:t>
      </w:r>
    </w:p>
    <w:p>
      <w:pPr>
        <w:pStyle w:val="Style28"/>
        <w:keepNext w:val="0"/>
        <w:keepLines w:val="0"/>
        <w:widowControl w:val="0"/>
        <w:shd w:val="clear" w:color="auto" w:fill="auto"/>
        <w:bidi w:val="0"/>
        <w:spacing w:before="0" w:after="180" w:line="391" w:lineRule="exact"/>
        <w:ind w:left="0" w:right="0"/>
        <w:jc w:val="both"/>
      </w:pPr>
      <w:r>
        <w:rPr>
          <w:color w:val="000000"/>
          <w:spacing w:val="0"/>
          <w:w w:val="100"/>
          <w:position w:val="0"/>
        </w:rPr>
        <w:t>针对上述风险，公司将进行系统、全面的组织设计与优化，进一步完善内部控制，持续优化公司整体管理能力，加强推 动各职能部门不断学习，持续提高管理人员业务能力，加强内部管理体系建设，使企业管理更加制度化、科学化，尽量消除 企业快速发展所带来的管理滞后风险。</w:t>
      </w:r>
    </w:p>
    <w:p>
      <w:pPr>
        <w:pStyle w:val="Style28"/>
        <w:keepNext w:val="0"/>
        <w:keepLines w:val="0"/>
        <w:widowControl w:val="0"/>
        <w:shd w:val="clear" w:color="auto" w:fill="auto"/>
        <w:tabs>
          <w:tab w:pos="683" w:val="left"/>
        </w:tabs>
        <w:bidi w:val="0"/>
        <w:spacing w:before="0" w:after="0" w:line="454" w:lineRule="auto"/>
        <w:ind w:left="0" w:right="0"/>
        <w:jc w:val="both"/>
      </w:pPr>
      <w:bookmarkStart w:id="258" w:name="bookmark258"/>
      <w:r>
        <w:rPr>
          <w:rFonts w:ascii="Times New Roman" w:eastAsia="Times New Roman" w:hAnsi="Times New Roman" w:cs="Times New Roman"/>
          <w:b/>
          <w:bCs/>
          <w:color w:val="000000"/>
          <w:spacing w:val="0"/>
          <w:w w:val="100"/>
          <w:position w:val="0"/>
          <w:sz w:val="18"/>
          <w:szCs w:val="18"/>
        </w:rPr>
        <w:t>8</w:t>
      </w:r>
      <w:bookmarkEnd w:id="258"/>
      <w:r>
        <w:rPr>
          <w:b/>
          <w:bCs/>
          <w:color w:val="000000"/>
          <w:spacing w:val="0"/>
          <w:w w:val="100"/>
          <w:position w:val="0"/>
        </w:rPr>
        <w:t>、</w:t>
        <w:tab/>
        <w:t>应收账款回收风险</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公司的客户主要为交通管理部门、高速公路运营公司、系统集成商及银行，虽然主要客户信誉良好，但业务合同的执行 期及结算周期一般较长，应收账款仍存在回收周期过长甚至逾期的情况，存在不能按期收回、甚至发生坏账的风险。公司应 收账款数额较大，将加剧公司运营资金压力，若应收账款发生损失将对公司的财务状况和经营成果产生不利影响。</w:t>
      </w:r>
    </w:p>
    <w:p>
      <w:pPr>
        <w:pStyle w:val="Style28"/>
        <w:keepNext w:val="0"/>
        <w:keepLines w:val="0"/>
        <w:widowControl w:val="0"/>
        <w:shd w:val="clear" w:color="auto" w:fill="auto"/>
        <w:bidi w:val="0"/>
        <w:spacing w:before="0" w:after="380" w:line="391" w:lineRule="exact"/>
        <w:ind w:left="0" w:right="0"/>
        <w:jc w:val="both"/>
      </w:pPr>
      <w:r>
        <w:rPr>
          <w:color w:val="000000"/>
          <w:spacing w:val="0"/>
          <w:w w:val="100"/>
          <w:position w:val="0"/>
        </w:rPr>
        <w:t>针对上述风险，公司将进一步完善风险控制和制定政策约束，对销售人员进一步强化应收账款的考核指标，专门成立应 收账款催收小组，加强对应收账款的跟踪和催收，降低公司应收账款总额和坏账风险。</w:t>
      </w:r>
    </w:p>
    <w:p>
      <w:pPr>
        <w:pStyle w:val="Style24"/>
        <w:keepNext/>
        <w:keepLines/>
        <w:widowControl w:val="0"/>
        <w:shd w:val="clear" w:color="auto" w:fill="auto"/>
        <w:bidi w:val="0"/>
        <w:spacing w:before="0" w:after="380" w:line="240" w:lineRule="auto"/>
        <w:ind w:left="0" w:right="0" w:firstLine="0"/>
        <w:jc w:val="left"/>
      </w:pPr>
      <w:bookmarkStart w:id="259" w:name="bookmark259"/>
      <w:bookmarkStart w:id="260" w:name="bookmark260"/>
      <w:bookmarkStart w:id="261" w:name="bookmark261"/>
      <w:r>
        <w:rPr>
          <w:color w:val="000000"/>
          <w:spacing w:val="0"/>
          <w:w w:val="100"/>
          <w:position w:val="0"/>
          <w:sz w:val="24"/>
          <w:szCs w:val="24"/>
        </w:rPr>
        <w:t>十二、报告期内接待调研、沟通、采访等活动</w:t>
      </w:r>
      <w:bookmarkEnd w:id="259"/>
      <w:bookmarkEnd w:id="260"/>
      <w:bookmarkEnd w:id="261"/>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1133"/>
        <w:gridCol w:w="850"/>
        <w:gridCol w:w="710"/>
        <w:gridCol w:w="2410"/>
        <w:gridCol w:w="1843"/>
        <w:gridCol w:w="16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华安证券计算机行业分析师、 华安证券高级销售经理、信达 澳银基金投资经理、平安基金 研究员、东方证券资管研究员、 创金合信基金研究员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年度业绩预 告情况、公司基本情况 介绍及投资者关注问 题回复，未提供资料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《金溢科技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日投资者关 系活动记录表》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嘉合基金投资经理、</w:t>
            </w:r>
            <w:r>
              <w:rPr>
                <w:rFonts w:ascii="Times New Roman" w:eastAsia="Times New Roman" w:hAnsi="Times New Roman" w:cs="Times New Roman"/>
                <w:color w:val="000000"/>
                <w:spacing w:val="0"/>
                <w:w w:val="100"/>
                <w:position w:val="0"/>
                <w:sz w:val="18"/>
                <w:szCs w:val="18"/>
              </w:rPr>
              <w:t>M&amp;G</w:t>
            </w:r>
            <w:r>
              <w:rPr>
                <w:color w:val="000000"/>
                <w:spacing w:val="0"/>
                <w:w w:val="100"/>
                <w:position w:val="0"/>
              </w:rPr>
              <w:t>投 资基金（</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）研究员、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公司基本情况介绍及 与投资者进行充分的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1003"/>
        <w:gridCol w:w="1133"/>
        <w:gridCol w:w="850"/>
        <w:gridCol w:w="710"/>
        <w:gridCol w:w="2410"/>
        <w:gridCol w:w="1843"/>
        <w:gridCol w:w="163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AthenaCapitalManagement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交流和沟通，未提供资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日投资者关 系活动记录表》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网络交流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不特定对象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年度业绩说明会， 未提供资料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《金溢科技业绩说 明会、路演活动信 息》</w:t>
            </w:r>
          </w:p>
        </w:tc>
      </w:tr>
    </w:tbl>
    <w:p>
      <w:pPr>
        <w:sectPr>
          <w:footnotePr>
            <w:pos w:val="pageBottom"/>
            <w:numFmt w:val="decimal"/>
            <w:numRestart w:val="continuous"/>
          </w:footnotePr>
          <w:pgSz w:w="11900" w:h="16840"/>
          <w:pgMar w:top="1350" w:right="967" w:bottom="1460" w:left="1069" w:header="0" w:footer="3" w:gutter="0"/>
          <w:cols w:space="720"/>
          <w:noEndnote/>
          <w:rtlGutter w:val="0"/>
          <w:docGrid w:linePitch="360"/>
        </w:sectPr>
      </w:pPr>
    </w:p>
    <w:p>
      <w:pPr>
        <w:pStyle w:val="Style14"/>
        <w:keepNext/>
        <w:keepLines/>
        <w:widowControl w:val="0"/>
        <w:shd w:val="clear" w:color="auto" w:fill="auto"/>
        <w:bidi w:val="0"/>
        <w:spacing w:before="560" w:after="560" w:line="240" w:lineRule="auto"/>
        <w:ind w:left="0" w:right="0" w:firstLine="0"/>
        <w:jc w:val="center"/>
      </w:pPr>
      <w:bookmarkStart w:id="262" w:name="bookmark262"/>
      <w:bookmarkStart w:id="263" w:name="bookmark263"/>
      <w:bookmarkStart w:id="264" w:name="bookmark264"/>
      <w:r>
        <w:rPr>
          <w:color w:val="000000"/>
          <w:spacing w:val="0"/>
          <w:w w:val="100"/>
          <w:position w:val="0"/>
        </w:rPr>
        <w:t>第四节公司治理</w:t>
      </w:r>
      <w:bookmarkEnd w:id="262"/>
      <w:bookmarkEnd w:id="263"/>
      <w:bookmarkEnd w:id="264"/>
    </w:p>
    <w:p>
      <w:pPr>
        <w:pStyle w:val="Style24"/>
        <w:keepNext/>
        <w:keepLines/>
        <w:widowControl w:val="0"/>
        <w:shd w:val="clear" w:color="auto" w:fill="auto"/>
        <w:bidi w:val="0"/>
        <w:spacing w:before="0" w:after="220" w:line="240" w:lineRule="auto"/>
        <w:ind w:left="0" w:right="0" w:firstLine="0"/>
        <w:jc w:val="left"/>
      </w:pPr>
      <w:bookmarkStart w:id="265" w:name="bookmark265"/>
      <w:bookmarkStart w:id="266" w:name="bookmark266"/>
      <w:bookmarkStart w:id="267" w:name="bookmark267"/>
      <w:bookmarkStart w:id="268" w:name="bookmark268"/>
      <w:bookmarkStart w:id="269" w:name="bookmark269"/>
      <w:r>
        <w:rPr>
          <w:color w:val="000000"/>
          <w:spacing w:val="0"/>
          <w:w w:val="100"/>
          <w:position w:val="0"/>
          <w:sz w:val="24"/>
          <w:szCs w:val="24"/>
        </w:rPr>
        <w:t>一</w:t>
      </w:r>
      <w:bookmarkEnd w:id="268"/>
      <w:r>
        <w:rPr>
          <w:color w:val="000000"/>
          <w:spacing w:val="0"/>
          <w:w w:val="100"/>
          <w:position w:val="0"/>
          <w:sz w:val="24"/>
          <w:szCs w:val="24"/>
        </w:rPr>
        <w:t>、公司治理的基本状况</w:t>
      </w:r>
      <w:bookmarkEnd w:id="266"/>
      <w:bookmarkEnd w:id="267"/>
      <w:bookmarkEnd w:id="269"/>
      <w:bookmarkEnd w:id="265"/>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报告期内，公司严格按照《公司法》、《证券法》、《上市公司治理准则》、《深圳证券交易所股票上市规则》、《深 圳证券交易所上市公司规范运作指引》等法律法规、规范性文件的要求，不断完善公司治理结构，建立健全内部管理和控制 制度，进一步提高公司治理水平。截至本报告期末，公司治理的实际状况符合前述有关上市公司治理的法律文件的要求，不 存在尚未解决的治理问题。</w:t>
      </w:r>
    </w:p>
    <w:p>
      <w:pPr>
        <w:pStyle w:val="Style28"/>
        <w:keepNext w:val="0"/>
        <w:keepLines w:val="0"/>
        <w:widowControl w:val="0"/>
        <w:shd w:val="clear" w:color="auto" w:fill="auto"/>
        <w:tabs>
          <w:tab w:pos="867" w:val="left"/>
        </w:tabs>
        <w:bidi w:val="0"/>
        <w:spacing w:before="0" w:after="0" w:line="391" w:lineRule="exact"/>
        <w:ind w:left="0" w:right="0"/>
        <w:jc w:val="both"/>
      </w:pPr>
      <w:bookmarkStart w:id="270" w:name="bookmark270"/>
      <w:r>
        <w:rPr>
          <w:b/>
          <w:bCs/>
          <w:color w:val="000000"/>
          <w:spacing w:val="0"/>
          <w:w w:val="100"/>
          <w:position w:val="0"/>
        </w:rPr>
        <w:t>（</w:t>
      </w:r>
      <w:bookmarkEnd w:id="270"/>
      <w:r>
        <w:rPr>
          <w:b/>
          <w:bCs/>
          <w:color w:val="000000"/>
          <w:spacing w:val="0"/>
          <w:w w:val="100"/>
          <w:position w:val="0"/>
        </w:rPr>
        <w:t>一）</w:t>
        <w:tab/>
        <w:t>关于股东与股东大会</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报告期内，公司严格按照《上市公司股东大会规则》、《公司章程》和《股东大会议事规则》等的规定和要求召集、召 开股东大会，并聘请律师对股东大会召集、召开程序的合法性、合规性出具法律意见书，确保全体股东特别是中小股东享有 平等地位，充分行使自己的权利。报告期内召开的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次股东大会均由公司董事会召集、召开，出席股东大会的人员资格及股 东大会的召开和表决程序合法。根据相关法律法规及《公司章程》的规定应由股东大会表决的事项均按照相应的权限审批后 提交股东大会审议，不存在越权审批或先实施后审议的情况。</w:t>
      </w:r>
    </w:p>
    <w:p>
      <w:pPr>
        <w:pStyle w:val="Style28"/>
        <w:keepNext w:val="0"/>
        <w:keepLines w:val="0"/>
        <w:widowControl w:val="0"/>
        <w:shd w:val="clear" w:color="auto" w:fill="auto"/>
        <w:tabs>
          <w:tab w:pos="872" w:val="left"/>
        </w:tabs>
        <w:bidi w:val="0"/>
        <w:spacing w:before="0" w:after="0" w:line="391" w:lineRule="exact"/>
        <w:ind w:left="0" w:right="0"/>
        <w:jc w:val="both"/>
      </w:pPr>
      <w:bookmarkStart w:id="271" w:name="bookmark271"/>
      <w:r>
        <w:rPr>
          <w:b/>
          <w:bCs/>
          <w:color w:val="000000"/>
          <w:spacing w:val="0"/>
          <w:w w:val="100"/>
          <w:position w:val="0"/>
        </w:rPr>
        <w:t>（</w:t>
      </w:r>
      <w:bookmarkEnd w:id="271"/>
      <w:r>
        <w:rPr>
          <w:b/>
          <w:bCs/>
          <w:color w:val="000000"/>
          <w:spacing w:val="0"/>
          <w:w w:val="100"/>
          <w:position w:val="0"/>
        </w:rPr>
        <w:t>二）</w:t>
        <w:tab/>
        <w:t>关于董事和董事会</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报告期内，公司董事会共召开</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次会议。根据《公司章程》的规定，董事会由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人。本报告 期末，公司共有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名，占全体董事的三分之一，董事会的人数及人员构成符合法律法规和《公司章程》 的要求；董事会下设战略发展及投资审查、薪酬与考核、审计及预算审核、提名四个专门委员会，各专门委员会的人员构成 均符合有关法律法规的规定；公司全体董事能够按照《深圳证券交易所上市公司规范运作指引》、《公司章程》和《董事会 议事规则》等的要求开展工作，依法出席董事会和列席股东大会。</w:t>
      </w:r>
    </w:p>
    <w:p>
      <w:pPr>
        <w:pStyle w:val="Style28"/>
        <w:keepNext w:val="0"/>
        <w:keepLines w:val="0"/>
        <w:widowControl w:val="0"/>
        <w:shd w:val="clear" w:color="auto" w:fill="auto"/>
        <w:tabs>
          <w:tab w:pos="872" w:val="left"/>
        </w:tabs>
        <w:bidi w:val="0"/>
        <w:spacing w:before="0" w:after="0" w:line="391" w:lineRule="exact"/>
        <w:ind w:left="0" w:right="0"/>
        <w:jc w:val="both"/>
      </w:pPr>
      <w:bookmarkStart w:id="272" w:name="bookmark272"/>
      <w:r>
        <w:rPr>
          <w:b/>
          <w:bCs/>
          <w:color w:val="000000"/>
          <w:spacing w:val="0"/>
          <w:w w:val="100"/>
          <w:position w:val="0"/>
        </w:rPr>
        <w:t>（</w:t>
      </w:r>
      <w:bookmarkEnd w:id="272"/>
      <w:r>
        <w:rPr>
          <w:b/>
          <w:bCs/>
          <w:color w:val="000000"/>
          <w:spacing w:val="0"/>
          <w:w w:val="100"/>
          <w:position w:val="0"/>
        </w:rPr>
        <w:t>三）</w:t>
        <w:tab/>
        <w:t>关于监事与监事会</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报告期内，公司监事会共召开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次会议。公司监事会目前由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名，监事会的人数及构成 符合法律法规和《公司章程》的要求。公司全体监事能够按照《公司章程》和《监事会议事规则》等的要求，认真履行自己 的职责，对公司重大事项、关联交易、财务状况、董事和高管的履职情况等进行有效监督并发表意见。</w:t>
      </w:r>
    </w:p>
    <w:p>
      <w:pPr>
        <w:pStyle w:val="Style28"/>
        <w:keepNext w:val="0"/>
        <w:keepLines w:val="0"/>
        <w:widowControl w:val="0"/>
        <w:shd w:val="clear" w:color="auto" w:fill="auto"/>
        <w:tabs>
          <w:tab w:pos="872" w:val="left"/>
        </w:tabs>
        <w:bidi w:val="0"/>
        <w:spacing w:before="0" w:after="0" w:line="391" w:lineRule="exact"/>
        <w:ind w:left="0" w:right="0"/>
        <w:jc w:val="left"/>
      </w:pPr>
      <w:bookmarkStart w:id="273" w:name="bookmark273"/>
      <w:r>
        <w:rPr>
          <w:b/>
          <w:bCs/>
          <w:color w:val="000000"/>
          <w:spacing w:val="0"/>
          <w:w w:val="100"/>
          <w:position w:val="0"/>
        </w:rPr>
        <w:t>（</w:t>
      </w:r>
      <w:bookmarkEnd w:id="273"/>
      <w:r>
        <w:rPr>
          <w:b/>
          <w:bCs/>
          <w:color w:val="000000"/>
          <w:spacing w:val="0"/>
          <w:w w:val="100"/>
          <w:position w:val="0"/>
        </w:rPr>
        <w:t>四）</w:t>
        <w:tab/>
        <w:t>关于绩效评价和激励约束机制</w:t>
      </w:r>
    </w:p>
    <w:p>
      <w:pPr>
        <w:pStyle w:val="Style28"/>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公司已建立和完善了公正、透明的高级管理人员的绩效评价标准和激励约束机制，公司高级管理人员的聘任公平、公 开、公正、透明，符合相关规定。</w:t>
      </w:r>
    </w:p>
    <w:p>
      <w:pPr>
        <w:pStyle w:val="Style28"/>
        <w:keepNext w:val="0"/>
        <w:keepLines w:val="0"/>
        <w:widowControl w:val="0"/>
        <w:shd w:val="clear" w:color="auto" w:fill="auto"/>
        <w:tabs>
          <w:tab w:pos="872" w:val="left"/>
        </w:tabs>
        <w:bidi w:val="0"/>
        <w:spacing w:before="0" w:after="0" w:line="391" w:lineRule="exact"/>
        <w:ind w:left="0" w:right="0"/>
        <w:jc w:val="both"/>
      </w:pPr>
      <w:bookmarkStart w:id="274" w:name="bookmark274"/>
      <w:r>
        <w:rPr>
          <w:b/>
          <w:bCs/>
          <w:color w:val="000000"/>
          <w:spacing w:val="0"/>
          <w:w w:val="100"/>
          <w:position w:val="0"/>
        </w:rPr>
        <w:t>（</w:t>
      </w:r>
      <w:bookmarkEnd w:id="274"/>
      <w:r>
        <w:rPr>
          <w:b/>
          <w:bCs/>
          <w:color w:val="000000"/>
          <w:spacing w:val="0"/>
          <w:w w:val="100"/>
          <w:position w:val="0"/>
        </w:rPr>
        <w:t>五）</w:t>
        <w:tab/>
        <w:t>关于相关利益者</w:t>
      </w:r>
    </w:p>
    <w:p>
      <w:pPr>
        <w:pStyle w:val="Style28"/>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公司充分尊重和维护包括股东、员工、债权人和客户在内的所有相关利益者的合法权益，积极与相关利益者合作，加 强沟通和交流，实现股东、员工、社会各方利益的均衡，共同推动公司持续、稳定、健康发展。</w:t>
      </w:r>
    </w:p>
    <w:p>
      <w:pPr>
        <w:pStyle w:val="Style28"/>
        <w:keepNext w:val="0"/>
        <w:keepLines w:val="0"/>
        <w:widowControl w:val="0"/>
        <w:shd w:val="clear" w:color="auto" w:fill="auto"/>
        <w:tabs>
          <w:tab w:pos="872" w:val="left"/>
        </w:tabs>
        <w:bidi w:val="0"/>
        <w:spacing w:before="0" w:after="0" w:line="391" w:lineRule="exact"/>
        <w:ind w:left="0" w:right="0"/>
        <w:jc w:val="both"/>
      </w:pPr>
      <w:bookmarkStart w:id="275" w:name="bookmark275"/>
      <w:r>
        <w:rPr>
          <w:b/>
          <w:bCs/>
          <w:color w:val="000000"/>
          <w:spacing w:val="0"/>
          <w:w w:val="100"/>
          <w:position w:val="0"/>
        </w:rPr>
        <w:t>（</w:t>
      </w:r>
      <w:bookmarkEnd w:id="275"/>
      <w:r>
        <w:rPr>
          <w:b/>
          <w:bCs/>
          <w:color w:val="000000"/>
          <w:spacing w:val="0"/>
          <w:w w:val="100"/>
          <w:position w:val="0"/>
        </w:rPr>
        <w:t>六）</w:t>
        <w:tab/>
        <w:t>关于信息披露与透明度</w:t>
      </w:r>
    </w:p>
    <w:p>
      <w:pPr>
        <w:pStyle w:val="Style28"/>
        <w:keepNext w:val="0"/>
        <w:keepLines w:val="0"/>
        <w:widowControl w:val="0"/>
        <w:shd w:val="clear" w:color="auto" w:fill="auto"/>
        <w:bidi w:val="0"/>
        <w:spacing w:before="0" w:after="100" w:line="391" w:lineRule="exact"/>
        <w:ind w:left="0" w:right="0" w:firstLine="440"/>
        <w:jc w:val="both"/>
      </w:pPr>
      <w:r>
        <w:rPr>
          <w:color w:val="000000"/>
          <w:spacing w:val="0"/>
          <w:w w:val="100"/>
          <w:position w:val="0"/>
        </w:rPr>
        <w:t>公司严格按照有关法律法规的规定和公司《信息披露管理制度》的要求，加强信息披露事务管理，强化重大事项的内 部报告，履行信息披露义务，并指定《证券时报》、《证券日报》、《中国证券报》、《上海证券报》和巨潮资讯网为公司 信息披露的报纸及网站，真实、准确、及时、完整地披露信息，确保所有投资者公平获取公司信息。</w:t>
      </w:r>
    </w:p>
    <w:p>
      <w:pPr>
        <w:pStyle w:val="Style28"/>
        <w:keepNext w:val="0"/>
        <w:keepLines w:val="0"/>
        <w:widowControl w:val="0"/>
        <w:shd w:val="clear" w:color="auto" w:fill="auto"/>
        <w:bidi w:val="0"/>
        <w:spacing w:before="0" w:after="0" w:line="391" w:lineRule="exact"/>
        <w:ind w:left="0" w:right="0" w:firstLine="380"/>
        <w:jc w:val="both"/>
      </w:pPr>
      <w:bookmarkStart w:id="276" w:name="bookmark276"/>
      <w:r>
        <w:rPr>
          <w:b/>
          <w:bCs/>
          <w:color w:val="000000"/>
          <w:spacing w:val="0"/>
          <w:w w:val="100"/>
          <w:position w:val="0"/>
        </w:rPr>
        <w:t>（</w:t>
      </w:r>
      <w:bookmarkEnd w:id="276"/>
      <w:r>
        <w:rPr>
          <w:b/>
          <w:bCs/>
          <w:color w:val="000000"/>
          <w:spacing w:val="0"/>
          <w:w w:val="100"/>
          <w:position w:val="0"/>
        </w:rPr>
        <w:t>七）关于投资者关系管理工作</w:t>
      </w:r>
    </w:p>
    <w:p>
      <w:pPr>
        <w:pStyle w:val="Style28"/>
        <w:keepNext w:val="0"/>
        <w:keepLines w:val="0"/>
        <w:widowControl w:val="0"/>
        <w:shd w:val="clear" w:color="auto" w:fill="auto"/>
        <w:tabs>
          <w:tab w:pos="673" w:val="left"/>
        </w:tabs>
        <w:bidi w:val="0"/>
        <w:spacing w:before="0" w:after="0" w:line="391" w:lineRule="exact"/>
        <w:ind w:left="0" w:right="0" w:firstLine="380"/>
        <w:jc w:val="both"/>
      </w:pPr>
      <w:bookmarkStart w:id="277" w:name="bookmark277"/>
      <w:r>
        <w:rPr>
          <w:rFonts w:ascii="Times New Roman" w:eastAsia="Times New Roman" w:hAnsi="Times New Roman" w:cs="Times New Roman"/>
          <w:color w:val="000000"/>
          <w:spacing w:val="0"/>
          <w:w w:val="100"/>
          <w:position w:val="0"/>
          <w:sz w:val="18"/>
          <w:szCs w:val="18"/>
        </w:rPr>
        <w:t>1</w:t>
      </w:r>
      <w:bookmarkEnd w:id="277"/>
      <w:r>
        <w:rPr>
          <w:color w:val="000000"/>
          <w:spacing w:val="0"/>
          <w:w w:val="100"/>
          <w:position w:val="0"/>
        </w:rPr>
        <w:t>、</w:t>
        <w:tab/>
        <w:t>公司指定董事会秘书作为投资者关系管理负责人，安排专人做好投资者来访接待工作。</w:t>
      </w:r>
    </w:p>
    <w:p>
      <w:pPr>
        <w:pStyle w:val="Style28"/>
        <w:keepNext w:val="0"/>
        <w:keepLines w:val="0"/>
        <w:widowControl w:val="0"/>
        <w:shd w:val="clear" w:color="auto" w:fill="auto"/>
        <w:tabs>
          <w:tab w:pos="662" w:val="left"/>
        </w:tabs>
        <w:bidi w:val="0"/>
        <w:spacing w:before="0" w:after="0" w:line="403" w:lineRule="exact"/>
        <w:ind w:left="0" w:right="0" w:firstLine="380"/>
        <w:jc w:val="both"/>
      </w:pPr>
      <w:bookmarkStart w:id="278" w:name="bookmark278"/>
      <w:r>
        <w:rPr>
          <w:rFonts w:ascii="Times New Roman" w:eastAsia="Times New Roman" w:hAnsi="Times New Roman" w:cs="Times New Roman"/>
          <w:color w:val="000000"/>
          <w:spacing w:val="0"/>
          <w:w w:val="100"/>
          <w:position w:val="0"/>
          <w:sz w:val="18"/>
          <w:szCs w:val="18"/>
        </w:rPr>
        <w:t>2</w:t>
      </w:r>
      <w:bookmarkEnd w:id="278"/>
      <w:r>
        <w:rPr>
          <w:color w:val="000000"/>
          <w:spacing w:val="0"/>
          <w:w w:val="100"/>
          <w:position w:val="0"/>
        </w:rPr>
        <w:t>、</w:t>
        <w:tab/>
        <w:t>公司通过股东大会、投资者关系热线电话、投资者电子邮箱、传真、巨潮资讯网站、投资者关系互动易平台等多种 渠道与投资者加强沟通，在遵守相关法律法规和公司《信息披露管理制度》的前提下，尽可能解答投资者的疑问。</w:t>
      </w:r>
    </w:p>
    <w:p>
      <w:pPr>
        <w:pStyle w:val="Style28"/>
        <w:keepNext w:val="0"/>
        <w:keepLines w:val="0"/>
        <w:widowControl w:val="0"/>
        <w:shd w:val="clear" w:color="auto" w:fill="auto"/>
        <w:tabs>
          <w:tab w:pos="657" w:val="left"/>
        </w:tabs>
        <w:bidi w:val="0"/>
        <w:spacing w:before="0" w:after="0" w:line="403" w:lineRule="exact"/>
        <w:ind w:left="0" w:right="0" w:firstLine="380"/>
        <w:jc w:val="both"/>
      </w:pPr>
      <w:bookmarkStart w:id="279" w:name="bookmark279"/>
      <w:r>
        <w:rPr>
          <w:rFonts w:ascii="Times New Roman" w:eastAsia="Times New Roman" w:hAnsi="Times New Roman" w:cs="Times New Roman"/>
          <w:color w:val="000000"/>
          <w:spacing w:val="0"/>
          <w:w w:val="100"/>
          <w:position w:val="0"/>
          <w:sz w:val="18"/>
          <w:szCs w:val="18"/>
        </w:rPr>
        <w:t>3</w:t>
      </w:r>
      <w:bookmarkEnd w:id="279"/>
      <w:r>
        <w:rPr>
          <w:color w:val="000000"/>
          <w:spacing w:val="0"/>
          <w:w w:val="100"/>
          <w:position w:val="0"/>
        </w:rPr>
        <w:t>、</w:t>
        <w:tab/>
        <w:t>公司在接待特定对象调研前，要求来访的特定对象签署相关承诺书，并安排专人做好投资者来访接待工作，及时披 露相关投资者来访接待情况，确保信息披露的公平性。</w:t>
      </w:r>
    </w:p>
    <w:p>
      <w:pPr>
        <w:pStyle w:val="Style28"/>
        <w:keepNext w:val="0"/>
        <w:keepLines w:val="0"/>
        <w:widowControl w:val="0"/>
        <w:shd w:val="clear" w:color="auto" w:fill="auto"/>
        <w:bidi w:val="0"/>
        <w:spacing w:before="0" w:after="220" w:line="391" w:lineRule="exact"/>
        <w:ind w:left="0" w:right="0" w:firstLine="380"/>
        <w:jc w:val="both"/>
      </w:pPr>
      <w:r>
        <w:rPr>
          <w:color w:val="000000"/>
          <w:spacing w:val="0"/>
          <w:w w:val="100"/>
          <w:position w:val="0"/>
        </w:rPr>
        <w:t>公司治理的实际状况与法律、行政法规和中国证监会发布的关于上市公司治理的规定是否存在重大差异</w:t>
      </w:r>
    </w:p>
    <w:p>
      <w:pPr>
        <w:pStyle w:val="Style28"/>
        <w:keepNext w:val="0"/>
        <w:keepLines w:val="0"/>
        <w:widowControl w:val="0"/>
        <w:shd w:val="clear" w:color="auto" w:fill="auto"/>
        <w:bidi w:val="0"/>
        <w:spacing w:before="0" w:after="0" w:line="454"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91" w:lineRule="exact"/>
        <w:ind w:left="0" w:right="0" w:firstLine="38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220" w:line="312"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二</w:t>
      </w:r>
      <w:bookmarkEnd w:id="282"/>
      <w:r>
        <w:rPr>
          <w:color w:val="000000"/>
          <w:spacing w:val="0"/>
          <w:w w:val="100"/>
          <w:position w:val="0"/>
          <w:sz w:val="24"/>
          <w:szCs w:val="24"/>
        </w:rPr>
        <w:t>、公司相对于控股股东、实际控制人在保证公司资产、人员、财务、机构、业务等方面的 独立情况</w:t>
      </w:r>
      <w:bookmarkEnd w:id="280"/>
      <w:bookmarkEnd w:id="281"/>
      <w:bookmarkEnd w:id="283"/>
    </w:p>
    <w:p>
      <w:pPr>
        <w:pStyle w:val="Style28"/>
        <w:keepNext w:val="0"/>
        <w:keepLines w:val="0"/>
        <w:widowControl w:val="0"/>
        <w:shd w:val="clear" w:color="auto" w:fill="auto"/>
        <w:bidi w:val="0"/>
        <w:spacing w:before="0" w:after="180" w:line="391" w:lineRule="exact"/>
        <w:ind w:left="0" w:right="0" w:firstLine="380"/>
        <w:jc w:val="both"/>
      </w:pPr>
      <w:r>
        <w:rPr>
          <w:color w:val="000000"/>
          <w:spacing w:val="0"/>
          <w:w w:val="100"/>
          <w:position w:val="0"/>
        </w:rPr>
        <w:t>公司自成立以来，严格按照《公司法》、《证券法》等有关法律、法规和《公司章程》的要求规范运作，在资产、人员、 财务、机构和业务等方面与控股股东、实际控制人及其控制的其他企业完全分开，具有独立完整的业务体系及面向市场独立 经营的能力。</w:t>
      </w:r>
    </w:p>
    <w:p>
      <w:pPr>
        <w:pStyle w:val="Style28"/>
        <w:keepNext w:val="0"/>
        <w:keepLines w:val="0"/>
        <w:widowControl w:val="0"/>
        <w:shd w:val="clear" w:color="auto" w:fill="auto"/>
        <w:tabs>
          <w:tab w:pos="673" w:val="left"/>
        </w:tabs>
        <w:bidi w:val="0"/>
        <w:spacing w:before="0" w:after="0" w:line="454" w:lineRule="auto"/>
        <w:ind w:left="0" w:right="0" w:firstLine="380"/>
        <w:jc w:val="both"/>
      </w:pPr>
      <w:bookmarkStart w:id="284" w:name="bookmark284"/>
      <w:r>
        <w:rPr>
          <w:rFonts w:ascii="Times New Roman" w:eastAsia="Times New Roman" w:hAnsi="Times New Roman" w:cs="Times New Roman"/>
          <w:color w:val="000000"/>
          <w:spacing w:val="0"/>
          <w:w w:val="100"/>
          <w:position w:val="0"/>
          <w:sz w:val="18"/>
          <w:szCs w:val="18"/>
        </w:rPr>
        <w:t>1</w:t>
      </w:r>
      <w:bookmarkEnd w:id="284"/>
      <w:r>
        <w:rPr>
          <w:color w:val="000000"/>
          <w:spacing w:val="0"/>
          <w:w w:val="100"/>
          <w:position w:val="0"/>
        </w:rPr>
        <w:t>、</w:t>
        <w:tab/>
        <w:t>资产独立情况</w:t>
      </w:r>
    </w:p>
    <w:p>
      <w:pPr>
        <w:pStyle w:val="Style28"/>
        <w:keepNext w:val="0"/>
        <w:keepLines w:val="0"/>
        <w:widowControl w:val="0"/>
        <w:shd w:val="clear" w:color="auto" w:fill="auto"/>
        <w:bidi w:val="0"/>
        <w:spacing w:before="0" w:after="180" w:line="391" w:lineRule="exact"/>
        <w:ind w:left="0" w:right="0" w:firstLine="380"/>
        <w:jc w:val="both"/>
      </w:pPr>
      <w:r>
        <w:rPr>
          <w:color w:val="000000"/>
          <w:spacing w:val="0"/>
          <w:w w:val="100"/>
          <w:position w:val="0"/>
        </w:rPr>
        <w:t>公司拥有完整的产品生产的工艺流程、完备的生产经营性资产、相关生产技术和配套设施、独立完整的采购和销售体系 等，合法拥有与生产经营有关的土地、厂房、机器设备以及相关商标、专利等资产的所有权或使用权。公司与股东之间的资 产产权界定清晰，生产经营场所独立，不存在依靠股东的生产经营场所进行生产经营的情况。公司不存在以公司资产、信用 为控股股东、实际控制人及其控制的其他企业进行违规担保的情形，不存在资金被控股股东、实际控制人及其控制的其他企 业以借款、代偿债务、代垫款项或者其他方式占用的情形。</w:t>
      </w:r>
    </w:p>
    <w:p>
      <w:pPr>
        <w:pStyle w:val="Style28"/>
        <w:keepNext w:val="0"/>
        <w:keepLines w:val="0"/>
        <w:widowControl w:val="0"/>
        <w:shd w:val="clear" w:color="auto" w:fill="auto"/>
        <w:tabs>
          <w:tab w:pos="692" w:val="left"/>
        </w:tabs>
        <w:bidi w:val="0"/>
        <w:spacing w:before="0" w:after="0" w:line="454" w:lineRule="auto"/>
        <w:ind w:left="0" w:right="0" w:firstLine="380"/>
        <w:jc w:val="both"/>
      </w:pPr>
      <w:bookmarkStart w:id="285" w:name="bookmark285"/>
      <w:r>
        <w:rPr>
          <w:rFonts w:ascii="Times New Roman" w:eastAsia="Times New Roman" w:hAnsi="Times New Roman" w:cs="Times New Roman"/>
          <w:color w:val="000000"/>
          <w:spacing w:val="0"/>
          <w:w w:val="100"/>
          <w:position w:val="0"/>
          <w:sz w:val="18"/>
          <w:szCs w:val="18"/>
        </w:rPr>
        <w:t>2</w:t>
      </w:r>
      <w:bookmarkEnd w:id="285"/>
      <w:r>
        <w:rPr>
          <w:color w:val="000000"/>
          <w:spacing w:val="0"/>
          <w:w w:val="100"/>
          <w:position w:val="0"/>
        </w:rPr>
        <w:t>、</w:t>
        <w:tab/>
        <w:t>人员独立情况</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公司拥有独立、完整的人事管理体系，拥有生产经营所需的研发技术人员、管理人员及相应的生产技术人员和销售人员 等，员工均与公司签订了劳动聘用合同，工资发放、福利支出与股东及其关联人严格分离。公司建立了独立的人事档案、人 事聘用和任免制度、考核和奖惩制度，拥有独立的薪酬管理、福利与社会保障体系。</w:t>
      </w:r>
    </w:p>
    <w:p>
      <w:pPr>
        <w:pStyle w:val="Style28"/>
        <w:keepNext w:val="0"/>
        <w:keepLines w:val="0"/>
        <w:widowControl w:val="0"/>
        <w:shd w:val="clear" w:color="auto" w:fill="auto"/>
        <w:bidi w:val="0"/>
        <w:spacing w:before="0" w:after="180" w:line="391" w:lineRule="exact"/>
        <w:ind w:left="0" w:right="0" w:firstLine="380"/>
        <w:jc w:val="both"/>
      </w:pPr>
      <w:r>
        <w:rPr>
          <w:color w:val="000000"/>
          <w:spacing w:val="0"/>
          <w:w w:val="100"/>
          <w:position w:val="0"/>
        </w:rPr>
        <w:t>公司的董事、监事及高级管理人员的选举和聘任均严格按照《公司法》和《公司章程》的有关规定执行，不存在受其他 机构或个人干预的情形。公司总经理、副总经理、财务总监、董事会秘书等高级管理人员均专职在公司工作并领取薪酬，没 有在控股股东担任除董事、监事以外的任何职务，亦没有在与公司业务相同或相近的其他企业任职的情况。公司董事、监事、 高级管理人员及其父母、配偶、子女、兄弟姐妹、兄弟姐妹的配偶等均未从事与公司利益相冲突的工作。</w:t>
      </w:r>
    </w:p>
    <w:p>
      <w:pPr>
        <w:pStyle w:val="Style28"/>
        <w:keepNext w:val="0"/>
        <w:keepLines w:val="0"/>
        <w:widowControl w:val="0"/>
        <w:shd w:val="clear" w:color="auto" w:fill="auto"/>
        <w:tabs>
          <w:tab w:pos="682" w:val="left"/>
        </w:tabs>
        <w:bidi w:val="0"/>
        <w:spacing w:before="0" w:after="0" w:line="454" w:lineRule="auto"/>
        <w:ind w:left="0" w:right="0" w:firstLine="380"/>
        <w:jc w:val="both"/>
      </w:pPr>
      <w:bookmarkStart w:id="286" w:name="bookmark286"/>
      <w:r>
        <w:rPr>
          <w:rFonts w:ascii="Times New Roman" w:eastAsia="Times New Roman" w:hAnsi="Times New Roman" w:cs="Times New Roman"/>
          <w:color w:val="000000"/>
          <w:spacing w:val="0"/>
          <w:w w:val="100"/>
          <w:position w:val="0"/>
          <w:sz w:val="18"/>
          <w:szCs w:val="18"/>
        </w:rPr>
        <w:t>3</w:t>
      </w:r>
      <w:bookmarkEnd w:id="286"/>
      <w:r>
        <w:rPr>
          <w:color w:val="000000"/>
          <w:spacing w:val="0"/>
          <w:w w:val="100"/>
          <w:position w:val="0"/>
        </w:rPr>
        <w:t>、</w:t>
        <w:tab/>
        <w:t>财务独立情况</w:t>
      </w:r>
    </w:p>
    <w:p>
      <w:pPr>
        <w:pStyle w:val="Style28"/>
        <w:keepNext w:val="0"/>
        <w:keepLines w:val="0"/>
        <w:widowControl w:val="0"/>
        <w:shd w:val="clear" w:color="auto" w:fill="auto"/>
        <w:bidi w:val="0"/>
        <w:spacing w:before="0" w:after="180" w:line="391" w:lineRule="exact"/>
        <w:ind w:left="0" w:right="0" w:firstLine="380"/>
        <w:jc w:val="both"/>
      </w:pPr>
      <w:r>
        <w:rPr>
          <w:color w:val="000000"/>
          <w:spacing w:val="0"/>
          <w:w w:val="100"/>
          <w:position w:val="0"/>
        </w:rPr>
        <w:t xml:space="preserve">公司已按照《企业会计准则》的要求建立了一套独立、完整、规范的财务会计核算体系和财务管理制度，实施严格管理。 公司设立了独立的财务部门，配备了专职财务人员；公司在银行拥有独立的银行账户，不存在与第一大股东（控股股东）、 实际控制人及其控制的其他企业共用银行账户的情形，亦不存在货币资金或其他资产被第一大股东（控股股东）、实际控制 人或其他关联方以任何名义占用的情况，也不存在为第一大股东（控股股东）及其关联方提供担保的情况；公司办理了独立 的税务登记证并独立申报纳税，不存在与股东单位混合纳税的情形；公司依据《公司章程》及自身情况做出财务决策，完全 </w:t>
      </w:r>
      <w:r>
        <w:rPr>
          <w:color w:val="000000"/>
          <w:spacing w:val="0"/>
          <w:w w:val="100"/>
          <w:position w:val="0"/>
        </w:rPr>
        <w:t>自主决定资金使用，不存在控股股东、实际控制人干预公司资金使用的情况。</w:t>
      </w:r>
    </w:p>
    <w:p>
      <w:pPr>
        <w:pStyle w:val="Style28"/>
        <w:keepNext w:val="0"/>
        <w:keepLines w:val="0"/>
        <w:widowControl w:val="0"/>
        <w:shd w:val="clear" w:color="auto" w:fill="auto"/>
        <w:tabs>
          <w:tab w:pos="734" w:val="left"/>
        </w:tabs>
        <w:bidi w:val="0"/>
        <w:spacing w:before="0" w:after="0" w:line="456" w:lineRule="auto"/>
        <w:ind w:left="0" w:right="0" w:firstLine="380"/>
        <w:jc w:val="left"/>
      </w:pPr>
      <w:bookmarkStart w:id="287" w:name="bookmark287"/>
      <w:r>
        <w:rPr>
          <w:rFonts w:ascii="Times New Roman" w:eastAsia="Times New Roman" w:hAnsi="Times New Roman" w:cs="Times New Roman"/>
          <w:color w:val="000000"/>
          <w:spacing w:val="0"/>
          <w:w w:val="100"/>
          <w:position w:val="0"/>
          <w:sz w:val="18"/>
          <w:szCs w:val="18"/>
        </w:rPr>
        <w:t>4</w:t>
      </w:r>
      <w:bookmarkEnd w:id="287"/>
      <w:r>
        <w:rPr>
          <w:color w:val="000000"/>
          <w:spacing w:val="0"/>
          <w:w w:val="100"/>
          <w:position w:val="0"/>
        </w:rPr>
        <w:t>、</w:t>
        <w:tab/>
        <w:t>机构独立情况</w:t>
      </w:r>
    </w:p>
    <w:p>
      <w:pPr>
        <w:pStyle w:val="Style28"/>
        <w:keepNext w:val="0"/>
        <w:keepLines w:val="0"/>
        <w:widowControl w:val="0"/>
        <w:shd w:val="clear" w:color="auto" w:fill="auto"/>
        <w:bidi w:val="0"/>
        <w:spacing w:before="0" w:after="0" w:line="392" w:lineRule="exact"/>
        <w:ind w:left="0" w:right="0" w:firstLine="380"/>
        <w:jc w:val="left"/>
      </w:pPr>
      <w:r>
        <w:rPr>
          <w:color w:val="000000"/>
          <w:spacing w:val="0"/>
          <w:w w:val="100"/>
          <w:position w:val="0"/>
        </w:rPr>
        <w:t>公司按照《公司法》、《公司章程》的规定，设立了股东大会、董事会、监事会等议事、决策、监督机构，聘任了高级 管理人员，并制定了相适应的股东大会、董事会、监事会议事规则，以及独立董事、董事会各专门委员会和总经理工作细则 等相关管理制度。</w:t>
      </w:r>
    </w:p>
    <w:p>
      <w:pPr>
        <w:pStyle w:val="Style28"/>
        <w:keepNext w:val="0"/>
        <w:keepLines w:val="0"/>
        <w:widowControl w:val="0"/>
        <w:shd w:val="clear" w:color="auto" w:fill="auto"/>
        <w:bidi w:val="0"/>
        <w:spacing w:before="0" w:after="180" w:line="392" w:lineRule="exact"/>
        <w:ind w:left="0" w:right="0" w:firstLine="380"/>
        <w:jc w:val="left"/>
      </w:pPr>
      <w:r>
        <w:rPr>
          <w:color w:val="000000"/>
          <w:spacing w:val="0"/>
          <w:w w:val="100"/>
          <w:position w:val="0"/>
        </w:rPr>
        <w:t>根据业务经营需要，公司设置了包括营销与服务体系、研发体系、供应链体系、管理支持体系、质量中心在内的职能部 门，建立健全了公司内部各部门的规章制度。公司内部经营管理机构与第一大股东（控股股东）、实际控制人及其控制的其 他企业完全分开，独立行使经营管理职权，不存在与控股股东、实际控制人及其控制的其他企业共用管理机构、混合经营、 合署办公等机构混同的情形，亦不存在股东单位直接干预公司生产经营活动的情况。</w:t>
      </w:r>
    </w:p>
    <w:p>
      <w:pPr>
        <w:pStyle w:val="Style28"/>
        <w:keepNext w:val="0"/>
        <w:keepLines w:val="0"/>
        <w:widowControl w:val="0"/>
        <w:shd w:val="clear" w:color="auto" w:fill="auto"/>
        <w:tabs>
          <w:tab w:pos="724" w:val="left"/>
        </w:tabs>
        <w:bidi w:val="0"/>
        <w:spacing w:before="0" w:after="0" w:line="456" w:lineRule="auto"/>
        <w:ind w:left="0" w:right="0" w:firstLine="380"/>
        <w:jc w:val="both"/>
      </w:pPr>
      <w:bookmarkStart w:id="288" w:name="bookmark288"/>
      <w:r>
        <w:rPr>
          <w:rFonts w:ascii="Times New Roman" w:eastAsia="Times New Roman" w:hAnsi="Times New Roman" w:cs="Times New Roman"/>
          <w:color w:val="000000"/>
          <w:spacing w:val="0"/>
          <w:w w:val="100"/>
          <w:position w:val="0"/>
          <w:sz w:val="18"/>
          <w:szCs w:val="18"/>
        </w:rPr>
        <w:t>5</w:t>
      </w:r>
      <w:bookmarkEnd w:id="288"/>
      <w:r>
        <w:rPr>
          <w:color w:val="000000"/>
          <w:spacing w:val="0"/>
          <w:w w:val="100"/>
          <w:position w:val="0"/>
        </w:rPr>
        <w:t>、</w:t>
        <w:tab/>
        <w:t>业务独立情况</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目前公司已具有独立完整的研发、采购、生产、销售体系，具有面向市场自主经营业务的能力，主营业务收入和主营业 务利润不存在依赖于股东及其他关联方的关联交易的情况，同时也不存在受制于股东及其他关联方的情况。</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公司在业务上与第一大股东（控股股东）、实际控制人及其控制的其他公司之间不存在同业竞争及显失公允的关联交易。</w:t>
      </w:r>
    </w:p>
    <w:p>
      <w:pPr>
        <w:pStyle w:val="Style28"/>
        <w:keepNext w:val="0"/>
        <w:keepLines w:val="0"/>
        <w:widowControl w:val="0"/>
        <w:shd w:val="clear" w:color="auto" w:fill="auto"/>
        <w:bidi w:val="0"/>
        <w:spacing w:before="0" w:after="400" w:line="392" w:lineRule="exact"/>
        <w:ind w:left="0" w:right="0" w:firstLine="380"/>
        <w:jc w:val="both"/>
      </w:pPr>
      <w:r>
        <w:rPr>
          <w:color w:val="000000"/>
          <w:spacing w:val="0"/>
          <w:w w:val="100"/>
          <w:position w:val="0"/>
        </w:rPr>
        <w:t>综上所述，公司目前已建立了独立完整的研发、采购、生产和销售系统，在资产、人员、财务、机构和业务等方面与第 一大股东（控股股东）、实际控制人及其控制的其他企业完全分开，实现了独立运作，具有独立完整的业务体系及面向市场 自主开发独立经营的能力。</w:t>
      </w:r>
    </w:p>
    <w:p>
      <w:pPr>
        <w:pStyle w:val="Style24"/>
        <w:keepNext/>
        <w:keepLines/>
        <w:widowControl w:val="0"/>
        <w:shd w:val="clear" w:color="auto" w:fill="auto"/>
        <w:bidi w:val="0"/>
        <w:spacing w:before="0" w:after="34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、同业竞争情况</w:t>
      </w:r>
      <w:bookmarkEnd w:id="289"/>
      <w:bookmarkEnd w:id="290"/>
      <w:bookmarkEnd w:id="292"/>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、报告期内召开的年度股东大会和临时股东大会的有关情况</w:t>
      </w:r>
      <w:bookmarkEnd w:id="293"/>
      <w:bookmarkEnd w:id="294"/>
      <w:bookmarkEnd w:id="296"/>
    </w:p>
    <w:p>
      <w:pPr>
        <w:pStyle w:val="Style31"/>
        <w:keepNext/>
        <w:keepLines/>
        <w:widowControl w:val="0"/>
        <w:shd w:val="clear" w:color="auto" w:fill="auto"/>
        <w:bidi w:val="0"/>
        <w:spacing w:before="0" w:after="34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、本报告期股东大会情况</w:t>
      </w:r>
      <w:bookmarkEnd w:id="297"/>
      <w:bookmarkEnd w:id="298"/>
      <w:bookmarkEnd w:id="300"/>
    </w:p>
    <w:tbl>
      <w:tblPr>
        <w:tblOverlap w:val="never"/>
        <w:jc w:val="center"/>
        <w:tblLayout w:type="fixed"/>
      </w:tblPr>
      <w:tblGrid>
        <w:gridCol w:w="1603"/>
        <w:gridCol w:w="816"/>
        <w:gridCol w:w="994"/>
        <w:gridCol w:w="1133"/>
        <w:gridCol w:w="1277"/>
        <w:gridCol w:w="376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审议通过了《关于公司与参股公司信联科技日常 关联交易的议案》、《关于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 易预计的议案》。</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深圳市金溢科技股份有限公司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全文及其摘要》、《董事会</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年度工作报告》、《监事会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年度工作报告》、</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 配预案》、《关于续聘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 案》。</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审议通过了《关于回购注销部分首次授予的限制 性股票的议案》、《关于变更公司注册资本暨修改 </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p>
        </w:tc>
      </w:tr>
    </w:tbl>
    <w:p>
      <w:pPr>
        <w:spacing w:lineRule="exact" w:line="1"/>
        <w:rPr>
          <w:sz w:val="2"/>
          <w:szCs w:val="2"/>
        </w:rPr>
      </w:pPr>
      <w:r>
        <w:br w:type="page"/>
      </w:r>
    </w:p>
    <w:tbl>
      <w:tblPr>
        <w:tblOverlap w:val="never"/>
        <w:jc w:val="center"/>
        <w:tblLayout w:type="fixed"/>
      </w:tblPr>
      <w:tblGrid>
        <w:gridCol w:w="1603"/>
        <w:gridCol w:w="816"/>
        <w:gridCol w:w="994"/>
        <w:gridCol w:w="1133"/>
        <w:gridCol w:w="1277"/>
        <w:gridCol w:w="3763"/>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审议通过了《关于选举公司第三届董事会非独立 董事的议案》。</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、表决权恢复的优先股股东请求召开临时股东大会</w:t>
      </w:r>
      <w:bookmarkEnd w:id="301"/>
      <w:bookmarkEnd w:id="302"/>
      <w:bookmarkEnd w:id="30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五</w:t>
      </w:r>
      <w:bookmarkEnd w:id="307"/>
      <w:r>
        <w:rPr>
          <w:color w:val="000000"/>
          <w:spacing w:val="0"/>
          <w:w w:val="100"/>
          <w:position w:val="0"/>
          <w:sz w:val="24"/>
          <w:szCs w:val="24"/>
        </w:rPr>
        <w:t>、董事、监事和高级管理人员情况</w:t>
      </w:r>
      <w:bookmarkEnd w:id="305"/>
      <w:bookmarkEnd w:id="306"/>
      <w:bookmarkEnd w:id="308"/>
    </w:p>
    <w:p>
      <w:pPr>
        <w:pStyle w:val="Style31"/>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、基本情况</w:t>
      </w:r>
      <w:bookmarkEnd w:id="309"/>
      <w:bookmarkEnd w:id="310"/>
      <w:bookmarkEnd w:id="312"/>
    </w:p>
    <w:tbl>
      <w:tblPr>
        <w:tblOverlap w:val="never"/>
        <w:jc w:val="center"/>
        <w:tblLayout w:type="fixed"/>
      </w:tblPr>
      <w:tblGrid>
        <w:gridCol w:w="739"/>
        <w:gridCol w:w="739"/>
        <w:gridCol w:w="514"/>
        <w:gridCol w:w="427"/>
        <w:gridCol w:w="422"/>
        <w:gridCol w:w="854"/>
        <w:gridCol w:w="850"/>
        <w:gridCol w:w="1133"/>
        <w:gridCol w:w="710"/>
        <w:gridCol w:w="706"/>
        <w:gridCol w:w="710"/>
        <w:gridCol w:w="1032"/>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的原因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 董事会 秘书（代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长、高级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关志超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向吉英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周海荣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倪传宝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朱卫国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9"/>
        <w:gridCol w:w="739"/>
        <w:gridCol w:w="514"/>
        <w:gridCol w:w="427"/>
        <w:gridCol w:w="422"/>
        <w:gridCol w:w="854"/>
        <w:gridCol w:w="850"/>
        <w:gridCol w:w="1133"/>
        <w:gridCol w:w="710"/>
        <w:gridCol w:w="706"/>
        <w:gridCol w:w="710"/>
        <w:gridCol w:w="1032"/>
        <w:gridCol w:w="74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郑映虹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23,130,950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23,130,950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220" w:line="398" w:lineRule="exact"/>
        <w:ind w:left="0" w:right="0" w:firstLine="0"/>
        <w:jc w:val="left"/>
      </w:pPr>
      <w:r>
        <w:rPr>
          <w:color w:val="000000"/>
          <w:spacing w:val="0"/>
          <w:w w:val="100"/>
          <w:position w:val="0"/>
        </w:rPr>
        <w:t>报告期是否存在任期内董事、监事离任和高级管理人员解聘的情况</w:t>
      </w:r>
    </w:p>
    <w:p>
      <w:pPr>
        <w:pStyle w:val="Style28"/>
        <w:keepNext w:val="0"/>
        <w:keepLines w:val="0"/>
        <w:widowControl w:val="0"/>
        <w:shd w:val="clear" w:color="auto" w:fill="auto"/>
        <w:bidi w:val="0"/>
        <w:spacing w:before="0" w:after="0" w:line="46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tabs>
          <w:tab w:pos="349" w:val="left"/>
        </w:tabs>
        <w:bidi w:val="0"/>
        <w:spacing w:before="0" w:after="0" w:line="398" w:lineRule="exact"/>
        <w:ind w:left="0" w:right="0" w:firstLine="0"/>
        <w:jc w:val="left"/>
      </w:pPr>
      <w:bookmarkStart w:id="313" w:name="bookmark313"/>
      <w:r>
        <w:rPr>
          <w:rFonts w:ascii="Times New Roman" w:eastAsia="Times New Roman" w:hAnsi="Times New Roman" w:cs="Times New Roman"/>
          <w:color w:val="000000"/>
          <w:spacing w:val="0"/>
          <w:w w:val="100"/>
          <w:position w:val="0"/>
          <w:sz w:val="18"/>
          <w:szCs w:val="18"/>
        </w:rPr>
        <w:t>1</w:t>
      </w:r>
      <w:bookmarkEnd w:id="313"/>
      <w:r>
        <w:rPr>
          <w:color w:val="000000"/>
          <w:spacing w:val="0"/>
          <w:w w:val="100"/>
          <w:position w:val="0"/>
        </w:rPr>
        <w:t>、</w:t>
        <w:tab/>
        <w:t>基于公司长远发展战略及经营管理考虑，罗瑞发先生辞去公司总经理职务，辞职后罗瑞发先生将继续担任公司董事长、 代行董事会秘书及财务总监。</w:t>
      </w:r>
    </w:p>
    <w:p>
      <w:pPr>
        <w:pStyle w:val="Style28"/>
        <w:keepNext w:val="0"/>
        <w:keepLines w:val="0"/>
        <w:widowControl w:val="0"/>
        <w:shd w:val="clear" w:color="auto" w:fill="auto"/>
        <w:tabs>
          <w:tab w:pos="354" w:val="left"/>
        </w:tabs>
        <w:bidi w:val="0"/>
        <w:spacing w:before="0" w:after="0" w:line="398" w:lineRule="exact"/>
        <w:ind w:left="0" w:right="0" w:firstLine="0"/>
        <w:jc w:val="left"/>
      </w:pPr>
      <w:bookmarkStart w:id="314" w:name="bookmark314"/>
      <w:r>
        <w:rPr>
          <w:rFonts w:ascii="Times New Roman" w:eastAsia="Times New Roman" w:hAnsi="Times New Roman" w:cs="Times New Roman"/>
          <w:color w:val="000000"/>
          <w:spacing w:val="0"/>
          <w:w w:val="100"/>
          <w:position w:val="0"/>
          <w:sz w:val="18"/>
          <w:szCs w:val="18"/>
        </w:rPr>
        <w:t>2</w:t>
      </w:r>
      <w:bookmarkEnd w:id="314"/>
      <w:r>
        <w:rPr>
          <w:color w:val="000000"/>
          <w:spacing w:val="0"/>
          <w:w w:val="100"/>
          <w:position w:val="0"/>
        </w:rPr>
        <w:t>、</w:t>
        <w:tab/>
        <w:t>因个人原因，于海洋先生辞去公司第三届董事会非独立董事职务，辞职后于海洋先生不再担任公司任何职务。</w:t>
      </w:r>
    </w:p>
    <w:p>
      <w:pPr>
        <w:pStyle w:val="Style28"/>
        <w:keepNext w:val="0"/>
        <w:keepLines w:val="0"/>
        <w:widowControl w:val="0"/>
        <w:shd w:val="clear" w:color="auto" w:fill="auto"/>
        <w:tabs>
          <w:tab w:pos="354" w:val="left"/>
        </w:tabs>
        <w:bidi w:val="0"/>
        <w:spacing w:before="0" w:after="0" w:line="398" w:lineRule="exact"/>
        <w:ind w:left="0" w:right="0" w:firstLine="0"/>
        <w:jc w:val="left"/>
      </w:pPr>
      <w:bookmarkStart w:id="315" w:name="bookmark315"/>
      <w:r>
        <w:rPr>
          <w:rFonts w:ascii="Times New Roman" w:eastAsia="Times New Roman" w:hAnsi="Times New Roman" w:cs="Times New Roman"/>
          <w:color w:val="000000"/>
          <w:spacing w:val="0"/>
          <w:w w:val="100"/>
          <w:position w:val="0"/>
          <w:sz w:val="18"/>
          <w:szCs w:val="18"/>
        </w:rPr>
        <w:t>3</w:t>
      </w:r>
      <w:bookmarkEnd w:id="315"/>
      <w:r>
        <w:rPr>
          <w:color w:val="000000"/>
          <w:spacing w:val="0"/>
          <w:w w:val="100"/>
          <w:position w:val="0"/>
        </w:rPr>
        <w:t>、</w:t>
        <w:tab/>
        <w:t>因突发影响个人履职原因，郑映虹女士辞去公司第三届董事会非独立董事、董事会薪酬与考核委员会委员、董事会秘书 职务，辞职后郑映虹女士将不在公司及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或其控股子公司任职。</w:t>
      </w:r>
    </w:p>
    <w:p>
      <w:pPr>
        <w:pStyle w:val="Style28"/>
        <w:keepNext w:val="0"/>
        <w:keepLines w:val="0"/>
        <w:widowControl w:val="0"/>
        <w:shd w:val="clear" w:color="auto" w:fill="auto"/>
        <w:tabs>
          <w:tab w:pos="354" w:val="left"/>
        </w:tabs>
        <w:bidi w:val="0"/>
        <w:spacing w:before="0" w:after="0" w:line="398" w:lineRule="exact"/>
        <w:ind w:left="0" w:right="0" w:firstLine="0"/>
        <w:jc w:val="left"/>
      </w:pPr>
      <w:bookmarkStart w:id="316" w:name="bookmark316"/>
      <w:r>
        <w:rPr>
          <w:rFonts w:ascii="Times New Roman" w:eastAsia="Times New Roman" w:hAnsi="Times New Roman" w:cs="Times New Roman"/>
          <w:color w:val="000000"/>
          <w:spacing w:val="0"/>
          <w:w w:val="100"/>
          <w:position w:val="0"/>
          <w:sz w:val="18"/>
          <w:szCs w:val="18"/>
        </w:rPr>
        <w:t>4</w:t>
      </w:r>
      <w:bookmarkEnd w:id="316"/>
      <w:r>
        <w:rPr>
          <w:color w:val="000000"/>
          <w:spacing w:val="0"/>
          <w:w w:val="100"/>
          <w:position w:val="0"/>
        </w:rPr>
        <w:t>、</w:t>
        <w:tab/>
        <w:t>因个人原因，聂磊先生辞去公司财务总监职务，辞职后聂磊先生不再担任公司任何职务。</w:t>
      </w:r>
    </w:p>
    <w:p>
      <w:pPr>
        <w:pStyle w:val="Style28"/>
        <w:keepNext w:val="0"/>
        <w:keepLines w:val="0"/>
        <w:widowControl w:val="0"/>
        <w:shd w:val="clear" w:color="auto" w:fill="auto"/>
        <w:bidi w:val="0"/>
        <w:spacing w:before="0" w:after="220" w:line="398" w:lineRule="exact"/>
        <w:ind w:left="0" w:right="0" w:firstLine="0"/>
        <w:jc w:val="left"/>
      </w:pPr>
      <w:r>
        <w:rPr>
          <w:color w:val="000000"/>
          <w:spacing w:val="0"/>
          <w:w w:val="100"/>
          <w:position w:val="0"/>
        </w:rPr>
        <w:t>报告期内公司董事、监事、高级管理人员变动情况</w:t>
      </w:r>
    </w:p>
    <w:p>
      <w:pPr>
        <w:pStyle w:val="Style28"/>
        <w:keepNext w:val="0"/>
        <w:keepLines w:val="0"/>
        <w:widowControl w:val="0"/>
        <w:shd w:val="clear" w:color="auto" w:fill="auto"/>
        <w:bidi w:val="0"/>
        <w:spacing w:before="0" w:after="0" w:line="46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744"/>
        <w:gridCol w:w="1560"/>
        <w:gridCol w:w="4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董事长、总经理、 董事会秘书（代 行）、财务总监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（代行）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日，罗瑞发先生基于公司长远发展战略及经 营管理考虑，辞去公司总经理职务。辞职后罗瑞发先生将 继续担任公司董事长、代行董事会秘书及财务总监。罗瑞 发先生的辞职自辞职报告送达董事会之日起生效。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 选举蔡福春先生为第三届董事会非独立董事。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日，公司召开第三届董事会第十六次会议， 聘任蔡福春先生为公司总经理。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 选举张东生先生为第三届董事会非独立董事。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日，于海洋先生因个人原因，辞去公司第三 届董事会非独立董事职务。辞职后于海洋先生不再担任公 司任何职务。于海洋先生的辞职自辞职报告送达董事会之 日起生效。</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郑映虹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日，郑映虹女士因突发影响个人履职原因， 辞去公司第三届董事会非独立董事、董事会薪酬与考核委 员会委员、董事会秘书职务。辞职后郑映虹女士将不在公</w:t>
            </w:r>
          </w:p>
        </w:tc>
      </w:tr>
    </w:tbl>
    <w:tbl>
      <w:tblPr>
        <w:tblOverlap w:val="never"/>
        <w:jc w:val="center"/>
        <w:tblLayout w:type="fixed"/>
      </w:tblPr>
      <w:tblGrid>
        <w:gridCol w:w="1339"/>
        <w:gridCol w:w="1330"/>
        <w:gridCol w:w="744"/>
        <w:gridCol w:w="1560"/>
        <w:gridCol w:w="461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或其控股子公司任职。郑映虹女士的辞职自辞职报告 送达董事会之日起生效。</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日，聂磊先生因个人原因，辞去公司财务总 监职务。辞职后聂磊先生不再担任公司任何职务。聂磊先 生的辞职自辞职报告送达董事会之日起生效。</w:t>
            </w: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、任职情况</w:t>
      </w:r>
      <w:bookmarkEnd w:id="317"/>
      <w:bookmarkEnd w:id="318"/>
      <w:bookmarkEnd w:id="320"/>
    </w:p>
    <w:p>
      <w:pPr>
        <w:pStyle w:val="Style28"/>
        <w:keepNext w:val="0"/>
        <w:keepLines w:val="0"/>
        <w:widowControl w:val="0"/>
        <w:shd w:val="clear" w:color="auto" w:fill="auto"/>
        <w:bidi w:val="0"/>
        <w:spacing w:before="0" w:after="0" w:line="393" w:lineRule="exact"/>
        <w:ind w:left="0" w:right="0" w:firstLine="38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93" w:lineRule="exact"/>
        <w:ind w:left="0" w:right="0" w:firstLine="380"/>
        <w:jc w:val="both"/>
      </w:pPr>
      <w:bookmarkStart w:id="321" w:name="bookmark321"/>
      <w:r>
        <w:rPr>
          <w:rFonts w:ascii="Times New Roman" w:eastAsia="Times New Roman" w:hAnsi="Times New Roman" w:cs="Times New Roman"/>
          <w:b/>
          <w:bCs/>
          <w:color w:val="000000"/>
          <w:spacing w:val="0"/>
          <w:w w:val="100"/>
          <w:position w:val="0"/>
          <w:sz w:val="18"/>
          <w:szCs w:val="18"/>
        </w:rPr>
        <w:t>1</w:t>
      </w:r>
      <w:bookmarkEnd w:id="321"/>
      <w:r>
        <w:rPr>
          <w:b/>
          <w:bCs/>
          <w:color w:val="000000"/>
          <w:spacing w:val="0"/>
          <w:w w:val="100"/>
          <w:position w:val="0"/>
        </w:rPr>
        <w:t>、董事会成员</w:t>
      </w:r>
    </w:p>
    <w:p>
      <w:pPr>
        <w:pStyle w:val="Style28"/>
        <w:keepNext w:val="0"/>
        <w:keepLines w:val="0"/>
        <w:widowControl w:val="0"/>
        <w:shd w:val="clear" w:color="auto" w:fill="auto"/>
        <w:bidi w:val="0"/>
        <w:spacing w:before="0" w:after="0" w:line="393" w:lineRule="exact"/>
        <w:ind w:left="0" w:right="0" w:firstLine="380"/>
        <w:jc w:val="both"/>
      </w:pPr>
      <w:r>
        <w:rPr>
          <w:color w:val="000000"/>
          <w:spacing w:val="0"/>
          <w:w w:val="100"/>
          <w:position w:val="0"/>
        </w:rPr>
        <w:t>公司现任董事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w:t>
      </w:r>
    </w:p>
    <w:p>
      <w:pPr>
        <w:pStyle w:val="Style28"/>
        <w:keepNext w:val="0"/>
        <w:keepLines w:val="0"/>
        <w:widowControl w:val="0"/>
        <w:numPr>
          <w:ilvl w:val="0"/>
          <w:numId w:val="3"/>
        </w:numPr>
        <w:shd w:val="clear" w:color="auto" w:fill="auto"/>
        <w:tabs>
          <w:tab w:pos="760" w:val="left"/>
        </w:tabs>
        <w:bidi w:val="0"/>
        <w:spacing w:before="0" w:after="0" w:line="393" w:lineRule="exact"/>
        <w:ind w:left="0" w:right="0" w:firstLine="380"/>
        <w:jc w:val="both"/>
      </w:pPr>
      <w:bookmarkStart w:id="322" w:name="bookmark322"/>
      <w:bookmarkEnd w:id="322"/>
      <w:r>
        <w:rPr>
          <w:b/>
          <w:bCs/>
          <w:color w:val="000000"/>
          <w:spacing w:val="0"/>
          <w:w w:val="100"/>
          <w:position w:val="0"/>
        </w:rPr>
        <w:t>非独立董事：</w:t>
      </w:r>
    </w:p>
    <w:p>
      <w:pPr>
        <w:pStyle w:val="Style28"/>
        <w:keepNext w:val="0"/>
        <w:keepLines w:val="0"/>
        <w:widowControl w:val="0"/>
        <w:shd w:val="clear" w:color="auto" w:fill="auto"/>
        <w:bidi w:val="0"/>
        <w:spacing w:before="0" w:after="0" w:line="393" w:lineRule="exact"/>
        <w:ind w:left="0" w:right="0" w:firstLine="380"/>
        <w:jc w:val="both"/>
      </w:pPr>
      <w:r>
        <w:rPr>
          <w:color w:val="000000"/>
          <w:spacing w:val="0"/>
          <w:w w:val="100"/>
          <w:position w:val="0"/>
        </w:rPr>
        <w:t>罗瑞发，男，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年出生，中国国籍，无境外永久居留权，硕士研究生学历，博士（在读），高级工程师职称。本科毕 业于华南理工大学，交通控制专业；硕士研究生毕业于中山大学，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专业；同济大学交通信息与控制专业博士（在读）。 曾任广州市埃特斯通讯设备有限公司部门经理（总经理助理级）、公司总经理；现任公司董事长、董事会秘书（代行），华 南理工大学客座教授、深圳技术大学客座教授、深圳立尊科技有限公司执行董事、深圳市敏行电子有限公司执行董事、广州 市华瑞腾科技有限公司执行董事、深圳市敏行至达科技有限公司执行董事、北京中交金溢科技有限公司执行董事、深圳镓华 微电子有限公司董事、深圳市智慧交通产业促进会会长。</w:t>
      </w:r>
    </w:p>
    <w:p>
      <w:pPr>
        <w:pStyle w:val="Style28"/>
        <w:keepNext w:val="0"/>
        <w:keepLines w:val="0"/>
        <w:widowControl w:val="0"/>
        <w:shd w:val="clear" w:color="auto" w:fill="auto"/>
        <w:bidi w:val="0"/>
        <w:spacing w:before="0" w:after="0" w:line="393" w:lineRule="exact"/>
        <w:ind w:left="0" w:right="0" w:firstLine="380"/>
        <w:jc w:val="both"/>
      </w:pPr>
      <w:r>
        <w:rPr>
          <w:color w:val="000000"/>
          <w:spacing w:val="0"/>
          <w:w w:val="100"/>
          <w:position w:val="0"/>
        </w:rPr>
        <w:t>刘咏平，男，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年出生，中国国籍，无境外永久居留权，博士研究生学历，高级工程师职称。本科毕业于西安交通大 学，自动控制专业；硕士研究生毕业于华南理工大学，控制理论与控制工程专业；博士研究生毕业于英国贝尔法斯特女王大 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The Queen's University of Belfast</w:t>
      </w:r>
      <w:r>
        <w:rPr>
          <w:color w:val="000000"/>
          <w:spacing w:val="0"/>
          <w:w w:val="100"/>
          <w:position w:val="0"/>
        </w:rPr>
        <w:t>）</w:t>
      </w:r>
      <w:r>
        <w:rPr>
          <w:color w:val="000000"/>
          <w:spacing w:val="0"/>
          <w:w w:val="100"/>
          <w:position w:val="0"/>
        </w:rPr>
        <w:t>，电子工程专业。曾任广东新粤交通投资有限公司高级技术经理，金溢有限部门经理、 总工程师；现任公司副董事长、高级副总经理、长安大学信息工程学院工程硕士导师、深圳市钜湾科技有限公司监事、深圳 宝溢交通科技有限公司董事。</w:t>
      </w:r>
    </w:p>
    <w:p>
      <w:pPr>
        <w:pStyle w:val="Style28"/>
        <w:keepNext w:val="0"/>
        <w:keepLines w:val="0"/>
        <w:widowControl w:val="0"/>
        <w:shd w:val="clear" w:color="auto" w:fill="auto"/>
        <w:bidi w:val="0"/>
        <w:spacing w:before="0" w:after="0" w:line="393" w:lineRule="exact"/>
        <w:ind w:left="0" w:right="0" w:firstLine="380"/>
        <w:jc w:val="both"/>
      </w:pPr>
      <w:r>
        <w:rPr>
          <w:color w:val="000000"/>
          <w:spacing w:val="0"/>
          <w:w w:val="100"/>
          <w:position w:val="0"/>
        </w:rPr>
        <w:t>蔡福春，男，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年出生，中国国籍，无境外永久居留权，本科学历。曾任广州市天时和科技发展有限公司销售工程师， 公司常务副总经理；现任公司董事、总经理，山东高速信威信息科技有限公司董事，深圳宝溢交通科技有限公司副董事长。</w:t>
      </w:r>
    </w:p>
    <w:p>
      <w:pPr>
        <w:pStyle w:val="Style28"/>
        <w:keepNext w:val="0"/>
        <w:keepLines w:val="0"/>
        <w:widowControl w:val="0"/>
        <w:shd w:val="clear" w:color="auto" w:fill="auto"/>
        <w:bidi w:val="0"/>
        <w:spacing w:before="0" w:after="0" w:line="393" w:lineRule="exact"/>
        <w:ind w:left="0" w:right="0" w:firstLine="380"/>
        <w:jc w:val="both"/>
      </w:pPr>
      <w:r>
        <w:rPr>
          <w:color w:val="000000"/>
          <w:spacing w:val="0"/>
          <w:w w:val="100"/>
          <w:position w:val="0"/>
        </w:rPr>
        <w:t>关志超，男，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年出生，中国国籍，无境外永久居留权，博士研究生学历，教授级高级工程师。曾任中科院长春物理 所</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室技术副主任、深圳市先科企业集团与中国人民保险公司合资公司总经理兼董事、（香港）航天科技电子实业公司副 总经理、深圳市中兴通讯股份有限公司智能化负责人、中国电信深圳公司通信网络分公司技术总监、深圳市城市交通规划研 究中心副总工程师、深圳市易行网交通科技有限公司总经理兼董事、中兴智能交通股份有限公司监事；现任深圳市综合交通 运行指挥中心总工程师、郑州天迈科技股份有限公司独立董事、公司董事。</w:t>
      </w:r>
    </w:p>
    <w:p>
      <w:pPr>
        <w:pStyle w:val="Style28"/>
        <w:keepNext w:val="0"/>
        <w:keepLines w:val="0"/>
        <w:widowControl w:val="0"/>
        <w:shd w:val="clear" w:color="auto" w:fill="auto"/>
        <w:bidi w:val="0"/>
        <w:spacing w:before="0" w:after="0" w:line="393" w:lineRule="exact"/>
        <w:ind w:left="0" w:right="0" w:firstLine="380"/>
        <w:jc w:val="both"/>
      </w:pPr>
      <w:r>
        <w:rPr>
          <w:color w:val="000000"/>
          <w:spacing w:val="0"/>
          <w:w w:val="100"/>
          <w:position w:val="0"/>
        </w:rPr>
        <w:t>张东生，男，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年出生，中国香港籍，无境外永久居留权，硕士研究生学历。本科毕业于北京工业学院（现北京理工 大学），飞行器工程系发射技术与设备专业；硕士研究生毕业于北京大学经济学院（现光华管理学院），经济管理系国民经 济计划与管理专业。曾任环球数码创意控股有限公司董事；现任公司董事、亿阳集团（香港）有限公司董事、青岛华烁高科 新能源技术有限公司副董事长、烟台亚新利电器有限公司副董事长、烟台融佳精细化工有限公司董事、烟台新悦电气有限公 司董事、烟台博雅信息技术有限公司董事、烟台亚新利自动控制有限公司董事。</w:t>
      </w:r>
    </w:p>
    <w:p>
      <w:pPr>
        <w:pStyle w:val="Style28"/>
        <w:keepNext w:val="0"/>
        <w:keepLines w:val="0"/>
        <w:widowControl w:val="0"/>
        <w:numPr>
          <w:ilvl w:val="0"/>
          <w:numId w:val="3"/>
        </w:numPr>
        <w:shd w:val="clear" w:color="auto" w:fill="auto"/>
        <w:tabs>
          <w:tab w:pos="760" w:val="left"/>
        </w:tabs>
        <w:bidi w:val="0"/>
        <w:spacing w:before="0" w:after="0" w:line="393" w:lineRule="exact"/>
        <w:ind w:left="0" w:right="0" w:firstLine="380"/>
        <w:jc w:val="both"/>
      </w:pPr>
      <w:bookmarkStart w:id="323" w:name="bookmark323"/>
      <w:bookmarkEnd w:id="323"/>
      <w:r>
        <w:rPr>
          <w:b/>
          <w:bCs/>
          <w:color w:val="000000"/>
          <w:spacing w:val="0"/>
          <w:w w:val="100"/>
          <w:position w:val="0"/>
        </w:rPr>
        <w:t>独立董事：</w:t>
      </w:r>
    </w:p>
    <w:p>
      <w:pPr>
        <w:pStyle w:val="Style28"/>
        <w:keepNext w:val="0"/>
        <w:keepLines w:val="0"/>
        <w:widowControl w:val="0"/>
        <w:shd w:val="clear" w:color="auto" w:fill="auto"/>
        <w:bidi w:val="0"/>
        <w:spacing w:before="0" w:after="0" w:line="393" w:lineRule="exact"/>
        <w:ind w:left="0" w:right="0" w:firstLine="380"/>
        <w:jc w:val="both"/>
      </w:pPr>
      <w:r>
        <w:rPr>
          <w:color w:val="000000"/>
          <w:spacing w:val="0"/>
          <w:w w:val="100"/>
          <w:position w:val="0"/>
        </w:rPr>
        <w:t>陈君柱，男，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 xml:space="preserve">年出生，中国国籍，无境外永久居留权，硕士研究生学历，毕业于西南政法大学，经济法专业，中国 </w:t>
      </w:r>
      <w:r>
        <w:rPr>
          <w:color w:val="000000"/>
          <w:spacing w:val="0"/>
          <w:w w:val="100"/>
          <w:position w:val="0"/>
        </w:rPr>
        <w:t>注册会计师、特许公认会计师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w:t>
      </w:r>
      <w:r>
        <w:rPr>
          <w:color w:val="000000"/>
          <w:spacing w:val="0"/>
          <w:w w:val="100"/>
          <w:position w:val="0"/>
        </w:rPr>
        <w:t>。曾任暨南大学法学院助教、德勤华永会计师事务所高级审计师、沃尔玛（中国） 投资有限公司内审部经理、安永华明会计师事务所并购交易部经理、普保恒创（广州）科技有限公司监事、深圳市鑫沛资本 管理有限公司执行董事兼总经理；现任公司独立董事、深圳市浚源资本管理有限公司总经理、广东三雄极光照明股份有限公 司独立董事、广东天波信息技术股份有限公司独立董事、广东正源会计师事务所有限公司副主任会计师、胜利油气管道控股 有限公司独立董事、广州市沛兴科技有限责任公司执行董事兼总经理、深圳帕克斯智能科技有限公司董事。</w:t>
      </w:r>
    </w:p>
    <w:p>
      <w:pPr>
        <w:pStyle w:val="Style28"/>
        <w:keepNext w:val="0"/>
        <w:keepLines w:val="0"/>
        <w:widowControl w:val="0"/>
        <w:shd w:val="clear" w:color="auto" w:fill="auto"/>
        <w:bidi w:val="0"/>
        <w:spacing w:before="0" w:after="0" w:line="394" w:lineRule="exact"/>
        <w:ind w:left="0" w:right="0"/>
        <w:jc w:val="both"/>
      </w:pPr>
      <w:r>
        <w:rPr>
          <w:color w:val="000000"/>
          <w:spacing w:val="0"/>
          <w:w w:val="100"/>
          <w:position w:val="0"/>
        </w:rPr>
        <w:t>向吉英，男，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年出生，中国国籍，无境外永久居留权，博士研究生学历。曾任湖南省龙山电力公司技术员、湖南省 社会科学院助理研究员、招商局蛇口工业区有限公司高级经理、招商局集团有限公司重大项目办公室高级经理、招商局集团 驻越南办事处高级经理；现任公司独立董事、深圳职业技术学院教授、招商局港口国际学院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深职海丝分院常务副院长。</w:t>
      </w:r>
    </w:p>
    <w:p>
      <w:pPr>
        <w:pStyle w:val="Style28"/>
        <w:keepNext w:val="0"/>
        <w:keepLines w:val="0"/>
        <w:widowControl w:val="0"/>
        <w:shd w:val="clear" w:color="auto" w:fill="auto"/>
        <w:bidi w:val="0"/>
        <w:spacing w:before="0" w:after="180" w:line="394" w:lineRule="exact"/>
        <w:ind w:left="0" w:right="0"/>
        <w:jc w:val="both"/>
      </w:pPr>
      <w:r>
        <w:rPr>
          <w:color w:val="000000"/>
          <w:spacing w:val="0"/>
          <w:w w:val="100"/>
          <w:position w:val="0"/>
        </w:rPr>
        <w:t>李夏，男，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年出生，中国国籍，无境外永久居留权，本科学历。曾任武汉工业大学（现武汉理工大学）分团委书记、 生产经营科长、教学科研管理办公室主任，深圳英特集团首席执行官，深圳市明海通电子有限公司总经理，深圳市智能交通 行业协会常务副会长兼秘书长；现任公司独立董事、深圳市宝安区智慧宝安产业促进会秘书长、深圳市交通数字化设施协会 副会长。</w:t>
      </w:r>
    </w:p>
    <w:p>
      <w:pPr>
        <w:pStyle w:val="Style28"/>
        <w:keepNext w:val="0"/>
        <w:keepLines w:val="0"/>
        <w:widowControl w:val="0"/>
        <w:shd w:val="clear" w:color="auto" w:fill="auto"/>
        <w:tabs>
          <w:tab w:pos="681" w:val="left"/>
        </w:tabs>
        <w:bidi w:val="0"/>
        <w:spacing w:before="0" w:after="0" w:line="456" w:lineRule="auto"/>
        <w:ind w:left="0" w:right="0"/>
        <w:jc w:val="both"/>
      </w:pPr>
      <w:bookmarkStart w:id="324" w:name="bookmark324"/>
      <w:r>
        <w:rPr>
          <w:rFonts w:ascii="Times New Roman" w:eastAsia="Times New Roman" w:hAnsi="Times New Roman" w:cs="Times New Roman"/>
          <w:b/>
          <w:bCs/>
          <w:color w:val="000000"/>
          <w:spacing w:val="0"/>
          <w:w w:val="100"/>
          <w:position w:val="0"/>
          <w:sz w:val="18"/>
          <w:szCs w:val="18"/>
        </w:rPr>
        <w:t>2</w:t>
      </w:r>
      <w:bookmarkEnd w:id="324"/>
      <w:r>
        <w:rPr>
          <w:b/>
          <w:bCs/>
          <w:color w:val="000000"/>
          <w:spacing w:val="0"/>
          <w:w w:val="100"/>
          <w:position w:val="0"/>
        </w:rPr>
        <w:t>、</w:t>
        <w:tab/>
        <w:t>监事会成员</w:t>
      </w:r>
    </w:p>
    <w:p>
      <w:pPr>
        <w:pStyle w:val="Style28"/>
        <w:keepNext w:val="0"/>
        <w:keepLines w:val="0"/>
        <w:widowControl w:val="0"/>
        <w:shd w:val="clear" w:color="auto" w:fill="auto"/>
        <w:bidi w:val="0"/>
        <w:spacing w:before="0" w:after="0" w:line="394" w:lineRule="exact"/>
        <w:ind w:left="0" w:right="0"/>
        <w:jc w:val="both"/>
      </w:pPr>
      <w:r>
        <w:rPr>
          <w:color w:val="000000"/>
          <w:spacing w:val="0"/>
          <w:w w:val="100"/>
          <w:position w:val="0"/>
        </w:rPr>
        <w:t>公司现任监事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w:t>
      </w:r>
    </w:p>
    <w:p>
      <w:pPr>
        <w:pStyle w:val="Style28"/>
        <w:keepNext w:val="0"/>
        <w:keepLines w:val="0"/>
        <w:widowControl w:val="0"/>
        <w:shd w:val="clear" w:color="auto" w:fill="auto"/>
        <w:bidi w:val="0"/>
        <w:spacing w:before="0" w:after="0" w:line="394" w:lineRule="exact"/>
        <w:ind w:left="0" w:right="0"/>
        <w:jc w:val="both"/>
      </w:pPr>
      <w:r>
        <w:rPr>
          <w:color w:val="000000"/>
          <w:spacing w:val="0"/>
          <w:w w:val="100"/>
          <w:position w:val="0"/>
        </w:rPr>
        <w:t>周海荣，男，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年出生，中国国籍，无境外永久居留权，博士研究生学历。毕业于武汉大学，国际私法专业。曾任深 圳市深华集团公司审计监察部副部长、法律部部长，深圳华业律师事务所合伙人律师、主任；现任广东晟典律师事务所高级 合伙人、公司监事会主席。</w:t>
      </w:r>
    </w:p>
    <w:p>
      <w:pPr>
        <w:pStyle w:val="Style28"/>
        <w:keepNext w:val="0"/>
        <w:keepLines w:val="0"/>
        <w:widowControl w:val="0"/>
        <w:shd w:val="clear" w:color="auto" w:fill="auto"/>
        <w:bidi w:val="0"/>
        <w:spacing w:before="0" w:after="0" w:line="394" w:lineRule="exact"/>
        <w:ind w:left="0" w:right="0"/>
        <w:jc w:val="both"/>
      </w:pPr>
      <w:r>
        <w:rPr>
          <w:color w:val="000000"/>
          <w:spacing w:val="0"/>
          <w:w w:val="100"/>
          <w:position w:val="0"/>
        </w:rPr>
        <w:t>倪传宝，男，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年出生，中国国籍，无境外永久居留权。本科学历，毕业于北京大学，法律学专业。曾任江苏省司法 厅科员、深圳市鹏基物业发展有限公司法律部部长、广东中安律师事务所专职律师、广东万乘律师事务所专职律师，现任广 东艾特朗律师事务所专职律师、公司监事。</w:t>
      </w:r>
    </w:p>
    <w:p>
      <w:pPr>
        <w:pStyle w:val="Style28"/>
        <w:keepNext w:val="0"/>
        <w:keepLines w:val="0"/>
        <w:widowControl w:val="0"/>
        <w:shd w:val="clear" w:color="auto" w:fill="auto"/>
        <w:bidi w:val="0"/>
        <w:spacing w:before="0" w:after="0" w:line="394" w:lineRule="exact"/>
        <w:ind w:left="0" w:right="0"/>
        <w:jc w:val="both"/>
      </w:pPr>
      <w:r>
        <w:rPr>
          <w:color w:val="000000"/>
          <w:spacing w:val="0"/>
          <w:w w:val="100"/>
          <w:position w:val="0"/>
        </w:rPr>
        <w:t>朱卫国，男，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年出生，中国国籍，无境外永久居留权，本科学历，财务管理专业，中山大学工商管理硕士（在读）。</w:t>
      </w:r>
    </w:p>
    <w:p>
      <w:pPr>
        <w:pStyle w:val="Style28"/>
        <w:keepNext w:val="0"/>
        <w:keepLines w:val="0"/>
        <w:widowControl w:val="0"/>
        <w:shd w:val="clear" w:color="auto" w:fill="auto"/>
        <w:bidi w:val="0"/>
        <w:spacing w:before="0" w:after="180" w:line="394" w:lineRule="exact"/>
        <w:ind w:left="0" w:right="0" w:firstLine="0"/>
        <w:jc w:val="left"/>
      </w:pPr>
      <w:r>
        <w:rPr>
          <w:color w:val="000000"/>
          <w:spacing w:val="0"/>
          <w:w w:val="100"/>
          <w:position w:val="0"/>
        </w:rPr>
        <w:t>中级审计师、国际注册内部审计师。曾在联合信用管理有限公司、广州新中南会计师事务所、中审亚太会计师事务所、深圳 统信电路电子有限公司任职。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年加入深圳市金溢科技股份有限公司，现任公司审计与法务中心总经理、职工代表监事， 山东高速信威信息科技有限公司监事。</w:t>
      </w:r>
    </w:p>
    <w:p>
      <w:pPr>
        <w:pStyle w:val="Style28"/>
        <w:keepNext w:val="0"/>
        <w:keepLines w:val="0"/>
        <w:widowControl w:val="0"/>
        <w:shd w:val="clear" w:color="auto" w:fill="auto"/>
        <w:tabs>
          <w:tab w:pos="681" w:val="left"/>
        </w:tabs>
        <w:bidi w:val="0"/>
        <w:spacing w:before="0" w:after="0" w:line="456" w:lineRule="auto"/>
        <w:ind w:left="0" w:right="0"/>
        <w:jc w:val="left"/>
      </w:pPr>
      <w:bookmarkStart w:id="325" w:name="bookmark325"/>
      <w:r>
        <w:rPr>
          <w:rFonts w:ascii="Times New Roman" w:eastAsia="Times New Roman" w:hAnsi="Times New Roman" w:cs="Times New Roman"/>
          <w:b/>
          <w:bCs/>
          <w:color w:val="000000"/>
          <w:spacing w:val="0"/>
          <w:w w:val="100"/>
          <w:position w:val="0"/>
          <w:sz w:val="18"/>
          <w:szCs w:val="18"/>
        </w:rPr>
        <w:t>3</w:t>
      </w:r>
      <w:bookmarkEnd w:id="325"/>
      <w:r>
        <w:rPr>
          <w:b/>
          <w:bCs/>
          <w:color w:val="000000"/>
          <w:spacing w:val="0"/>
          <w:w w:val="100"/>
          <w:position w:val="0"/>
        </w:rPr>
        <w:t>、</w:t>
        <w:tab/>
        <w:t>高级管理人员</w:t>
      </w:r>
    </w:p>
    <w:p>
      <w:pPr>
        <w:pStyle w:val="Style28"/>
        <w:keepNext w:val="0"/>
        <w:keepLines w:val="0"/>
        <w:widowControl w:val="0"/>
        <w:shd w:val="clear" w:color="auto" w:fill="auto"/>
        <w:bidi w:val="0"/>
        <w:spacing w:before="0" w:after="0" w:line="394" w:lineRule="exact"/>
        <w:ind w:left="0" w:right="0"/>
        <w:jc w:val="left"/>
      </w:pPr>
      <w:r>
        <w:rPr>
          <w:color w:val="000000"/>
          <w:spacing w:val="0"/>
          <w:w w:val="100"/>
          <w:position w:val="0"/>
        </w:rPr>
        <w:t>公司现任高级管理人员包括总经理、副总经理、财务总监及董事会秘书，共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w:t>
      </w:r>
    </w:p>
    <w:p>
      <w:pPr>
        <w:pStyle w:val="Style28"/>
        <w:keepNext w:val="0"/>
        <w:keepLines w:val="0"/>
        <w:widowControl w:val="0"/>
        <w:shd w:val="clear" w:color="auto" w:fill="auto"/>
        <w:bidi w:val="0"/>
        <w:spacing w:before="0" w:after="0" w:line="394" w:lineRule="exact"/>
        <w:ind w:left="0" w:right="0"/>
        <w:jc w:val="left"/>
      </w:pPr>
      <w:r>
        <w:rPr>
          <w:color w:val="000000"/>
          <w:spacing w:val="0"/>
          <w:w w:val="100"/>
          <w:position w:val="0"/>
        </w:rPr>
        <w:t>罗瑞发，代行董事会秘书，男，具体情况参见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94" w:lineRule="exact"/>
        <w:ind w:left="0" w:right="0"/>
        <w:jc w:val="left"/>
      </w:pPr>
      <w:r>
        <w:rPr>
          <w:color w:val="000000"/>
          <w:spacing w:val="0"/>
          <w:w w:val="100"/>
          <w:position w:val="0"/>
        </w:rPr>
        <w:t>蔡福春，总经理，男，具体情况参见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94" w:lineRule="exact"/>
        <w:ind w:left="0" w:right="0"/>
        <w:jc w:val="left"/>
      </w:pPr>
      <w:r>
        <w:rPr>
          <w:color w:val="000000"/>
          <w:spacing w:val="0"/>
          <w:w w:val="100"/>
          <w:position w:val="0"/>
        </w:rPr>
        <w:t>刘咏平，高级副总经理，男，具体情况参见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94" w:lineRule="exact"/>
        <w:ind w:left="0" w:right="0"/>
        <w:jc w:val="both"/>
      </w:pPr>
      <w:r>
        <w:rPr>
          <w:color w:val="000000"/>
          <w:spacing w:val="0"/>
          <w:w w:val="100"/>
          <w:position w:val="0"/>
        </w:rPr>
        <w:t>李锋龙，财务总监，男，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年出生，中国国籍，无境外永久居留权，中国人民大学国际会计专业本科。中国注册会计 师、高级会计师。曾任中兴通讯股份有限公司产品财务经理、产品事业部总经理财务助理、终端财经部部长，深圳市中兴云 服务有限公司财务总监，深圳中兴网信科技有限公司财务总监。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月入职金溢科技股份有限公司任财务中心负责人。</w:t>
      </w:r>
    </w:p>
    <w:p>
      <w:pPr>
        <w:pStyle w:val="Style28"/>
        <w:keepNext w:val="0"/>
        <w:keepLines w:val="0"/>
        <w:widowControl w:val="0"/>
        <w:shd w:val="clear" w:color="auto" w:fill="auto"/>
        <w:bidi w:val="0"/>
        <w:spacing w:before="0" w:after="180" w:line="394" w:lineRule="exact"/>
        <w:ind w:left="0" w:right="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line="456"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5"/>
        <w:gridCol w:w="2179"/>
        <w:gridCol w:w="1080"/>
        <w:gridCol w:w="1560"/>
        <w:gridCol w:w="998"/>
        <w:gridCol w:w="149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bl>
    <w:p>
      <w:pPr>
        <w:spacing w:lineRule="exact" w:line="1"/>
        <w:rPr>
          <w:sz w:val="2"/>
          <w:szCs w:val="2"/>
        </w:rPr>
      </w:pPr>
      <w:r>
        <w:br w:type="page"/>
      </w:r>
    </w:p>
    <w:tbl>
      <w:tblPr>
        <w:tblOverlap w:val="never"/>
        <w:jc w:val="center"/>
        <w:tblLayout w:type="fixed"/>
      </w:tblPr>
      <w:tblGrid>
        <w:gridCol w:w="2275"/>
        <w:gridCol w:w="2179"/>
        <w:gridCol w:w="1080"/>
        <w:gridCol w:w="1560"/>
        <w:gridCol w:w="998"/>
        <w:gridCol w:w="14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深圳市敏行电子有限公司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627"/>
        <w:gridCol w:w="1560"/>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位是否领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取报酬津</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深圳立尊科技有限公司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广东省交通车联网（金溢）工程技术研究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工程中心主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广州市华瑞腾科技有限公司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深圳市电子学会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中国互联网交通运输产业创新联盟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常务副理事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交通运输部智能车路协同行业研发中心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深圳技术大学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客座教授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客座教授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第八届常委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深圳市敏行至达科技有限公司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深圳镓华微电子有限公司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深圳市智慧交通产业促进会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深圳市钜湾科技有限公司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长安大学信息工程学院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工程硕士导 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深圳宝溢交通科技有限公司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深圳宝溢交通科技有限公司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关志超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深圳市综合交通运行指挥中心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关志超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郑州天迈科技股份有限公司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亿阳集团（香港）有限公司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青岛华烁高科新能源技术有限公司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烟台亚新利电器有限公司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烟台融佳精细化工有限公司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烟台新悦电气有限公司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627"/>
        <w:gridCol w:w="1560"/>
        <w:gridCol w:w="7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烟台博雅信息技术有限公司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烟台亚新利自动控制有限公司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向吉英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深圳职业技术学院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向吉英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招商局港口国际学院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深职海丝分院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深圳市宝安区智慧宝安产业促进会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深圳市交通数字化设施协会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广东正源会计师事务所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合伙人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副主 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胜利油气管道控股有限公司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广州市沛兴科技有限责任公司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深圳帕克斯智能科技有限公司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深圳市浚源资本管理有限公司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广东三雄极光照明股份有限公司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广东天波信息技术股份有限公司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广东晟典律师事务所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高级合伙人、 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倪传宝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广东艾特朗律师事务所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专职律师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在其他单位任职情况的说明：无</w:t>
            </w:r>
          </w:p>
        </w:tc>
      </w:tr>
    </w:tbl>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420" w:line="390"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18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3</w:t>
      </w:r>
      <w:bookmarkEnd w:id="328"/>
      <w:r>
        <w:rPr>
          <w:color w:val="000000"/>
          <w:spacing w:val="0"/>
          <w:w w:val="100"/>
          <w:position w:val="0"/>
        </w:rPr>
        <w:t>、董事、监事、高级管理人员报酬情况</w:t>
      </w:r>
      <w:bookmarkEnd w:id="326"/>
      <w:bookmarkEnd w:id="327"/>
      <w:bookmarkEnd w:id="329"/>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tabs>
          <w:tab w:pos="688" w:val="left"/>
        </w:tabs>
        <w:bidi w:val="0"/>
        <w:spacing w:before="0" w:after="0" w:line="390" w:lineRule="exact"/>
        <w:ind w:left="0" w:right="0" w:firstLine="380"/>
        <w:jc w:val="both"/>
      </w:pPr>
      <w:bookmarkStart w:id="330" w:name="bookmark330"/>
      <w:r>
        <w:rPr>
          <w:rFonts w:ascii="Times New Roman" w:eastAsia="Times New Roman" w:hAnsi="Times New Roman" w:cs="Times New Roman"/>
          <w:color w:val="000000"/>
          <w:spacing w:val="0"/>
          <w:w w:val="100"/>
          <w:position w:val="0"/>
          <w:sz w:val="18"/>
          <w:szCs w:val="18"/>
        </w:rPr>
        <w:t>1</w:t>
      </w:r>
      <w:bookmarkEnd w:id="330"/>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日召开第二届董事会第三十八次会议和第二届监事会第二十次会议，并于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年度董事长薪酬的议案》、《关于公司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年度高级管理人员薪酬的议 案》和第三届董事、监事薪酬方案，具体内容详见公司于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日在巨潮资讯网上披露的《第三届董事、监事薪酬方 案》和会议决议公告。公司于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日召开第三届监事会第八次会议，并于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 东大会，审议通过了《关于调整部分监事薪酬方案的议案》，同意将职工代表监事薪酬方案调整为：职工代表监事除按照其 在公司任职的职务与岗位职责确定其薪酬标准外，额外领取津贴，津贴标准为税前人民币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28"/>
        <w:keepNext w:val="0"/>
        <w:keepLines w:val="0"/>
        <w:widowControl w:val="0"/>
        <w:shd w:val="clear" w:color="auto" w:fill="auto"/>
        <w:tabs>
          <w:tab w:pos="679" w:val="left"/>
        </w:tabs>
        <w:bidi w:val="0"/>
        <w:spacing w:before="0" w:after="0" w:line="390" w:lineRule="exact"/>
        <w:ind w:left="0" w:right="0" w:firstLine="380"/>
        <w:jc w:val="both"/>
      </w:pPr>
      <w:bookmarkStart w:id="331" w:name="bookmark331"/>
      <w:r>
        <w:rPr>
          <w:rFonts w:ascii="Times New Roman" w:eastAsia="Times New Roman" w:hAnsi="Times New Roman" w:cs="Times New Roman"/>
          <w:color w:val="000000"/>
          <w:spacing w:val="0"/>
          <w:w w:val="100"/>
          <w:position w:val="0"/>
          <w:sz w:val="18"/>
          <w:szCs w:val="18"/>
        </w:rPr>
        <w:t>2</w:t>
      </w:r>
      <w:bookmarkEnd w:id="331"/>
      <w:r>
        <w:rPr>
          <w:color w:val="000000"/>
          <w:spacing w:val="0"/>
          <w:w w:val="100"/>
          <w:position w:val="0"/>
        </w:rPr>
        <w:t>、</w:t>
        <w:tab/>
        <w:t>公司严格按照董事、监事、高级管理人员薪酬的决策程序与确定依据支付薪酬。报告期末，全体董事、监事和高级 管理人员实际获得的报酬为</w:t>
      </w:r>
      <w:r>
        <w:rPr>
          <w:rFonts w:ascii="Times New Roman" w:eastAsia="Times New Roman" w:hAnsi="Times New Roman" w:cs="Times New Roman"/>
          <w:color w:val="000000"/>
          <w:spacing w:val="0"/>
          <w:w w:val="100"/>
          <w:position w:val="0"/>
          <w:sz w:val="18"/>
          <w:szCs w:val="18"/>
        </w:rPr>
        <w:t>557.38</w:t>
      </w:r>
      <w:r>
        <w:rPr>
          <w:color w:val="000000"/>
          <w:spacing w:val="0"/>
          <w:w w:val="100"/>
          <w:position w:val="0"/>
        </w:rPr>
        <w:t>万元。</w:t>
      </w:r>
    </w:p>
    <w:p>
      <w:pPr>
        <w:pStyle w:val="Style28"/>
        <w:keepNext w:val="0"/>
        <w:keepLines w:val="0"/>
        <w:widowControl w:val="0"/>
        <w:shd w:val="clear" w:color="auto" w:fill="auto"/>
        <w:bidi w:val="0"/>
        <w:spacing w:before="0" w:after="140" w:line="390" w:lineRule="exact"/>
        <w:ind w:left="0" w:right="0" w:firstLine="38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董事长、董事会 秘书（代行）、财 务总监（代行）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副董事长、高级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关志超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向吉英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倪传宝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郑映虹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六</w:t>
      </w:r>
      <w:bookmarkEnd w:id="334"/>
      <w:r>
        <w:rPr>
          <w:color w:val="000000"/>
          <w:spacing w:val="0"/>
          <w:w w:val="100"/>
          <w:position w:val="0"/>
          <w:sz w:val="24"/>
          <w:szCs w:val="24"/>
        </w:rPr>
        <w:t>、报告期内董事履行职责的情况</w:t>
      </w:r>
      <w:bookmarkEnd w:id="332"/>
      <w:bookmarkEnd w:id="333"/>
      <w:bookmarkEnd w:id="335"/>
    </w:p>
    <w:p>
      <w:pPr>
        <w:pStyle w:val="Style31"/>
        <w:keepNext/>
        <w:keepLines/>
        <w:widowControl w:val="0"/>
        <w:shd w:val="clear" w:color="auto" w:fill="auto"/>
        <w:bidi w:val="0"/>
        <w:spacing w:before="0" w:after="32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、本报告期董事会情况</w:t>
      </w:r>
      <w:bookmarkEnd w:id="336"/>
      <w:bookmarkEnd w:id="337"/>
      <w:bookmarkEnd w:id="339"/>
    </w:p>
    <w:tbl>
      <w:tblPr>
        <w:tblOverlap w:val="never"/>
        <w:jc w:val="center"/>
        <w:tblLayout w:type="fixed"/>
      </w:tblPr>
      <w:tblGrid>
        <w:gridCol w:w="1570"/>
        <w:gridCol w:w="1560"/>
        <w:gridCol w:w="1555"/>
        <w:gridCol w:w="4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第三届董事会第十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审议通过了《关于公司与参股公司信联科技日常关联交易的议 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年度日常关联交易预计的议案》、《关于公司 与参股公司信联支付关联交易的议案》、《关于提高上市公司质 量的自查报告》、《关于召开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年第一次临时股东大会的议 案》。</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第三届董事会第十 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年度公司经 营计划》、《董事会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 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年度利润分配预案》、《关于会计政策变更的议 案》、《</w:t>
            </w:r>
            <w:r>
              <w:rPr>
                <w:color w:val="000000"/>
                <w:spacing w:val="0"/>
                <w:w w:val="100"/>
                <w:position w:val="0"/>
                <w:sz w:val="18"/>
                <w:szCs w:val="18"/>
              </w:rPr>
              <w:t>〈</w:t>
            </w: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全文 及其摘要》、《关于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年度募集资金存放与实际使用情况的 专项报告》、《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年度内部控制自我评价报告》、《关于续聘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年度高级管理人</w:t>
            </w:r>
          </w:p>
        </w:tc>
      </w:tr>
    </w:tbl>
    <w:p>
      <w:pPr>
        <w:spacing w:lineRule="exact" w:line="1"/>
        <w:rPr>
          <w:sz w:val="2"/>
          <w:szCs w:val="2"/>
        </w:rPr>
      </w:pPr>
      <w:r>
        <w:br w:type="page"/>
      </w:r>
    </w:p>
    <w:tbl>
      <w:tblPr>
        <w:tblOverlap w:val="never"/>
        <w:jc w:val="center"/>
        <w:tblLayout w:type="fixed"/>
      </w:tblPr>
      <w:tblGrid>
        <w:gridCol w:w="1570"/>
        <w:gridCol w:w="1560"/>
        <w:gridCol w:w="1555"/>
        <w:gridCol w:w="490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员薪酬的议案》、《关于公司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年第一季度报告的议案》、《关 于召开公司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年度股东大会的议案》。</w:t>
            </w:r>
          </w:p>
        </w:tc>
      </w:tr>
      <w:tr>
        <w:trPr>
          <w:trHeight w:val="23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第三届董事会第十 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 予限制性股票回购价格的议案》、《关于回购注销部分首次授予 的限制性股票的议案》、《关于变更公司注册资本暨修改</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 制性股票第二个解锁期解锁条件成就的议案》、《关于召开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年第二次临时股东大会的议案》。</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审议未通过《关于回购公司股份提议的议案》。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第三届董事会第十 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未披露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w:t>
            </w:r>
            <w:r>
              <w:rPr>
                <w:color w:val="000000"/>
                <w:spacing w:val="0"/>
                <w:w w:val="100"/>
                <w:position w:val="0"/>
                <w:sz w:val="18"/>
                <w:szCs w:val="18"/>
              </w:rPr>
              <w:t>〈</w:t>
            </w: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 告</w:t>
            </w:r>
            <w:r>
              <w:rPr>
                <w:color w:val="000000"/>
                <w:spacing w:val="0"/>
                <w:w w:val="100"/>
                <w:position w:val="0"/>
                <w:sz w:val="18"/>
                <w:szCs w:val="18"/>
              </w:rPr>
              <w:t>〉</w:t>
            </w:r>
            <w:r>
              <w:rPr>
                <w:color w:val="000000"/>
                <w:spacing w:val="0"/>
                <w:w w:val="100"/>
                <w:position w:val="0"/>
              </w:rPr>
              <w:t>全文及其摘要》。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第三届董事会第十 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审议通过了《关于公司及全资子公司使用部分闲置自有资金进 行委托理财的议案》。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第三届董事会第十 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未披露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w:t>
            </w:r>
            <w:r>
              <w:rPr>
                <w:color w:val="000000"/>
                <w:spacing w:val="0"/>
                <w:w w:val="100"/>
                <w:position w:val="0"/>
                <w:sz w:val="18"/>
                <w:szCs w:val="18"/>
              </w:rPr>
              <w:t>〈</w:t>
            </w: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报告</w:t>
            </w:r>
            <w:r>
              <w:rPr>
                <w:color w:val="000000"/>
                <w:spacing w:val="0"/>
                <w:w w:val="100"/>
                <w:position w:val="0"/>
                <w:sz w:val="18"/>
                <w:szCs w:val="18"/>
              </w:rPr>
              <w:t>〉</w:t>
            </w:r>
            <w:r>
              <w:rPr>
                <w:color w:val="000000"/>
                <w:spacing w:val="0"/>
                <w:w w:val="100"/>
                <w:position w:val="0"/>
              </w:rPr>
              <w:t>全文》。</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第三届董事会第十 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审议通过了《关于选举公司第三届董事会非独立董事的议案》、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《关于聘任公司总经理的议案》、《关于选举关志超先生为董事 会专门委员会委员的议案》、《关于选举张东生先生为董事会专 门委员会委员的议案》、《关于修改</w:t>
            </w:r>
            <w:r>
              <w:rPr>
                <w:color w:val="000000"/>
                <w:spacing w:val="0"/>
                <w:w w:val="100"/>
                <w:position w:val="0"/>
                <w:sz w:val="18"/>
                <w:szCs w:val="18"/>
              </w:rPr>
              <w:t>〈</w:t>
            </w:r>
            <w:r>
              <w:rPr>
                <w:color w:val="000000"/>
                <w:spacing w:val="0"/>
                <w:w w:val="100"/>
                <w:position w:val="0"/>
              </w:rPr>
              <w:t>总经理工作细则</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年第三次临时股东大会的议案》。</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、董事出席董事会及股东大会的情况</w:t>
      </w:r>
      <w:bookmarkEnd w:id="340"/>
      <w:bookmarkEnd w:id="341"/>
      <w:bookmarkEnd w:id="34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关志超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向吉英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r>
        <w:br w:type="page"/>
      </w:r>
    </w:p>
    <w:p>
      <w:pPr>
        <w:pStyle w:val="Style31"/>
        <w:keepNext/>
        <w:keepLines/>
        <w:widowControl w:val="0"/>
        <w:shd w:val="clear" w:color="auto" w:fill="auto"/>
        <w:bidi w:val="0"/>
        <w:spacing w:before="0" w:after="44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、董事对公司有关事项提出异议的情况</w:t>
      </w:r>
      <w:bookmarkEnd w:id="344"/>
      <w:bookmarkEnd w:id="345"/>
      <w:bookmarkEnd w:id="347"/>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董事对公司有关事项是否提出异议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275"/>
        <w:gridCol w:w="4114"/>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董事提出异议的事项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罗瑞发、刘咏平、关志超、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陈君柱、向吉英、李夏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第三届董事会第十二次会议审议的《关于回购公司股 份提议的议案》。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罗瑞发、刘咏平、关志超、陈君柱、向 吉英对回购股份提议的事项持反对意 见，在审议《关于回购公司股份提议的 议案》时投反对票，李夏对回购股份提 议的事项持弃权意见，在审议《关于回 购公司股份提议的议案》时投弃权票。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第三届董事会第十六次会议审议的议案：（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 选举公司第三届董事会非独立董事的议案》的子议案 《关于选举蔡福春先生为公司第三届董事会非独立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）《关于聘任公司总经理的议案》。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于海洋对两项议案均持反对意见，且反 对理由相同。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陈君柱、向吉英、李夏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关于股东提出临时提案增加非独立董事候选人叶苏 甜的相关事项。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陈君柱、向吉英、李夏均不同意该提名。</w:t>
            </w:r>
          </w:p>
        </w:tc>
      </w:tr>
      <w:tr>
        <w:trPr>
          <w:trHeight w:val="80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董事对公司有关事项提出异 议的说明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42" w:val="left"/>
              </w:tabs>
              <w:bidi w:val="0"/>
              <w:spacing w:before="0" w:after="40" w:line="314" w:lineRule="exact"/>
              <w:ind w:left="0" w:right="0" w:firstLine="0"/>
              <w:jc w:val="left"/>
            </w:pPr>
            <w:r>
              <w:rPr>
                <w:color w:val="000000"/>
                <w:spacing w:val="0"/>
                <w:w w:val="100"/>
                <w:position w:val="0"/>
              </w:rPr>
              <w:t>（一）</w:t>
              <w:tab/>
              <w:t>第三届董事会第十二次会议审议的《关于回购公司股份提议的议案》：</w:t>
            </w:r>
          </w:p>
          <w:p>
            <w:pPr>
              <w:pStyle w:val="Style2"/>
              <w:keepNext w:val="0"/>
              <w:keepLines w:val="0"/>
              <w:widowControl w:val="0"/>
              <w:shd w:val="clear" w:color="auto" w:fill="auto"/>
              <w:tabs>
                <w:tab w:pos="245"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罗瑞发、刘咏平反对理由：结合公司经营情况、财务状况、战略发展规划和未来资金需求， 公司现阶段实施股份回购事项不利于公司内部现金流的调度安排以及未来业务发展的持续输 出。且公司大股东尚在减持计划实施期间，应审慎考虑合规风险。现阶段不是回购公司股份 的最好时机，对回购股份提议投反对票。</w:t>
            </w:r>
          </w:p>
          <w:p>
            <w:pPr>
              <w:pStyle w:val="Style2"/>
              <w:keepNext w:val="0"/>
              <w:keepLines w:val="0"/>
              <w:widowControl w:val="0"/>
              <w:shd w:val="clear" w:color="auto" w:fill="auto"/>
              <w:tabs>
                <w:tab w:pos="27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关志超反对理由：结合公司经营、财务、研发、现金流等情况，现阶段公司应着手加大对 新产品、新技术的研发资金投入，相较于使用资金回购股份以提振资本市场信心，公司更应 优先集中资金为新产品、新技术等研发项目提供资金保障，目前不是回购公司股份的最好时 机，本人作为董事会技术董事，认为推出新产品对重振公司股价、提升资本市场信心的意义 更大，故对股份回购提议投反对票。</w:t>
            </w:r>
          </w:p>
          <w:p>
            <w:pPr>
              <w:pStyle w:val="Style2"/>
              <w:keepNext w:val="0"/>
              <w:keepLines w:val="0"/>
              <w:widowControl w:val="0"/>
              <w:shd w:val="clear" w:color="auto" w:fill="auto"/>
              <w:tabs>
                <w:tab w:pos="269"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陈君柱反对理由：（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）金溢科技重要股东尚在减持期间，公司在制定回购计划的时候应该 与重要股东达成一致意见，避免回购股份和股东减持重叠进行，造成证券监管机构关注。（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结合市场案例及公司股东目前的减持计划，此时推出回购方案存在配合股东减持炒作股价的 嫌疑，不利于稳定中小投资者信心。公司在此阶段进行股份回购，存在潜在的合规风险，不 利于实现公司股份回购目的即维护公司及股东利益，故出于审慎性原则，对股份回购提议投 反对票。</w:t>
            </w:r>
          </w:p>
          <w:p>
            <w:pPr>
              <w:pStyle w:val="Style2"/>
              <w:keepNext w:val="0"/>
              <w:keepLines w:val="0"/>
              <w:widowControl w:val="0"/>
              <w:shd w:val="clear" w:color="auto" w:fill="auto"/>
              <w:tabs>
                <w:tab w:pos="283"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向吉英反对理由：（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）金溢科技重要股东尚在减持期间，公司在制定回购计划的时候应该 与重要股东达成一致意见，避免回购股份和股东减持重叠进行，造成证券监管机构关注。（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结合市场案例及公司股东目前的减持计划，此时推出回购方案存在配合股东减持炒作股价的 嫌疑，不利于稳定中小投资者信心。公司在此阶段进行股份回购，存在潜在的合规风险，不 利于实现公司股份回购目的即维护公司及股东利益，故出于审慎性原则，对股份回购提议投 反对票。</w:t>
            </w:r>
          </w:p>
          <w:p>
            <w:pPr>
              <w:pStyle w:val="Style2"/>
              <w:keepNext w:val="0"/>
              <w:keepLines w:val="0"/>
              <w:widowControl w:val="0"/>
              <w:shd w:val="clear" w:color="auto" w:fill="auto"/>
              <w:tabs>
                <w:tab w:pos="259"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李夏弃权理由：对目前回购公司股份的时机和是否合适无法判断，出于审慎性原则，出具 弃权票。</w:t>
            </w:r>
          </w:p>
          <w:p>
            <w:pPr>
              <w:pStyle w:val="Style2"/>
              <w:keepNext w:val="0"/>
              <w:keepLines w:val="0"/>
              <w:widowControl w:val="0"/>
              <w:shd w:val="clear" w:color="auto" w:fill="auto"/>
              <w:tabs>
                <w:tab w:pos="442" w:val="left"/>
              </w:tabs>
              <w:bidi w:val="0"/>
              <w:spacing w:before="0" w:after="40" w:line="314" w:lineRule="exact"/>
              <w:ind w:left="0" w:right="0" w:firstLine="0"/>
              <w:jc w:val="left"/>
            </w:pPr>
            <w:r>
              <w:rPr>
                <w:color w:val="000000"/>
                <w:spacing w:val="0"/>
                <w:w w:val="100"/>
                <w:position w:val="0"/>
              </w:rPr>
              <w:t>（二）</w:t>
              <w:tab/>
              <w:t>第三届董事会第十六次会议审议的《关于选举公司第三届董事会非独立董事的议案》</w:t>
            </w:r>
          </w:p>
        </w:tc>
      </w:tr>
    </w:tbl>
    <w:p>
      <w:pPr>
        <w:spacing w:lineRule="exact" w:line="1"/>
        <w:rPr>
          <w:sz w:val="2"/>
          <w:szCs w:val="2"/>
        </w:rPr>
      </w:pPr>
      <w:r>
        <w:br w:type="page"/>
      </w:r>
    </w:p>
    <w:tbl>
      <w:tblPr>
        <w:tblOverlap w:val="never"/>
        <w:jc w:val="center"/>
        <w:tblLayout w:type="fixed"/>
      </w:tblPr>
      <w:tblGrid>
        <w:gridCol w:w="2275"/>
        <w:gridCol w:w="7310"/>
      </w:tblGrid>
      <w:tr>
        <w:trPr>
          <w:trHeight w:val="330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的子议案《关于选举蔡福春先生为公司第三届董事会非独立董事的议案》及《关于聘任公司 总经理的议案》：</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于海洋反对理由：（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）关于总经理的选拔标准，公司应该梳理清楚目前经营管理上存在的主 要问题和未来的方向，以及公司经营团队的问题再确定总经理的选拨标准和配套奖励机制， 选拔面向未来、德才兼备的合适人选。（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）公司正处于重要的转型期，目前更换总经理的时 机不成熟，公司需要明确可行的转型方向后，再选择合理的人选担任总经理。</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（三）关于股东提出临时提案增加非独立董事候选人叶苏甜的相关事项：</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独立董事陈君柱、向吉英、李夏认为叶苏甜女士所任非独立董事的公司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深圳市捷顺科技实业 股份有限公司与公司业务存在竞争关系，无法确定该非独立董事候选人会否为公司带来不确 定影响，因此不同意该提名。</w:t>
            </w:r>
          </w:p>
        </w:tc>
      </w:tr>
    </w:tbl>
    <w:p>
      <w:pPr>
        <w:widowControl w:val="0"/>
        <w:spacing w:after="319" w:line="1" w:lineRule="exact"/>
      </w:pPr>
    </w:p>
    <w:p>
      <w:pPr>
        <w:pStyle w:val="Style31"/>
        <w:keepNext/>
        <w:keepLines/>
        <w:widowControl w:val="0"/>
        <w:shd w:val="clear" w:color="auto" w:fill="auto"/>
        <w:bidi w:val="0"/>
        <w:spacing w:before="0" w:after="22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、董事履行职责的其他说明</w:t>
      </w:r>
      <w:bookmarkEnd w:id="348"/>
      <w:bookmarkEnd w:id="349"/>
      <w:bookmarkEnd w:id="351"/>
    </w:p>
    <w:p>
      <w:pPr>
        <w:pStyle w:val="Style28"/>
        <w:keepNext w:val="0"/>
        <w:keepLines w:val="0"/>
        <w:widowControl w:val="0"/>
        <w:shd w:val="clear" w:color="auto" w:fill="auto"/>
        <w:bidi w:val="0"/>
        <w:spacing w:before="0" w:after="0" w:line="391" w:lineRule="exact"/>
        <w:ind w:left="0" w:right="0" w:firstLine="0"/>
        <w:jc w:val="both"/>
      </w:pPr>
      <w:r>
        <w:rPr>
          <w:color w:val="000000"/>
          <w:spacing w:val="0"/>
          <w:w w:val="100"/>
          <w:position w:val="0"/>
        </w:rPr>
        <w:t>董事对公司有关建议是否被采纳</w:t>
      </w:r>
    </w:p>
    <w:p>
      <w:pPr>
        <w:pStyle w:val="Style28"/>
        <w:keepNext w:val="0"/>
        <w:keepLines w:val="0"/>
        <w:widowControl w:val="0"/>
        <w:shd w:val="clear" w:color="auto" w:fill="auto"/>
        <w:bidi w:val="0"/>
        <w:spacing w:before="0" w:after="0" w:line="39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391" w:lineRule="exact"/>
        <w:ind w:left="0" w:right="0" w:firstLine="0"/>
        <w:jc w:val="both"/>
      </w:pPr>
      <w:r>
        <w:rPr>
          <w:color w:val="000000"/>
          <w:spacing w:val="0"/>
          <w:w w:val="100"/>
          <w:position w:val="0"/>
        </w:rPr>
        <w:t>董事对公司有关建议被采纳或未被采纳的说明</w:t>
      </w:r>
    </w:p>
    <w:p>
      <w:pPr>
        <w:pStyle w:val="Style28"/>
        <w:keepNext w:val="0"/>
        <w:keepLines w:val="0"/>
        <w:widowControl w:val="0"/>
        <w:shd w:val="clear" w:color="auto" w:fill="auto"/>
        <w:bidi w:val="0"/>
        <w:spacing w:before="0" w:after="400" w:line="391" w:lineRule="exact"/>
        <w:ind w:left="0" w:right="0" w:firstLine="380"/>
        <w:jc w:val="both"/>
      </w:pPr>
      <w:r>
        <w:rPr>
          <w:color w:val="000000"/>
          <w:spacing w:val="0"/>
          <w:w w:val="100"/>
          <w:position w:val="0"/>
        </w:rPr>
        <w:t>报告期内，公司董事严格按照《公司法》《证券法》《上市公司治理准则》《深圳证券交易所上市公司自律监管指引第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主板上市公司规范运作》以及《公司章程》《董事会议事规则》开展工作，勤勉尽责，积极出席公司董事会、列席股 东大会，针对董事会相关审议事项科学审慎地发表独立意见，根据公司的实际情况，对公司的重大治理、生产经营和内部控 制建设提出了宝贵的专业性建议，经过充分沟通，深入讨论，在切实考虑中小股东的利益和诉求后，形成一致意见，并督促 和推动董事会决议的执行，确保决策科学、及时、高效，维护公司及全体股东特别是中小股东的合法权益。</w:t>
      </w:r>
    </w:p>
    <w:p>
      <w:pPr>
        <w:pStyle w:val="Style24"/>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七</w:t>
      </w:r>
      <w:bookmarkEnd w:id="354"/>
      <w:r>
        <w:rPr>
          <w:color w:val="000000"/>
          <w:spacing w:val="0"/>
          <w:w w:val="100"/>
          <w:position w:val="0"/>
          <w:sz w:val="24"/>
          <w:szCs w:val="24"/>
        </w:rPr>
        <w:t>、董事会下设专门委员会在报告期内的情况</w:t>
      </w:r>
      <w:bookmarkEnd w:id="352"/>
      <w:bookmarkEnd w:id="353"/>
      <w:bookmarkEnd w:id="355"/>
    </w:p>
    <w:tbl>
      <w:tblPr>
        <w:tblOverlap w:val="never"/>
        <w:jc w:val="center"/>
        <w:tblLayout w:type="fixed"/>
      </w:tblPr>
      <w:tblGrid>
        <w:gridCol w:w="1003"/>
        <w:gridCol w:w="850"/>
        <w:gridCol w:w="566"/>
        <w:gridCol w:w="850"/>
        <w:gridCol w:w="2410"/>
        <w:gridCol w:w="2410"/>
        <w:gridCol w:w="710"/>
        <w:gridCol w:w="7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战略发展及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投资审查委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罗瑞发、 刘咏平、 张东生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年度公司经营计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战略发展及投资审查委员会严 格按照《公司法》《公司章程》 《董事会战略发展及投资审查 委员会工作细则》开展工作， 勤勉尽责，根据公司的实际情 况，提出了相关的意见，经过 充分沟通讨论，一致通过所有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向吉英、 陈君柱、 关志超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年度高级 管理人员薪酬的议案》。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薪酬与考核委员会严格按照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《公司法》《公司章程》《董事 会薪酬与考核委员会工作细 则》开展工作，勤勉尽责，根 据公司的实际情况，提出了相 关的意见，经过充分沟通讨论，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03"/>
        <w:gridCol w:w="850"/>
        <w:gridCol w:w="566"/>
        <w:gridCol w:w="850"/>
        <w:gridCol w:w="2410"/>
        <w:gridCol w:w="2410"/>
        <w:gridCol w:w="710"/>
        <w:gridCol w:w="787"/>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 激励计划首次授予限制性股票 第二个解锁期解锁条件成就的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薪酬与考核委员会严格按照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《公司法》《公司章程》《董事 会薪酬与考核委员会工作细 则》开展工作，勤勉尽责，根 据公司的实际情况，提出了相 关的意见，经过充分沟通讨论， 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审计及预算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审核委员会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陈君柱、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李夏、罗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瑞发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年四季度</w:t>
            </w:r>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内部审计工作报告的议案》、</w:t>
            </w:r>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年一季度内 部审计工作计划的议案》。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审计及预算审核委员会严格按 照《公司法》《公司章程》《董 事会审计及预算审核委员会工 作细则》开展工作，勤勉尽责， 根据公司的实际情况，提出了 相关的意见，经过充分沟通讨 论，一致通过所有议案。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审议《关于公司与参股公司信 联科技日常关联交易的议案》、 《关于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 易预计的议案》、《关于公司与 参股公司信联支付关联交易的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审计及预算审核委员会严格按 照《公司法》《公司章程》《董 事会审计及预算审核委员会工 作细则》开展工作，勤勉尽责， 根据公司的实际情况，提出了 相关的意见，经过充分沟通讨 论，一致通过所有议案。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01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年内部审 计年度工作报告的议案》、《关 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年内部审计年度 工作计划的议案》、《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财务决算报告》、《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 润分配预案》、《关于会计政策 变更的议案》、《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深圳市金溢科 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color w:val="000000"/>
                <w:spacing w:val="0"/>
                <w:w w:val="100"/>
                <w:position w:val="0"/>
                <w:sz w:val="18"/>
                <w:szCs w:val="18"/>
              </w:rPr>
              <w:t>〉</w:t>
            </w:r>
            <w:r>
              <w:rPr>
                <w:color w:val="000000"/>
                <w:spacing w:val="0"/>
                <w:w w:val="100"/>
                <w:position w:val="0"/>
              </w:rPr>
              <w:t>全文及其摘要》、《关于公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年内部控制自我评价 报告的议案》、《关于内审负责 人述职报告的议案》、《关于续 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 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年第一季 度报告的议案》、《关于公司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年第一季度内部审计工 作报告的议案》、《关于公司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年第二季度审计工作计 划的议案》。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审计及预算审核委员会严格按 照《公司法》《公司章程》《董 事会审计及预算审核委员会工 作细则》开展工作，勤勉尽责， 根据公司的实际情况，提出了 相关的意见，经过充分沟通讨 论，一致通过所有议案。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 度内部审计工作报告的议案》、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审计及预算审核委员会严格按 照《公司法》《公司章程》《董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03"/>
        <w:gridCol w:w="850"/>
        <w:gridCol w:w="566"/>
        <w:gridCol w:w="850"/>
        <w:gridCol w:w="2410"/>
        <w:gridCol w:w="2410"/>
        <w:gridCol w:w="710"/>
        <w:gridCol w:w="787"/>
      </w:tblGrid>
      <w:tr>
        <w:trPr>
          <w:trHeight w:val="161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内部审计工作计划的议案》、《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深圳市金溢科技股份有限公司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年半年度报告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全文及其 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事会审计及预算审核委员会工 作细则》开展工作，勤勉尽责， 根据公司的实际情况，提出了 相关的意见，经过充分沟通讨 论，一致通过所有议案。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度内部审计工作报告的议案》、 《关于公司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年第四季度 内部审计工作计划的议案》、《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深圳市金溢科技股份有限公司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r>
              <w:rPr>
                <w:color w:val="000000"/>
                <w:spacing w:val="0"/>
                <w:w w:val="100"/>
                <w:position w:val="0"/>
                <w:sz w:val="18"/>
                <w:szCs w:val="18"/>
              </w:rPr>
              <w:t>〉</w:t>
            </w:r>
            <w:r>
              <w:rPr>
                <w:color w:val="000000"/>
                <w:spacing w:val="0"/>
                <w:w w:val="100"/>
                <w:position w:val="0"/>
              </w:rPr>
              <w:t>全文》。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审计及预算审核委员会严格按 照《公司法》《公司章程》《董 事会审计及预算审核委员会工 作细则》开展工作，勤勉尽责， 根据公司的实际情况，提出了 相关的意见，经过充分沟通讨 论，一致通过所有议案。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李夏、向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吉英、刘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咏平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审议《关于选举张东生先生为 非独立董事的议案》、《关于选 举蔡福春先生为非独立董事的 议案》、《关于聘任公司总经理 的议案》、《关于选举关志超先 生为公司董事会专门委员会委 员的议案》、《关于选举张东生 先生为公司董事会专门委员会 委员的议案》。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提名委员会就候选人资格进行 了审查，一致通过相关议案。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after="40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sz w:val="24"/>
          <w:szCs w:val="24"/>
        </w:rPr>
        <w:t>八</w:t>
      </w:r>
      <w:bookmarkEnd w:id="358"/>
      <w:r>
        <w:rPr>
          <w:color w:val="000000"/>
          <w:spacing w:val="0"/>
          <w:w w:val="100"/>
          <w:position w:val="0"/>
          <w:sz w:val="24"/>
          <w:szCs w:val="24"/>
        </w:rPr>
        <w:t>、监事会工作情况</w:t>
      </w:r>
      <w:bookmarkEnd w:id="356"/>
      <w:bookmarkEnd w:id="357"/>
      <w:bookmarkEnd w:id="359"/>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监事会对报告期内的监督事项无异议。</w:t>
      </w:r>
    </w:p>
    <w:p>
      <w:pPr>
        <w:pStyle w:val="Style24"/>
        <w:keepNext/>
        <w:keepLines/>
        <w:widowControl w:val="0"/>
        <w:shd w:val="clear" w:color="auto" w:fill="auto"/>
        <w:bidi w:val="0"/>
        <w:spacing w:before="0" w:after="40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sz w:val="24"/>
          <w:szCs w:val="24"/>
        </w:rPr>
        <w:t>九</w:t>
      </w:r>
      <w:bookmarkEnd w:id="362"/>
      <w:r>
        <w:rPr>
          <w:color w:val="000000"/>
          <w:spacing w:val="0"/>
          <w:w w:val="100"/>
          <w:position w:val="0"/>
          <w:sz w:val="24"/>
          <w:szCs w:val="24"/>
        </w:rPr>
        <w:t>、公司员工情况</w:t>
      </w:r>
      <w:bookmarkEnd w:id="360"/>
      <w:bookmarkEnd w:id="361"/>
      <w:bookmarkEnd w:id="363"/>
    </w:p>
    <w:p>
      <w:pPr>
        <w:pStyle w:val="Style31"/>
        <w:keepNext/>
        <w:keepLines/>
        <w:widowControl w:val="0"/>
        <w:shd w:val="clear" w:color="auto" w:fill="auto"/>
        <w:bidi w:val="0"/>
        <w:spacing w:before="0" w:after="30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、员工数量、专业构成及教育程度</w:t>
      </w:r>
      <w:bookmarkEnd w:id="364"/>
      <w:bookmarkEnd w:id="365"/>
      <w:bookmarkEnd w:id="3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314</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中专及中专以下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r>
    </w:tbl>
    <w:p>
      <w:pPr>
        <w:widowControl w:val="0"/>
        <w:spacing w:after="319" w:line="1" w:lineRule="exact"/>
      </w:pPr>
    </w:p>
    <w:p>
      <w:pPr>
        <w:pStyle w:val="Style31"/>
        <w:keepNext/>
        <w:keepLines/>
        <w:widowControl w:val="0"/>
        <w:shd w:val="clear" w:color="auto" w:fill="auto"/>
        <w:tabs>
          <w:tab w:pos="378" w:val="left"/>
        </w:tabs>
        <w:bidi w:val="0"/>
        <w:spacing w:before="0" w:after="22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薪酬政策</w:t>
      </w:r>
      <w:bookmarkEnd w:id="368"/>
      <w:bookmarkEnd w:id="369"/>
      <w:bookmarkEnd w:id="371"/>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公司严格遵守《劳动法》、《劳动合同法》等法律法规，建立了完善的人力资源管理制度和流程，规范用工，切实保护 员工的权益。</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公司遵循市场化原则，建立了具备市场竞争力的薪酬激励机制。公司的薪酬体系主要包括基本工资、岗位工资和绩效工 资三大方面，坚持公司与员工共同发展的原则，为员工提供公平和有竞争力的福利待遇，严格遵照劳动法及劳动合同法规定， 实行对全体员工劳动合同制，公司员工的工资、福利和劳动保护均按照国家和地方政府的有关规定执行。</w:t>
      </w:r>
    </w:p>
    <w:p>
      <w:pPr>
        <w:pStyle w:val="Style28"/>
        <w:keepNext w:val="0"/>
        <w:keepLines w:val="0"/>
        <w:widowControl w:val="0"/>
        <w:shd w:val="clear" w:color="auto" w:fill="auto"/>
        <w:bidi w:val="0"/>
        <w:spacing w:before="0" w:after="420" w:line="392" w:lineRule="exact"/>
        <w:ind w:left="0" w:right="0" w:firstLine="380"/>
        <w:jc w:val="both"/>
      </w:pPr>
      <w:r>
        <w:rPr>
          <w:color w:val="000000"/>
          <w:spacing w:val="0"/>
          <w:w w:val="100"/>
          <w:position w:val="0"/>
        </w:rPr>
        <w:t>公司积极探索并不断深化薪酬激励机制，未来将根据市场情况和行业发展趋势，对其进行适时调整，以不断提升公司人 才竞争优势。</w:t>
      </w:r>
    </w:p>
    <w:p>
      <w:pPr>
        <w:pStyle w:val="Style31"/>
        <w:keepNext/>
        <w:keepLines/>
        <w:widowControl w:val="0"/>
        <w:shd w:val="clear" w:color="auto" w:fill="auto"/>
        <w:tabs>
          <w:tab w:pos="378" w:val="left"/>
        </w:tabs>
        <w:bidi w:val="0"/>
        <w:spacing w:before="0" w:after="22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培训计划</w:t>
      </w:r>
      <w:bookmarkEnd w:id="372"/>
      <w:bookmarkEnd w:id="373"/>
      <w:bookmarkEnd w:id="375"/>
    </w:p>
    <w:p>
      <w:pPr>
        <w:pStyle w:val="Style28"/>
        <w:keepNext w:val="0"/>
        <w:keepLines w:val="0"/>
        <w:widowControl w:val="0"/>
        <w:shd w:val="clear" w:color="auto" w:fill="auto"/>
        <w:bidi w:val="0"/>
        <w:spacing w:before="0" w:after="420" w:line="389" w:lineRule="exact"/>
        <w:ind w:left="0" w:right="0" w:firstLine="380"/>
        <w:jc w:val="both"/>
      </w:pPr>
      <w:r>
        <w:rPr>
          <w:color w:val="000000"/>
          <w:spacing w:val="0"/>
          <w:w w:val="100"/>
          <w:position w:val="0"/>
        </w:rPr>
        <w:t>公司注重员工培养和人才储备，制定了《人才发展手册》，建立了完善的培训体系，以新员工入职培训、企业内部培训、 外部培训、委托培训、内部交流、岗位辅导、外出参观和对外交流、员工自学等多种形式，提升全体员工岗位技能和专业知 识。公司每年会结合公司战略、年度工作重点及各层级员工培训需求调研结果拟定年度培训计划，设置不同类别的培训课程， 以保证公司业务发展对各层级员工发展的需要。</w:t>
      </w:r>
    </w:p>
    <w:p>
      <w:pPr>
        <w:pStyle w:val="Style31"/>
        <w:keepNext/>
        <w:keepLines/>
        <w:widowControl w:val="0"/>
        <w:shd w:val="clear" w:color="auto" w:fill="auto"/>
        <w:tabs>
          <w:tab w:pos="378" w:val="left"/>
        </w:tabs>
        <w:bidi w:val="0"/>
        <w:spacing w:before="0" w:after="22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w:t>
        <w:tab/>
        <w:t>劳务外包情况</w:t>
      </w:r>
      <w:bookmarkEnd w:id="376"/>
      <w:bookmarkEnd w:id="377"/>
      <w:bookmarkEnd w:id="379"/>
    </w:p>
    <w:p>
      <w:pPr>
        <w:pStyle w:val="Style28"/>
        <w:keepNext w:val="0"/>
        <w:keepLines w:val="0"/>
        <w:widowControl w:val="0"/>
        <w:shd w:val="clear" w:color="auto" w:fill="auto"/>
        <w:bidi w:val="0"/>
        <w:spacing w:before="0" w:after="80" w:line="39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3,295,265.65</w:t>
            </w:r>
          </w:p>
        </w:tc>
      </w:tr>
    </w:tbl>
    <w:p>
      <w:pPr>
        <w:widowControl w:val="0"/>
        <w:spacing w:after="319" w:line="1" w:lineRule="exact"/>
      </w:pPr>
    </w:p>
    <w:p>
      <w:pPr>
        <w:pStyle w:val="Style24"/>
        <w:keepNext/>
        <w:keepLines/>
        <w:widowControl w:val="0"/>
        <w:shd w:val="clear" w:color="auto" w:fill="auto"/>
        <w:bidi w:val="0"/>
        <w:spacing w:before="0" w:after="42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十、公司利润分配及资本公积金转增股本情况</w:t>
      </w:r>
      <w:bookmarkEnd w:id="380"/>
      <w:bookmarkEnd w:id="381"/>
      <w:bookmarkEnd w:id="382"/>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39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90" w:lineRule="exact"/>
        <w:ind w:left="0" w:right="0" w:firstLine="380"/>
        <w:jc w:val="left"/>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日召开第三届董事会第十一次会议＞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年度利润分配预案》：以公司现有总股本</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10.60</w:t>
      </w:r>
      <w:r>
        <w:rPr>
          <w:color w:val="000000"/>
          <w:spacing w:val="0"/>
          <w:w w:val="100"/>
          <w:position w:val="0"/>
        </w:rPr>
        <w:t>元（含税）的现金 红利，合计派发现金红利</w:t>
      </w:r>
      <w:r>
        <w:rPr>
          <w:rFonts w:ascii="Times New Roman" w:eastAsia="Times New Roman" w:hAnsi="Times New Roman" w:cs="Times New Roman"/>
          <w:color w:val="000000"/>
          <w:spacing w:val="0"/>
          <w:w w:val="100"/>
          <w:position w:val="0"/>
          <w:sz w:val="18"/>
          <w:szCs w:val="18"/>
        </w:rPr>
        <w:t>191,474,262.82</w:t>
      </w:r>
      <w:r>
        <w:rPr>
          <w:color w:val="000000"/>
          <w:spacing w:val="0"/>
          <w:w w:val="100"/>
          <w:position w:val="0"/>
        </w:rPr>
        <w:t>元，不送红股，不进行资本公积转增股本。剩余未分配利润</w:t>
      </w:r>
      <w:r>
        <w:rPr>
          <w:rFonts w:ascii="Times New Roman" w:eastAsia="Times New Roman" w:hAnsi="Times New Roman" w:cs="Times New Roman"/>
          <w:color w:val="000000"/>
          <w:spacing w:val="0"/>
          <w:w w:val="100"/>
          <w:position w:val="0"/>
          <w:sz w:val="18"/>
          <w:szCs w:val="18"/>
        </w:rPr>
        <w:t>1,239,467,568.93</w:t>
      </w:r>
      <w:r>
        <w:rPr>
          <w:color w:val="000000"/>
          <w:spacing w:val="0"/>
          <w:w w:val="100"/>
          <w:position w:val="0"/>
        </w:rPr>
        <w:t>元结 转下一年度。上述利润分配已于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日实施完毕，具体内容详见公司于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度权益分派实施的公告》（公告编号：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p>
      <w:pPr>
        <w:pStyle w:val="Style28"/>
        <w:keepNext w:val="0"/>
        <w:keepLines w:val="0"/>
        <w:widowControl w:val="0"/>
        <w:shd w:val="clear" w:color="auto" w:fill="auto"/>
        <w:bidi w:val="0"/>
        <w:spacing w:before="0" w:after="80" w:line="390" w:lineRule="exact"/>
        <w:ind w:left="0" w:right="0" w:firstLine="380"/>
        <w:jc w:val="left"/>
      </w:pPr>
      <w:r>
        <w:rPr>
          <w:color w:val="000000"/>
          <w:spacing w:val="0"/>
          <w:w w:val="100"/>
          <w:position w:val="0"/>
        </w:rPr>
        <w:t>报告期内，公司利润分配政策的制定及执行情况，符合中国证监会《关于进一步落实上市公司现金分红有关事项的通知》、 《上市公司监管指引第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上市公司现金分红》和《公司章程》、《深圳市金溢科技股份有限公司未来三年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 股东分红回报规划》等相关规定，分红标准和比例明确清晰，相关决策程序和机制完备，独立董事尽职履责，充分维护了中 小股东的合法权益。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8"/>
        <w:keepNext w:val="0"/>
        <w:keepLines w:val="0"/>
        <w:widowControl w:val="0"/>
        <w:shd w:val="clear" w:color="auto" w:fill="auto"/>
        <w:bidi w:val="0"/>
        <w:spacing w:before="0" w:after="200" w:line="390" w:lineRule="exact"/>
        <w:ind w:left="0" w:right="0" w:firstLine="0"/>
        <w:jc w:val="left"/>
      </w:pPr>
      <w:r>
        <w:rPr>
          <w:color w:val="000000"/>
          <w:spacing w:val="0"/>
          <w:w w:val="100"/>
          <w:position w:val="0"/>
        </w:rPr>
        <w:t>公司报告期内盈利且母公司可供股东分配利润为正但未提出现金红利分配预案</w:t>
      </w:r>
    </w:p>
    <w:p>
      <w:pPr>
        <w:pStyle w:val="Style28"/>
        <w:keepNext w:val="0"/>
        <w:keepLines w:val="0"/>
        <w:widowControl w:val="0"/>
        <w:shd w:val="clear" w:color="auto" w:fill="auto"/>
        <w:bidi w:val="0"/>
        <w:spacing w:before="0" w:after="0" w:line="45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00" w:line="390" w:lineRule="exact"/>
        <w:ind w:left="0" w:right="0" w:firstLine="0"/>
        <w:jc w:val="left"/>
      </w:pPr>
      <w:r>
        <w:rPr>
          <w:color w:val="000000"/>
          <w:spacing w:val="0"/>
          <w:w w:val="100"/>
          <w:position w:val="0"/>
        </w:rPr>
        <w:t>本报告期利润分配及资本公积金转增股本情况</w:t>
      </w:r>
    </w:p>
    <w:p>
      <w:pPr>
        <w:pStyle w:val="Style28"/>
        <w:keepNext w:val="0"/>
        <w:keepLines w:val="0"/>
        <w:widowControl w:val="0"/>
        <w:shd w:val="clear" w:color="auto" w:fill="auto"/>
        <w:bidi w:val="0"/>
        <w:spacing w:before="0" w:after="0" w:line="45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90" w:lineRule="exact"/>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十一、公司股权激励计划、员工持股计划或其他员工激励措施的实施情况</w:t>
      </w:r>
      <w:bookmarkEnd w:id="383"/>
      <w:bookmarkEnd w:id="384"/>
      <w:bookmarkEnd w:id="385"/>
    </w:p>
    <w:p>
      <w:pPr>
        <w:pStyle w:val="Style28"/>
        <w:keepNext w:val="0"/>
        <w:keepLines w:val="0"/>
        <w:widowControl w:val="0"/>
        <w:shd w:val="clear" w:color="auto" w:fill="auto"/>
        <w:bidi w:val="0"/>
        <w:spacing w:before="0" w:after="200" w:line="45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keepLines/>
        <w:widowControl w:val="0"/>
        <w:shd w:val="clear" w:color="auto" w:fill="auto"/>
        <w:bidi w:val="0"/>
        <w:spacing w:before="0" w:after="20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、股权激励</w:t>
      </w:r>
      <w:bookmarkEnd w:id="386"/>
      <w:bookmarkEnd w:id="387"/>
      <w:bookmarkEnd w:id="389"/>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）首次授予原激励对象共</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人。</w:t>
      </w:r>
    </w:p>
    <w:p>
      <w:pPr>
        <w:pStyle w:val="Style28"/>
        <w:keepNext w:val="0"/>
        <w:keepLines w:val="0"/>
        <w:widowControl w:val="0"/>
        <w:shd w:val="clear" w:color="auto" w:fill="auto"/>
        <w:bidi w:val="0"/>
        <w:spacing w:before="0" w:after="200" w:line="390" w:lineRule="exact"/>
        <w:ind w:left="0" w:right="0" w:firstLine="380"/>
        <w:jc w:val="both"/>
      </w:pPr>
      <w:r>
        <w:rPr>
          <w:color w:val="000000"/>
          <w:spacing w:val="0"/>
          <w:w w:val="100"/>
          <w:position w:val="0"/>
        </w:rPr>
        <w:t>报告期内，激励计划规定的首次授予限制性股票第二个锁定期于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日届满，首次授予限制性股票第二个解 锁期其他解锁条件已经成就，符合解锁条件的限制性股票激励对象有</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人因解锁前离职已不符合激励条件而失去 本次限制性股票激励资格。具体情况详见公司于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 性股票第二个解锁期解锁条件成就的公告》（公告编号：</w:t>
      </w:r>
      <w:r>
        <w:rPr>
          <w:rFonts w:ascii="Times New Roman" w:eastAsia="Times New Roman" w:hAnsi="Times New Roman" w:cs="Times New Roman"/>
          <w:color w:val="000000"/>
          <w:spacing w:val="0"/>
          <w:w w:val="100"/>
          <w:position w:val="0"/>
          <w:sz w:val="18"/>
          <w:szCs w:val="18"/>
        </w:rPr>
        <w:t xml:space="preserve">2021-061 </w:t>
      </w:r>
      <w:r>
        <w:rPr>
          <w:color w:val="000000"/>
          <w:spacing w:val="0"/>
          <w:w w:val="100"/>
          <w:position w:val="0"/>
        </w:rPr>
        <w:t>）和《关于回购注销部分首次授予的限制性股票的公告》 （公告编号：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p>
    <w:p>
      <w:pPr>
        <w:pStyle w:val="Style28"/>
        <w:keepNext w:val="0"/>
        <w:keepLines w:val="0"/>
        <w:widowControl w:val="0"/>
        <w:shd w:val="clear" w:color="auto" w:fill="auto"/>
        <w:tabs>
          <w:tab w:pos="792" w:val="left"/>
        </w:tabs>
        <w:bidi w:val="0"/>
        <w:spacing w:before="0" w:after="0" w:line="392" w:lineRule="exact"/>
        <w:ind w:left="0" w:right="0" w:firstLine="380"/>
        <w:jc w:val="left"/>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报告期内授出、行使的权益总额</w:t>
      </w:r>
    </w:p>
    <w:p>
      <w:pPr>
        <w:pStyle w:val="Style28"/>
        <w:keepNext w:val="0"/>
        <w:keepLines w:val="0"/>
        <w:widowControl w:val="0"/>
        <w:shd w:val="clear" w:color="auto" w:fill="auto"/>
        <w:bidi w:val="0"/>
        <w:spacing w:before="0" w:after="0" w:line="392" w:lineRule="exact"/>
        <w:ind w:left="0" w:right="0" w:firstLine="380"/>
        <w:jc w:val="left"/>
      </w:pPr>
      <w:r>
        <w:rPr>
          <w:color w:val="000000"/>
          <w:spacing w:val="0"/>
          <w:w w:val="100"/>
          <w:position w:val="0"/>
        </w:rPr>
        <w:t>报告期内，公司未授出限制性股票。激励计划首次授予限制性股票第二个解锁期可解锁的股票数量为</w:t>
      </w:r>
      <w:r>
        <w:rPr>
          <w:rFonts w:ascii="Times New Roman" w:eastAsia="Times New Roman" w:hAnsi="Times New Roman" w:cs="Times New Roman"/>
          <w:color w:val="000000"/>
          <w:spacing w:val="0"/>
          <w:w w:val="100"/>
          <w:position w:val="0"/>
          <w:sz w:val="18"/>
          <w:szCs w:val="18"/>
        </w:rPr>
        <w:t>888,296</w:t>
      </w:r>
      <w:r>
        <w:rPr>
          <w:color w:val="000000"/>
          <w:spacing w:val="0"/>
          <w:w w:val="100"/>
          <w:position w:val="0"/>
        </w:rPr>
        <w:t>股；不符 合解锁条件的</w:t>
      </w:r>
      <w:r>
        <w:rPr>
          <w:rFonts w:ascii="Times New Roman" w:eastAsia="Times New Roman" w:hAnsi="Times New Roman" w:cs="Times New Roman"/>
          <w:color w:val="000000"/>
          <w:spacing w:val="0"/>
          <w:w w:val="100"/>
          <w:position w:val="0"/>
          <w:sz w:val="18"/>
          <w:szCs w:val="18"/>
        </w:rPr>
        <w:t>487,540</w:t>
      </w:r>
      <w:r>
        <w:rPr>
          <w:color w:val="000000"/>
          <w:spacing w:val="0"/>
          <w:w w:val="100"/>
          <w:position w:val="0"/>
        </w:rPr>
        <w:t>股限制性股票由公司回购注销。</w:t>
      </w:r>
    </w:p>
    <w:p>
      <w:pPr>
        <w:pStyle w:val="Style28"/>
        <w:keepNext w:val="0"/>
        <w:keepLines w:val="0"/>
        <w:widowControl w:val="0"/>
        <w:shd w:val="clear" w:color="auto" w:fill="auto"/>
        <w:tabs>
          <w:tab w:pos="792" w:val="left"/>
        </w:tabs>
        <w:bidi w:val="0"/>
        <w:spacing w:before="0" w:after="0" w:line="392" w:lineRule="exact"/>
        <w:ind w:left="0" w:right="0" w:firstLine="380"/>
        <w:jc w:val="left"/>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截至报告期末累计已授出但尚未行使的权益总额</w:t>
      </w:r>
    </w:p>
    <w:p>
      <w:pPr>
        <w:pStyle w:val="Style28"/>
        <w:keepNext w:val="0"/>
        <w:keepLines w:val="0"/>
        <w:widowControl w:val="0"/>
        <w:shd w:val="clear" w:color="auto" w:fill="auto"/>
        <w:bidi w:val="0"/>
        <w:spacing w:before="0" w:after="0" w:line="392" w:lineRule="exact"/>
        <w:ind w:left="0" w:right="0" w:firstLine="380"/>
        <w:jc w:val="left"/>
      </w:pPr>
      <w:r>
        <w:rPr>
          <w:color w:val="000000"/>
          <w:spacing w:val="0"/>
          <w:w w:val="100"/>
          <w:position w:val="0"/>
        </w:rPr>
        <w:t>截至本报告期末，公司累计已授出但尚未解锁的限制性股票合计为</w:t>
      </w:r>
      <w:r>
        <w:rPr>
          <w:rFonts w:ascii="Times New Roman" w:eastAsia="Times New Roman" w:hAnsi="Times New Roman" w:cs="Times New Roman"/>
          <w:color w:val="000000"/>
          <w:spacing w:val="0"/>
          <w:w w:val="100"/>
          <w:position w:val="0"/>
          <w:sz w:val="18"/>
          <w:szCs w:val="18"/>
        </w:rPr>
        <w:t>592,216</w:t>
      </w:r>
      <w:r>
        <w:rPr>
          <w:color w:val="000000"/>
          <w:spacing w:val="0"/>
          <w:w w:val="100"/>
          <w:position w:val="0"/>
        </w:rPr>
        <w:t>股。</w:t>
      </w:r>
    </w:p>
    <w:p>
      <w:pPr>
        <w:pStyle w:val="Style28"/>
        <w:keepNext w:val="0"/>
        <w:keepLines w:val="0"/>
        <w:widowControl w:val="0"/>
        <w:shd w:val="clear" w:color="auto" w:fill="auto"/>
        <w:tabs>
          <w:tab w:pos="792" w:val="left"/>
        </w:tabs>
        <w:bidi w:val="0"/>
        <w:spacing w:before="0" w:after="0" w:line="392" w:lineRule="exact"/>
        <w:ind w:left="0" w:right="0" w:firstLine="380"/>
        <w:jc w:val="left"/>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报告期内权益价格、权益数量历次调整的情况以及经调整后的最新权益价格与权益数量</w:t>
      </w:r>
    </w:p>
    <w:p>
      <w:pPr>
        <w:pStyle w:val="Style28"/>
        <w:keepNext w:val="0"/>
        <w:keepLines w:val="0"/>
        <w:widowControl w:val="0"/>
        <w:numPr>
          <w:ilvl w:val="0"/>
          <w:numId w:val="5"/>
        </w:numPr>
        <w:shd w:val="clear" w:color="auto" w:fill="auto"/>
        <w:tabs>
          <w:tab w:pos="628" w:val="left"/>
        </w:tabs>
        <w:bidi w:val="0"/>
        <w:spacing w:before="0" w:after="0" w:line="392" w:lineRule="exact"/>
        <w:ind w:left="0" w:right="0" w:firstLine="380"/>
        <w:jc w:val="left"/>
      </w:pPr>
      <w:bookmarkStart w:id="393" w:name="bookmark393"/>
      <w:bookmarkEnd w:id="393"/>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日，公司召开了第三届董事会第十一次会议和第三届监事会第九次会议，并于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年度权益分派实施完毕，公司向全体股东以每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10.60</w:t>
      </w:r>
      <w:r>
        <w:rPr>
          <w:color w:val="000000"/>
          <w:spacing w:val="0"/>
          <w:w w:val="100"/>
          <w:position w:val="0"/>
        </w:rPr>
        <w:t>元（含税）的现金红利。</w:t>
      </w:r>
    </w:p>
    <w:p>
      <w:pPr>
        <w:pStyle w:val="Style28"/>
        <w:keepNext w:val="0"/>
        <w:keepLines w:val="0"/>
        <w:widowControl w:val="0"/>
        <w:numPr>
          <w:ilvl w:val="0"/>
          <w:numId w:val="5"/>
        </w:numPr>
        <w:shd w:val="clear" w:color="auto" w:fill="auto"/>
        <w:tabs>
          <w:tab w:pos="643" w:val="left"/>
        </w:tabs>
        <w:bidi w:val="0"/>
        <w:spacing w:before="0" w:after="0" w:line="392" w:lineRule="exact"/>
        <w:ind w:left="0" w:right="0" w:firstLine="380"/>
        <w:jc w:val="left"/>
      </w:pPr>
      <w:bookmarkStart w:id="394" w:name="bookmark394"/>
      <w:bookmarkEnd w:id="394"/>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日，公司分别召开第三届董事会第十二次会议和第三届监事会第十次会议，审议通过了《关于调整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年限制性股票激励计划首次授予限制性股票回购价格的议案》，将激励计划激励对象已获授但尚未解除限售的限制性股票回 购价格调整为</w:t>
      </w:r>
      <w:r>
        <w:rPr>
          <w:rFonts w:ascii="Times New Roman" w:eastAsia="Times New Roman" w:hAnsi="Times New Roman" w:cs="Times New Roman"/>
          <w:color w:val="000000"/>
          <w:spacing w:val="0"/>
          <w:w w:val="100"/>
          <w:position w:val="0"/>
          <w:sz w:val="18"/>
          <w:szCs w:val="18"/>
        </w:rPr>
        <w:t>11.9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股加上银行同期存款利息之和，具体情况详见公司于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日披露的《关于调整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 票激励计划首次授予限制性股票回购价格的公告》（公告编号：</w:t>
      </w:r>
      <w:r>
        <w:rPr>
          <w:rFonts w:ascii="Times New Roman" w:eastAsia="Times New Roman" w:hAnsi="Times New Roman" w:cs="Times New Roman"/>
          <w:color w:val="000000"/>
          <w:spacing w:val="0"/>
          <w:w w:val="100"/>
          <w:position w:val="0"/>
          <w:sz w:val="18"/>
          <w:szCs w:val="18"/>
        </w:rPr>
        <w:t>2021-058</w:t>
      </w:r>
      <w:r>
        <w:rPr>
          <w:color w:val="000000"/>
          <w:spacing w:val="0"/>
          <w:w w:val="100"/>
          <w:position w:val="0"/>
        </w:rPr>
        <w:t>）。</w:t>
      </w:r>
    </w:p>
    <w:p>
      <w:pPr>
        <w:pStyle w:val="Style28"/>
        <w:keepNext w:val="0"/>
        <w:keepLines w:val="0"/>
        <w:widowControl w:val="0"/>
        <w:shd w:val="clear" w:color="auto" w:fill="auto"/>
        <w:tabs>
          <w:tab w:pos="792" w:val="left"/>
        </w:tabs>
        <w:bidi w:val="0"/>
        <w:spacing w:before="0" w:after="0" w:line="392" w:lineRule="exact"/>
        <w:ind w:left="0" w:right="0" w:firstLine="380"/>
        <w:jc w:val="left"/>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董事、高级管理人员各在报告期内历次获授、行使权益的情况和失效的权益数量</w:t>
      </w:r>
    </w:p>
    <w:p>
      <w:pPr>
        <w:pStyle w:val="Style28"/>
        <w:keepNext w:val="0"/>
        <w:keepLines w:val="0"/>
        <w:widowControl w:val="0"/>
        <w:shd w:val="clear" w:color="auto" w:fill="auto"/>
        <w:bidi w:val="0"/>
        <w:spacing w:before="0" w:after="0" w:line="392" w:lineRule="exact"/>
        <w:ind w:left="0" w:right="0" w:firstLine="38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公司不存在属于激励对象的高级管理人员获授限制性股票、行使权益或限制性股票失效的情况。</w:t>
      </w:r>
    </w:p>
    <w:p>
      <w:pPr>
        <w:pStyle w:val="Style28"/>
        <w:keepNext w:val="0"/>
        <w:keepLines w:val="0"/>
        <w:widowControl w:val="0"/>
        <w:shd w:val="clear" w:color="auto" w:fill="auto"/>
        <w:tabs>
          <w:tab w:pos="792" w:val="left"/>
        </w:tabs>
        <w:bidi w:val="0"/>
        <w:spacing w:before="0" w:after="0" w:line="392" w:lineRule="exact"/>
        <w:ind w:left="0" w:right="0" w:firstLine="380"/>
        <w:jc w:val="both"/>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因激励对象行使权益所引起的股本变动情况</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报告期内，鉴于公司激励计划首次授予限制性股票原激励对象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名人员已不符合激励条件，失去本次限制性股票激励资 格，公司回购并注销其已获授但尚未解锁的合计</w:t>
      </w:r>
      <w:r>
        <w:rPr>
          <w:rFonts w:ascii="Times New Roman" w:eastAsia="Times New Roman" w:hAnsi="Times New Roman" w:cs="Times New Roman"/>
          <w:color w:val="000000"/>
          <w:spacing w:val="0"/>
          <w:w w:val="100"/>
          <w:position w:val="0"/>
          <w:sz w:val="18"/>
          <w:szCs w:val="18"/>
        </w:rPr>
        <w:t>487,540</w:t>
      </w:r>
      <w:r>
        <w:rPr>
          <w:color w:val="000000"/>
          <w:spacing w:val="0"/>
          <w:w w:val="100"/>
          <w:position w:val="0"/>
        </w:rPr>
        <w:t>股限制性股票。实施回购注销上述人员所持限制性股票后，公司总 股本由</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180,148,5577</w:t>
      </w:r>
      <w:r>
        <w:rPr>
          <w:color w:val="000000"/>
          <w:spacing w:val="0"/>
          <w:w w:val="100"/>
          <w:position w:val="0"/>
        </w:rPr>
        <w:t>股。具体情况详见公司于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日披露的《关于回购注销部分限制性股票减少 注册资本暨通知债权人公告》（公告编号：</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rPr>
        <w:t>）。</w:t>
      </w:r>
    </w:p>
    <w:p>
      <w:pPr>
        <w:pStyle w:val="Style28"/>
        <w:keepNext w:val="0"/>
        <w:keepLines w:val="0"/>
        <w:widowControl w:val="0"/>
        <w:shd w:val="clear" w:color="auto" w:fill="auto"/>
        <w:tabs>
          <w:tab w:pos="792" w:val="left"/>
        </w:tabs>
        <w:bidi w:val="0"/>
        <w:spacing w:before="0" w:after="0" w:line="392" w:lineRule="exact"/>
        <w:ind w:left="0" w:right="0" w:firstLine="380"/>
        <w:jc w:val="both"/>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股权激励的会计处理方法及股权激励费用对公司业绩的影响</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根据财政部发布的《企业会计准则第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号一股份支付》的相关规定，上述回购注销部分限制性股票的会计处理方式如 下：减少前期对此部分回购注销的限制性股票确认的回购义务形成的负债，并相应的减少库存股、股本以及资本公积。本次 回购注销部分限制性股票符合《上市公司股权激励管理办法》等相关规定，不会对公司的财务状况和经营成果产生重大影响， 也不会影响公司管理层和核心骨干的积极性和稳定性。</w:t>
      </w:r>
    </w:p>
    <w:p>
      <w:pPr>
        <w:pStyle w:val="Style28"/>
        <w:keepNext w:val="0"/>
        <w:keepLines w:val="0"/>
        <w:widowControl w:val="0"/>
        <w:shd w:val="clear" w:color="auto" w:fill="auto"/>
        <w:tabs>
          <w:tab w:pos="792" w:val="left"/>
        </w:tabs>
        <w:bidi w:val="0"/>
        <w:spacing w:before="0" w:after="0" w:line="392" w:lineRule="exact"/>
        <w:ind w:left="0" w:right="0" w:firstLine="38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报告期内激励对象获授权益、行使权益的条件是否成就的说明</w:t>
      </w:r>
    </w:p>
    <w:p>
      <w:pPr>
        <w:pStyle w:val="Style28"/>
        <w:keepNext w:val="0"/>
        <w:keepLines w:val="0"/>
        <w:widowControl w:val="0"/>
        <w:shd w:val="clear" w:color="auto" w:fill="auto"/>
        <w:bidi w:val="0"/>
        <w:spacing w:before="0" w:after="0" w:line="39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日，公司分别召开第三届董事会第十二次会议和第三届监事会第十次会议，审议通过了《关于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性股票激励计划首次授予限制性股票第二个解锁期解锁条件成就的议案》。公司独立董事发表了同意的独立意见。监事会对 首次授予限制性股票第二期解锁等事项进行了核查。律师出具了法律意见书。</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公司激励计划首次授予限制性股票第二个解锁期解除限售股份上市流通日期为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日，符合解锁条件的限制性 股票激励对象共</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名，解除限售股份总数为</w:t>
      </w:r>
      <w:r>
        <w:rPr>
          <w:rFonts w:ascii="Times New Roman" w:eastAsia="Times New Roman" w:hAnsi="Times New Roman" w:cs="Times New Roman"/>
          <w:color w:val="000000"/>
          <w:spacing w:val="0"/>
          <w:w w:val="100"/>
          <w:position w:val="0"/>
          <w:sz w:val="18"/>
          <w:szCs w:val="18"/>
        </w:rPr>
        <w:t>888,296</w:t>
      </w:r>
      <w:r>
        <w:rPr>
          <w:color w:val="000000"/>
          <w:spacing w:val="0"/>
          <w:w w:val="100"/>
          <w:position w:val="0"/>
        </w:rPr>
        <w:t>股，占公司当时总股本的</w:t>
      </w:r>
      <w:r>
        <w:rPr>
          <w:rFonts w:ascii="Times New Roman" w:eastAsia="Times New Roman" w:hAnsi="Times New Roman" w:cs="Times New Roman"/>
          <w:color w:val="000000"/>
          <w:spacing w:val="0"/>
          <w:w w:val="100"/>
          <w:position w:val="0"/>
          <w:sz w:val="18"/>
          <w:szCs w:val="18"/>
        </w:rPr>
        <w:t>0.4931%</w:t>
      </w:r>
      <w:r>
        <w:rPr>
          <w:color w:val="000000"/>
          <w:spacing w:val="0"/>
          <w:w w:val="100"/>
          <w:position w:val="0"/>
        </w:rPr>
        <w:t>。具体情况详见公司于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年限制性股票激励计划首次授予限制性股票第二个解锁期解除限售股份上市流通的提示性公告》（公告 编号：</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rPr>
        <w:t>）。</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公司董事、高级管理人员获得的股权激励情况</w:t>
      </w:r>
    </w:p>
    <w:p>
      <w:pPr>
        <w:pStyle w:val="Style28"/>
        <w:keepNext w:val="0"/>
        <w:keepLines w:val="0"/>
        <w:widowControl w:val="0"/>
        <w:shd w:val="clear" w:color="auto" w:fill="auto"/>
        <w:bidi w:val="0"/>
        <w:spacing w:before="0" w:after="0" w:line="39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高级管理人员的考评机制及激励情况</w:t>
      </w:r>
    </w:p>
    <w:p>
      <w:pPr>
        <w:pStyle w:val="Style28"/>
        <w:keepNext w:val="0"/>
        <w:keepLines w:val="0"/>
        <w:widowControl w:val="0"/>
        <w:shd w:val="clear" w:color="auto" w:fill="auto"/>
        <w:bidi w:val="0"/>
        <w:spacing w:before="0" w:after="440" w:line="390" w:lineRule="exact"/>
        <w:ind w:left="0" w:right="0" w:firstLine="380"/>
        <w:jc w:val="both"/>
      </w:pPr>
      <w:r>
        <w:rPr>
          <w:color w:val="000000"/>
          <w:spacing w:val="0"/>
          <w:w w:val="100"/>
          <w:position w:val="0"/>
        </w:rPr>
        <w:t>公司建立了完善的高级管理人员绩效考核和薪酬管理制度，董事会下设薪酬与考核委员会负责制定高级管理人员年度薪 酬方案。高级管理人员年度薪酬由基本薪酬和绩效薪酬两部分构成，薪酬与考核委员会根据企业效益、高管个人贡献系数和 年度绩效考核系数，围绕工作业绩、工作质量、领导能力、职责履行、经营管理能力等方面进行考核，采取年度考评的方式， 评定高级管理人员年度绩效奖金。</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员工持股计划的实施情况</w:t>
      </w:r>
      <w:bookmarkEnd w:id="399"/>
      <w:bookmarkEnd w:id="400"/>
      <w:bookmarkEnd w:id="402"/>
    </w:p>
    <w:p>
      <w:pPr>
        <w:pStyle w:val="Style28"/>
        <w:keepNext w:val="0"/>
        <w:keepLines w:val="0"/>
        <w:widowControl w:val="0"/>
        <w:shd w:val="clear" w:color="auto" w:fill="auto"/>
        <w:bidi w:val="0"/>
        <w:spacing w:before="0" w:after="220" w:line="45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其他员工激励措施</w:t>
      </w:r>
      <w:bookmarkEnd w:id="403"/>
      <w:bookmarkEnd w:id="404"/>
      <w:bookmarkEnd w:id="406"/>
    </w:p>
    <w:p>
      <w:pPr>
        <w:pStyle w:val="Style28"/>
        <w:keepNext w:val="0"/>
        <w:keepLines w:val="0"/>
        <w:widowControl w:val="0"/>
        <w:shd w:val="clear" w:color="auto" w:fill="auto"/>
        <w:bidi w:val="0"/>
        <w:spacing w:before="0" w:after="160" w:line="45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十二、报告期内的内部控制制度建设及实施情况</w:t>
      </w:r>
      <w:bookmarkEnd w:id="407"/>
      <w:bookmarkEnd w:id="408"/>
      <w:bookmarkEnd w:id="409"/>
    </w:p>
    <w:p>
      <w:pPr>
        <w:pStyle w:val="Style31"/>
        <w:keepNext/>
        <w:keepLines/>
        <w:widowControl w:val="0"/>
        <w:shd w:val="clear" w:color="auto" w:fill="auto"/>
        <w:tabs>
          <w:tab w:pos="368" w:val="left"/>
        </w:tabs>
        <w:bidi w:val="0"/>
        <w:spacing w:before="0" w:after="22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内部控制建设及实施情况</w:t>
      </w:r>
      <w:bookmarkEnd w:id="410"/>
      <w:bookmarkEnd w:id="411"/>
      <w:bookmarkEnd w:id="413"/>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报告期内，公司进一步按照《企业内部控制基本规范》、《企业内部控制应用指引》等相关规定，对公司的内部控制体系 进行持续改进、优化，以适应不断变化的外部环境及内部管理要求。公司的内部控制能够涵盖公司经营管理的主要方面，内 部控制设计健全、合理，内部控制执行基本有效，不存在重大遗漏。</w:t>
      </w:r>
    </w:p>
    <w:p>
      <w:pPr>
        <w:pStyle w:val="Style28"/>
        <w:keepNext w:val="0"/>
        <w:keepLines w:val="0"/>
        <w:widowControl w:val="0"/>
        <w:shd w:val="clear" w:color="auto" w:fill="auto"/>
        <w:tabs>
          <w:tab w:pos="901" w:val="left"/>
        </w:tabs>
        <w:bidi w:val="0"/>
        <w:spacing w:before="0" w:after="0" w:line="392" w:lineRule="exact"/>
        <w:ind w:left="0" w:right="0" w:firstLine="380"/>
        <w:jc w:val="both"/>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内部环境。公司建立了与业务相适应的组织结构，组织机构分工明确、职能健全清晰、相互牵制，全面贯彻不相 容职务相互分离的原则，形成相互制衡机制。</w:t>
      </w:r>
    </w:p>
    <w:p>
      <w:pPr>
        <w:pStyle w:val="Style28"/>
        <w:keepNext w:val="0"/>
        <w:keepLines w:val="0"/>
        <w:widowControl w:val="0"/>
        <w:shd w:val="clear" w:color="auto" w:fill="auto"/>
        <w:tabs>
          <w:tab w:pos="896" w:val="left"/>
        </w:tabs>
        <w:bidi w:val="0"/>
        <w:spacing w:before="0" w:after="0" w:line="408" w:lineRule="exact"/>
        <w:ind w:left="0" w:right="0" w:firstLine="38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风险评估。公司根据战略目标及发展思路，结合行业特点全面系统地收集相关信息及时进行风险评估，权衡风险 与收益，确定风险应对策略，做到风险可控。</w:t>
      </w:r>
    </w:p>
    <w:p>
      <w:pPr>
        <w:pStyle w:val="Style28"/>
        <w:keepNext w:val="0"/>
        <w:keepLines w:val="0"/>
        <w:widowControl w:val="0"/>
        <w:shd w:val="clear" w:color="auto" w:fill="auto"/>
        <w:bidi w:val="0"/>
        <w:spacing w:before="0" w:after="0" w:line="395" w:lineRule="exact"/>
        <w:ind w:left="0" w:right="0" w:firstLine="380"/>
        <w:jc w:val="both"/>
      </w:pPr>
      <w:bookmarkStart w:id="416" w:name="bookmark416"/>
      <w:r>
        <w:rPr>
          <w:color w:val="000000"/>
          <w:spacing w:val="0"/>
          <w:w w:val="100"/>
          <w:position w:val="0"/>
        </w:rPr>
        <w:t>（</w:t>
      </w:r>
      <w:bookmarkEnd w:id="4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控制活动。结合公司管理现状及发展需要，坚持合规性、可行性、可操作性相结合的原则，持续梳理完善制度， 较好地执行了《关联交易决策制度》、《对外担保管理制度》、《投资管理制度》、《重大信息内部报告和保密制度》等内部规定。</w:t>
      </w:r>
    </w:p>
    <w:p>
      <w:pPr>
        <w:pStyle w:val="Style28"/>
        <w:keepNext w:val="0"/>
        <w:keepLines w:val="0"/>
        <w:widowControl w:val="0"/>
        <w:shd w:val="clear" w:color="auto" w:fill="auto"/>
        <w:tabs>
          <w:tab w:pos="910" w:val="left"/>
        </w:tabs>
        <w:bidi w:val="0"/>
        <w:spacing w:before="0" w:after="0" w:line="395" w:lineRule="exact"/>
        <w:ind w:left="0" w:right="0" w:firstLine="380"/>
        <w:jc w:val="both"/>
      </w:pPr>
      <w:bookmarkStart w:id="417" w:name="bookmark417"/>
      <w:r>
        <w:rPr>
          <w:color w:val="000000"/>
          <w:spacing w:val="0"/>
          <w:w w:val="100"/>
          <w:position w:val="0"/>
        </w:rPr>
        <w:t>（</w:t>
      </w:r>
      <w:bookmarkEnd w:id="4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信息与沟通。公司积极推进信息化全覆盖，根据业务流程和组织架构深度优化并上线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大业务系统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PLM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WMS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EHR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GBM</w:t>
      </w:r>
      <w:r>
        <w:rPr>
          <w:color w:val="000000"/>
          <w:spacing w:val="0"/>
          <w:w w:val="100"/>
          <w:position w:val="0"/>
        </w:rPr>
        <w:t>），</w:t>
      </w:r>
      <w:r>
        <w:rPr>
          <w:color w:val="000000"/>
          <w:spacing w:val="0"/>
          <w:w w:val="100"/>
          <w:position w:val="0"/>
        </w:rPr>
        <w:t>提升科技创新对企业发展的引领力、支撑力。</w:t>
      </w:r>
    </w:p>
    <w:p>
      <w:pPr>
        <w:pStyle w:val="Style28"/>
        <w:keepNext w:val="0"/>
        <w:keepLines w:val="0"/>
        <w:widowControl w:val="0"/>
        <w:shd w:val="clear" w:color="auto" w:fill="auto"/>
        <w:tabs>
          <w:tab w:pos="901" w:val="left"/>
        </w:tabs>
        <w:bidi w:val="0"/>
        <w:spacing w:before="0" w:after="440" w:line="395" w:lineRule="exact"/>
        <w:ind w:left="0" w:right="0" w:firstLine="380"/>
        <w:jc w:val="both"/>
      </w:pPr>
      <w:bookmarkStart w:id="418" w:name="bookmark418"/>
      <w:r>
        <w:rPr>
          <w:color w:val="000000"/>
          <w:spacing w:val="0"/>
          <w:w w:val="100"/>
          <w:position w:val="0"/>
        </w:rPr>
        <w:t>（</w:t>
      </w:r>
      <w:bookmarkEnd w:id="41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监督。公司建立了法人治理机制，独立董事、监事会能充分、独立地对公司管理层履行监督职责，进行独立评价 和提出建议。在董事会审计委员会领导下设置有专门的内部审计机构，依法独立开展内部审计工作，确保对管理层的有效监 督和内部控制有效运行。</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报告期内发现的内部控制重大缺陷的具体情况</w:t>
      </w:r>
      <w:bookmarkEnd w:id="419"/>
      <w:bookmarkEnd w:id="420"/>
      <w:bookmarkEnd w:id="422"/>
    </w:p>
    <w:p>
      <w:pPr>
        <w:pStyle w:val="Style28"/>
        <w:keepNext w:val="0"/>
        <w:keepLines w:val="0"/>
        <w:widowControl w:val="0"/>
        <w:shd w:val="clear" w:color="auto" w:fill="auto"/>
        <w:bidi w:val="0"/>
        <w:spacing w:before="0" w:after="160" w:line="45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十三、公司报告期内对子公司的管理控制情况</w:t>
      </w:r>
      <w:bookmarkEnd w:id="423"/>
      <w:bookmarkEnd w:id="424"/>
      <w:bookmarkEnd w:id="42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十四、内部控制自我评价报告或内部控制审计报告</w:t>
      </w:r>
      <w:bookmarkEnd w:id="426"/>
      <w:bookmarkEnd w:id="427"/>
      <w:bookmarkEnd w:id="428"/>
    </w:p>
    <w:p>
      <w:pPr>
        <w:pStyle w:val="Style31"/>
        <w:keepNext/>
        <w:keepLines/>
        <w:widowControl w:val="0"/>
        <w:shd w:val="clear" w:color="auto" w:fill="auto"/>
        <w:bidi w:val="0"/>
        <w:spacing w:before="0" w:after="32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、内控自我评价报告</w:t>
      </w:r>
      <w:bookmarkEnd w:id="429"/>
      <w:bookmarkEnd w:id="430"/>
      <w:bookmarkEnd w:id="432"/>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953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）董事、监事和高级管理 人员舞弊，给公司造成重大损失；（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已披露的财务报告和会计信息严重不准 确、不公允；（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）企业审计委员会和内 部审计机构对内部控制的监督无效。</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）已披露的财务报告和会 计信息存在较大不准确、不公允；（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企业监事会、审计委员会或内部审计部 门对内部控制监督不到位；（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）未建立 反舞弊程序和控制措施。</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一般缺陷：除以上缺陷外其他认定为一 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重大缺陷：严重违反法律、法规、规章、 政府政策、其他规范性文件等，导致中 央政府或监管机构的调查，并被限令行 业退出、吊销营业执照、强制关闭等； 战略与运营目标或关键业绩指标的执行 不合理，严重偏离且存在方向性错误， 对战略与运营目标的实现产生严重负面 作用。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除上述定性指标外，另外明确了通常表 明非财务报告内部控制可能存在重大缺 陷的迹象：（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）企业缺乏民主决策程序， 如缺乏“三重一大”决策程序；（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 业决策程序不科学，如决策失误，导致 并购不成功；（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）违犯国家法律、法规， 如环境污染；（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）管理人员或技术人员 纷纷流失；（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）媒体负面新闻频现；（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内部控制评价的结果特别是重大或重要 缺陷未得到整改</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）重要业务缺乏制 度控制或制度系统性失效。</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重要缺陷：违反法律、法规、规章、政 府政策、其他规范性文件等，导致地方 政府或监管机构的调查，并责令停业整 顿等；战略与运营目标或关键业绩指标 执行不合理，严重偏离，对战略与运营 目标的实现产生明显的消极作用。</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一般缺陷：违反法律、法规、规章政府 政策、其他规范性文件等，导致地方政 府或监管机构的调查，并被处以罚款或 罚金；战略与运营目标或关键业绩的执 行存在较小范围的不合理，目标偏离，</w:t>
            </w:r>
          </w:p>
        </w:tc>
      </w:tr>
    </w:tbl>
    <w:p>
      <w:pPr>
        <w:spacing w:lineRule="exact" w:line="1"/>
        <w:rPr>
          <w:sz w:val="2"/>
          <w:szCs w:val="2"/>
        </w:rPr>
      </w:pPr>
      <w:r>
        <w:br w:type="page"/>
      </w:r>
    </w:p>
    <w:tbl>
      <w:tblPr>
        <w:tblOverlap w:val="never"/>
        <w:jc w:val="center"/>
        <w:tblLayout w:type="fixed"/>
      </w:tblPr>
      <w:tblGrid>
        <w:gridCol w:w="3288"/>
        <w:gridCol w:w="3283"/>
        <w:gridCol w:w="32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对战略与运营目标的实现影响轻微。</w:t>
            </w:r>
          </w:p>
        </w:tc>
      </w:tr>
      <w:tr>
        <w:trPr>
          <w:trHeight w:val="672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重大缺陷：利润总额潜在错报的金额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 额潜在错报的金额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；经营收入潜在错报的金额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合并会计报表主营业务收入或营业收入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重要缺陷：合并会计报表利润总额的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利润总额潜在错报的金额〈合并会 计报表利润总额的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；合并会计报表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资产总额潜在错报的 金额〈合并会计报表资产总额的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合并会计报表主营业务收入或营业收入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经营收入潜在错报的金额〈合并 会计报表主营业务收入或营业收入的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一般缺陷：利润总额潜在错报的金额＜ 合并会计报表利润总额的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；资产总 额潜在错报的金额〈合并会计报表资产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；经营收入潜在错报的金额 〈合并会计报表主营业务收入或营业收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重大缺陷：利润总额潜在错报的金额</w:t>
            </w:r>
            <w:r>
              <w:rPr>
                <w:color w:val="000000"/>
                <w:spacing w:val="0"/>
                <w:w w:val="100"/>
                <w:position w:val="0"/>
              </w:rPr>
              <w:t xml:space="preserve">N </w:t>
            </w:r>
            <w:r>
              <w:rPr>
                <w:color w:val="000000"/>
                <w:spacing w:val="0"/>
                <w:w w:val="100"/>
                <w:position w:val="0"/>
              </w:rPr>
              <w:t xml:space="preserve">合并会计报表利润总额的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；资产总 额潜在错报的金额</w:t>
            </w:r>
            <w:r>
              <w:rPr>
                <w:color w:val="000000"/>
                <w:spacing w:val="0"/>
                <w:w w:val="100"/>
                <w:position w:val="0"/>
              </w:rPr>
              <w:t>N</w:t>
            </w:r>
            <w:r>
              <w:rPr>
                <w:color w:val="000000"/>
                <w:spacing w:val="0"/>
                <w:w w:val="100"/>
                <w:position w:val="0"/>
              </w:rPr>
              <w:t>合并会计报表资产 总额的</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；经营收入潜在错报的金额 </w:t>
            </w:r>
            <w:r>
              <w:rPr>
                <w:color w:val="000000"/>
                <w:spacing w:val="0"/>
                <w:w w:val="100"/>
                <w:position w:val="0"/>
              </w:rPr>
              <w:t>N</w:t>
            </w:r>
            <w:r>
              <w:rPr>
                <w:color w:val="000000"/>
                <w:spacing w:val="0"/>
                <w:w w:val="100"/>
                <w:position w:val="0"/>
              </w:rPr>
              <w:t>合并会计报表主营业务收入或营业收 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40" w:line="311" w:lineRule="exact"/>
              <w:ind w:left="0" w:right="0" w:firstLine="0"/>
              <w:jc w:val="both"/>
            </w:pPr>
            <w:r>
              <w:rPr>
                <w:color w:val="000000"/>
                <w:spacing w:val="0"/>
                <w:w w:val="100"/>
                <w:position w:val="0"/>
              </w:rPr>
              <w:t>重要缺陷:合并会计报表利润总额的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w:t>
            </w:r>
            <w:r>
              <w:rPr>
                <w:color w:val="000000"/>
                <w:spacing w:val="0"/>
                <w:w w:val="100"/>
                <w:position w:val="0"/>
              </w:rPr>
              <w:t xml:space="preserve">利润总额潜在错报的金额〈合并会计 报表利润总额的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；合并会计报表资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w:t>
            </w:r>
            <w:r>
              <w:rPr>
                <w:color w:val="000000"/>
                <w:spacing w:val="0"/>
                <w:w w:val="100"/>
                <w:position w:val="0"/>
              </w:rPr>
              <w:t>资产总额潜在错报的金 额〈合并会计报表资产总额的</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；合 并会计报表主营业务收入或营业收入的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w:t>
            </w:r>
            <w:r>
              <w:rPr>
                <w:color w:val="000000"/>
                <w:spacing w:val="0"/>
                <w:w w:val="100"/>
                <w:position w:val="0"/>
              </w:rPr>
              <w:t xml:space="preserve">经营收入潜在错报的金额〈合并 会计报表主营业务收入或营业收入的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 xml:space="preserve">一般缺陷：利润总额潜在错报的金额＜ 合并会计报表利润总额的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；资产总 额潜在错报的金额〈合并会计报表资产 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；经营收入潜在错报的金额 〈合并会计报表主营业务收入或营业收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1"/>
        <w:keepNext/>
        <w:keepLines/>
        <w:widowControl w:val="0"/>
        <w:shd w:val="clear" w:color="auto" w:fill="auto"/>
        <w:bidi w:val="0"/>
        <w:spacing w:before="0" w:after="20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、内部控制审计报告</w:t>
      </w:r>
      <w:bookmarkEnd w:id="433"/>
      <w:bookmarkEnd w:id="434"/>
      <w:bookmarkEnd w:id="436"/>
    </w:p>
    <w:p>
      <w:pPr>
        <w:pStyle w:val="Style28"/>
        <w:keepNext w:val="0"/>
        <w:keepLines w:val="0"/>
        <w:widowControl w:val="0"/>
        <w:shd w:val="clear" w:color="auto" w:fill="auto"/>
        <w:bidi w:val="0"/>
        <w:spacing w:before="0" w:after="340" w:line="39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both"/>
      </w:pPr>
      <w:bookmarkStart w:id="437" w:name="bookmark437"/>
      <w:bookmarkStart w:id="438" w:name="bookmark438"/>
      <w:bookmarkStart w:id="439" w:name="bookmark439"/>
      <w:r>
        <w:rPr>
          <w:color w:val="000000"/>
          <w:spacing w:val="0"/>
          <w:w w:val="100"/>
          <w:position w:val="0"/>
          <w:sz w:val="24"/>
          <w:szCs w:val="24"/>
        </w:rPr>
        <w:t>十五、上市公司治理专项行动自查问题整改情况</w:t>
      </w:r>
      <w:bookmarkEnd w:id="437"/>
      <w:bookmarkEnd w:id="438"/>
      <w:bookmarkEnd w:id="439"/>
    </w:p>
    <w:p>
      <w:pPr>
        <w:pStyle w:val="Style28"/>
        <w:keepNext w:val="0"/>
        <w:keepLines w:val="0"/>
        <w:widowControl w:val="0"/>
        <w:shd w:val="clear" w:color="auto" w:fill="auto"/>
        <w:bidi w:val="0"/>
        <w:spacing w:before="0" w:after="0" w:line="391" w:lineRule="exact"/>
        <w:ind w:left="0" w:right="0" w:firstLine="460"/>
        <w:jc w:val="both"/>
      </w:pPr>
      <w:r>
        <w:rPr>
          <w:color w:val="000000"/>
          <w:spacing w:val="0"/>
          <w:w w:val="100"/>
          <w:position w:val="0"/>
        </w:rPr>
        <w:t>根据中国证监会《关于开展上市公司治理专项行动的公告》的要求，公司本着实事求是的原则，组织相关部门对公司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三个年度的治理情况进行了全面梳理，认真开展了专项自查工作。经自查，公司存在董事、监事、高级管理人员 未出席（列席）或委托他人代为出席股东大会情况。</w:t>
      </w:r>
    </w:p>
    <w:p>
      <w:pPr>
        <w:pStyle w:val="Style28"/>
        <w:keepNext w:val="0"/>
        <w:keepLines w:val="0"/>
        <w:widowControl w:val="0"/>
        <w:shd w:val="clear" w:color="auto" w:fill="auto"/>
        <w:bidi w:val="0"/>
        <w:spacing w:before="0" w:after="0" w:line="391" w:lineRule="exact"/>
        <w:ind w:left="0" w:right="0" w:firstLine="460"/>
        <w:jc w:val="both"/>
      </w:pPr>
      <w:r>
        <w:rPr>
          <w:color w:val="000000"/>
          <w:spacing w:val="0"/>
          <w:w w:val="100"/>
          <w:position w:val="0"/>
        </w:rPr>
        <w:t>具体原因及整改情况：存在部分董事、监事、高级管理人员因工作冲突原因无法出席会议的情况，公司及时跟进董监高 未出席（列席）会议或委托他人代为出席会议相关事项的原因及进展，对因故不能参会的董监高，要求其递交书面请假申请 单。相关董监高已于会前递交了请假申请并签字确认，公司对相关文件进行备案存档。</w:t>
      </w:r>
    </w:p>
    <w:p>
      <w:pPr>
        <w:pStyle w:val="Style28"/>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340" w:right="1021" w:bottom="1460" w:left="1011" w:header="0" w:footer="3" w:gutter="0"/>
          <w:cols w:space="720"/>
          <w:noEndnote/>
          <w:rtlGutter w:val="0"/>
          <w:docGrid w:linePitch="360"/>
        </w:sectPr>
      </w:pPr>
      <w:r>
        <w:rPr>
          <w:color w:val="000000"/>
          <w:spacing w:val="0"/>
          <w:w w:val="100"/>
          <w:position w:val="0"/>
        </w:rPr>
        <w:t xml:space="preserve">公司已建立《公司章程》、《董事会议事规则》、《监事会议事规则》及《股东大会议事规则》等内部规章制度，公司将以 本次自查整改活动为契机，严格督促董监高按照公司章程及相关议事规则来有效地履行其职责，切实提升公司规范运作水平 </w:t>
      </w:r>
      <w:r>
        <w:rPr>
          <w:color w:val="000000"/>
          <w:spacing w:val="0"/>
          <w:w w:val="100"/>
          <w:position w:val="0"/>
        </w:rPr>
        <w:t>及公司治理有效性，进一步增强上市公司质量。</w:t>
      </w:r>
    </w:p>
    <w:p>
      <w:pPr>
        <w:pStyle w:val="Style14"/>
        <w:keepNext/>
        <w:keepLines/>
        <w:widowControl w:val="0"/>
        <w:shd w:val="clear" w:color="auto" w:fill="auto"/>
        <w:bidi w:val="0"/>
        <w:spacing w:before="620" w:line="240" w:lineRule="auto"/>
        <w:ind w:left="0" w:right="0" w:firstLine="0"/>
        <w:jc w:val="center"/>
      </w:pPr>
      <w:bookmarkStart w:id="440" w:name="bookmark440"/>
      <w:bookmarkStart w:id="441" w:name="bookmark441"/>
      <w:bookmarkStart w:id="442" w:name="bookmark442"/>
      <w:r>
        <w:rPr>
          <w:color w:val="000000"/>
          <w:spacing w:val="0"/>
          <w:w w:val="100"/>
          <w:position w:val="0"/>
        </w:rPr>
        <w:t>第五节环境和社会责任</w:t>
      </w:r>
      <w:bookmarkEnd w:id="440"/>
      <w:bookmarkEnd w:id="441"/>
      <w:bookmarkEnd w:id="442"/>
    </w:p>
    <w:p>
      <w:pPr>
        <w:pStyle w:val="Style24"/>
        <w:keepNext/>
        <w:keepLines/>
        <w:widowControl w:val="0"/>
        <w:shd w:val="clear" w:color="auto" w:fill="auto"/>
        <w:bidi w:val="0"/>
        <w:spacing w:before="0" w:after="420" w:line="240" w:lineRule="auto"/>
        <w:ind w:left="0" w:right="0" w:firstLine="0"/>
        <w:jc w:val="left"/>
      </w:pPr>
      <w:bookmarkStart w:id="443" w:name="bookmark443"/>
      <w:bookmarkStart w:id="444" w:name="bookmark444"/>
      <w:bookmarkStart w:id="445" w:name="bookmark445"/>
      <w:bookmarkStart w:id="446" w:name="bookmark446"/>
      <w:bookmarkStart w:id="447" w:name="bookmark447"/>
      <w:r>
        <w:rPr>
          <w:color w:val="000000"/>
          <w:spacing w:val="0"/>
          <w:w w:val="100"/>
          <w:position w:val="0"/>
          <w:sz w:val="24"/>
          <w:szCs w:val="24"/>
        </w:rPr>
        <w:t>一</w:t>
      </w:r>
      <w:bookmarkEnd w:id="446"/>
      <w:r>
        <w:rPr>
          <w:color w:val="000000"/>
          <w:spacing w:val="0"/>
          <w:w w:val="100"/>
          <w:position w:val="0"/>
          <w:sz w:val="24"/>
          <w:szCs w:val="24"/>
        </w:rPr>
        <w:t>、重大环保问题</w:t>
      </w:r>
      <w:bookmarkEnd w:id="444"/>
      <w:bookmarkEnd w:id="445"/>
      <w:bookmarkEnd w:id="447"/>
      <w:bookmarkEnd w:id="443"/>
    </w:p>
    <w:p>
      <w:pPr>
        <w:pStyle w:val="Style28"/>
        <w:keepNext w:val="0"/>
        <w:keepLines w:val="0"/>
        <w:widowControl w:val="0"/>
        <w:shd w:val="clear" w:color="auto" w:fill="auto"/>
        <w:bidi w:val="0"/>
        <w:spacing w:before="0" w:after="180" w:line="240" w:lineRule="auto"/>
        <w:ind w:left="0" w:right="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180" w:line="240" w:lineRule="auto"/>
        <w:ind w:left="0" w:right="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80" w:line="240" w:lineRule="auto"/>
        <w:ind w:left="0" w:right="0"/>
        <w:jc w:val="left"/>
      </w:pPr>
      <w:r>
        <w:rPr>
          <w:color w:val="000000"/>
          <w:spacing w:val="0"/>
          <w:w w:val="100"/>
          <w:position w:val="0"/>
        </w:rPr>
        <w:t>报告期内因环境问题受到行政处罚的情况</w:t>
      </w:r>
    </w:p>
    <w:p>
      <w:pPr>
        <w:pStyle w:val="Style28"/>
        <w:keepNext w:val="0"/>
        <w:keepLines w:val="0"/>
        <w:widowControl w:val="0"/>
        <w:shd w:val="clear" w:color="auto" w:fill="auto"/>
        <w:bidi w:val="0"/>
        <w:spacing w:before="0" w:after="180" w:line="240" w:lineRule="auto"/>
        <w:ind w:left="0" w:right="0"/>
        <w:jc w:val="left"/>
      </w:pPr>
      <w:r>
        <w:rPr>
          <w:color w:val="000000"/>
          <w:spacing w:val="0"/>
          <w:w w:val="100"/>
          <w:position w:val="0"/>
        </w:rPr>
        <w:t>报告期内未发生因环境问题受到行政处罚的情况。</w:t>
      </w:r>
    </w:p>
    <w:p>
      <w:pPr>
        <w:pStyle w:val="Style28"/>
        <w:keepNext w:val="0"/>
        <w:keepLines w:val="0"/>
        <w:widowControl w:val="0"/>
        <w:shd w:val="clear" w:color="auto" w:fill="auto"/>
        <w:bidi w:val="0"/>
        <w:spacing w:before="0" w:after="180" w:line="240" w:lineRule="auto"/>
        <w:ind w:left="0" w:right="0"/>
        <w:jc w:val="left"/>
      </w:pPr>
      <w:r>
        <w:rPr>
          <w:color w:val="000000"/>
          <w:spacing w:val="0"/>
          <w:w w:val="100"/>
          <w:position w:val="0"/>
        </w:rPr>
        <w:t>参照重点排污单位披露的其他环境信息</w:t>
      </w:r>
    </w:p>
    <w:p>
      <w:pPr>
        <w:pStyle w:val="Style28"/>
        <w:keepNext w:val="0"/>
        <w:keepLines w:val="0"/>
        <w:widowControl w:val="0"/>
        <w:numPr>
          <w:ilvl w:val="0"/>
          <w:numId w:val="7"/>
        </w:numPr>
        <w:shd w:val="clear" w:color="auto" w:fill="auto"/>
        <w:bidi w:val="0"/>
        <w:spacing w:before="0" w:after="180" w:line="240" w:lineRule="auto"/>
        <w:ind w:left="0" w:right="0"/>
        <w:jc w:val="left"/>
      </w:pPr>
      <w:bookmarkStart w:id="448" w:name="bookmark448"/>
      <w:bookmarkEnd w:id="448"/>
      <w:r>
        <w:rPr>
          <w:b/>
          <w:bCs/>
          <w:color w:val="000000"/>
          <w:spacing w:val="0"/>
          <w:w w:val="100"/>
          <w:position w:val="0"/>
        </w:rPr>
        <w:t>排污信息</w:t>
      </w:r>
    </w:p>
    <w:p>
      <w:pPr>
        <w:pStyle w:val="Style28"/>
        <w:keepNext w:val="0"/>
        <w:keepLines w:val="0"/>
        <w:widowControl w:val="0"/>
        <w:shd w:val="clear" w:color="auto" w:fill="auto"/>
        <w:bidi w:val="0"/>
        <w:spacing w:before="0" w:after="180" w:line="240" w:lineRule="auto"/>
        <w:ind w:left="0" w:right="0"/>
        <w:jc w:val="left"/>
      </w:pPr>
      <w:r>
        <w:rPr>
          <w:color w:val="000000"/>
          <w:spacing w:val="0"/>
          <w:w w:val="100"/>
          <w:position w:val="0"/>
        </w:rPr>
        <w:t>经核查，公司及各子公司不属于环境保护部门公布的重点排污单位。</w:t>
      </w:r>
    </w:p>
    <w:p>
      <w:pPr>
        <w:pStyle w:val="Style28"/>
        <w:keepNext w:val="0"/>
        <w:keepLines w:val="0"/>
        <w:widowControl w:val="0"/>
        <w:shd w:val="clear" w:color="auto" w:fill="auto"/>
        <w:bidi w:val="0"/>
        <w:spacing w:before="0" w:after="80" w:line="240" w:lineRule="auto"/>
        <w:ind w:left="0" w:right="0"/>
        <w:jc w:val="left"/>
      </w:pPr>
      <w:r>
        <w:rPr>
          <w:color w:val="000000"/>
          <w:spacing w:val="0"/>
          <w:w w:val="100"/>
          <w:position w:val="0"/>
        </w:rPr>
        <w:t>公司主要生产基地排污情况如下：</w:t>
      </w:r>
    </w:p>
    <w:tbl>
      <w:tblPr>
        <w:tblOverlap w:val="never"/>
        <w:jc w:val="center"/>
        <w:tblLayout w:type="fixed"/>
      </w:tblPr>
      <w:tblGrid>
        <w:gridCol w:w="970"/>
        <w:gridCol w:w="955"/>
        <w:gridCol w:w="955"/>
        <w:gridCol w:w="672"/>
        <w:gridCol w:w="850"/>
        <w:gridCol w:w="1349"/>
        <w:gridCol w:w="955"/>
        <w:gridCol w:w="1099"/>
        <w:gridCol w:w="994"/>
        <w:gridCol w:w="79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主要污染物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及特征污染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排放口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排放口分 布情况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执行的污染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核定的排放</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超标排放 情况</w:t>
            </w:r>
          </w:p>
        </w:tc>
      </w:tr>
      <w:tr>
        <w:trPr>
          <w:trHeight w:val="50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佛山金溢科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(废水)悬 浮物、 </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BOD5</w:t>
            </w:r>
            <w:r>
              <w:rPr>
                <w:color w:val="000000"/>
                <w:spacing w:val="0"/>
                <w:w w:val="100"/>
                <w:position w:val="0"/>
              </w:rPr>
              <w:t>、</w:t>
            </w:r>
            <w:r>
              <w:rPr>
                <w:color w:val="000000"/>
                <w:spacing w:val="0"/>
                <w:w w:val="100"/>
                <w:position w:val="0"/>
              </w:rPr>
              <w:t>氨 氮、</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动植物油类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经三级化粪</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池排入市政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污水管网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厂区大门 口右侧</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2" w:lineRule="exact"/>
              <w:ind w:left="0" w:right="0" w:firstLine="0"/>
              <w:jc w:val="left"/>
            </w:pPr>
            <w:r>
              <w:rPr>
                <w:color w:val="000000"/>
                <w:spacing w:val="0"/>
                <w:w w:val="100"/>
                <w:position w:val="0"/>
              </w:rPr>
              <w:t>悬浮物:</w:t>
            </w:r>
            <w:r>
              <w:rPr>
                <w:rFonts w:ascii="Times New Roman" w:eastAsia="Times New Roman" w:hAnsi="Times New Roman" w:cs="Times New Roman"/>
                <w:color w:val="000000"/>
                <w:spacing w:val="0"/>
                <w:w w:val="100"/>
                <w:position w:val="0"/>
                <w:sz w:val="18"/>
                <w:szCs w:val="18"/>
              </w:rPr>
              <w:t xml:space="preserve">20mg/L </w:t>
            </w:r>
            <w:r>
              <w:rPr>
                <w:color w:val="000000"/>
                <w:spacing w:val="0"/>
                <w:w w:val="100"/>
                <w:position w:val="0"/>
              </w:rPr>
              <w:t>；</w:t>
            </w:r>
          </w:p>
          <w:p>
            <w:pPr>
              <w:pStyle w:val="Style2"/>
              <w:keepNext w:val="0"/>
              <w:keepLines w:val="0"/>
              <w:widowControl w:val="0"/>
              <w:shd w:val="clear" w:color="auto" w:fill="auto"/>
              <w:bidi w:val="0"/>
              <w:spacing w:before="0" w:after="0" w:line="342" w:lineRule="exact"/>
              <w:ind w:left="0" w:right="0" w:firstLine="0"/>
              <w:jc w:val="left"/>
            </w:pP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34mg/L</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BOD5:9.4mg/L</w:t>
            </w:r>
            <w:r>
              <w:rPr>
                <w:color w:val="000000"/>
                <w:spacing w:val="0"/>
                <w:w w:val="100"/>
                <w:position w:val="0"/>
              </w:rPr>
              <w:t xml:space="preserve">； </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5.72 mg/L</w:t>
            </w:r>
            <w:r>
              <w:rPr>
                <w:color w:val="000000"/>
                <w:spacing w:val="0"/>
                <w:w w:val="100"/>
                <w:position w:val="0"/>
              </w:rPr>
              <w:t xml:space="preserve">； </w:t>
            </w:r>
            <w:r>
              <w:rPr>
                <w:color w:val="000000"/>
                <w:spacing w:val="0"/>
                <w:w w:val="100"/>
                <w:position w:val="0"/>
              </w:rPr>
              <w:t xml:space="preserve">动植物油类： </w:t>
            </w:r>
            <w:r>
              <w:rPr>
                <w:rFonts w:ascii="Times New Roman" w:eastAsia="Times New Roman" w:hAnsi="Times New Roman" w:cs="Times New Roman"/>
                <w:color w:val="000000"/>
                <w:spacing w:val="0"/>
                <w:w w:val="100"/>
                <w:position w:val="0"/>
                <w:sz w:val="18"/>
                <w:szCs w:val="18"/>
              </w:rPr>
              <w:t>2.82 mg/L</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《城镇污水 处理厂污染 物排放标 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GB18918 -2002</w:t>
            </w:r>
            <w:r>
              <w:rPr>
                <w:color w:val="000000"/>
                <w:spacing w:val="0"/>
                <w:w w:val="100"/>
                <w:position w:val="0"/>
              </w:rPr>
              <w:t>)</w:t>
            </w:r>
            <w:r>
              <w:rPr>
                <w:color w:val="000000"/>
                <w:spacing w:val="0"/>
                <w:w w:val="100"/>
                <w:position w:val="0"/>
              </w:rPr>
              <w:t xml:space="preserve">一 级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标准；其 中</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执 行广东省地 方标准《水 污染物排放 限值》</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DB44/26-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)第二 时段一级标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悬浮物：</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0.177t/a</w:t>
            </w:r>
            <w:r>
              <w:rPr>
                <w:color w:val="000000"/>
                <w:spacing w:val="0"/>
                <w:w w:val="100"/>
                <w:position w:val="0"/>
              </w:rPr>
              <w:t>；</w:t>
            </w:r>
          </w:p>
          <w:p>
            <w:pPr>
              <w:pStyle w:val="Style2"/>
              <w:keepNext w:val="0"/>
              <w:keepLines w:val="0"/>
              <w:widowControl w:val="0"/>
              <w:shd w:val="clear" w:color="auto" w:fill="auto"/>
              <w:tabs>
                <w:tab w:pos="552" w:val="left"/>
              </w:tabs>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0.301</w:t>
            </w:r>
          </w:p>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BOD5:0.083</w:t>
            </w:r>
          </w:p>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氨氮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0.051</w:t>
            </w:r>
          </w:p>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动植物油类：</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0.025 t/a</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CODcr</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0.355 t/a</w:t>
            </w:r>
            <w:r>
              <w:rPr>
                <w:color w:val="000000"/>
                <w:spacing w:val="0"/>
                <w:w w:val="100"/>
                <w:position w:val="0"/>
              </w:rPr>
              <w:t xml:space="preserve">； </w:t>
            </w:r>
            <w:r>
              <w:rPr>
                <w:color w:val="000000"/>
                <w:spacing w:val="0"/>
                <w:w w:val="100"/>
                <w:position w:val="0"/>
              </w:rPr>
              <w:t>氨氮:</w:t>
            </w:r>
            <w:r>
              <w:rPr>
                <w:rFonts w:ascii="Times New Roman" w:eastAsia="Times New Roman" w:hAnsi="Times New Roman" w:cs="Times New Roman"/>
                <w:color w:val="000000"/>
                <w:spacing w:val="0"/>
                <w:w w:val="100"/>
                <w:position w:val="0"/>
                <w:sz w:val="18"/>
                <w:szCs w:val="18"/>
              </w:rPr>
              <w:t>0.071 t/a</w:t>
            </w:r>
            <w:r>
              <w:rPr>
                <w:color w:val="000000"/>
                <w:spacing w:val="0"/>
                <w:w w:val="100"/>
                <w:position w:val="0"/>
              </w:rPr>
              <w:t>。</w:t>
            </w:r>
            <w:r>
              <w:rPr>
                <w:color w:val="000000"/>
                <w:spacing w:val="0"/>
                <w:w w:val="100"/>
                <w:position w:val="0"/>
              </w:rPr>
              <w:t>其余污 染物无总量 控制要求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97"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(废气)锡 及其化合 物、非甲烷 总烃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UV</w:t>
            </w:r>
            <w:r>
              <w:rPr>
                <w:color w:val="000000"/>
                <w:spacing w:val="0"/>
                <w:w w:val="100"/>
                <w:position w:val="0"/>
              </w:rPr>
              <w:t xml:space="preserve">光解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活性炭吸 附后</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米 高空排放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生产楼楼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7"/>
                <w:szCs w:val="17"/>
              </w:rPr>
              <w:t xml:space="preserve">锡及其化合物： </w:t>
            </w:r>
            <w:r>
              <w:rPr>
                <w:rFonts w:ascii="Times New Roman" w:eastAsia="Times New Roman" w:hAnsi="Times New Roman" w:cs="Times New Roman"/>
                <w:color w:val="000000"/>
                <w:spacing w:val="0"/>
                <w:w w:val="100"/>
                <w:position w:val="0"/>
                <w:sz w:val="18"/>
                <w:szCs w:val="18"/>
              </w:rPr>
              <w:t>0.00124mg/m</w:t>
            </w:r>
            <w:r>
              <w:rPr>
                <w:rFonts w:ascii="Times New Roman" w:eastAsia="Times New Roman" w:hAnsi="Times New Roman" w:cs="Times New Roman"/>
                <w:color w:val="000000"/>
                <w:spacing w:val="0"/>
                <w:w w:val="100"/>
                <w:position w:val="0"/>
                <w:sz w:val="19"/>
                <w:szCs w:val="19"/>
                <w:vertAlign w:val="superscript"/>
              </w:rPr>
              <w:t xml:space="preserve">3 </w:t>
            </w:r>
            <w:r>
              <w:rPr>
                <w:color w:val="000000"/>
                <w:spacing w:val="0"/>
                <w:w w:val="100"/>
                <w:position w:val="0"/>
                <w:sz w:val="17"/>
                <w:szCs w:val="17"/>
              </w:rPr>
              <w:t>非甲烷总烃</w:t>
            </w:r>
            <w:r>
              <w:rPr>
                <w:rFonts w:ascii="Times New Roman" w:eastAsia="Times New Roman" w:hAnsi="Times New Roman" w:cs="Times New Roman"/>
                <w:color w:val="000000"/>
                <w:spacing w:val="0"/>
                <w:w w:val="100"/>
                <w:position w:val="0"/>
                <w:sz w:val="18"/>
                <w:szCs w:val="18"/>
              </w:rPr>
              <w:t xml:space="preserve">:3.3 </w:t>
            </w:r>
            <w:r>
              <w:rPr>
                <w:rFonts w:ascii="Times New Roman" w:eastAsia="Times New Roman" w:hAnsi="Times New Roman" w:cs="Times New Roman"/>
                <w:color w:val="000000"/>
                <w:spacing w:val="0"/>
                <w:w w:val="100"/>
                <w:position w:val="0"/>
                <w:sz w:val="18"/>
                <w:szCs w:val="18"/>
              </w:rPr>
              <w:t>mg/m</w:t>
            </w:r>
            <w:r>
              <w:rPr>
                <w:rFonts w:ascii="Times New Roman" w:eastAsia="Times New Roman" w:hAnsi="Times New Roman" w:cs="Times New Roman"/>
                <w:color w:val="000000"/>
                <w:spacing w:val="0"/>
                <w:w w:val="100"/>
                <w:position w:val="0"/>
                <w:sz w:val="19"/>
                <w:szCs w:val="19"/>
                <w:vertAlign w:val="superscript"/>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广东省地方 标准《大气 污染物排放 限值》</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DB44/27-</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)第二 时段二级标 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锡及其化合 物： </w:t>
            </w:r>
            <w:r>
              <w:rPr>
                <w:rFonts w:ascii="Times New Roman" w:eastAsia="Times New Roman" w:hAnsi="Times New Roman" w:cs="Times New Roman"/>
                <w:color w:val="000000"/>
                <w:spacing w:val="0"/>
                <w:w w:val="100"/>
                <w:position w:val="0"/>
                <w:sz w:val="18"/>
                <w:szCs w:val="18"/>
              </w:rPr>
              <w:t>0.0095kg/a</w:t>
            </w:r>
            <w:r>
              <w:rPr>
                <w:color w:val="000000"/>
                <w:spacing w:val="0"/>
                <w:w w:val="100"/>
                <w:position w:val="0"/>
              </w:rPr>
              <w:t xml:space="preserve">； </w:t>
            </w:r>
            <w:r>
              <w:rPr>
                <w:color w:val="000000"/>
                <w:spacing w:val="0"/>
                <w:w w:val="100"/>
                <w:position w:val="0"/>
              </w:rPr>
              <w:t>非甲烷总 烃</w:t>
            </w:r>
            <w:r>
              <w:rPr>
                <w:rFonts w:ascii="Times New Roman" w:eastAsia="Times New Roman" w:hAnsi="Times New Roman" w:cs="Times New Roman"/>
                <w:color w:val="000000"/>
                <w:spacing w:val="0"/>
                <w:w w:val="100"/>
                <w:position w:val="0"/>
                <w:sz w:val="18"/>
                <w:szCs w:val="18"/>
              </w:rPr>
              <w:t xml:space="preserve">:252 </w:t>
            </w:r>
            <w:r>
              <w:rPr>
                <w:rFonts w:ascii="Times New Roman" w:eastAsia="Times New Roman" w:hAnsi="Times New Roman" w:cs="Times New Roman"/>
                <w:color w:val="000000"/>
                <w:spacing w:val="0"/>
                <w:w w:val="100"/>
                <w:position w:val="0"/>
                <w:sz w:val="18"/>
                <w:szCs w:val="18"/>
              </w:rPr>
              <w:t>kg/a</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无大气总量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控制指标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70"/>
        <w:gridCol w:w="955"/>
        <w:gridCol w:w="955"/>
        <w:gridCol w:w="672"/>
        <w:gridCol w:w="850"/>
        <w:gridCol w:w="1349"/>
        <w:gridCol w:w="955"/>
        <w:gridCol w:w="1099"/>
        <w:gridCol w:w="994"/>
        <w:gridCol w:w="792"/>
      </w:tblGrid>
      <w:tr>
        <w:trPr>
          <w:trHeight w:val="590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（危废）</w:t>
            </w:r>
          </w:p>
          <w:p>
            <w:pPr>
              <w:pStyle w:val="Style2"/>
              <w:keepNext w:val="0"/>
              <w:keepLines w:val="0"/>
              <w:widowControl w:val="0"/>
              <w:shd w:val="clear" w:color="auto" w:fill="auto"/>
              <w:tabs>
                <w:tab w:pos="413"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HW08 </w:t>
            </w:r>
            <w:r>
              <w:rPr>
                <w:color w:val="000000"/>
                <w:spacing w:val="0"/>
                <w:w w:val="100"/>
                <w:position w:val="0"/>
              </w:rPr>
              <w:t>废矿物油；</w:t>
            </w:r>
          </w:p>
          <w:p>
            <w:pPr>
              <w:pStyle w:val="Style2"/>
              <w:keepNext w:val="0"/>
              <w:keepLines w:val="0"/>
              <w:widowControl w:val="0"/>
              <w:shd w:val="clear" w:color="auto" w:fill="auto"/>
              <w:tabs>
                <w:tab w:pos="317" w:val="left"/>
              </w:tabs>
              <w:bidi w:val="0"/>
              <w:spacing w:before="0" w:after="0" w:line="32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HW29</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废灯管</w:t>
            </w:r>
          </w:p>
          <w:p>
            <w:pPr>
              <w:pStyle w:val="Style2"/>
              <w:keepNext w:val="0"/>
              <w:keepLines w:val="0"/>
              <w:widowControl w:val="0"/>
              <w:shd w:val="clear" w:color="auto" w:fill="auto"/>
              <w:tabs>
                <w:tab w:pos="317" w:val="left"/>
              </w:tabs>
              <w:bidi w:val="0"/>
              <w:spacing w:before="0" w:after="0" w:line="32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HW49</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废空桶</w:t>
            </w:r>
          </w:p>
          <w:p>
            <w:pPr>
              <w:pStyle w:val="Style2"/>
              <w:keepNext w:val="0"/>
              <w:keepLines w:val="0"/>
              <w:widowControl w:val="0"/>
              <w:shd w:val="clear" w:color="auto" w:fill="auto"/>
              <w:tabs>
                <w:tab w:pos="413"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HW49 </w:t>
            </w:r>
            <w:r>
              <w:rPr>
                <w:color w:val="000000"/>
                <w:spacing w:val="0"/>
                <w:w w:val="100"/>
                <w:position w:val="0"/>
              </w:rPr>
              <w:t>废抹布</w:t>
            </w:r>
          </w:p>
          <w:p>
            <w:pPr>
              <w:pStyle w:val="Style2"/>
              <w:keepNext w:val="0"/>
              <w:keepLines w:val="0"/>
              <w:widowControl w:val="0"/>
              <w:shd w:val="clear" w:color="auto" w:fill="auto"/>
              <w:tabs>
                <w:tab w:pos="413"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HW49 </w:t>
            </w:r>
            <w:r>
              <w:rPr>
                <w:color w:val="000000"/>
                <w:spacing w:val="0"/>
                <w:w w:val="100"/>
                <w:position w:val="0"/>
              </w:rPr>
              <w:t>废活性炭</w:t>
            </w:r>
          </w:p>
          <w:p>
            <w:pPr>
              <w:pStyle w:val="Style2"/>
              <w:keepNext w:val="0"/>
              <w:keepLines w:val="0"/>
              <w:widowControl w:val="0"/>
              <w:shd w:val="clear" w:color="auto" w:fill="auto"/>
              <w:tabs>
                <w:tab w:pos="317" w:val="left"/>
              </w:tabs>
              <w:bidi w:val="0"/>
              <w:spacing w:before="0" w:after="0" w:line="32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HW49</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边角 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危废仓库暂</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由有资质的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危废处置单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位合法转移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危废仓</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由有资质的 危废处置供 应商合法转 移处理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46" w:val="left"/>
              </w:tabs>
              <w:bidi w:val="0"/>
              <w:spacing w:before="0" w:after="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HW08</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废矿物油</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2"/>
              <w:keepNext w:val="0"/>
              <w:keepLines w:val="0"/>
              <w:widowControl w:val="0"/>
              <w:shd w:val="clear" w:color="auto" w:fill="auto"/>
              <w:tabs>
                <w:tab w:pos="442"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HW29 </w:t>
            </w:r>
            <w:r>
              <w:rPr>
                <w:color w:val="000000"/>
                <w:spacing w:val="0"/>
                <w:w w:val="100"/>
                <w:position w:val="0"/>
              </w:rPr>
              <w:t>废灯管</w:t>
            </w:r>
            <w:r>
              <w:rPr>
                <w:rFonts w:ascii="Times New Roman" w:eastAsia="Times New Roman" w:hAnsi="Times New Roman" w:cs="Times New Roman"/>
                <w:color w:val="000000"/>
                <w:spacing w:val="0"/>
                <w:w w:val="100"/>
                <w:position w:val="0"/>
                <w:sz w:val="18"/>
                <w:szCs w:val="18"/>
              </w:rPr>
              <w:t xml:space="preserve">0.015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2"/>
              <w:keepNext w:val="0"/>
              <w:keepLines w:val="0"/>
              <w:widowControl w:val="0"/>
              <w:shd w:val="clear" w:color="auto" w:fill="auto"/>
              <w:tabs>
                <w:tab w:pos="442"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HW49 </w:t>
            </w:r>
            <w:r>
              <w:rPr>
                <w:color w:val="000000"/>
                <w:spacing w:val="0"/>
                <w:w w:val="100"/>
                <w:position w:val="0"/>
              </w:rPr>
              <w:t>废空桶</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w:t>
            </w:r>
          </w:p>
          <w:p>
            <w:pPr>
              <w:pStyle w:val="Style2"/>
              <w:keepNext w:val="0"/>
              <w:keepLines w:val="0"/>
              <w:widowControl w:val="0"/>
              <w:shd w:val="clear" w:color="auto" w:fill="auto"/>
              <w:tabs>
                <w:tab w:pos="442"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HW49 </w:t>
            </w:r>
            <w:r>
              <w:rPr>
                <w:color w:val="000000"/>
                <w:spacing w:val="0"/>
                <w:w w:val="100"/>
                <w:position w:val="0"/>
              </w:rPr>
              <w:t>废抹布</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w:t>
            </w:r>
          </w:p>
          <w:p>
            <w:pPr>
              <w:pStyle w:val="Style2"/>
              <w:keepNext w:val="0"/>
              <w:keepLines w:val="0"/>
              <w:widowControl w:val="0"/>
              <w:shd w:val="clear" w:color="auto" w:fill="auto"/>
              <w:tabs>
                <w:tab w:pos="346" w:val="left"/>
              </w:tabs>
              <w:bidi w:val="0"/>
              <w:spacing w:before="0" w:after="0" w:line="320"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HW49</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废活性炭</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2"/>
              <w:keepNext w:val="0"/>
              <w:keepLines w:val="0"/>
              <w:widowControl w:val="0"/>
              <w:shd w:val="clear" w:color="auto" w:fill="auto"/>
              <w:tabs>
                <w:tab w:pos="451"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HW49 PCB</w:t>
            </w:r>
            <w:r>
              <w:rPr>
                <w:color w:val="000000"/>
                <w:spacing w:val="0"/>
                <w:w w:val="100"/>
                <w:position w:val="0"/>
              </w:rPr>
              <w:t xml:space="preserve">边角料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科技股份有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限公司广州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（废水）悬 浮物、</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BOD5</w:t>
            </w:r>
            <w:r>
              <w:rPr>
                <w:color w:val="000000"/>
                <w:spacing w:val="0"/>
                <w:w w:val="100"/>
                <w:position w:val="0"/>
              </w:rPr>
              <w:t>、</w:t>
            </w:r>
            <w:r>
              <w:rPr>
                <w:color w:val="000000"/>
                <w:spacing w:val="0"/>
                <w:w w:val="100"/>
                <w:position w:val="0"/>
              </w:rPr>
              <w:t>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氮、</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动植物油类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经三级化粪 池排入市政 污水管网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厂区西面</w:t>
            </w:r>
          </w:p>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个，宿舍 东面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31" w:lineRule="exact"/>
              <w:ind w:left="0" w:right="0" w:firstLine="0"/>
              <w:jc w:val="both"/>
            </w:pPr>
            <w:r>
              <w:rPr>
                <w:color w:val="000000"/>
                <w:spacing w:val="0"/>
                <w:w w:val="100"/>
                <w:position w:val="0"/>
              </w:rPr>
              <w:t>悬浮物：</w:t>
            </w:r>
          </w:p>
          <w:p>
            <w:pPr>
              <w:pStyle w:val="Style2"/>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sz w:val="18"/>
                <w:szCs w:val="18"/>
              </w:rPr>
              <w:t>219mg/L</w:t>
            </w:r>
            <w:r>
              <w:rPr>
                <w:color w:val="000000"/>
                <w:spacing w:val="0"/>
                <w:w w:val="100"/>
                <w:position w:val="0"/>
              </w:rPr>
              <w:t>；</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72mg/L</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BOD5:19.4mg/L </w:t>
            </w:r>
            <w:r>
              <w:rPr>
                <w:color w:val="000000"/>
                <w:spacing w:val="0"/>
                <w:w w:val="100"/>
                <w:position w:val="0"/>
              </w:rPr>
              <w:t>；</w:t>
            </w:r>
          </w:p>
          <w:p>
            <w:pPr>
              <w:pStyle w:val="Style2"/>
              <w:keepNext w:val="0"/>
              <w:keepLines w:val="0"/>
              <w:widowControl w:val="0"/>
              <w:shd w:val="clear" w:color="auto" w:fill="auto"/>
              <w:bidi w:val="0"/>
              <w:spacing w:before="0" w:after="60" w:line="331" w:lineRule="exact"/>
              <w:ind w:left="0" w:right="0" w:firstLine="0"/>
              <w:jc w:val="both"/>
            </w:pP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13.6 mg/L</w:t>
            </w:r>
            <w:r>
              <w:rPr>
                <w:color w:val="000000"/>
                <w:spacing w:val="0"/>
                <w:w w:val="100"/>
                <w:position w:val="0"/>
              </w:rPr>
              <w:t xml:space="preserve">； </w:t>
            </w:r>
            <w:r>
              <w:rPr>
                <w:color w:val="000000"/>
                <w:spacing w:val="0"/>
                <w:w w:val="100"/>
                <w:position w:val="0"/>
              </w:rPr>
              <w:t xml:space="preserve">动植物油类： </w:t>
            </w:r>
            <w:r>
              <w:rPr>
                <w:rFonts w:ascii="Times New Roman" w:eastAsia="Times New Roman" w:hAnsi="Times New Roman" w:cs="Times New Roman"/>
                <w:color w:val="000000"/>
                <w:spacing w:val="0"/>
                <w:w w:val="100"/>
                <w:position w:val="0"/>
                <w:sz w:val="18"/>
                <w:szCs w:val="18"/>
              </w:rPr>
              <w:t>3.78mg/L</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广东省地方 标准《水污 染物排放限 值》</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DB44/26-</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）第二 时段三级标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悬浮物：</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0.0.503t/a</w:t>
            </w:r>
            <w:r>
              <w:rPr>
                <w:color w:val="000000"/>
                <w:spacing w:val="0"/>
                <w:w w:val="100"/>
                <w:position w:val="0"/>
              </w:rPr>
              <w:t>；</w:t>
            </w:r>
          </w:p>
          <w:p>
            <w:pPr>
              <w:pStyle w:val="Style2"/>
              <w:keepNext w:val="0"/>
              <w:keepLines w:val="0"/>
              <w:widowControl w:val="0"/>
              <w:shd w:val="clear" w:color="auto" w:fill="auto"/>
              <w:tabs>
                <w:tab w:pos="552" w:val="left"/>
              </w:tabs>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0.165</w:t>
            </w:r>
          </w:p>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BOD5:0.044</w:t>
            </w:r>
          </w:p>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氨氮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0.031</w:t>
            </w:r>
          </w:p>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动植物油类：</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0.008 t/a</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CODcr</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0.92t/a</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氨氮：</w:t>
            </w:r>
            <w:r>
              <w:rPr>
                <w:rFonts w:ascii="Times New Roman" w:eastAsia="Times New Roman" w:hAnsi="Times New Roman" w:cs="Times New Roman"/>
                <w:color w:val="000000"/>
                <w:spacing w:val="0"/>
                <w:w w:val="100"/>
                <w:position w:val="0"/>
                <w:sz w:val="18"/>
                <w:szCs w:val="18"/>
              </w:rPr>
              <w:t>0.034 t/a</w:t>
            </w:r>
            <w:r>
              <w:rPr>
                <w:color w:val="000000"/>
                <w:spacing w:val="0"/>
                <w:w w:val="100"/>
                <w:position w:val="0"/>
              </w:rPr>
              <w:t>。</w:t>
            </w:r>
            <w:r>
              <w:rPr>
                <w:color w:val="000000"/>
                <w:spacing w:val="0"/>
                <w:w w:val="100"/>
                <w:position w:val="0"/>
              </w:rPr>
              <w:t>其余污 染物无总量 控制要求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8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（废气）锡 及其化合 物、非甲烷 总烃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有组织</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米高空排放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车间楼顶</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锡及其化合物：</w:t>
            </w:r>
          </w:p>
          <w:p>
            <w:pPr>
              <w:pStyle w:val="Style2"/>
              <w:keepNext w:val="0"/>
              <w:keepLines w:val="0"/>
              <w:widowControl w:val="0"/>
              <w:shd w:val="clear" w:color="auto" w:fill="auto"/>
              <w:bidi w:val="0"/>
              <w:spacing w:before="0" w:after="0" w:line="360" w:lineRule="auto"/>
              <w:ind w:left="0" w:right="0" w:firstLine="0"/>
              <w:jc w:val="both"/>
              <w:rPr>
                <w:sz w:val="19"/>
                <w:szCs w:val="19"/>
              </w:rPr>
            </w:pPr>
            <w:r>
              <w:rPr>
                <w:rFonts w:ascii="Times New Roman" w:eastAsia="Times New Roman" w:hAnsi="Times New Roman" w:cs="Times New Roman"/>
                <w:color w:val="000000"/>
                <w:spacing w:val="0"/>
                <w:w w:val="100"/>
                <w:position w:val="0"/>
                <w:sz w:val="18"/>
                <w:szCs w:val="18"/>
              </w:rPr>
              <w:t>0.00878mg/m</w:t>
            </w:r>
            <w:r>
              <w:rPr>
                <w:rFonts w:ascii="Times New Roman" w:eastAsia="Times New Roman" w:hAnsi="Times New Roman" w:cs="Times New Roman"/>
                <w:color w:val="000000"/>
                <w:spacing w:val="0"/>
                <w:w w:val="100"/>
                <w:position w:val="0"/>
                <w:sz w:val="19"/>
                <w:szCs w:val="19"/>
                <w:vertAlign w:val="superscript"/>
              </w:rPr>
              <w:t>3</w:t>
            </w:r>
          </w:p>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7"/>
                <w:szCs w:val="17"/>
              </w:rPr>
              <w:t>非甲烷总烃</w:t>
            </w:r>
            <w:r>
              <w:rPr>
                <w:rFonts w:ascii="Times New Roman" w:eastAsia="Times New Roman" w:hAnsi="Times New Roman" w:cs="Times New Roman"/>
                <w:color w:val="000000"/>
                <w:spacing w:val="0"/>
                <w:w w:val="100"/>
                <w:position w:val="0"/>
                <w:sz w:val="18"/>
                <w:szCs w:val="18"/>
              </w:rPr>
              <w:t xml:space="preserve">:7.12 </w:t>
            </w:r>
            <w:r>
              <w:rPr>
                <w:rFonts w:ascii="Times New Roman" w:eastAsia="Times New Roman" w:hAnsi="Times New Roman" w:cs="Times New Roman"/>
                <w:color w:val="000000"/>
                <w:spacing w:val="0"/>
                <w:w w:val="100"/>
                <w:position w:val="0"/>
                <w:sz w:val="18"/>
                <w:szCs w:val="18"/>
              </w:rPr>
              <w:t>mg/m</w:t>
            </w:r>
            <w:r>
              <w:rPr>
                <w:rFonts w:ascii="Times New Roman" w:eastAsia="Times New Roman" w:hAnsi="Times New Roman" w:cs="Times New Roman"/>
                <w:color w:val="000000"/>
                <w:spacing w:val="0"/>
                <w:w w:val="100"/>
                <w:position w:val="0"/>
                <w:sz w:val="19"/>
                <w:szCs w:val="19"/>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广东省地方 标准《大气 污染物排放 限值》</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DB44/27-</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）第二 时段二级标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锡及其化合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0.5789kg/a</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非甲烷总</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烃</w:t>
            </w:r>
            <w:r>
              <w:rPr>
                <w:rFonts w:ascii="Times New Roman" w:eastAsia="Times New Roman" w:hAnsi="Times New Roman" w:cs="Times New Roman"/>
                <w:color w:val="000000"/>
                <w:spacing w:val="0"/>
                <w:w w:val="100"/>
                <w:position w:val="0"/>
                <w:sz w:val="18"/>
                <w:szCs w:val="18"/>
              </w:rPr>
              <w:t xml:space="preserve">:470.4 </w:t>
            </w:r>
            <w:r>
              <w:rPr>
                <w:rFonts w:ascii="Times New Roman" w:eastAsia="Times New Roman" w:hAnsi="Times New Roman" w:cs="Times New Roman"/>
                <w:color w:val="000000"/>
                <w:spacing w:val="0"/>
                <w:w w:val="100"/>
                <w:position w:val="0"/>
                <w:sz w:val="18"/>
                <w:szCs w:val="18"/>
              </w:rPr>
              <w:t>kg/a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无大气总量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0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（危废）</w:t>
            </w:r>
          </w:p>
          <w:p>
            <w:pPr>
              <w:pStyle w:val="Style2"/>
              <w:keepNext w:val="0"/>
              <w:keepLines w:val="0"/>
              <w:widowControl w:val="0"/>
              <w:shd w:val="clear" w:color="auto" w:fill="auto"/>
              <w:tabs>
                <w:tab w:pos="317" w:val="left"/>
              </w:tabs>
              <w:bidi w:val="0"/>
              <w:spacing w:before="0" w:after="12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HW08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废矿物油；</w:t>
            </w:r>
          </w:p>
          <w:p>
            <w:pPr>
              <w:pStyle w:val="Style2"/>
              <w:keepNext w:val="0"/>
              <w:keepLines w:val="0"/>
              <w:widowControl w:val="0"/>
              <w:shd w:val="clear" w:color="auto" w:fill="auto"/>
              <w:tabs>
                <w:tab w:pos="317" w:val="left"/>
              </w:tabs>
              <w:bidi w:val="0"/>
              <w:spacing w:before="0" w:after="12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HW29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废灯管</w:t>
            </w:r>
          </w:p>
          <w:p>
            <w:pPr>
              <w:pStyle w:val="Style2"/>
              <w:keepNext w:val="0"/>
              <w:keepLines w:val="0"/>
              <w:widowControl w:val="0"/>
              <w:shd w:val="clear" w:color="auto" w:fill="auto"/>
              <w:tabs>
                <w:tab w:pos="317" w:val="left"/>
              </w:tabs>
              <w:bidi w:val="0"/>
              <w:spacing w:before="0" w:after="12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危废仓库暂</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由有资质的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危废处置单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位合法转移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危废仓</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由有资质的 危废处置供 应商合法转 移处理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46" w:val="left"/>
              </w:tabs>
              <w:bidi w:val="0"/>
              <w:spacing w:before="0" w:after="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HW08</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废矿物油</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2"/>
              <w:keepNext w:val="0"/>
              <w:keepLines w:val="0"/>
              <w:widowControl w:val="0"/>
              <w:shd w:val="clear" w:color="auto" w:fill="auto"/>
              <w:tabs>
                <w:tab w:pos="442"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HW29 </w:t>
            </w:r>
            <w:r>
              <w:rPr>
                <w:color w:val="000000"/>
                <w:spacing w:val="0"/>
                <w:w w:val="100"/>
                <w:position w:val="0"/>
              </w:rPr>
              <w:t>废灯管</w:t>
            </w:r>
            <w:r>
              <w:rPr>
                <w:rFonts w:ascii="Times New Roman" w:eastAsia="Times New Roman" w:hAnsi="Times New Roman" w:cs="Times New Roman"/>
                <w:color w:val="000000"/>
                <w:spacing w:val="0"/>
                <w:w w:val="100"/>
                <w:position w:val="0"/>
                <w:sz w:val="18"/>
                <w:szCs w:val="18"/>
              </w:rPr>
              <w:t xml:space="preserve">0.02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tbl>
      <w:tblPr>
        <w:tblOverlap w:val="never"/>
        <w:jc w:val="right"/>
        <w:tblLayout w:type="fixed"/>
      </w:tblPr>
      <w:tblGrid>
        <w:gridCol w:w="960"/>
        <w:gridCol w:w="955"/>
        <w:gridCol w:w="672"/>
        <w:gridCol w:w="850"/>
        <w:gridCol w:w="1349"/>
        <w:gridCol w:w="955"/>
        <w:gridCol w:w="1099"/>
        <w:gridCol w:w="994"/>
        <w:gridCol w:w="792"/>
      </w:tblGrid>
      <w:tr>
        <w:trPr>
          <w:trHeight w:val="295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废空桶</w:t>
            </w:r>
          </w:p>
          <w:p>
            <w:pPr>
              <w:pStyle w:val="Style2"/>
              <w:keepNext w:val="0"/>
              <w:keepLines w:val="0"/>
              <w:widowControl w:val="0"/>
              <w:shd w:val="clear" w:color="auto" w:fill="auto"/>
              <w:tabs>
                <w:tab w:pos="317" w:val="left"/>
              </w:tabs>
              <w:bidi w:val="0"/>
              <w:spacing w:before="0" w:after="12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HW49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废抹布</w:t>
            </w:r>
          </w:p>
          <w:p>
            <w:pPr>
              <w:pStyle w:val="Style2"/>
              <w:keepNext w:val="0"/>
              <w:keepLines w:val="0"/>
              <w:widowControl w:val="0"/>
              <w:shd w:val="clear" w:color="auto" w:fill="auto"/>
              <w:tabs>
                <w:tab w:pos="317" w:val="left"/>
              </w:tabs>
              <w:bidi w:val="0"/>
              <w:spacing w:before="0" w:after="12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HW49</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边角</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442"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HW49 </w:t>
            </w:r>
            <w:r>
              <w:rPr>
                <w:color w:val="000000"/>
                <w:spacing w:val="0"/>
                <w:w w:val="100"/>
                <w:position w:val="0"/>
              </w:rPr>
              <w:t>废空桶</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w:t>
            </w:r>
          </w:p>
          <w:p>
            <w:pPr>
              <w:pStyle w:val="Style2"/>
              <w:keepNext w:val="0"/>
              <w:keepLines w:val="0"/>
              <w:widowControl w:val="0"/>
              <w:shd w:val="clear" w:color="auto" w:fill="auto"/>
              <w:tabs>
                <w:tab w:pos="442"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HW49 </w:t>
            </w:r>
            <w:r>
              <w:rPr>
                <w:color w:val="000000"/>
                <w:spacing w:val="0"/>
                <w:w w:val="100"/>
                <w:position w:val="0"/>
              </w:rPr>
              <w:t>废抹布</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w:t>
            </w:r>
          </w:p>
          <w:p>
            <w:pPr>
              <w:pStyle w:val="Style2"/>
              <w:keepNext w:val="0"/>
              <w:keepLines w:val="0"/>
              <w:widowControl w:val="0"/>
              <w:shd w:val="clear" w:color="auto" w:fill="auto"/>
              <w:tabs>
                <w:tab w:pos="451" w:val="left"/>
              </w:tabs>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HW49 PCB</w:t>
            </w:r>
            <w:r>
              <w:rPr>
                <w:color w:val="000000"/>
                <w:spacing w:val="0"/>
                <w:w w:val="100"/>
                <w:position w:val="0"/>
              </w:rPr>
              <w:t xml:space="preserve">边角料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公司及各子公司在日常生产经营中认真执行《中华人民共和国环境保护法》、《中华人民共和国水污染防治法》、《中 华人民共和国大气污染防治法》、《中华人民共和国环境噪声污染防治法》、《中华人民共和国固体废物污染防治法》等环 保方面的法律法规，报告期内未出现因违法违规而受到处罚的情况。</w:t>
      </w:r>
    </w:p>
    <w:p>
      <w:pPr>
        <w:pStyle w:val="Style28"/>
        <w:keepNext w:val="0"/>
        <w:keepLines w:val="0"/>
        <w:widowControl w:val="0"/>
        <w:shd w:val="clear" w:color="auto" w:fill="auto"/>
        <w:tabs>
          <w:tab w:pos="762" w:val="left"/>
        </w:tabs>
        <w:bidi w:val="0"/>
        <w:spacing w:before="0" w:after="0" w:line="391" w:lineRule="exact"/>
        <w:ind w:left="0" w:right="0"/>
        <w:jc w:val="both"/>
      </w:pPr>
      <w:bookmarkStart w:id="449" w:name="bookmark449"/>
      <w:r>
        <w:rPr>
          <w:b/>
          <w:bCs/>
          <w:color w:val="000000"/>
          <w:spacing w:val="0"/>
          <w:w w:val="100"/>
          <w:position w:val="0"/>
        </w:rPr>
        <w:t>（</w:t>
      </w:r>
      <w:bookmarkEnd w:id="44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防治污染设施的建设和运行情况</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公司一直重视环境保护，严格遵守国家环保法律法规要求，认真落实污染治理、节能减排等各项环保措施，有效合理解 决废水、废气、固体废物等方面污染源的问题。公司建设有废气处理设施</w:t>
      </w:r>
      <w:r>
        <w:rPr>
          <w:rFonts w:ascii="Times New Roman" w:eastAsia="Times New Roman" w:hAnsi="Times New Roman" w:cs="Times New Roman"/>
          <w:color w:val="000000"/>
          <w:spacing w:val="0"/>
          <w:w w:val="100"/>
          <w:position w:val="0"/>
          <w:sz w:val="18"/>
          <w:szCs w:val="18"/>
        </w:rPr>
        <w:t>UV</w:t>
      </w:r>
      <w:r>
        <w:rPr>
          <w:color w:val="000000"/>
          <w:spacing w:val="0"/>
          <w:w w:val="100"/>
          <w:position w:val="0"/>
        </w:rPr>
        <w:t>光解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活性炭吸装置，并定期检测保障设施正常 运转。公司选用低噪声设备并合理布局，采用隔离、减震等噪声治理措施，确保厂界噪声达到工业企业厂界噪声排放标准； 合理布局，对于环保设备定期维护确保其正常运转，生产区域绿化美化工作定期开展；加强生产管理，制定相应制度及作业 指导书，定期进行员工环保意识培训，并实施监督巡查以减少固体废弃的产生量、能源的消耗量；对环保设施持续进行改造， 严格执行国家排放标准，确保废水、废气等污染物达标排放。</w:t>
      </w:r>
    </w:p>
    <w:p>
      <w:pPr>
        <w:pStyle w:val="Style28"/>
        <w:keepNext w:val="0"/>
        <w:keepLines w:val="0"/>
        <w:widowControl w:val="0"/>
        <w:shd w:val="clear" w:color="auto" w:fill="auto"/>
        <w:tabs>
          <w:tab w:pos="762" w:val="left"/>
        </w:tabs>
        <w:bidi w:val="0"/>
        <w:spacing w:before="0" w:after="0" w:line="391" w:lineRule="exact"/>
        <w:ind w:left="0" w:right="0"/>
        <w:jc w:val="both"/>
      </w:pPr>
      <w:bookmarkStart w:id="450" w:name="bookmark450"/>
      <w:r>
        <w:rPr>
          <w:b/>
          <w:bCs/>
          <w:color w:val="000000"/>
          <w:spacing w:val="0"/>
          <w:w w:val="100"/>
          <w:position w:val="0"/>
        </w:rPr>
        <w:t>（</w:t>
      </w:r>
      <w:bookmarkEnd w:id="45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建设项目环境影响评价及其他环境保护行政许可情况</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公司严格遵守环保相关法律法规要求，相关建设项目实施中严格执行环境影响评价制度和环保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制度。公司环保 设施及装备经过相关监管部门环评验收，符合相关环保标准。同时，公司广州分公司、佛山金溢已取得《排污登记表》。</w:t>
      </w:r>
    </w:p>
    <w:p>
      <w:pPr>
        <w:pStyle w:val="Style28"/>
        <w:keepNext w:val="0"/>
        <w:keepLines w:val="0"/>
        <w:widowControl w:val="0"/>
        <w:shd w:val="clear" w:color="auto" w:fill="auto"/>
        <w:tabs>
          <w:tab w:pos="762" w:val="left"/>
        </w:tabs>
        <w:bidi w:val="0"/>
        <w:spacing w:before="0" w:after="0" w:line="391" w:lineRule="exact"/>
        <w:ind w:left="0" w:right="0"/>
        <w:jc w:val="left"/>
      </w:pPr>
      <w:bookmarkStart w:id="451" w:name="bookmark451"/>
      <w:r>
        <w:rPr>
          <w:b/>
          <w:bCs/>
          <w:color w:val="000000"/>
          <w:spacing w:val="0"/>
          <w:w w:val="100"/>
          <w:position w:val="0"/>
        </w:rPr>
        <w:t>（</w:t>
      </w:r>
      <w:bookmarkEnd w:id="45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突发环境事件应急预案</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公司制定了《环境运行控制规范》、《环境和职业健康安全管理程序》</w:t>
      </w:r>
      <w:r>
        <w:rPr>
          <w:color w:val="000000"/>
          <w:spacing w:val="0"/>
          <w:w w:val="100"/>
          <w:position w:val="0"/>
          <w:sz w:val="18"/>
          <w:szCs w:val="18"/>
        </w:rPr>
        <w:t>，</w:t>
      </w:r>
      <w:r>
        <w:rPr>
          <w:color w:val="000000"/>
          <w:spacing w:val="0"/>
          <w:w w:val="100"/>
          <w:position w:val="0"/>
        </w:rPr>
        <w:t>为突发事件的应对提供制度程序支持，预备了 各项突发环境事件应急预案，对危险化学品、危险废物、废气及废水污染等方面均有配套预案，公司定期组织应急处理演练， 演练内容包括联系落实附近医院及急救车辆、毒气中毒伤员运送、人员紧急疏散、防护措施的使用等，以确保有效应对突发 安全事故，切实提高了企业应对突发环境事件的应急响应能力和处置能力。</w:t>
      </w:r>
    </w:p>
    <w:p>
      <w:pPr>
        <w:pStyle w:val="Style28"/>
        <w:keepNext w:val="0"/>
        <w:keepLines w:val="0"/>
        <w:widowControl w:val="0"/>
        <w:shd w:val="clear" w:color="auto" w:fill="auto"/>
        <w:tabs>
          <w:tab w:pos="762" w:val="left"/>
        </w:tabs>
        <w:bidi w:val="0"/>
        <w:spacing w:before="0" w:after="0" w:line="391" w:lineRule="exact"/>
        <w:ind w:left="0" w:right="0"/>
        <w:jc w:val="both"/>
      </w:pPr>
      <w:bookmarkStart w:id="452" w:name="bookmark452"/>
      <w:r>
        <w:rPr>
          <w:b/>
          <w:bCs/>
          <w:color w:val="000000"/>
          <w:spacing w:val="0"/>
          <w:w w:val="100"/>
          <w:position w:val="0"/>
        </w:rPr>
        <w:t>（</w:t>
      </w:r>
      <w:bookmarkEnd w:id="452"/>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环境自行监测方案</w:t>
      </w:r>
    </w:p>
    <w:p>
      <w:pPr>
        <w:pStyle w:val="Style28"/>
        <w:keepNext w:val="0"/>
        <w:keepLines w:val="0"/>
        <w:widowControl w:val="0"/>
        <w:shd w:val="clear" w:color="auto" w:fill="auto"/>
        <w:bidi w:val="0"/>
        <w:spacing w:before="0" w:after="0" w:line="394" w:lineRule="exact"/>
        <w:ind w:left="0" w:right="0"/>
        <w:jc w:val="both"/>
      </w:pPr>
      <w:r>
        <w:rPr>
          <w:color w:val="000000"/>
          <w:spacing w:val="0"/>
          <w:w w:val="100"/>
          <w:position w:val="0"/>
        </w:rPr>
        <w:t>公司严格遵守国家及地方法律、法规和相关规定，公司推进各项环保措施的开展，持续推行环境管理体系</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并 设专人管理执行环保管理制度，每年定期对废水、废气等进行检测。</w:t>
      </w:r>
    </w:p>
    <w:p>
      <w:pPr>
        <w:pStyle w:val="Style28"/>
        <w:keepNext w:val="0"/>
        <w:keepLines w:val="0"/>
        <w:widowControl w:val="0"/>
        <w:shd w:val="clear" w:color="auto" w:fill="auto"/>
        <w:bidi w:val="0"/>
        <w:spacing w:before="0" w:after="220" w:line="391" w:lineRule="exact"/>
        <w:ind w:left="0" w:right="0"/>
        <w:jc w:val="both"/>
      </w:pPr>
      <w:r>
        <w:rPr>
          <w:color w:val="000000"/>
          <w:spacing w:val="0"/>
          <w:w w:val="100"/>
          <w:position w:val="0"/>
        </w:rPr>
        <w:t>在报告期内为减少其碳排放所采取的措施及效果</w:t>
      </w:r>
    </w:p>
    <w:p>
      <w:pPr>
        <w:pStyle w:val="Style28"/>
        <w:keepNext w:val="0"/>
        <w:keepLines w:val="0"/>
        <w:widowControl w:val="0"/>
        <w:shd w:val="clear" w:color="auto" w:fill="auto"/>
        <w:bidi w:val="0"/>
        <w:spacing w:before="0" w:after="0" w:line="454"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 w:line="390" w:lineRule="exact"/>
        <w:ind w:left="0" w:right="0"/>
        <w:jc w:val="both"/>
      </w:pPr>
      <w:r>
        <w:rPr>
          <w:color w:val="000000"/>
          <w:spacing w:val="0"/>
          <w:w w:val="100"/>
          <w:position w:val="0"/>
        </w:rPr>
        <w:t>公司致力于环境保护与可持续发展，响应国家环保政策，通过技术创新，致力于绿色环保、节能减排、节约资源的产品 目标，坚持不懈的为社会和行业的可持续发展做出积极贡献。公司秉持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让交通更智慧、让生活更简单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的企业使命，通过提 供智慧交通、智慧城市等系统方案、产品，助力交通行业解决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收费延缓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等问题，提升交通出行效率，从而 达成交通节能、减排目标。在内部管理上，公司实行资源能源节约管理，通过规章制度及文化宣传，倡导员工节约用纸、用 </w:t>
      </w:r>
      <w:r>
        <w:rPr>
          <w:color w:val="000000"/>
          <w:spacing w:val="0"/>
          <w:w w:val="100"/>
          <w:position w:val="0"/>
        </w:rPr>
        <w:t>水、用电，以实际行动落实节能减排政策。</w:t>
      </w:r>
    </w:p>
    <w:p>
      <w:pPr>
        <w:pStyle w:val="Style28"/>
        <w:keepNext w:val="0"/>
        <w:keepLines w:val="0"/>
        <w:widowControl w:val="0"/>
        <w:shd w:val="clear" w:color="auto" w:fill="auto"/>
        <w:bidi w:val="0"/>
        <w:spacing w:before="0" w:after="40" w:line="390" w:lineRule="exact"/>
        <w:ind w:left="0" w:right="0" w:firstLine="380"/>
        <w:jc w:val="both"/>
      </w:pPr>
      <w:r>
        <w:rPr>
          <w:color w:val="000000"/>
          <w:spacing w:val="0"/>
          <w:w w:val="100"/>
          <w:position w:val="0"/>
        </w:rPr>
        <w:t>未披露其他环境信息的原因</w:t>
      </w:r>
    </w:p>
    <w:p>
      <w:pPr>
        <w:pStyle w:val="Style28"/>
        <w:keepNext w:val="0"/>
        <w:keepLines w:val="0"/>
        <w:widowControl w:val="0"/>
        <w:shd w:val="clear" w:color="auto" w:fill="auto"/>
        <w:bidi w:val="0"/>
        <w:spacing w:before="0" w:after="420" w:line="390" w:lineRule="exact"/>
        <w:ind w:left="0" w:right="0" w:firstLine="380"/>
        <w:jc w:val="both"/>
      </w:pP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、社会责任情况</w:t>
      </w:r>
      <w:bookmarkEnd w:id="453"/>
      <w:bookmarkEnd w:id="454"/>
      <w:bookmarkEnd w:id="456"/>
    </w:p>
    <w:p>
      <w:pPr>
        <w:pStyle w:val="Style28"/>
        <w:keepNext w:val="0"/>
        <w:keepLines w:val="0"/>
        <w:widowControl w:val="0"/>
        <w:shd w:val="clear" w:color="auto" w:fill="auto"/>
        <w:bidi w:val="0"/>
        <w:spacing w:before="0" w:after="40" w:line="389" w:lineRule="exact"/>
        <w:ind w:left="0" w:right="0" w:firstLine="380"/>
        <w:jc w:val="both"/>
      </w:pPr>
      <w:r>
        <w:rPr>
          <w:color w:val="000000"/>
          <w:spacing w:val="0"/>
          <w:w w:val="100"/>
          <w:position w:val="0"/>
        </w:rPr>
        <w:t>公司坚持着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聚焦客户、追求卓越；锐意创新，勇担责任；以人为本，合作共赢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的价值理念，持续履行社会责任，不断 为各利益相关者及社会创造价值。</w:t>
      </w:r>
    </w:p>
    <w:p>
      <w:pPr>
        <w:pStyle w:val="Style28"/>
        <w:keepNext w:val="0"/>
        <w:keepLines w:val="0"/>
        <w:widowControl w:val="0"/>
        <w:shd w:val="clear" w:color="auto" w:fill="auto"/>
        <w:tabs>
          <w:tab w:pos="767" w:val="left"/>
        </w:tabs>
        <w:bidi w:val="0"/>
        <w:spacing w:before="0" w:after="200" w:line="390" w:lineRule="exact"/>
        <w:ind w:left="0" w:right="0" w:firstLine="38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股东和债权人权益保护</w:t>
      </w:r>
    </w:p>
    <w:p>
      <w:pPr>
        <w:pStyle w:val="Style28"/>
        <w:keepNext w:val="0"/>
        <w:keepLines w:val="0"/>
        <w:widowControl w:val="0"/>
        <w:numPr>
          <w:ilvl w:val="0"/>
          <w:numId w:val="9"/>
        </w:numPr>
        <w:shd w:val="clear" w:color="auto" w:fill="auto"/>
        <w:tabs>
          <w:tab w:pos="628" w:val="left"/>
        </w:tabs>
        <w:bidi w:val="0"/>
        <w:spacing w:before="0" w:after="0" w:line="454" w:lineRule="auto"/>
        <w:ind w:left="0" w:right="0" w:firstLine="380"/>
        <w:jc w:val="both"/>
      </w:pPr>
      <w:bookmarkStart w:id="458" w:name="bookmark458"/>
      <w:bookmarkEnd w:id="458"/>
      <w:r>
        <w:rPr>
          <w:color w:val="000000"/>
          <w:spacing w:val="0"/>
          <w:w w:val="100"/>
          <w:position w:val="0"/>
        </w:rPr>
        <w:t>完善公司治理结构、加强公司内控管理</w:t>
      </w:r>
    </w:p>
    <w:p>
      <w:pPr>
        <w:pStyle w:val="Style28"/>
        <w:keepNext w:val="0"/>
        <w:keepLines w:val="0"/>
        <w:widowControl w:val="0"/>
        <w:shd w:val="clear" w:color="auto" w:fill="auto"/>
        <w:bidi w:val="0"/>
        <w:spacing w:before="0" w:after="200" w:line="390" w:lineRule="exact"/>
        <w:ind w:left="0" w:right="0" w:firstLine="380"/>
        <w:jc w:val="both"/>
      </w:pPr>
      <w:r>
        <w:rPr>
          <w:color w:val="000000"/>
          <w:spacing w:val="0"/>
          <w:w w:val="100"/>
          <w:position w:val="0"/>
        </w:rPr>
        <w:t>公司建立了完善的法人治理体系，严格按照现代企业管理制度、《公司法》、《证券法》及《上市公司治理准则》运行。 公司严格根据现代公司治理体系，制定了《公司章程》、《股东大会议事规则》、《董事会议事规则》、《独立董事工作制 度》、《对外担保管理制度》、《募集资金管理制度》、《投资管理制度》、《董事、监事选举办法》、《总经理工作细则》、 《董事会秘书工作细则》、《董事会提名委员会工作细则》、《董事会战略发展及投资审查委员会工作细则》、《内部审计 制度》、《投资者关系管理制度》、《信息披露管理制度》、《重大信息内部报告和保密制度》、《内幕信息知情人登记制 度》、《董事、监事和高级管理人员所持公司股份及其变动管理制度》、《董事和高级管理人员薪酬与考核管理制度》、《防 范控股股东、实际控制人及关联方资金占用管理制度》、《年报信息披露重大差错责任追究制度》、《审计及预算审核委员 会年报工作规程》，提升公司治理水平，为公司发展提供制度支持。</w:t>
      </w:r>
    </w:p>
    <w:p>
      <w:pPr>
        <w:pStyle w:val="Style28"/>
        <w:keepNext w:val="0"/>
        <w:keepLines w:val="0"/>
        <w:widowControl w:val="0"/>
        <w:numPr>
          <w:ilvl w:val="0"/>
          <w:numId w:val="9"/>
        </w:numPr>
        <w:shd w:val="clear" w:color="auto" w:fill="auto"/>
        <w:tabs>
          <w:tab w:pos="643" w:val="left"/>
        </w:tabs>
        <w:bidi w:val="0"/>
        <w:spacing w:before="0" w:after="0" w:line="454" w:lineRule="auto"/>
        <w:ind w:left="0" w:right="0" w:firstLine="380"/>
        <w:jc w:val="both"/>
      </w:pPr>
      <w:bookmarkStart w:id="459" w:name="bookmark459"/>
      <w:bookmarkEnd w:id="459"/>
      <w:r>
        <w:rPr>
          <w:color w:val="000000"/>
          <w:spacing w:val="0"/>
          <w:w w:val="100"/>
          <w:position w:val="0"/>
        </w:rPr>
        <w:t>提高信息披露透明度，做好投资者关系管理</w:t>
      </w:r>
    </w:p>
    <w:p>
      <w:pPr>
        <w:pStyle w:val="Style28"/>
        <w:keepNext w:val="0"/>
        <w:keepLines w:val="0"/>
        <w:widowControl w:val="0"/>
        <w:shd w:val="clear" w:color="auto" w:fill="auto"/>
        <w:bidi w:val="0"/>
        <w:spacing w:before="0" w:after="200" w:line="390" w:lineRule="exact"/>
        <w:ind w:left="0" w:right="0" w:firstLine="380"/>
        <w:jc w:val="both"/>
      </w:pPr>
      <w:r>
        <w:rPr>
          <w:color w:val="000000"/>
          <w:spacing w:val="0"/>
          <w:w w:val="100"/>
          <w:position w:val="0"/>
        </w:rPr>
        <w:t>公司始终高度重视投资者关系保护工作，把投资者利益放在重要位置，严格按照监管机构的要求，履行信息披露义务， 保证信息披露质量。通过完善投资者关系管理制度，全面提升投资者关系的工作质量，做到信息化、标准化、常态化的三化 管理。公司成立的信息披露委员会有效发挥跨部门协调机制，进一步规范公司的信息披露管理，完善公司信息披露内控机制， 提升公司信息披露质量，保障公司信息披露的真实、准确、完整、及时和公平，确保披露内容基本涵盖了公司所有的重大事 项，使投资者能够迅速了解到公司发展状况，确保所有投资者和债权人公平地获取公司信息。公司依托深交所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 公司</w:t>
      </w:r>
      <w:r>
        <w:rPr>
          <w:rFonts w:ascii="Times New Roman" w:eastAsia="Times New Roman" w:hAnsi="Times New Roman" w:cs="Times New Roman"/>
          <w:color w:val="000000"/>
          <w:spacing w:val="0"/>
          <w:w w:val="100"/>
          <w:position w:val="0"/>
          <w:sz w:val="18"/>
          <w:szCs w:val="18"/>
        </w:rPr>
        <w:t>IR</w:t>
      </w:r>
      <w:r>
        <w:rPr>
          <w:color w:val="000000"/>
          <w:spacing w:val="0"/>
          <w:w w:val="100"/>
          <w:position w:val="0"/>
        </w:rPr>
        <w:t>邮箱、</w:t>
      </w:r>
      <w:r>
        <w:rPr>
          <w:rFonts w:ascii="Times New Roman" w:eastAsia="Times New Roman" w:hAnsi="Times New Roman" w:cs="Times New Roman"/>
          <w:color w:val="000000"/>
          <w:spacing w:val="0"/>
          <w:w w:val="100"/>
          <w:position w:val="0"/>
          <w:sz w:val="18"/>
          <w:szCs w:val="18"/>
        </w:rPr>
        <w:t>IR</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IR</w:t>
      </w:r>
      <w:r>
        <w:rPr>
          <w:color w:val="000000"/>
          <w:spacing w:val="0"/>
          <w:w w:val="100"/>
          <w:position w:val="0"/>
        </w:rPr>
        <w:t>网站、现场调研、业绩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专项说明会、策略会、路演等方式与投资者、媒体等进行信息交流及沟通， 持续增进与投资者多层次、全方位的互动与交流，提升公司信息透明度。</w:t>
      </w:r>
    </w:p>
    <w:p>
      <w:pPr>
        <w:pStyle w:val="Style28"/>
        <w:keepNext w:val="0"/>
        <w:keepLines w:val="0"/>
        <w:widowControl w:val="0"/>
        <w:numPr>
          <w:ilvl w:val="0"/>
          <w:numId w:val="9"/>
        </w:numPr>
        <w:shd w:val="clear" w:color="auto" w:fill="auto"/>
        <w:tabs>
          <w:tab w:pos="643" w:val="left"/>
        </w:tabs>
        <w:bidi w:val="0"/>
        <w:spacing w:before="0" w:after="0" w:line="454" w:lineRule="auto"/>
        <w:ind w:left="0" w:right="0" w:firstLine="380"/>
        <w:jc w:val="both"/>
      </w:pPr>
      <w:bookmarkStart w:id="460" w:name="bookmark460"/>
      <w:bookmarkEnd w:id="460"/>
      <w:r>
        <w:rPr>
          <w:color w:val="000000"/>
          <w:spacing w:val="0"/>
          <w:w w:val="100"/>
          <w:position w:val="0"/>
        </w:rPr>
        <w:t>科学合理分红，回报投资者</w:t>
      </w:r>
    </w:p>
    <w:p>
      <w:pPr>
        <w:pStyle w:val="Style28"/>
        <w:keepNext w:val="0"/>
        <w:keepLines w:val="0"/>
        <w:widowControl w:val="0"/>
        <w:shd w:val="clear" w:color="auto" w:fill="auto"/>
        <w:bidi w:val="0"/>
        <w:spacing w:before="0" w:after="40" w:line="389" w:lineRule="exact"/>
        <w:ind w:left="0" w:right="0" w:firstLine="380"/>
        <w:jc w:val="both"/>
      </w:pPr>
      <w:r>
        <w:rPr>
          <w:color w:val="000000"/>
          <w:spacing w:val="0"/>
          <w:w w:val="100"/>
          <w:position w:val="0"/>
        </w:rPr>
        <w:t>自上市以来，公司一直高度重视投资者和债权人保护工作，持续优化投资者回报长效机制，维护广大投资者的切身利益。 同时，公司注重给予投资者持续合理的投资回报，在确保利润分配政策的持续性和稳定性的前提下，兼顾公司的实际经营情 况及公司的长期战略发展，主动与广大投资者共享公司经营成果。报告期内，公司根据《公司章程》、《未来三年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2020-2022 </w:t>
      </w:r>
      <w:r>
        <w:rPr>
          <w:color w:val="000000"/>
          <w:spacing w:val="0"/>
          <w:w w:val="100"/>
          <w:position w:val="0"/>
        </w:rPr>
        <w:t>年）股东分红回报规划》相关利润分配规定，向全体股东以每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10.60</w:t>
      </w:r>
      <w:r>
        <w:rPr>
          <w:color w:val="000000"/>
          <w:spacing w:val="0"/>
          <w:w w:val="100"/>
          <w:position w:val="0"/>
        </w:rPr>
        <w:t>元（含税）的现金红利，以现金分红形 式向全体股东分享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年度经营成果。</w:t>
      </w:r>
    </w:p>
    <w:p>
      <w:pPr>
        <w:pStyle w:val="Style28"/>
        <w:keepNext w:val="0"/>
        <w:keepLines w:val="0"/>
        <w:widowControl w:val="0"/>
        <w:shd w:val="clear" w:color="auto" w:fill="auto"/>
        <w:tabs>
          <w:tab w:pos="767" w:val="left"/>
        </w:tabs>
        <w:bidi w:val="0"/>
        <w:spacing w:before="0" w:after="40" w:line="390" w:lineRule="exact"/>
        <w:ind w:left="0" w:right="0" w:firstLine="38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职工权益保护</w:t>
      </w:r>
    </w:p>
    <w:p>
      <w:pPr>
        <w:pStyle w:val="Style28"/>
        <w:keepNext w:val="0"/>
        <w:keepLines w:val="0"/>
        <w:widowControl w:val="0"/>
        <w:shd w:val="clear" w:color="auto" w:fill="auto"/>
        <w:bidi w:val="0"/>
        <w:spacing w:before="0" w:after="0" w:line="389" w:lineRule="exact"/>
        <w:ind w:left="0" w:right="0" w:firstLine="380"/>
        <w:jc w:val="both"/>
      </w:pPr>
      <w:r>
        <w:rPr>
          <w:color w:val="000000"/>
          <w:spacing w:val="0"/>
          <w:w w:val="100"/>
          <w:position w:val="0"/>
        </w:rPr>
        <w:t xml:space="preserve">公司严格遵守《劳动法》、《劳动合同法》、《劳动合同法实施条例》、《社会保障法》以及当地相关法律法规，依法 维护员工的合法权益，并依此制定并不断完善公司的劳动用工管理制度。公司与全体员工均签订了劳动合同，建立了规范的 </w:t>
      </w:r>
      <w:r>
        <w:rPr>
          <w:color w:val="000000"/>
          <w:spacing w:val="0"/>
          <w:w w:val="100"/>
          <w:position w:val="0"/>
        </w:rPr>
        <w:t>劳动用工关系。公司已按国家、地方的有关规定，参加社会保障体系，为员工购买了养老、医疗、生育、工伤、失业等保险， 由公司定期向社会保险统筹部门缴纳各项社会保险;在此基础上，公司还为员工额外购买商业险，增加对员工人身权益关爱。 同时，公司还根据《住房公积金管理条例》及地方政府相关规定建立了住房公积金制度，依法为员工缴纳了住房公积金。</w:t>
      </w:r>
    </w:p>
    <w:p>
      <w:pPr>
        <w:pStyle w:val="Style28"/>
        <w:keepNext w:val="0"/>
        <w:keepLines w:val="0"/>
        <w:widowControl w:val="0"/>
        <w:shd w:val="clear" w:color="auto" w:fill="auto"/>
        <w:bidi w:val="0"/>
        <w:spacing w:before="0" w:after="0" w:line="389" w:lineRule="exact"/>
        <w:ind w:left="0" w:right="0" w:firstLine="380"/>
        <w:jc w:val="both"/>
      </w:pPr>
      <w:r>
        <w:rPr>
          <w:color w:val="000000"/>
          <w:spacing w:val="0"/>
          <w:w w:val="100"/>
          <w:position w:val="0"/>
        </w:rPr>
        <w:t>公司严格执行国家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安全第一、预防为主、综合治理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的管理方针，严格执行国家安全生产的法律法规、规章制度要求， 建立、健全安全生产责任制，重视安全生产和劳动保护工作。公司已通过</w:t>
      </w:r>
      <w:r>
        <w:rPr>
          <w:rFonts w:ascii="Times New Roman" w:eastAsia="Times New Roman" w:hAnsi="Times New Roman" w:cs="Times New Roman"/>
          <w:color w:val="000000"/>
          <w:spacing w:val="0"/>
          <w:w w:val="100"/>
          <w:position w:val="0"/>
          <w:sz w:val="20"/>
          <w:szCs w:val="20"/>
        </w:rPr>
        <w:t>ISO450</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职业健康安全管理体系认证，建立完善 的职业健康安全管理程序，依法设置安全生产管理部门，设立环境及安全小组、应急救援小组，按照法定要求配置了各级专 兼职安全生产管理人员，有效推进安全生产管理各项工作落实。</w:t>
      </w:r>
    </w:p>
    <w:p>
      <w:pPr>
        <w:pStyle w:val="Style28"/>
        <w:keepNext w:val="0"/>
        <w:keepLines w:val="0"/>
        <w:widowControl w:val="0"/>
        <w:shd w:val="clear" w:color="auto" w:fill="auto"/>
        <w:bidi w:val="0"/>
        <w:spacing w:before="0" w:after="0" w:line="389" w:lineRule="exact"/>
        <w:ind w:left="0" w:right="0" w:firstLine="380"/>
        <w:jc w:val="both"/>
      </w:pPr>
      <w:r>
        <w:rPr>
          <w:color w:val="000000"/>
          <w:spacing w:val="0"/>
          <w:w w:val="100"/>
          <w:position w:val="0"/>
        </w:rPr>
        <w:t>公司定期开展安全生产检查工作、组织员工安全生产培训。为实现员工与公司共同发展，为公司发展储备合格的人才， 同时也为员工提供必要的素质技能培训，公司根据整体经营战略，结合部门业务需求以及员工个人培训需求，每年制定培训 计划，从员工通用能力、专业能力、管理能力等方面组织开展培训课程。以新员工入职培训、企业内部培训、外部培训、委 托培训、内部交流、岗位辅导、外出参观和对外交流、员工自学等多种形式，提升全体员工岗位技能和专业知识。此外， 公司也在不断完善和规范员工的福利保障和管理制度，确保员工在公平、公正的环境中工作、发展。</w:t>
      </w:r>
    </w:p>
    <w:p>
      <w:pPr>
        <w:pStyle w:val="Style28"/>
        <w:keepNext w:val="0"/>
        <w:keepLines w:val="0"/>
        <w:widowControl w:val="0"/>
        <w:shd w:val="clear" w:color="auto" w:fill="auto"/>
        <w:tabs>
          <w:tab w:pos="765" w:val="left"/>
        </w:tabs>
        <w:bidi w:val="0"/>
        <w:spacing w:before="0" w:after="0" w:line="389" w:lineRule="exact"/>
        <w:ind w:left="0" w:right="0" w:firstLine="38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供应商、客户和消费者权益保护</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公司始终秉持诚信经营、互利共赢的原则和理念，注重建设有效的供应链体系，同时致力于为客户提供优质的产品和服 务，积极建立与供应商和客户的沟通诚信合作机制，承担对客户的责任，以客户需求为出发点，为客户创造价值，与客户共 同成长，全力保障对供应商、客户的权益，并通过自身的规范运作积极带动供应商及外协厂商不断规范经营，按协议结算并 支付货款，保障供应商利益不受损害，公司努力营造公平、健康的商业环境。</w:t>
      </w:r>
    </w:p>
    <w:p>
      <w:pPr>
        <w:pStyle w:val="Style28"/>
        <w:keepNext w:val="0"/>
        <w:keepLines w:val="0"/>
        <w:widowControl w:val="0"/>
        <w:shd w:val="clear" w:color="auto" w:fill="auto"/>
        <w:tabs>
          <w:tab w:pos="765" w:val="left"/>
        </w:tabs>
        <w:bidi w:val="0"/>
        <w:spacing w:before="0" w:after="0" w:line="394" w:lineRule="exact"/>
        <w:ind w:left="0" w:right="0" w:firstLine="380"/>
        <w:jc w:val="both"/>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公关关系与社会公益事业</w:t>
      </w:r>
    </w:p>
    <w:p>
      <w:pPr>
        <w:pStyle w:val="Style28"/>
        <w:keepNext w:val="0"/>
        <w:keepLines w:val="0"/>
        <w:widowControl w:val="0"/>
        <w:shd w:val="clear" w:color="auto" w:fill="auto"/>
        <w:bidi w:val="0"/>
        <w:spacing w:before="0" w:after="400" w:line="502" w:lineRule="exact"/>
        <w:ind w:left="0" w:right="0" w:firstLine="380"/>
        <w:jc w:val="both"/>
      </w:pPr>
      <w:r>
        <w:rPr>
          <w:color w:val="000000"/>
          <w:spacing w:val="0"/>
          <w:w w:val="100"/>
          <w:position w:val="0"/>
        </w:rPr>
        <w:t>公司自成立以来，一直积极支持公益事业，坚持服务社会，开展各项慈善活动。公司始终将依法经营作为公司运行的基 本原则，注重企业经济效益与社会效益的同步共赢。自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年起，公司持续不断向外进行捐赠活动。</w:t>
      </w: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20"/>
          <w:szCs w:val="20"/>
        </w:rPr>
        <w:t>月</w:t>
      </w:r>
      <w:r>
        <w:rPr>
          <w:color w:val="000000"/>
          <w:spacing w:val="0"/>
          <w:w w:val="100"/>
          <w:position w:val="0"/>
        </w:rPr>
        <w:t>，公司继续 向中山大学教育发展基金会无偿捐赠人民币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万元整，支持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交通工程教育发展基金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，用于促进交通工程专业人才培养。</w:t>
      </w:r>
    </w:p>
    <w:p>
      <w:pPr>
        <w:pStyle w:val="Style24"/>
        <w:keepNext/>
        <w:keepLines/>
        <w:widowControl w:val="0"/>
        <w:shd w:val="clear" w:color="auto" w:fill="auto"/>
        <w:bidi w:val="0"/>
        <w:spacing w:before="0" w:after="18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三</w:t>
      </w:r>
      <w:bookmarkEnd w:id="466"/>
      <w:r>
        <w:rPr>
          <w:color w:val="000000"/>
          <w:spacing w:val="0"/>
          <w:w w:val="100"/>
          <w:position w:val="0"/>
          <w:sz w:val="24"/>
          <w:szCs w:val="24"/>
        </w:rPr>
        <w:t>、巩固拓展脱贫攻坚成果、乡村振兴的情况</w:t>
      </w:r>
      <w:bookmarkEnd w:id="464"/>
      <w:bookmarkEnd w:id="465"/>
      <w:bookmarkEnd w:id="467"/>
    </w:p>
    <w:p>
      <w:pPr>
        <w:pStyle w:val="Style28"/>
        <w:keepNext w:val="0"/>
        <w:keepLines w:val="0"/>
        <w:widowControl w:val="0"/>
        <w:shd w:val="clear" w:color="auto" w:fill="auto"/>
        <w:bidi w:val="0"/>
        <w:spacing w:before="0" w:after="0" w:line="389" w:lineRule="exact"/>
        <w:ind w:left="0" w:right="0" w:firstLine="380"/>
        <w:jc w:val="both"/>
        <w:sectPr>
          <w:footnotePr>
            <w:pos w:val="pageBottom"/>
            <w:numFmt w:val="decimal"/>
            <w:numRestart w:val="continuous"/>
          </w:footnotePr>
          <w:pgSz w:w="11900" w:h="16840"/>
          <w:pgMar w:top="1345" w:right="1054" w:bottom="1484" w:left="1073" w:header="0" w:footer="3" w:gutter="0"/>
          <w:cols w:space="720"/>
          <w:noEndnote/>
          <w:rtlGutter w:val="0"/>
          <w:docGrid w:linePitch="360"/>
        </w:sectPr>
      </w:pPr>
      <w:r>
        <w:rPr>
          <w:color w:val="000000"/>
          <w:spacing w:val="0"/>
          <w:w w:val="100"/>
          <w:position w:val="0"/>
        </w:rPr>
        <w:t>报告期内，公司未参与脱贫攻坚、乡村振兴工作。</w:t>
      </w:r>
    </w:p>
    <w:p>
      <w:pPr>
        <w:pStyle w:val="Style14"/>
        <w:keepNext/>
        <w:keepLines/>
        <w:widowControl w:val="0"/>
        <w:shd w:val="clear" w:color="auto" w:fill="auto"/>
        <w:bidi w:val="0"/>
        <w:spacing w:before="500" w:after="560" w:line="240" w:lineRule="auto"/>
        <w:ind w:left="0" w:right="0" w:firstLine="0"/>
        <w:jc w:val="center"/>
      </w:pPr>
      <w:bookmarkStart w:id="468" w:name="bookmark468"/>
      <w:bookmarkStart w:id="469" w:name="bookmark469"/>
      <w:bookmarkStart w:id="470" w:name="bookmark470"/>
      <w:r>
        <w:rPr>
          <w:color w:val="000000"/>
          <w:spacing w:val="0"/>
          <w:w w:val="100"/>
          <w:position w:val="0"/>
        </w:rPr>
        <w:t>第六节重要事项</w:t>
      </w:r>
      <w:bookmarkEnd w:id="468"/>
      <w:bookmarkEnd w:id="469"/>
      <w:bookmarkEnd w:id="470"/>
    </w:p>
    <w:p>
      <w:pPr>
        <w:pStyle w:val="Style24"/>
        <w:keepNext/>
        <w:keepLines/>
        <w:widowControl w:val="0"/>
        <w:shd w:val="clear" w:color="auto" w:fill="auto"/>
        <w:bidi w:val="0"/>
        <w:spacing w:before="0" w:after="340" w:line="240" w:lineRule="auto"/>
        <w:ind w:left="0" w:right="0" w:firstLine="0"/>
        <w:jc w:val="left"/>
      </w:pPr>
      <w:bookmarkStart w:id="471" w:name="bookmark471"/>
      <w:bookmarkStart w:id="472" w:name="bookmark472"/>
      <w:bookmarkStart w:id="473" w:name="bookmark473"/>
      <w:bookmarkStart w:id="474" w:name="bookmark474"/>
      <w:bookmarkStart w:id="475" w:name="bookmark475"/>
      <w:r>
        <w:rPr>
          <w:color w:val="000000"/>
          <w:spacing w:val="0"/>
          <w:w w:val="100"/>
          <w:position w:val="0"/>
          <w:sz w:val="24"/>
          <w:szCs w:val="24"/>
        </w:rPr>
        <w:t>一</w:t>
      </w:r>
      <w:bookmarkEnd w:id="474"/>
      <w:r>
        <w:rPr>
          <w:color w:val="000000"/>
          <w:spacing w:val="0"/>
          <w:w w:val="100"/>
          <w:position w:val="0"/>
          <w:sz w:val="24"/>
          <w:szCs w:val="24"/>
        </w:rPr>
        <w:t>、承诺事项履行情况</w:t>
      </w:r>
      <w:bookmarkEnd w:id="472"/>
      <w:bookmarkEnd w:id="473"/>
      <w:bookmarkEnd w:id="475"/>
      <w:bookmarkEnd w:id="471"/>
    </w:p>
    <w:p>
      <w:pPr>
        <w:pStyle w:val="Style31"/>
        <w:keepNext/>
        <w:keepLines/>
        <w:widowControl w:val="0"/>
        <w:shd w:val="clear" w:color="auto" w:fill="auto"/>
        <w:bidi w:val="0"/>
        <w:spacing w:before="0" w:after="34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、公司实际控制人、股东、关联方、收购人以及公司等承诺相关方在报告期内履行完毕及截至报告期末尚未履行完毕的承诺事项</w:t>
      </w:r>
      <w:bookmarkEnd w:id="476"/>
      <w:bookmarkEnd w:id="477"/>
      <w:bookmarkEnd w:id="479"/>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26"/>
        <w:gridCol w:w="1133"/>
        <w:gridCol w:w="1277"/>
        <w:gridCol w:w="6662"/>
        <w:gridCol w:w="1133"/>
        <w:gridCol w:w="994"/>
        <w:gridCol w:w="11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9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李朝莉、李 娜、刘咏平、 王明宽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在《深圳市金溢科技有限公司股东一致行动协议》到期终止后，声明人认可并尊重 罗瑞发在公司的实际控制人身份，对此无任何形式的异议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声明人与他人之间不存在 处于有效期内或未来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年内可能生效的一致行动协议、股东合作协议或其他可能威 胁、影响公司现有控制情况的相关合同、协议或其他任何形式（包括但不限于书面、 口头等形式）的约定，未来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年内声明人亦不存在谋求获得公司控制权的意图，承 诺不会以任何直接或间接的方式谋求获得公司的控制权。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227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 下同）届满后，在罗瑞发担任金溢科技董事、高级管理人员期间，本人每年转让的 股份不超过本人持有的上述股份总数的百分之二十五；在罗瑞发离任后六个月内， 不得转让本人持有的上述股份；在罗瑞发申报离任六个月后的十二个月内通过证券 交易所挂牌交易出售公司股份的数量占本人所持公司股份总数的比例不超过百分 之五十。罗瑞发在任期届满前离职的，本人应当在其就任时确定的任期内和任期届 满后六个月内，继续遵守前述限制性承诺。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193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自本人所持金溢科技股票的锁定期届满之日起二十四个月内，每十二月内转让的 金溢科技股份总额不超过上一年度末本人所持金溢科技股份数量的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。本人减持 金溢科技股份时，将依照《中华人民共和国公司法》、《中华人民共和国证券法》、 中国证监会和深圳证券交易所的相关规定执行，如实并及时申报本人持有的金溢科 技股份及其变动情况。本人所持股票在锁定期届满后两年内减持的，将提前五个交 易日向金溢科技提交减持原因、减持数量、未来减持计划、减持对金溢科技治理结</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601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构及持续经营影响的说明，并由金溢科技在减持前三个交易日予以公告。减持将采 用集中竞价、大宗交易、协议转让等方式，且减持价格不低于发行价（如自公司首 次公开发行股票至上述减持公告之日，公司发生过除权除息等事项的，发行价格应 相应调整）；如一个月内公开减持股数超过公司股份总数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的，将通过交易所大宗 交易系统进行转让；若本人所持股票在锁定期届满后两年内减持价格低于发行价 的，则减持价格与发行价之间的差额由金溢科技在现金分红时从分配当年及以后年 度本人应分得的现金分红税前金额中予以先行扣除，且扣除的现金分红归金溢科技 所有。如公司因首次公开发行股票、发行新股、构成借壳上市的重大资产重组的申 请或者相关披露文件存在虚假记载、误导性陈述或者重大遗漏被证监会立案稽查 的，本人将暂停转让拥有权益的公司股份。若本人将持有的公司股票在买入后六个 月内卖出，或者在卖出后六个月内又买入的，由此所得收益归公司所有，公司董事 会有权收回本人所得收益，并及时披露相关情况。在下列期间内本人不得买卖本公 司股票：（一）上市公司定期报告公告前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日内；（二）上市公司业绩预告、业绩 快报公告前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日内；（三）自可能对本公司股票交易价格产生重大影响的重大事项 发生之日或在决策过程中，至依法披露后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个交易日内；（四）证券交易所规定的 其他期间。本人所持上述股份在锁定期届满后减持的，还需比照罗瑞发的身份按深 圳证券交易所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日发布的《上市公司股东及董事、监事、高级管理人 员减持股份实施细则》的相关规定执行。若该实施细则为相关规定所替代，则按所 替代的规定执行。</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）的股东，现就规范和减少关 联交易事项向公司作出如下确认与承诺：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承诺人将严格遵守相关法律法规及内部 规章制度，不以任何方式占用或使用公司的资产和资源，不以任何方式从事损害或 可能损害公司及其他股东利益的行为。如出现违反上述承诺与保证，而导致公司或 其股东的权益受到损害，将依法承担相应的赔偿责任。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在作为公司股东期间，承 诺人及承诺人控制的其他下属企业或公司将尽量避免与公司发生关联交易；如与公 司发生不可避免的关联交易，承诺人及承诺人控制的其他下属企业或公司将严格按 照《公司法》、《证券法》、《公司章程》和《关联交易决策制度》的规定规范关联交 易行为，并按有关规定履行信息披露义务和办理有关报批程序，保证不通过关联交 易损害公司及其股东的合法权益。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在公司任职期间和离任后十二个月内，承诺人 及承诺人控制的其他下属企业或公司将尽量避免与公司发生关联交易，如与公司发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16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195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生不可避免的关联交易，承诺人及承诺人控制的其他下属企业或公司将严格按照</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《公司法》、《证券法》、《公司章程》和《关联交易决策制度》的规定规范关联交易 行为。如承诺人违反上述承诺，承诺人将在公司股东大会及中国证监会指定报刊上 公开说明未履行上述承诺的原因并向公司股东和社会公众投资者道歉，并以违反上 述承诺发生之日起当年度或以后年度公司利润分配方案中承诺人享有的现金分红 作为履约担保，同时在履行承诺前，承诺人持有的公司股份将不得转让。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）的股东，现就避免同业竞争 事项向公司作出如下确认和承诺：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截至本承诺函出具之日，承诺人目前不存在以 任何方式直接或间接经营与公司相同或相近似的业务的情况，与公司不存在同业竞 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承诺人承诺将不会在中国境内或境外以任何方式（包括但不限于单独经营、 通过合资经营或拥有另一公司或企业的股权及其它权益）直接或间接从事或参与任 何与公司构成竞争的任何业务或活动，不以任何方式从事或参与生产任何与公司产 品相同、相似或可能取代公司产品的业务活动。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承诺人承诺不利用对公司的了解 及获取的信息从事、直接或间接参与任何与公司相竞争的活动，并承诺不直接或间 接进行或参与任何损害或可能损害公司利益的其他竞争行为。该等竞争包括但不限 于：直接或间接从公司招聘专业技术人员、销售人员、高级管理人员；不正当地利 用公司的无形资产；在广告、宣传上贬损公司的产品形象与企业形象等。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如从任 何第三方获得的商业机会与公司经营的业务有竞争或可能竞争，则承诺人承诺将立 即通知公司，并将该等商业机会让予公司。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在任职期间，承诺人承诺承诺人及直 系亲属不直接或间接从事或发展或投资与公司经营范围相同或类似的业务或项目， 亦不会代表任何第三方成立、发展、参与、协助任何法人或其他经济组织与公司进 行直接或间接的竞争，或以其他形式从事损害公司利益的活动。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如果公司在其现 有业务的基础上进一步拓展其经营业务范围，而承诺人届时控制的其他企业对此已 经进行生产、经营的，承诺人届时控制的其他企业应将相关业务出售，公司对相关 业务在同等商业条件下有优先收购权。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对于公司在其现有业务范围的基础上进一 步拓展其经营业务范围，而承诺人届时控制的其他企业尚未对此进行生产、经营的， 承诺人届时控制的其他企业将不从事与公司该等新业务相同或相似的业务和活动。</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如出现因违反上述承诺与保证而导致公司或其股东的权益受到损害的情况，承诺 人承诺将依法承担相应的赔偿责任。</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本承诺书自承诺人签字之日即行生效并不可 撤销，并在承诺人继续为公司的股东期间或任职期间持续有效。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如承诺人违反上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13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述承诺，承诺人将在公司股东大会及中国证监会指定报刊上公开说明未履行上述承 诺的原因并向公司股东和社会公众投资者道歉，并以违反上述承诺发生之日起当年 度或以后年度公司利润分配方案中承诺人享有的现金分红作为履约担保，同时在履 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）的股东，针对发行人向中 国证监会提交的《首次公开发行股票招股说明书》（以下简称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及其摘要所载内容的真实性、准确性和完整性，本人特此承诺如下：本人承诺本次 发行上市的《招股说明书》及其摘要不存在虚假记载、误导性陈述或重大遗漏，并 对其真实性、准确性和完整性承担个别和连带的法律责任。若在发行人首次公开发 行的股票上市交易后，因发行人本次发行上市的《招股说明书》及其摘要有虚假记 载、误导性陈述或者重大遗漏，导致对判断发行人是否符合法律规定的发行条件构 成重大、实质影响的，本人将依法督促公司依法回购本次发行的全部新股。若因发 行人本次发行上市的《招股说明书》及其摘要有虚假记载、误导性陈述或者重大遗 漏，致使投资者在证券交易中遭受损失的，本人将依法赔偿投资者损失，但本人能 够证明自己没有过错的除外。在该等违法事实被中国证监会、证券交易所或司法机 关认定后，本人将本着主动沟通、尽快赔偿、切实保障投资者特别是中小投资者利 益的原则，按照投资者在证券交易中直接遭受的可测算的经济损失选择与投资者沟 通赔偿，通过设立投资者赔偿基金等方式积极赔偿投资者由此遭受的直接经济损 失。该等损失的赔偿金额以投资者因此而实际发生的直接损失为限。具体的赔偿标 准、赔偿主体范围、赔偿金额等细节内容待上述情形实际发生时，依据最终确定的 赔偿方案为准。本人以发行人发行上市当年及以后年度利润分配方案中应享有的分 红作为履约担保。此外，若本人未履行上述赔偿义务，则在履行承诺前，本人所持 的发行人股份均不得转让。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224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本次公开发行完成后，深圳市金溢科技股份有限公司（以下简称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）的净资产 将随着募集资金到位而大幅增加，由于募集资金项目从开始实施至投产并产生效益 需要一定时间，在上述时间内，公司的每股收益和加权平均净资产收益率等指标将 在短期内可能出现一定幅度的下降。为降低本次公开发行摊薄即期回报的影响，本 人对公司填补回报措施能够得到切实履行作出的承诺：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、本人承诺忠实、勤勉地 履行职责，维护公司和全体股东的合法权益。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、本人承诺不得越权干预公司经营 管理活动，不得侵占公司利益。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、本人承诺不无偿或以不公平条件向其他单位或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32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者个人输送利益，也不得采用其他方式损害公司利益。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、本人承诺对本人职务消 费行为进行约束。</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、本人承诺不动用公司资产从事与其履行职责无关的投资、消 费活动。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、本人承诺在自身职责和权限范围内，全力促使公司董事会或者薪酬与 考核委员会制定的薪酬制度与公司填补回报措施的执行情况相挂钩，并对公司董事 会和股东大会审议的相关议案投票赞成（如有表决权）。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、如公司拟实施股权激励， 本人承诺在自身职责和权限范围内，全力促使公司拟公布的股权激励行权条件与公 司填补回报措施的执行情况相挂钩，并对公司股东大会审议的相关议案投票赞成</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（如有表决权）。</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、若中国证监会或深圳证券交易所对本人有关确保本次发行摊薄 即期回报事项的填补回报措施得以切实履行的承诺有不同要求的，本人将自愿无条 件按照中国证监会或深圳证券交易所的要求予以承诺。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）的股东将严格履行就首次 公开发行股票并上市所作出的所有公开承诺事项，积极接受社会监督。如未能履行、 确已无法履行或无法按期履行其在招股说明书中所作出的相关承诺，其将按照所作 出的承诺采取如下措施：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、在股东大会及中国证监会指定报刊上公开说明未履行 的具体原因并向股东和社会公众投资者道歉。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、不得转让公司股份。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、暂不领取 公司的现金分红。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、以发行上市当年以及以后年度分红作为履行相关承诺的履约 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、因未履行相关承诺事项而获得收益的，所获收益归公司所有。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、给投资 者造成损失的，依法赔偿投资者损失，但本人能够证明自己没有过错的除外。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28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作为深圳市金溢科技股份有限公司（下称公司）的股东，就避免因追缴税收优惠 而给公司造成损失向公司作出承诺如下：若日后国家税务主管部门要求公司补缴因 享受有关税收优惠政策而免缴及少缴的企业所得税，则承诺人将以连带责任方式， 无条件全额承担公司在上市前应补缴的税款及因此所产生的所有相关费用，以避免 给公司或公司其他股东尤其是未来的社会公众股东造成损失或影响。如承诺人违反 上述承诺，承诺人将在公司股东大会及中国证监会指定报刊上公开说明未履行上述 承诺的原因并向公司股东和社会公众投资者道歉，并以违反上述承诺发生之日起当 年度或以后年度公司利润分配方案中承诺人享有的现金分红作为履约担保，同时在 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7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作为深圳市金溢科技股份有限公司（下称公司）的股东，就关于补缴员工社会保 险基金事宜向公司作出承诺如下：若日后公司或其分公司所在地社会保险基金、住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25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房公积金主管部门要求公司对以前年度的员工社会保险基金、住房公积金进行补 缴，则承诺人将按主管部门核定的金额，以连带责任方式，无条件全额承担公司在 上市前应补缴的金额及因此所产生的所有相关费用，以避免给公司或公司其他股东 尤其是未来的社会公众股东造成损失或影响。如承诺人违反上述承诺，承诺人将在 公司股东大会及中国证监会指定报刊上公开说明未履行上述承诺的原因并向公司 股东和社会公众投资者道歉，并以违反上述承诺发生之日起当年度或以后年度公司 利润分配方案中承诺人享有的现金分红作为履约担保，同时在履行承诺前，承诺人 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郑映虹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通过持有公司股东股权而间接持有公司股份的董事及高级管理人员郑映虹承诺： 在本人担任金溢科技董事及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或高级管理人员期间，本人将向公司申报所持有的公司 的股份及其变动情况，每年转让的股份不超过直接或间接持有的公司股份总数的百 分之二十五；离任后六个月内，不转让本人直接或间接持有的公司股份；在申报离 任六个月后的十二个月内通过证券交易所挂牌交易出售公司股份的数量占本人所 持公司股份总数的比例不超过百分之五十。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165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刘咏平、罗 瑞发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 下同）届满后，在本人担任金溢科技董事、高级管理人员期间，每年转让的股份不 超过直接或间接持有的公司股份总数的百分之二十五；离任后六个月内，不转让本 人直接或间接持有的公司股份；在申报离任六个月后的十二个月内通过证券交易所 挂牌交易出售公司股份的数量占本人所持公司股份总数的比例不超过百分之五十。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196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 下同）届满后，在本人担任金溢科技董事及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或高级管理人员期间，每年转让的股份 不超过直接或间接持有的公司股份总数的百分之二十五；离任后六个月内，不转让 本人直接或间接持有的公司股份；在申报离任六个月后的十二个月内通过证券交易 所挂牌交易出售公司股份的数量占本人所持公司股份总数的比例不超过百分之五 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134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杨成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 下同）届满后，在本人担任金溢科技董事、高级管理人员期间，每年转让的股份不 超过直接或间接持有的公司股份总数的百分之二十五；离任后六个月内，不转让本 人直接或间接持有的公司股份；在申报离任六个月后的十二个月内通过证券交易所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 完毕。</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挂牌交易出售公司股份的数量占本人所持公司股份总数的比例不超过百分之五十。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王明宽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 下同）届满后，在本人担任金溢科技董事、高级管理人员期间，每年转让的股份不 超过直接或间接持有的公司股份总数的百分之二十五；离任后六个月内，不转让本 人直接或间接持有的公司股份；在申报离任六个月后的十二个月内通过证券交易所 挂牌交易出售公司股份的数量占本人所持公司股份总数的比例不超过百分之五十。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 完毕。</w:t>
            </w:r>
          </w:p>
        </w:tc>
      </w:tr>
      <w:tr>
        <w:trPr>
          <w:trHeight w:val="477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李朝莉、李 娜、刘咏平、 罗瑞发、深 圳市敏行电 子有限公 司、王明宽、 杨成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公司实际控制人罗瑞发、王明宽、杨成、刘咏平、李朝莉、李娜及第一大股东敏 行电子承诺：自本人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本公司所持金溢科技股票的锁定期届满之日起二十四个月内， 每十二个月内转让的金溢科技股份总额不超过上一年度末本人（本公司）所持金溢 科技股份数量的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本公司减持金溢科技股份时，将依照《中华人民共和 国公司法》、《中华人民共和国证券法》、中国证监会和深圳证券交易所的相关规定 执行，如实并及时申报本人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本公司持有的金溢科技股份及其变动情况。本人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 司所持股票在锁定期届满后两年内减持的，将提前五个交易日向金溢科技提交减持 原因、减持数量、未来减持计划、减持对金溢科技治理结构及持续经营影响的说明， 并由金溢科技在减持前三个交易日予以公告。减持将采用集中竞价、大宗交易、协 议转让等方式，且减持价格不低于发行价（如自公司首次公开发行股票至上述减持 公告之日，公司发生过除权除息等事项的，发行价格应相应调整）；如一个月内公 开减持股数超过公司股份总数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的，将通过交易所大宗交易系统进行转让；若本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本公司所持股票在锁定期届满后两年内减持价格低于发行价的，则减持价格与发 行价之间的差额由金溢科技在现金分红时从分配当年及以后年度本人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本公司应分 得的现金分红税前金额中予以先行扣除，且扣除的现金分红归金溢科技所有。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255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李朝莉、李 娜、刘咏平、 罗瑞发、王 明宽、杨成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、本人除直接或间接持有金溢科技股权外， 未直接或间接经营任何与金溢科技经营的业务构成竞争或可能构成竞争的业务，也 未参与投资任何与金溢科技生产的产品或经营的业务构成竞争或可能构成竞争的 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、在本人与金溢科技存在关联关系期间，本人不直接或间接经营任何 与金溢科技经营的业务构成竞争或可能构成竞争的业务，也不参与投资任何与金溢 科技的产品或经营的业务构成竞争或可能构成竞争的其他企业；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、如本人或本人 控制的其他企业获得的商业机会与金溢科技生产的产品或经营的业务构成同业竞 争或可能构成同业竞争的，本人将立即通知金溢科技，将该商业机会给与金溢科技，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刘咏平、杨 成、王明宽、 李娜、李朝 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实际控 制人关于避 免同业竞争 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16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以确保金溢科技及其全体股东利益不受损害；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、本人保证，将不利用金溢科技实 际控制人的身份对金溢科技的正常经营活动进行不正当的干预；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、如因本人未履 行上述承诺，因而取得的相关收益将全部归金溢科技；如因本人未履行上述承诺而 给金溢科技及其他股东造成损失的，将给予金溢科技及其他股东全部赔偿。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日履 行完毕，罗 瑞发的承诺 正常履行 中。</w:t>
            </w:r>
          </w:p>
        </w:tc>
      </w:tr>
      <w:tr>
        <w:trPr>
          <w:trHeight w:val="414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深圳市敏行 电子有限公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第一大股东关于避免同业竞争的承诺：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、本公司除直接或间接持有金溢科技股权 夕卜，未直接或间接经营任何与金溢科技经营的业务构成竞争或可能构成竞争的业 务，也未参与投资任何与金溢科技生产的产品或经营的业务构成竞争或可能构成竞 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、在本公司与金溢科技存在关联关系期间，本公司不直接或间接 经营任何与金溢科技经营的业务构成竞争或可能构成竞争的业务，也不参与投资任 何与金溢科技的产品或经营的业务构成竞争或可能构成竞争的其他企业；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 公司或本公司控制的其他企业获得的商业机会与金溢科技生产的产品或经营的业 务构成同业竞争或可能构成同业竞争的，本公司将立刻通知金溢科技，将该商业机 会给与金溢科技，以确保金溢科技及其全体股东利益不受损害；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、本公司保证， 将不利用金溢科技第一大股东的身份对金溢科技的正常经营活动进行不正当的干 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、如因本公司未履行上述承诺，因而取得的相关收益将全部归金溢科技；如 因本公司未履行上述承诺而给金溢科技及其他股东造成损失的，将给予金溢科技及 其他股东全部赔偿。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3806"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深圳市敏行 电子有限公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第一大股东关于规范和减少关联交易的确认与承诺：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、承诺人将严格遵守相关 法律法规及内部规章制度，不以任何方式占用或使用公司的资产和资源，不以任何 方式从事损害或可能损害公司及其他股东利益的行为。如出现违反上述承诺与保 证，而导致公司或其股东的权益受到损害，将依法承担相应的赔偿责任。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、在作 为公司股东期间，承诺人及承诺人控制的其他下属企业或公司将尽量避免与公司发 生关联交易；如与公司发生不可避免的关联交易，承诺人及承诺人控制的其他下属 企业或公司将严格按照《公司法》、《证券法》、《公司章程》和《关联交易决策制度》 的规定规范关联交易行为，并按有关规定履行信息披露义务和办理有关报批程序， 保证不通过关联交易损害公司及其股东的合法权益。如承诺人违反上述承诺，承诺 人将在公司股东大会及中国证监会指定报刊上公开说明未履行上述承诺的原因并 向公司股东和社会公众投资者道歉，并以违反上述承诺发生之日起当年度或以后年 度公司利润分配方案中承诺人享有的现金分红作为履约担保，同时在履行承诺前，</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3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李朝莉、李 娜、刘咏平、 罗瑞发、王 明宽、杨成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实际控制人关于规范和减少关联交易的确认与承诺：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、承诺人将严格遵守相关法 律法规及内部规章制度，不以任何方式占用或使用公司的资产和资源，不以任何方 式从事损害或可能损害公司及其他股东利益的行为。如出现违反上述承诺与保证， 而导致公司或其股东的权益受到损害，将依法承担相应的赔偿责任。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、在作为公 司股东期间，承诺人及承诺人控制的其他下属企业或公司将尽量避免与公司发生关 联交易；如与公司发生不可避免的关联交易，承诺人及承诺人控制的其他下属企业 或公司将严格按照《公司法》、《证券法》、《公司章程》和《关联交易决策制度》的 规定规范关联交易行为，并按有关规定履行信息披露义务和办理有关报批程序，保 证不通过关联交易损害公司及其股东的合法权益。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、在公司任职期间和离任后十 二个月内，承诺人及承诺人控制的其他下属企业或公司将尽量避免与公司发生关联 交易，如与公司发生不可避免的关联交易，承诺人及承诺人控制的其他下属企业或 公司将严格按照《公司法》、《证券法》、《公司章程》和《关联交易决策制度》的规 定规范关联交易行为。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刘咏平、杨 成、王明宽、 李娜、李朝 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 制人关于规 范和减少关 联交易的确 认与承诺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日履行完 毕，罗瑞发 的承诺正常 履行中。</w:t>
            </w:r>
          </w:p>
        </w:tc>
      </w:tr>
      <w:tr>
        <w:trPr>
          <w:trHeight w:val="19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甘云龙、黄 伟斌、李兴 锐、王政、 杨秋英、郑 映虹、钟勇、 朱和安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自锁定期届满之日起，本人减持金溢科技股票时，将依照《中华人民共和国公司法》、 《中华人民共和国证券法》、中国证监会和证券交易所的相关规定执行。如本人违 反持股锁定期承诺或法律强制性规定而减持金溢科技股份的，本人承诺违规减持股 份所得归金溢科技所有。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正常履行中</w:t>
            </w:r>
          </w:p>
        </w:tc>
      </w:tr>
      <w:tr>
        <w:trPr>
          <w:trHeight w:val="255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深圳市金溢 科技股份有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公司关于信息披露责任的承诺：本公司承诺本次发行上市的《招股说明书》及其摘 要不存在虚假记载、误导性陈述或重大遗漏，并对其真实性、准确性和完整性承担 个别和连带的法律责任。若在投资者缴纳股票申购款后且本公司股票尚未上市交易 前，因本次发行上市的《招股说明书》及其摘要有虚假记载、误导性陈述或者重大 遗漏，对判断本公司是否符合法律规定的发行条件构成重大、实质影响的，对于首 次公开发行的全部新股，本公司将按照投资者所缴纳股票申购款加同期存款利息予 以退款。若在本公司首次公开发行的股票上市交易后，因本公司本次发行上市的《招 股说明书》及其摘要有虚假记载、误导性陈述或者重大遗漏，导致对判断本公司是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694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否符合法律规定的发行条件构成重大、实质影响的，本公司将依法回购首次公开发 行的全部新股，回购价格不低于首次公开发行股票时的发行价（如自首次公开发行 公司发生过除权除息等事项的，价格应相应调整），并根据相关法律、法规规定的 程序实施。上述回购实施时法律、法规另有规定的从其规定。本公司将及时提出预 案，并提交董事会、股东大会讨论。若因本公司本次发行上市的《招股说明书》及 其摘要有虚假记载、误导性陈述或者重大遗漏，致使投资者在证券交易中遭受损失 的，本公司将依法赔偿投资者损失，但本公司能够证明自己没有过错的除外。在该 等违法事实被中国证监会、证券交易所或司法机关认定后，本公司将本着主动沟通、 尽快赔偿、切实保障投资者特别是中小投资者利益的原则，按照投资者在证券交易 中直接遭受的可测算的经济损失选择与投资者沟通赔偿。该等损失的赔偿金额以投 资者能举证证实的因此而实际发生的直接损失为限，不包括间接损失。具体的赔偿 标准、赔偿主体范围、赔偿金额等细节内容待上述情形实际发生时，依据最终确定 的赔偿方案为准。如本公司《招股说明书》及其摘要经中国证监会认定存在虚假记 载、误导性陈述或者重大遗漏，而本公司自中国证监会作出认定之日起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 日内仍未开始履行上述承诺，则本公司有权人士应在前述期限届满之日起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易日内召集董事会并通过决议：利用本公司现金并用该等现金回购公司首次公开发 行的全部新股或赔偿投资者，现金不足部分可通过处置公司资产等方式补足。如有 权人士未能召集董事会或董事会未能通过相关决议或董事会在决议通过后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 日内未能提请股东大会审议，投资者可依法起诉要求其履行职责，或根据公司章程 规定要求监事会提请罢免相关董事，直至公司董事会通过相关决议并提请股东大会 审议相关决议。公司将于股东大会通过相关决议后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日内履行回购义务及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或赔偿 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李朝莉、李 娜、刘咏平、 罗瑞发、王 明宽、杨成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实际控制人关于避免因追缴税收优惠而给公司造成损失的承诺：若日后国家税务 主管部门要求公司补缴因享受有关税收优惠政策而免缴及少缴的企业所得税，则承 诺人将以连带责任方式，无条件全额承担公司在上市前应补缴的税款及因此所产生 的所有相关费用，以避免给公司或公司其他股东尤其是未来的社会公众股东造成损 失或影响。如承诺人违反上述承诺，承诺人将在公司股东大会及中国证监会指定报 刊上公开说明未履行上述承诺的原因并向公司股东和社会公众投资者道歉，并以违 反上述承诺发生之日起当年度或以后年度公司利润分配方案中承诺人享有的现金 分红作为履约担保，同时在履行承诺前，承诺人持有的公司股份将不得转让。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16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386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李朝莉、李 娜、刘咏平、 罗瑞发、王 明宽、杨成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实际控制人关于瑕疵租赁的承诺：未取得相关权属证明之租赁房产以及未办理租 赁备案之房产非用于公司研发及生产，对公司主营业务不构成重大影响。公司在可 预见的期间内可稳定地租用该等房产。如发生因瑕疵租赁场地拆迁或其他原因无法 继续租用情形，公司将无条件组织相关场地搬迁。由此而导致公司产生的相关经济 损失，由本人无条件承担。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刘咏平、杨 成、王明宽、 李娜、李朝 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实际控 制人关于瑕 疵租赁的承 诺''已于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日履行 完毕，罗瑞 发的承诺正 常履行中。</w:t>
            </w:r>
          </w:p>
        </w:tc>
      </w:tr>
      <w:tr>
        <w:trPr>
          <w:trHeight w:val="567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深圳市金溢 科技股份有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本公司对填补回报的若干措施及承诺如下：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、公司面临的主要风险的改进措施、 提高运营效率及业绩的具体措施。（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）凭借公司在业内多年的技术积累、丰富的产 品线、灵活的营运机制等方面的优势，坚持高端化发展，以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产品为主要市场 发展方向，进一步凝聚高层次人才，提升服务能力。（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）强化专业化发展原则，继 续巩固和深化公司在高速公路智能交通等方面的优势，加大研发投入和技术储备， 进一步扩大核心领域的业务规模，提升市场占有率。（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）坚持以龙头产品带动其他 创新产品的发展原则，完善产品品种，提升交付能力，大力拓展国内高速公路智能 交通产品市场，充分抓住国家大力推进全国</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联网促进行业发展的历史机遇。（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有效控制应收账款回款速度及存货周转速度，降低运营成本。（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）多渠道募集资金， 降低资金成本，确保公司持续经营能力。（</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）加快募投项目的建设，尽快实现效益。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）进一步优化资金管理和信息系统等，提高资金使用效率和经营管理水平。（</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加强预算管理和费用考核，约束董事和高级管理人员的职务消费行为，严格禁止动 用公司资产从事与其履行职责无关的投资、消费活动，提升公司盈利能力。（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）加 强人力资源管理，优化绩效评估和考核，提升人均绩效。董事会或薪酬与考核委员 会制订的薪酬制度与公司填补回报措施的执行情况相挂钩，公司股权激励的行权条 件与公司填补回报措施的执行情况相挂钩（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、加快募投项目投资进度，争取早日 实现项目预期效益。本次募集资金项目有利于大幅提升公司产品的交付能力、有利 于完善公司的基础研发体系、提升产品的研发能力。公司将加快上述募投项目的投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28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5525" w:val="left"/>
              </w:tabs>
              <w:bidi w:val="0"/>
              <w:spacing w:before="0" w:after="0" w:line="313" w:lineRule="exact"/>
              <w:ind w:left="0" w:right="0" w:firstLine="0"/>
              <w:jc w:val="left"/>
            </w:pPr>
            <w:r>
              <w:rPr>
                <w:color w:val="000000"/>
                <w:spacing w:val="0"/>
                <w:w w:val="100"/>
                <w:position w:val="0"/>
              </w:rPr>
              <w:t>资进度，争取早日实现预期效益，尽快提升公司的盈利能力。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、提高资金使用效 率，保证公司经营规模的扩大。公司拟将首次公开发行股票募集的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041.88</w:t>
            </w:r>
            <w:r>
              <w:rPr>
                <w:color w:val="000000"/>
                <w:spacing w:val="0"/>
                <w:w w:val="100"/>
                <w:position w:val="0"/>
              </w:rPr>
              <w:t>万元</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资金用作补充营运资金，公司将提高该部分资金的使用效率，以保证公司经营规模 的扩大，并为公司持续健康发展及业务链延伸提供资金支持。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、优化投资回报机 制。根据《上市公司监管指引第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上市公司现金分红》等相关规定，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年第一次临时股东大会审议通过了《深圳市金溢科技股份有限公司 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股）并上市后三年股东分红回报规划》，并制定了 </w:t>
            </w:r>
            <w:r>
              <w:rPr>
                <w:rFonts w:ascii="Times New Roman" w:eastAsia="Times New Roman" w:hAnsi="Times New Roman" w:cs="Times New Roman"/>
                <w:color w:val="000000"/>
                <w:spacing w:val="0"/>
                <w:w w:val="100"/>
                <w:position w:val="0"/>
                <w:sz w:val="18"/>
                <w:szCs w:val="18"/>
              </w:rPr>
              <w:t>2014 ~ 2016</w:t>
            </w:r>
            <w:r>
              <w:rPr>
                <w:color w:val="000000"/>
                <w:spacing w:val="0"/>
                <w:w w:val="100"/>
                <w:position w:val="0"/>
              </w:rPr>
              <w:t>年股东分红回报计划。公司上市后将优先采用现金分红的方式分配利 润，注重对投资者尤其是中小股东的回报。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深圳市敏行 电子有限公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第一大股东敏行电子对填补回报的若干措施及承诺如下：公司的第一大股东根据 中国证监会的有关规定及要求，就公司本次发行涉及的每股收益即期回报被摊薄的 填补回报措施作出如下承诺：不越权干预公司经营管理活动，不侵占公司利益。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508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蔡福春、甘 云龙、关志 超、李朝莉、 李娜、刘厚 军、刘咏平、 罗瑞发、王 明宽、翁小 雄、许岳明、 杨成、郑映 虹、钟勇、 周海荣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公司董事、高级管理人员及实际控制人关于填补被摊薄即期回报的相关承诺：公 司董事、高级管理人员及实际控制人根据中国证监会的有关规定及要求，就公司本 次发行涉及的每股收益即期回报被摊薄的填补回报措施等有关事项作出如下确认 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、本人承诺忠实、勤勉地履行职责，维护公司和全体股东的合法权益。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本人承诺不得越权干预公司经营管理活动，不得侵占公司利益。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、本人承诺不无 偿或以不公平条件向其他单位或者个人输送利益，也不得采用其他方式损害公司利 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、本人承诺对本人职务消费行为进行约束。</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、本人承诺不动用公司资产从事 与其履行职责无关的投资、消费活动。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、本人承诺在自身职责和权限范围内，全 力促使公司董事会或者薪酬与考核委员会制定的薪酬制度与公司填补回报措施的 执行情况相挂钩，并对公司董事会和股东大会审议的相关议案投票赞成（如有表决 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、如公司拟实施股权激励，本人承诺在自身职责和权限范围内，全力促使公 司拟公布的股权激励行权条件与公司填补回报措施的执行情况相挂钩，并对公司董 事会和股东大会审议的相关议案投票赞成（如有表决权）。</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、若中国证监会或深圳 证券交易所对本人有关确保本次发行摊薄即期回报事项的填补回报措施得以切实 履行的承诺有不同要求的，本人将自愿无条件按照中国证监会或深圳证券交易所的 要求予以承诺。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413"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公司将严格履行本公司就首次公开发行股票并上市所作出的所有公开承诺事项，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13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科技股份有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积极接受社会监督。如未能履行、确已无法履行或无法按期履行其在招股说明书中 所作出的相关承诺，其将按照所作出的承诺采取如下措施：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、在股东大会及中国 证监会指定报刊上公开说明未履行的具体原因并向股东和社会公众投资者道歉。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给投资者造成损失的，本公司将向投资者依法承担赔偿责任。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蔡福春、甘 云龙、李朝 莉、李娜、 刘厚军、刘 咏平、罗瑞 发、深圳市 敏行电子有 限公司、王 明宽、杨成、 郑映虹、钟 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失信补救措施承诺：公司第一大股东敏行电子，实际控制人罗瑞发、王明宽、李 朝莉、李娜、杨成、刘咏平，董事郑映虹，监事甘云龙和钟勇，以及高级管理人员 蔡福春和刘厚军如未能履行、确已无法履行或无法按期履行其在招股说明书中所作 出的相关承诺，其将按照所作出的承诺采取如下措施：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、在股东大会及中国证监 会指定报刊上公开说明未履行的具体原因并向股东和社会公众投资者道歉。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 得转让公司股份。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、暂不领取公司的现金分红。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、以发行上市当年以及以后年度 分红、及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或以发行上市当年以及以后年度从发行人处领取的薪酬（税后）作为履行 相关承诺的履约担保。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、因未履行相关承诺事项而获得收益的，所获收益归公司 所有。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、给投资者造成损失的，依法赔偿投资者损失，但本人能够证明自己没有 过错的除外。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16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关志超、翁 小雄、许岳 明、周海荣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失信补救措施承诺：独立董事许岳明、翁小雄、关志超及监事周海荣如未能履行、 确已无法履行或无法按期履行其在招股说明书中所作出的相关承诺，其将按照所作 出的承诺采取如下措施：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、以发行上市当年以及以后年度从发行人处领取的薪酬</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（税后）作为履行相关承诺的履约担保。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、给投资者造成损失的，依法赔偿投资 者损失，但本人能够证明自己没有过错的除外。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r>
        <w:trPr>
          <w:trHeight w:val="290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李朝莉、李 娜、刘咏平、 罗瑞发、王 明宽、杨成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实际控制人关于补缴员工社会保险基金、住房公积金的承诺：若日后公司或其分 公司所在地社会保险基金、住房公积金主管部门要求公司对以前年度的员工社会保 险基金、住房公积金进行补缴，则承诺人将按主管部门核定的金额，以连带责任方 式，无条件全额承担公司在上市前应补缴的金额及因此所产生的所有相关费用，以 避免给公司或公司其他股东尤其是未来的社会公众股东造成损失或影响。如承诺人 违反上述承诺，承诺人将在公司股东大会及中国证监会指定报刊上公开说明未履行 上述承诺的原因并向公司股东和社会公众投资者道歉，并以违反上述承诺发生之日 起当年度或以后年度公司利润分配方案中承诺人享有的现金分红作为履约担保，同 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57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李朝莉、李 娜、刘咏平、 罗瑞发、深 圳市敏行电 子有限公 司、王明宽、 杨成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第一大股东敏行电子、实际控制人罗瑞发、王明宽、杨成、刘咏平、李朝莉、李 娜关于信息披露责任的承诺：本公司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本人承诺本次发行上市的《招股说明书》及其 摘要不存在虚假记载、误导性陈述或重大遗漏，并对其真实性、准确性和完整性承 担个别和连带的法律责任。若在发行人首次公开发行的股票上市交易后，因发行人 本次发行上市的《招股说明书》及其摘要有虚假记载、误导性陈述或者重大遗漏， 导致对判断发行人是否符合法律规定的发行条件构成重大、实质影响的，本公司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本人将督促公司依法回购本次发行的全部新股。若因发行人本次发行上市的《招股 说明书》及其摘要有虚假记载、误导性陈述或者重大遗漏，致使投资者在证券交易 中遭受损失的，本公司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本人将依法赔偿投资者损失，但本公司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本人能够证明自己 没有过错的除外。在该等违法事实被中国证监会、证券交易所或司法机关认定后，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本人将本着主动沟通、尽快赔偿、切实保障投资者特别是中小投资者利益的 原则，按照投资者在证券交易中直接遭受的可测算的经济损失选择与投资者沟通赔 偿，通过设立投资者赔偿基金等方式积极赔偿投资者由此遭受的直接经济损失。该 等损失的赔偿金额以投资者因此而实际发生的直接损失为限。具体的赔偿标准、赔 偿主体范围、赔偿金额等细节内容待上述情形实际发生时，依据最终确定的赔偿方 案为准。本公司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本人以发行人发行上市当年及以后年度利润分配方案中应享有的分 红作为履约担保。此外，若本公司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本人未履行上述赔偿义务，则在履行承诺前，本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本人直接或间接所持的发行人股份均不得转让。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r>
        <w:trPr>
          <w:trHeight w:val="380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蔡福春、甘 云龙、关志 超、李朝莉、 刘厚军、刘 咏平、罗瑞 发、王明宽、 翁小雄、许 岳明、杨成、 郑映虹、钟 勇、周海荣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董事罗瑞发、杨成、李朝莉、郑映虹、关志超、许岳明和翁小雄，监事周海荣、 甘云龙和钟勇，其他高级管理人员刘咏平、王明宽、蔡福春和刘厚军关于信息披露 责任的承诺：本人承诺发行人本次发行上市的《招股说明书》及其摘要不存在虚假 记载、误导性陈述或重大遗漏，并对其真实性、准确性和完整性承担个别和连带的 法律责任。若因发行人本次发行上市《招股说明书》及其摘要有虚假记载、误导性 陈述或者重大遗漏，致使投资者在证券交易中遭受损失的，本人将依法赔偿投资者 损失，但本人能够证明自己没有过错的除外。在该等违法事实被中国证监会、证券 交易所或司法机关认定后，本人将本着主动沟通、尽快赔偿、切实保障投资者特别 是中小投资者利益的原则，按照投资者在证券交易中直接遭受的可测算的经济损失 选择与投资者沟通赔偿，通过设立投资者赔偿基金等方式积极赔偿投资者由此遭受 的直接经济损失。该等损失的赔偿金额以投资者因此而实际发生的直接损失为限。 具体的赔偿标准、赔偿主体范围、赔偿金额等细节内容待上述情形实际发生时，依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026"/>
        <w:gridCol w:w="1133"/>
        <w:gridCol w:w="1277"/>
        <w:gridCol w:w="6662"/>
        <w:gridCol w:w="1133"/>
        <w:gridCol w:w="994"/>
        <w:gridCol w:w="1138"/>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据最终确定的赔偿方案为准。本人以发行上市当年以及以后年度的从发行人处领取 的薪酬（税后）作为上述承诺的履约担保，此外，若本人未履行上述赔偿义务，则 在履行承诺前，本人直接或间接所持的发行人股份（如有）不得转让。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深圳市金溢 科技股份有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公司将采取现金、或者股票、或者现金与股票相结合、或者法律法规允许的其他方 式分配利润。在符合现金分红的条件下，公司应当优先采取现金分红的方式进行利 润分配。公司原则上每年度进行一次利润分配；公司董事会还可以根据公司盈利及 资金状况提议公司进行中期分红。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如承诺超期未履行完毕的，应当详细说明未完成履行的具体原因及下一步的工作计划：无。</w:t>
            </w:r>
          </w:p>
        </w:tc>
      </w:tr>
    </w:tbl>
    <w:p>
      <w:pPr>
        <w:sectPr>
          <w:footnotePr>
            <w:pos w:val="pageBottom"/>
            <w:numFmt w:val="decimal"/>
            <w:numRestart w:val="continuous"/>
          </w:footnotePr>
          <w:pgSz w:w="16840" w:h="11900" w:orient="landscape"/>
          <w:pgMar w:top="1093" w:right="1076" w:bottom="1201" w:left="1402" w:header="0" w:footer="3" w:gutter="0"/>
          <w:cols w:space="720"/>
          <w:noEndnote/>
          <w:rtlGutter w:val="0"/>
          <w:docGrid w:linePitch="360"/>
        </w:sectPr>
      </w:pPr>
    </w:p>
    <w:p>
      <w:pPr>
        <w:pStyle w:val="Style31"/>
        <w:keepNext/>
        <w:keepLines/>
        <w:widowControl w:val="0"/>
        <w:shd w:val="clear" w:color="auto" w:fill="auto"/>
        <w:bidi w:val="0"/>
        <w:spacing w:before="0" w:after="200" w:line="322" w:lineRule="exact"/>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、公司资产或项目存在盈利预测，且报告期仍处在盈利预测期间，公司就资产或项目达到原盈利预测及 其原因做出说明</w:t>
      </w:r>
      <w:bookmarkEnd w:id="480"/>
      <w:bookmarkEnd w:id="481"/>
      <w:bookmarkEnd w:id="483"/>
    </w:p>
    <w:p>
      <w:pPr>
        <w:pStyle w:val="Style28"/>
        <w:keepNext w:val="0"/>
        <w:keepLines w:val="0"/>
        <w:widowControl w:val="0"/>
        <w:shd w:val="clear" w:color="auto" w:fill="auto"/>
        <w:bidi w:val="0"/>
        <w:spacing w:before="0" w:after="360" w:line="39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0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二</w:t>
      </w:r>
      <w:bookmarkEnd w:id="486"/>
      <w:r>
        <w:rPr>
          <w:color w:val="000000"/>
          <w:spacing w:val="0"/>
          <w:w w:val="100"/>
          <w:position w:val="0"/>
          <w:sz w:val="24"/>
          <w:szCs w:val="24"/>
        </w:rPr>
        <w:t>、</w:t>
        <w:tab/>
        <w:t>控股股东及其他关联方对上市公司的非经营性占用资金情况</w:t>
      </w:r>
      <w:bookmarkEnd w:id="484"/>
      <w:bookmarkEnd w:id="485"/>
      <w:bookmarkEnd w:id="487"/>
    </w:p>
    <w:p>
      <w:pPr>
        <w:pStyle w:val="Style28"/>
        <w:keepNext w:val="0"/>
        <w:keepLines w:val="0"/>
        <w:widowControl w:val="0"/>
        <w:shd w:val="clear" w:color="auto" w:fill="auto"/>
        <w:bidi w:val="0"/>
        <w:spacing w:before="0" w:after="0" w:line="39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391" w:lineRule="exact"/>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2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三</w:t>
      </w:r>
      <w:bookmarkEnd w:id="490"/>
      <w:r>
        <w:rPr>
          <w:color w:val="000000"/>
          <w:spacing w:val="0"/>
          <w:w w:val="100"/>
          <w:position w:val="0"/>
          <w:sz w:val="24"/>
          <w:szCs w:val="24"/>
        </w:rPr>
        <w:t>、</w:t>
        <w:tab/>
        <w:t>违规对外担保情况</w:t>
      </w:r>
      <w:bookmarkEnd w:id="488"/>
      <w:bookmarkEnd w:id="489"/>
      <w:bookmarkEnd w:id="491"/>
    </w:p>
    <w:p>
      <w:pPr>
        <w:pStyle w:val="Style28"/>
        <w:keepNext w:val="0"/>
        <w:keepLines w:val="0"/>
        <w:widowControl w:val="0"/>
        <w:shd w:val="clear" w:color="auto" w:fill="auto"/>
        <w:bidi w:val="0"/>
        <w:spacing w:before="0" w:after="0" w:line="39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391" w:lineRule="exact"/>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22" w:val="left"/>
        </w:tabs>
        <w:bidi w:val="0"/>
        <w:spacing w:before="0" w:after="20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四</w:t>
      </w:r>
      <w:bookmarkEnd w:id="49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92"/>
      <w:bookmarkEnd w:id="493"/>
      <w:bookmarkEnd w:id="495"/>
    </w:p>
    <w:p>
      <w:pPr>
        <w:pStyle w:val="Style28"/>
        <w:keepNext w:val="0"/>
        <w:keepLines w:val="0"/>
        <w:widowControl w:val="0"/>
        <w:shd w:val="clear" w:color="auto" w:fill="auto"/>
        <w:bidi w:val="0"/>
        <w:spacing w:before="0" w:after="360" w:line="39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五</w:t>
      </w:r>
      <w:bookmarkEnd w:id="49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96"/>
      <w:bookmarkEnd w:id="497"/>
      <w:bookmarkEnd w:id="499"/>
    </w:p>
    <w:p>
      <w:pPr>
        <w:pStyle w:val="Style28"/>
        <w:keepNext w:val="0"/>
        <w:keepLines w:val="0"/>
        <w:widowControl w:val="0"/>
        <w:shd w:val="clear" w:color="auto" w:fill="auto"/>
        <w:bidi w:val="0"/>
        <w:spacing w:before="0" w:after="200" w:line="454"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20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六</w:t>
      </w:r>
      <w:bookmarkEnd w:id="502"/>
      <w:r>
        <w:rPr>
          <w:color w:val="000000"/>
          <w:spacing w:val="0"/>
          <w:w w:val="100"/>
          <w:position w:val="0"/>
          <w:sz w:val="24"/>
          <w:szCs w:val="24"/>
        </w:rPr>
        <w:t>、</w:t>
        <w:tab/>
        <w:t>与上年度财务报告相比，会计政策、会计估计变更或重大会计差错更正的情况说明</w:t>
      </w:r>
      <w:bookmarkEnd w:id="500"/>
      <w:bookmarkEnd w:id="501"/>
      <w:bookmarkEnd w:id="503"/>
    </w:p>
    <w:p>
      <w:pPr>
        <w:pStyle w:val="Style28"/>
        <w:keepNext w:val="0"/>
        <w:keepLines w:val="0"/>
        <w:widowControl w:val="0"/>
        <w:shd w:val="clear" w:color="auto" w:fill="auto"/>
        <w:bidi w:val="0"/>
        <w:spacing w:before="0" w:after="0" w:line="39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91" w:lineRule="exact"/>
        <w:ind w:left="0" w:right="0" w:firstLine="380"/>
        <w:jc w:val="left"/>
      </w:pPr>
      <w:r>
        <w:rPr>
          <w:color w:val="000000"/>
          <w:spacing w:val="0"/>
          <w:w w:val="100"/>
          <w:position w:val="0"/>
        </w:rPr>
        <w:t>租赁准则变更：</w:t>
      </w:r>
    </w:p>
    <w:p>
      <w:pPr>
        <w:pStyle w:val="Style28"/>
        <w:keepNext w:val="0"/>
        <w:keepLines w:val="0"/>
        <w:widowControl w:val="0"/>
        <w:shd w:val="clear" w:color="auto" w:fill="auto"/>
        <w:bidi w:val="0"/>
        <w:spacing w:before="0" w:after="0" w:line="391" w:lineRule="exact"/>
        <w:ind w:left="0" w:right="0" w:firstLine="38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号——租赁》（以下简称“新租赁准则”）（财会</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根据财政部要求，在境内外同时上市的企业以及在境外上市并采用国际财务报告准则或企业会计准则编制财务报表的企业，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p>
      <w:pPr>
        <w:pStyle w:val="Style28"/>
        <w:keepNext w:val="0"/>
        <w:keepLines w:val="0"/>
        <w:widowControl w:val="0"/>
        <w:shd w:val="clear" w:color="auto" w:fill="auto"/>
        <w:bidi w:val="0"/>
        <w:spacing w:before="0" w:after="400" w:line="391"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日召开第三届董事会第十一次会议和第三届监事会第九次会议，审议通过了《关于会计政策 变更的议案》，自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日起施行新租赁准则。新租赁准则变更内容详见公司于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日披露的《关于 会计政策变更的公告》（</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w:t>
      </w:r>
    </w:p>
    <w:p>
      <w:pPr>
        <w:pStyle w:val="Style24"/>
        <w:keepNext/>
        <w:keepLines/>
        <w:widowControl w:val="0"/>
        <w:shd w:val="clear" w:color="auto" w:fill="auto"/>
        <w:tabs>
          <w:tab w:pos="522"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七</w:t>
      </w:r>
      <w:bookmarkEnd w:id="506"/>
      <w:r>
        <w:rPr>
          <w:color w:val="000000"/>
          <w:spacing w:val="0"/>
          <w:w w:val="100"/>
          <w:position w:val="0"/>
          <w:sz w:val="24"/>
          <w:szCs w:val="24"/>
        </w:rPr>
        <w:t>、</w:t>
        <w:tab/>
        <w:t>与上年度财务报告相比，合并报表范围发生变化的情况说明</w:t>
      </w:r>
      <w:bookmarkEnd w:id="504"/>
      <w:bookmarkEnd w:id="505"/>
      <w:bookmarkEnd w:id="507"/>
    </w:p>
    <w:p>
      <w:pPr>
        <w:pStyle w:val="Style28"/>
        <w:keepNext w:val="0"/>
        <w:keepLines w:val="0"/>
        <w:widowControl w:val="0"/>
        <w:shd w:val="clear" w:color="auto" w:fill="auto"/>
        <w:bidi w:val="0"/>
        <w:spacing w:before="0" w:after="0" w:line="454"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tabs>
          <w:tab w:pos="825" w:val="left"/>
        </w:tabs>
        <w:bidi w:val="0"/>
        <w:spacing w:before="0" w:after="200" w:line="391" w:lineRule="exact"/>
        <w:ind w:left="0" w:right="0" w:firstLine="380"/>
        <w:jc w:val="left"/>
      </w:pPr>
      <w:bookmarkStart w:id="508" w:name="bookmark508"/>
      <w:r>
        <w:rPr>
          <w:color w:val="000000"/>
          <w:spacing w:val="0"/>
          <w:w w:val="100"/>
          <w:position w:val="0"/>
        </w:rPr>
        <w:t>（</w:t>
      </w:r>
      <w:bookmarkEnd w:id="5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月设立全资子公司深圳市金溢智慧城市科技有限公司，注册资本</w:t>
      </w:r>
      <w:r>
        <w:rPr>
          <w:rFonts w:ascii="Times New Roman" w:eastAsia="Times New Roman" w:hAnsi="Times New Roman" w:cs="Times New Roman"/>
          <w:color w:val="000000"/>
          <w:spacing w:val="0"/>
          <w:w w:val="100"/>
          <w:position w:val="0"/>
          <w:sz w:val="18"/>
          <w:szCs w:val="18"/>
        </w:rPr>
        <w:t>3,000</w:t>
      </w:r>
      <w:r>
        <w:rPr>
          <w:rFonts w:ascii="SimHei" w:eastAsia="SimHei" w:hAnsi="SimHei" w:cs="SimHei"/>
          <w:color w:val="000000"/>
          <w:spacing w:val="0"/>
          <w:w w:val="100"/>
          <w:position w:val="0"/>
          <w:sz w:val="20"/>
          <w:szCs w:val="20"/>
        </w:rPr>
        <w:t>万</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120" w:line="391" w:lineRule="exact"/>
        <w:ind w:left="0" w:right="0" w:firstLine="0"/>
        <w:jc w:val="left"/>
      </w:pPr>
      <w:r>
        <w:rPr>
          <w:color w:val="000000"/>
          <w:spacing w:val="0"/>
          <w:w w:val="100"/>
          <w:position w:val="0"/>
        </w:rPr>
        <w:t>公司已实缴出资</w:t>
      </w:r>
      <w:r>
        <w:rPr>
          <w:rFonts w:ascii="Times New Roman" w:eastAsia="Times New Roman" w:hAnsi="Times New Roman" w:cs="Times New Roman"/>
          <w:color w:val="000000"/>
          <w:spacing w:val="0"/>
          <w:w w:val="100"/>
          <w:position w:val="0"/>
          <w:sz w:val="18"/>
          <w:szCs w:val="18"/>
        </w:rPr>
        <w:t>3,000</w:t>
      </w:r>
      <w:r>
        <w:rPr>
          <w:rFonts w:ascii="SimHei" w:eastAsia="SimHei" w:hAnsi="SimHei" w:cs="SimHei"/>
          <w:color w:val="000000"/>
          <w:spacing w:val="0"/>
          <w:w w:val="100"/>
          <w:position w:val="0"/>
          <w:sz w:val="20"/>
          <w:szCs w:val="20"/>
        </w:rPr>
        <w:t>万</w:t>
      </w:r>
      <w:r>
        <w:rPr>
          <w:color w:val="000000"/>
          <w:spacing w:val="0"/>
          <w:w w:val="100"/>
          <w:position w:val="0"/>
        </w:rPr>
        <w:t>元，从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月起纳入合并报表范围。</w:t>
      </w:r>
    </w:p>
    <w:p>
      <w:pPr>
        <w:pStyle w:val="Style28"/>
        <w:keepNext w:val="0"/>
        <w:keepLines w:val="0"/>
        <w:widowControl w:val="0"/>
        <w:shd w:val="clear" w:color="auto" w:fill="auto"/>
        <w:tabs>
          <w:tab w:pos="445" w:val="left"/>
        </w:tabs>
        <w:bidi w:val="0"/>
        <w:spacing w:before="0" w:after="0" w:line="391" w:lineRule="exact"/>
        <w:ind w:left="0" w:right="0" w:firstLine="380"/>
        <w:jc w:val="left"/>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广东华信金溢信息技术有限公司于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日召开股东会，鉴于严重亏损不能到期清偿债务，并且资产不足 </w:t>
      </w:r>
      <w:r>
        <w:rPr>
          <w:color w:val="000000"/>
          <w:spacing w:val="0"/>
          <w:w w:val="100"/>
          <w:position w:val="0"/>
        </w:rPr>
        <w:t>以清偿全部债务，向广东省东莞市中级人民法院提出破产清算。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日，广东省东莞市中级人民法院裁定受理广东 华信金溢信息技术有限公司提出的破产清算申请，并出具了民事裁定书（（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日，广东 省东莞市中级人民法院指定广东天健会计师事务所有限公司为管理人，并出具了公告（（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破</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号），公司对广东 华信金溢信息技术有限公司丧失控制权，从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月起不再纳入合并范围。</w:t>
      </w:r>
    </w:p>
    <w:p>
      <w:pPr>
        <w:pStyle w:val="Style28"/>
        <w:keepNext w:val="0"/>
        <w:keepLines w:val="0"/>
        <w:widowControl w:val="0"/>
        <w:shd w:val="clear" w:color="auto" w:fill="auto"/>
        <w:bidi w:val="0"/>
        <w:spacing w:before="0" w:after="400" w:line="499" w:lineRule="exact"/>
        <w:ind w:left="0" w:right="0" w:firstLine="46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月设立全资孙公司青岛经溢园区运营管理有限公司，注册资本</w:t>
      </w:r>
      <w:r>
        <w:rPr>
          <w:rFonts w:ascii="Times New Roman" w:eastAsia="Times New Roman" w:hAnsi="Times New Roman" w:cs="Times New Roman"/>
          <w:color w:val="000000"/>
          <w:spacing w:val="0"/>
          <w:w w:val="100"/>
          <w:position w:val="0"/>
          <w:sz w:val="18"/>
          <w:szCs w:val="18"/>
        </w:rPr>
        <w:t>1,000</w:t>
      </w:r>
      <w:r>
        <w:rPr>
          <w:rFonts w:ascii="SimHei" w:eastAsia="SimHei" w:hAnsi="SimHei" w:cs="SimHei"/>
          <w:color w:val="000000"/>
          <w:spacing w:val="0"/>
          <w:w w:val="100"/>
          <w:position w:val="0"/>
          <w:sz w:val="20"/>
          <w:szCs w:val="20"/>
        </w:rPr>
        <w:t>万</w:t>
      </w:r>
      <w:r>
        <w:rPr>
          <w:color w:val="000000"/>
          <w:spacing w:val="0"/>
          <w:w w:val="100"/>
          <w:position w:val="0"/>
        </w:rPr>
        <w:t>元，从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月起纳入合并 范围。</w:t>
      </w:r>
    </w:p>
    <w:p>
      <w:pPr>
        <w:pStyle w:val="Style24"/>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八</w:t>
      </w:r>
      <w:bookmarkEnd w:id="513"/>
      <w:r>
        <w:rPr>
          <w:color w:val="000000"/>
          <w:spacing w:val="0"/>
          <w:w w:val="100"/>
          <w:position w:val="0"/>
          <w:sz w:val="24"/>
          <w:szCs w:val="24"/>
        </w:rPr>
        <w:t>、聘任、解聘会计师事务所情况</w:t>
      </w:r>
      <w:bookmarkEnd w:id="511"/>
      <w:bookmarkEnd w:id="512"/>
      <w:bookmarkEnd w:id="51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朱中伟，龙海燕</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朱中伟连续服务年限为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年，龙海燕连续服务年限为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九</w:t>
      </w:r>
      <w:bookmarkEnd w:id="517"/>
      <w:r>
        <w:rPr>
          <w:color w:val="000000"/>
          <w:spacing w:val="0"/>
          <w:w w:val="100"/>
          <w:position w:val="0"/>
          <w:sz w:val="24"/>
          <w:szCs w:val="24"/>
        </w:rPr>
        <w:t>、年度报告披露后面临退市情况</w:t>
      </w:r>
      <w:bookmarkEnd w:id="515"/>
      <w:bookmarkEnd w:id="516"/>
      <w:bookmarkEnd w:id="51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400" w:line="240" w:lineRule="auto"/>
        <w:ind w:left="0" w:right="0" w:firstLine="0"/>
        <w:jc w:val="left"/>
      </w:pPr>
      <w:bookmarkStart w:id="519" w:name="bookmark519"/>
      <w:bookmarkStart w:id="520" w:name="bookmark520"/>
      <w:bookmarkStart w:id="521" w:name="bookmark521"/>
      <w:r>
        <w:rPr>
          <w:color w:val="000000"/>
          <w:spacing w:val="0"/>
          <w:w w:val="100"/>
          <w:position w:val="0"/>
          <w:sz w:val="24"/>
          <w:szCs w:val="24"/>
        </w:rPr>
        <w:t>十、破产重整相关事项</w:t>
      </w:r>
      <w:bookmarkEnd w:id="519"/>
      <w:bookmarkEnd w:id="520"/>
      <w:bookmarkEnd w:id="521"/>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522" w:name="bookmark522"/>
      <w:bookmarkStart w:id="523" w:name="bookmark523"/>
      <w:bookmarkStart w:id="524" w:name="bookmark524"/>
      <w:r>
        <w:rPr>
          <w:color w:val="000000"/>
          <w:spacing w:val="0"/>
          <w:w w:val="100"/>
          <w:position w:val="0"/>
          <w:sz w:val="24"/>
          <w:szCs w:val="24"/>
        </w:rPr>
        <w:t>十一、重大诉讼、仲裁事项</w:t>
      </w:r>
      <w:bookmarkEnd w:id="522"/>
      <w:bookmarkEnd w:id="523"/>
      <w:bookmarkEnd w:id="524"/>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850"/>
        <w:gridCol w:w="710"/>
        <w:gridCol w:w="1560"/>
        <w:gridCol w:w="1416"/>
        <w:gridCol w:w="2126"/>
        <w:gridCol w:w="710"/>
        <w:gridCol w:w="648"/>
      </w:tblGrid>
      <w:tr>
        <w:trPr>
          <w:trHeight w:val="13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诉讼（仲裁）基 本情况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100" w:line="240" w:lineRule="auto"/>
              <w:ind w:left="0" w:right="0" w:firstLine="0"/>
              <w:jc w:val="center"/>
            </w:pPr>
            <w:r>
              <w:rPr>
                <w:color w:val="000000"/>
                <w:spacing w:val="0"/>
                <w:w w:val="100"/>
                <w:position w:val="0"/>
              </w:rPr>
              <w:t>涉案金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形成 预计 负债</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诉讼（仲裁）进 展</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诉讼（仲裁）审 理结果及影响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诉讼（仲裁）判决执行情 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100" w:line="240" w:lineRule="auto"/>
              <w:ind w:left="0" w:right="0" w:firstLine="0"/>
              <w:jc w:val="center"/>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20" w:after="100" w:line="240" w:lineRule="auto"/>
              <w:ind w:left="0" w:right="140" w:firstLine="0"/>
              <w:jc w:val="righ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索引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未达重大诉讼披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露标准的其他诉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一审阶段，已开 庭审理，尚未判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尚未收到一审 判决结果。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尚未收到一审判决结果。</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65"/>
        <w:gridCol w:w="850"/>
        <w:gridCol w:w="710"/>
        <w:gridCol w:w="1560"/>
        <w:gridCol w:w="1416"/>
        <w:gridCol w:w="2126"/>
        <w:gridCol w:w="710"/>
        <w:gridCol w:w="648"/>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讼、仲裁事项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已收到裁决，强 制执行阶段。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我方胜诉。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日，法院 裁定终结执行程序，待对 方财产拍卖成交后恢复 执行。</w:t>
            </w:r>
          </w:p>
        </w:tc>
        <w:tc>
          <w:tcPr>
            <w:gridSpan w:val="2"/>
            <w:vMerge/>
            <w:tcBorders>
              <w:left w:val="single" w:sz="4"/>
              <w:right w:val="single" w:sz="4"/>
            </w:tcBorders>
            <w:shd w:val="clear" w:color="auto" w:fill="FFFFFF"/>
            <w:vAlign w:val="top"/>
          </w:tcPr>
          <w:p>
            <w:pPr/>
          </w:p>
        </w:tc>
      </w:tr>
      <w:tr>
        <w:trPr>
          <w:trHeight w:val="16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已达成调解，强 制执行阶段。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双方达成调解。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日，法院 告知终结执行程序，待对 方的财产拍卖成交后恢 复执行，按法律程序进行 分配。</w:t>
            </w:r>
          </w:p>
        </w:tc>
        <w:tc>
          <w:tcPr>
            <w:gridSpan w:val="2"/>
            <w:vMerge/>
            <w:tcBorders>
              <w:left w:val="single" w:sz="4"/>
              <w:right w:val="single" w:sz="4"/>
            </w:tcBorders>
            <w:shd w:val="clear" w:color="auto" w:fill="FFFFFF"/>
            <w:vAlign w:val="top"/>
          </w:tcPr>
          <w:p>
            <w:pPr/>
          </w:p>
        </w:tc>
      </w:tr>
      <w:tr>
        <w:trPr>
          <w:trHeight w:val="10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强制执行阶段。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双方达成调解。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对方未按调解书履行，我 方已向法院申请强制执 行，尚未执行完毕。</w:t>
            </w:r>
          </w:p>
        </w:tc>
        <w:tc>
          <w:tcPr>
            <w:gridSpan w:val="2"/>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已达成调解，执 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双方达成调解。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尚未执行完毕。</w:t>
            </w:r>
          </w:p>
        </w:tc>
        <w:tc>
          <w:tcPr>
            <w:gridSpan w:val="2"/>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仲裁已立案。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仲裁未裁决。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未进入执行。</w:t>
            </w:r>
          </w:p>
        </w:tc>
        <w:tc>
          <w:tcPr>
            <w:gridSpan w:val="2"/>
            <w:vMerge/>
            <w:tcBorders>
              <w:left w:val="single" w:sz="4"/>
              <w:right w:val="single" w:sz="4"/>
            </w:tcBorders>
            <w:shd w:val="clear" w:color="auto" w:fill="FFFFFF"/>
            <w:vAlign w:val="top"/>
          </w:tcPr>
          <w:p>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金溢科技诉</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CHARLES</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CHUNLI LIU</w:t>
            </w:r>
            <w:r>
              <w:rPr>
                <w:color w:val="000000"/>
                <w:spacing w:val="0"/>
                <w:w w:val="100"/>
                <w:position w:val="0"/>
              </w:rPr>
              <w:t>、</w:t>
            </w:r>
            <w:r>
              <w:rPr>
                <w:color w:val="000000"/>
                <w:spacing w:val="0"/>
                <w:w w:val="100"/>
                <w:position w:val="0"/>
              </w:rPr>
              <w:t>深 圳镓华微电子有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仲裁已立案。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仲裁未裁决。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未进入执行。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r>
        <w:rPr>
          <w:color w:val="000000"/>
          <w:spacing w:val="0"/>
          <w:w w:val="100"/>
          <w:position w:val="0"/>
          <w:sz w:val="24"/>
          <w:szCs w:val="24"/>
        </w:rPr>
        <w:t>十二、处罚及整改情况</w:t>
      </w:r>
      <w:bookmarkEnd w:id="525"/>
      <w:bookmarkEnd w:id="526"/>
      <w:bookmarkEnd w:id="527"/>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r>
        <w:rPr>
          <w:color w:val="000000"/>
          <w:spacing w:val="0"/>
          <w:w w:val="100"/>
          <w:position w:val="0"/>
          <w:sz w:val="24"/>
          <w:szCs w:val="24"/>
        </w:rPr>
        <w:t>十三、公司及其控股股东、实际控制人的诚信状况</w:t>
      </w:r>
      <w:bookmarkEnd w:id="528"/>
      <w:bookmarkEnd w:id="529"/>
      <w:bookmarkEnd w:id="53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31" w:name="bookmark531"/>
      <w:bookmarkStart w:id="532" w:name="bookmark532"/>
      <w:bookmarkStart w:id="533" w:name="bookmark533"/>
      <w:r>
        <w:rPr>
          <w:color w:val="000000"/>
          <w:spacing w:val="0"/>
          <w:w w:val="100"/>
          <w:position w:val="0"/>
          <w:sz w:val="24"/>
          <w:szCs w:val="24"/>
        </w:rPr>
        <w:t>十四、重大关联交易</w:t>
      </w:r>
      <w:bookmarkEnd w:id="531"/>
      <w:bookmarkEnd w:id="532"/>
      <w:bookmarkEnd w:id="533"/>
    </w:p>
    <w:p>
      <w:pPr>
        <w:pStyle w:val="Style31"/>
        <w:keepNext/>
        <w:keepLines/>
        <w:widowControl w:val="0"/>
        <w:shd w:val="clear" w:color="auto" w:fill="auto"/>
        <w:bidi w:val="0"/>
        <w:spacing w:before="0" w:after="3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、与日常经营相关的关联交易</w:t>
      </w:r>
      <w:bookmarkEnd w:id="534"/>
      <w:bookmarkEnd w:id="535"/>
      <w:bookmarkEnd w:id="537"/>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09"/>
        <w:gridCol w:w="566"/>
        <w:gridCol w:w="485"/>
        <w:gridCol w:w="931"/>
        <w:gridCol w:w="566"/>
        <w:gridCol w:w="562"/>
        <w:gridCol w:w="715"/>
        <w:gridCol w:w="710"/>
        <w:gridCol w:w="989"/>
        <w:gridCol w:w="427"/>
        <w:gridCol w:w="422"/>
        <w:gridCol w:w="571"/>
        <w:gridCol w:w="706"/>
        <w:gridCol w:w="103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联</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易内容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联</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交易</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类交</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易金</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得</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系</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易</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过</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定</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型</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格</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算</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09"/>
        <w:gridCol w:w="566"/>
        <w:gridCol w:w="485"/>
        <w:gridCol w:w="931"/>
        <w:gridCol w:w="566"/>
        <w:gridCol w:w="562"/>
        <w:gridCol w:w="715"/>
        <w:gridCol w:w="710"/>
        <w:gridCol w:w="989"/>
        <w:gridCol w:w="427"/>
        <w:gridCol w:w="422"/>
        <w:gridCol w:w="571"/>
        <w:gridCol w:w="706"/>
        <w:gridCol w:w="1037"/>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网《关于</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油相关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交易预计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信威信息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网《关于</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速相关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交易预计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交通科技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网《关于</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油相关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交易预计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按类别对本期将发生的日常关联交</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gridSpan w:val="6"/>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日召开第三届董事会第十次会</w:t>
            </w:r>
          </w:p>
        </w:tc>
      </w:tr>
      <w:tr>
        <w:trPr>
          <w:trHeight w:val="312" w:hRule="exact"/>
        </w:trPr>
        <w:tc>
          <w:tcPr>
            <w:gridSpan w:val="4"/>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易进行总金额预计的，在报告期内的</w:t>
            </w:r>
          </w:p>
        </w:tc>
        <w:tc>
          <w:tcPr>
            <w:gridSpan w:val="6"/>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w:t>
            </w:r>
          </w:p>
        </w:tc>
        <w:tc>
          <w:tcPr>
            <w:gridSpan w:val="4"/>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w:t>
            </w:r>
          </w:p>
        </w:tc>
      </w:tr>
      <w:tr>
        <w:trPr>
          <w:trHeight w:val="312" w:hRule="exact"/>
        </w:trPr>
        <w:tc>
          <w:tcPr>
            <w:gridSpan w:val="3"/>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实际履行情况（如有）</w:t>
            </w:r>
          </w:p>
        </w:tc>
        <w:tc>
          <w:tcPr>
            <w:tcBorders/>
            <w:shd w:val="clear" w:color="auto" w:fill="FFFFFF"/>
            <w:vAlign w:val="top"/>
          </w:tcPr>
          <w:p>
            <w:pPr>
              <w:widowControl w:val="0"/>
              <w:rPr>
                <w:sz w:val="10"/>
                <w:szCs w:val="10"/>
              </w:rPr>
            </w:pPr>
          </w:p>
        </w:tc>
        <w:tc>
          <w:tcPr>
            <w:gridSpan w:val="10"/>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计的议案》，预计公司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年度与关联方山东高速信威信息科技有限公司、山东高</w:t>
            </w:r>
          </w:p>
        </w:tc>
      </w:tr>
      <w:tr>
        <w:trPr>
          <w:trHeight w:val="31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10"/>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速信联科技股份有限公司、深圳宝溢交通科技有限公司发生日常关联交易，关联交</w:t>
            </w:r>
          </w:p>
        </w:tc>
      </w:tr>
      <w:tr>
        <w:trPr>
          <w:trHeight w:val="31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7"/>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易预计总金额不超过</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实际发生金额为</w:t>
            </w:r>
          </w:p>
        </w:tc>
      </w:tr>
      <w:tr>
        <w:trPr>
          <w:trHeight w:val="360"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617.60 </w:t>
            </w:r>
            <w:r>
              <w:rPr>
                <w:color w:val="000000"/>
                <w:spacing w:val="0"/>
                <w:w w:val="100"/>
                <w:position w:val="0"/>
              </w:rPr>
              <w:t>万元，</w:t>
            </w:r>
          </w:p>
        </w:tc>
        <w:tc>
          <w:tcPr>
            <w:gridSpan w:val="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未超过董事会批准的关联交易额度。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5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65" w:hRule="exact"/>
        </w:trPr>
        <w:tc>
          <w:tcPr>
            <w:gridSpan w:val="2"/>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bidi w:val="0"/>
        <w:spacing w:before="0" w:after="20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 资产或股权收购、出售发生的关联交易</w:t>
      </w:r>
      <w:bookmarkEnd w:id="538"/>
      <w:bookmarkEnd w:id="539"/>
      <w:bookmarkEnd w:id="541"/>
    </w:p>
    <w:p>
      <w:pPr>
        <w:pStyle w:val="Style28"/>
        <w:keepNext w:val="0"/>
        <w:keepLines w:val="0"/>
        <w:widowControl w:val="0"/>
        <w:shd w:val="clear" w:color="auto" w:fill="auto"/>
        <w:bidi w:val="0"/>
        <w:spacing w:before="0" w:after="360" w:line="39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适用”不适用</w:t>
      </w:r>
    </w:p>
    <w:p>
      <w:pPr>
        <w:pStyle w:val="Style31"/>
        <w:keepNext/>
        <w:keepLines/>
        <w:widowControl w:val="0"/>
        <w:shd w:val="clear" w:color="auto" w:fill="auto"/>
        <w:tabs>
          <w:tab w:pos="371" w:val="left"/>
        </w:tabs>
        <w:bidi w:val="0"/>
        <w:spacing w:before="0" w:after="20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3</w:t>
      </w:r>
      <w:bookmarkEnd w:id="544"/>
      <w:r>
        <w:rPr>
          <w:color w:val="000000"/>
          <w:spacing w:val="0"/>
          <w:w w:val="100"/>
          <w:position w:val="0"/>
        </w:rPr>
        <w:t>、</w:t>
        <w:tab/>
        <w:t>共同对外投资的关联交易</w:t>
      </w:r>
      <w:bookmarkEnd w:id="542"/>
      <w:bookmarkEnd w:id="543"/>
      <w:bookmarkEnd w:id="545"/>
    </w:p>
    <w:p>
      <w:pPr>
        <w:pStyle w:val="Style28"/>
        <w:keepNext w:val="0"/>
        <w:keepLines w:val="0"/>
        <w:widowControl w:val="0"/>
        <w:shd w:val="clear" w:color="auto" w:fill="auto"/>
        <w:bidi w:val="0"/>
        <w:spacing w:before="0" w:after="360" w:line="39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适用”不适用</w:t>
      </w:r>
    </w:p>
    <w:p>
      <w:pPr>
        <w:pStyle w:val="Style31"/>
        <w:keepNext/>
        <w:keepLines/>
        <w:widowControl w:val="0"/>
        <w:shd w:val="clear" w:color="auto" w:fill="auto"/>
        <w:tabs>
          <w:tab w:pos="371" w:val="left"/>
        </w:tabs>
        <w:bidi w:val="0"/>
        <w:spacing w:before="0" w:after="20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4</w:t>
      </w:r>
      <w:bookmarkEnd w:id="548"/>
      <w:r>
        <w:rPr>
          <w:color w:val="000000"/>
          <w:spacing w:val="0"/>
          <w:w w:val="100"/>
          <w:position w:val="0"/>
        </w:rPr>
        <w:t>、</w:t>
        <w:tab/>
        <w:t>关联债权债务往来</w:t>
      </w:r>
      <w:bookmarkEnd w:id="546"/>
      <w:bookmarkEnd w:id="547"/>
      <w:bookmarkEnd w:id="549"/>
    </w:p>
    <w:p>
      <w:pPr>
        <w:pStyle w:val="Style28"/>
        <w:keepNext w:val="0"/>
        <w:keepLines w:val="0"/>
        <w:widowControl w:val="0"/>
        <w:shd w:val="clear" w:color="auto" w:fill="auto"/>
        <w:bidi w:val="0"/>
        <w:spacing w:before="0" w:after="360" w:line="39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适用”不适用</w:t>
      </w:r>
    </w:p>
    <w:p>
      <w:pPr>
        <w:pStyle w:val="Style31"/>
        <w:keepNext/>
        <w:keepLines/>
        <w:widowControl w:val="0"/>
        <w:shd w:val="clear" w:color="auto" w:fill="auto"/>
        <w:tabs>
          <w:tab w:pos="371" w:val="left"/>
        </w:tabs>
        <w:bidi w:val="0"/>
        <w:spacing w:before="0" w:after="20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5</w:t>
      </w:r>
      <w:bookmarkEnd w:id="552"/>
      <w:r>
        <w:rPr>
          <w:color w:val="000000"/>
          <w:spacing w:val="0"/>
          <w:w w:val="100"/>
          <w:position w:val="0"/>
        </w:rPr>
        <w:t>、</w:t>
        <w:tab/>
        <w:t>与存在关联关系的财务公司的往来情况</w:t>
      </w:r>
      <w:bookmarkEnd w:id="550"/>
      <w:bookmarkEnd w:id="551"/>
      <w:bookmarkEnd w:id="553"/>
    </w:p>
    <w:p>
      <w:pPr>
        <w:pStyle w:val="Style28"/>
        <w:keepNext w:val="0"/>
        <w:keepLines w:val="0"/>
        <w:widowControl w:val="0"/>
        <w:shd w:val="clear" w:color="auto" w:fill="auto"/>
        <w:bidi w:val="0"/>
        <w:spacing w:before="0" w:after="360" w:line="39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适用”不适用</w:t>
      </w:r>
    </w:p>
    <w:p>
      <w:pPr>
        <w:pStyle w:val="Style31"/>
        <w:keepNext/>
        <w:keepLines/>
        <w:widowControl w:val="0"/>
        <w:shd w:val="clear" w:color="auto" w:fill="auto"/>
        <w:tabs>
          <w:tab w:pos="371" w:val="left"/>
        </w:tabs>
        <w:bidi w:val="0"/>
        <w:spacing w:before="0" w:after="20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6</w:t>
      </w:r>
      <w:bookmarkEnd w:id="556"/>
      <w:r>
        <w:rPr>
          <w:color w:val="000000"/>
          <w:spacing w:val="0"/>
          <w:w w:val="100"/>
          <w:position w:val="0"/>
        </w:rPr>
        <w:t>、</w:t>
        <w:tab/>
        <w:t>公司控股的财务公司与关联方的往来情况</w:t>
      </w:r>
      <w:bookmarkEnd w:id="554"/>
      <w:bookmarkEnd w:id="555"/>
      <w:bookmarkEnd w:id="557"/>
    </w:p>
    <w:p>
      <w:pPr>
        <w:pStyle w:val="Style28"/>
        <w:keepNext w:val="0"/>
        <w:keepLines w:val="0"/>
        <w:widowControl w:val="0"/>
        <w:shd w:val="clear" w:color="auto" w:fill="auto"/>
        <w:bidi w:val="0"/>
        <w:spacing w:before="0" w:after="360" w:line="39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适用”不适用</w:t>
      </w:r>
    </w:p>
    <w:p>
      <w:pPr>
        <w:pStyle w:val="Style31"/>
        <w:keepNext/>
        <w:keepLines/>
        <w:widowControl w:val="0"/>
        <w:shd w:val="clear" w:color="auto" w:fill="auto"/>
        <w:tabs>
          <w:tab w:pos="371" w:val="left"/>
        </w:tabs>
        <w:bidi w:val="0"/>
        <w:spacing w:before="0" w:after="20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7</w:t>
      </w:r>
      <w:bookmarkEnd w:id="560"/>
      <w:r>
        <w:rPr>
          <w:color w:val="000000"/>
          <w:spacing w:val="0"/>
          <w:w w:val="100"/>
          <w:position w:val="0"/>
        </w:rPr>
        <w:t>、</w:t>
        <w:tab/>
        <w:t>其他重大关联交易</w:t>
      </w:r>
      <w:bookmarkEnd w:id="558"/>
      <w:bookmarkEnd w:id="559"/>
      <w:bookmarkEnd w:id="561"/>
    </w:p>
    <w:p>
      <w:pPr>
        <w:pStyle w:val="Style28"/>
        <w:keepNext w:val="0"/>
        <w:keepLines w:val="0"/>
        <w:widowControl w:val="0"/>
        <w:shd w:val="clear" w:color="auto" w:fill="auto"/>
        <w:bidi w:val="0"/>
        <w:spacing w:before="0" w:after="0" w:line="392" w:lineRule="exact"/>
        <w:ind w:left="0" w:right="0" w:firstLine="0"/>
        <w:jc w:val="left"/>
      </w:pPr>
      <w:r>
        <w:rPr>
          <w:color w:val="000000"/>
          <w:spacing w:val="0"/>
          <w:w w:val="100"/>
          <w:position w:val="0"/>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92" w:lineRule="exact"/>
        <w:ind w:left="0" w:right="0" w:firstLine="380"/>
        <w:jc w:val="left"/>
      </w:pPr>
      <w:bookmarkStart w:id="562" w:name="bookmark562"/>
      <w:r>
        <w:rPr>
          <w:color w:val="000000"/>
          <w:spacing w:val="0"/>
          <w:w w:val="100"/>
          <w:position w:val="0"/>
        </w:rPr>
        <w:t>（</w:t>
      </w:r>
      <w:bookmarkEnd w:id="5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为防范经营风险，加速应收账款清收，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月公司与伟龙金溢、广州市铂金科技合伙企业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WEI LONG ELECTRONICS ENGINEERING PTE LTD</w:t>
      </w:r>
      <w:r>
        <w:rPr>
          <w:color w:val="000000"/>
          <w:spacing w:val="0"/>
          <w:w w:val="100"/>
          <w:position w:val="0"/>
        </w:rPr>
        <w:t>和深圳市睿鸿泽科技有限公司签订《股权转让和债务重组协议》，同意在伟 龙金溢股权转让完成后，将伟龙金溢所欠公司账面值总额为</w:t>
      </w:r>
      <w:r>
        <w:rPr>
          <w:rFonts w:ascii="Times New Roman" w:eastAsia="Times New Roman" w:hAnsi="Times New Roman" w:cs="Times New Roman"/>
          <w:color w:val="000000"/>
          <w:spacing w:val="0"/>
          <w:w w:val="100"/>
          <w:position w:val="0"/>
          <w:sz w:val="18"/>
          <w:szCs w:val="18"/>
        </w:rPr>
        <w:t>28,496,387.62</w:t>
      </w:r>
      <w:r>
        <w:rPr>
          <w:color w:val="000000"/>
          <w:spacing w:val="0"/>
          <w:w w:val="100"/>
          <w:position w:val="0"/>
        </w:rPr>
        <w:t xml:space="preserve">元的债务进行重组，公司同意按该等债务评估值 </w:t>
      </w:r>
      <w:r>
        <w:rPr>
          <w:rFonts w:ascii="Times New Roman" w:eastAsia="Times New Roman" w:hAnsi="Times New Roman" w:cs="Times New Roman"/>
          <w:color w:val="000000"/>
          <w:spacing w:val="0"/>
          <w:w w:val="100"/>
          <w:position w:val="0"/>
          <w:sz w:val="18"/>
          <w:szCs w:val="18"/>
        </w:rPr>
        <w:t>1,051.62</w:t>
      </w:r>
      <w:r>
        <w:rPr>
          <w:color w:val="000000"/>
          <w:spacing w:val="0"/>
          <w:w w:val="100"/>
          <w:position w:val="0"/>
        </w:rPr>
        <w:t>万元的取整金额</w:t>
      </w:r>
      <w:r>
        <w:rPr>
          <w:rFonts w:ascii="Times New Roman" w:eastAsia="Times New Roman" w:hAnsi="Times New Roman" w:cs="Times New Roman"/>
          <w:color w:val="000000"/>
          <w:spacing w:val="0"/>
          <w:w w:val="100"/>
          <w:position w:val="0"/>
          <w:sz w:val="18"/>
          <w:szCs w:val="18"/>
        </w:rPr>
        <w:t>1,060</w:t>
      </w:r>
      <w:r>
        <w:rPr>
          <w:color w:val="000000"/>
          <w:spacing w:val="0"/>
          <w:w w:val="100"/>
          <w:position w:val="0"/>
        </w:rPr>
        <w:t>万元要求伟龙金溢偿还债务，伟龙金溢同意该债务金额为</w:t>
      </w:r>
      <w:r>
        <w:rPr>
          <w:rFonts w:ascii="Times New Roman" w:eastAsia="Times New Roman" w:hAnsi="Times New Roman" w:cs="Times New Roman"/>
          <w:color w:val="000000"/>
          <w:spacing w:val="0"/>
          <w:w w:val="100"/>
          <w:position w:val="0"/>
          <w:sz w:val="18"/>
          <w:szCs w:val="18"/>
        </w:rPr>
        <w:t>1,060</w:t>
      </w:r>
      <w:r>
        <w:rPr>
          <w:color w:val="000000"/>
          <w:spacing w:val="0"/>
          <w:w w:val="100"/>
          <w:position w:val="0"/>
        </w:rPr>
        <w:t>万元，就该等金额向公司 承担偿还义务。杨成为伟龙金溢上述偿还义务提供连带责任保证担保。截至报告期末该笔债务已全部清偿完毕。</w:t>
      </w:r>
    </w:p>
    <w:p>
      <w:pPr>
        <w:pStyle w:val="Style28"/>
        <w:keepNext w:val="0"/>
        <w:keepLines w:val="0"/>
        <w:widowControl w:val="0"/>
        <w:shd w:val="clear" w:color="auto" w:fill="auto"/>
        <w:bidi w:val="0"/>
        <w:spacing w:before="0" w:after="200" w:line="392" w:lineRule="exact"/>
        <w:ind w:left="0" w:right="0" w:firstLine="380"/>
        <w:jc w:val="left"/>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公司与山东高速信联支付有限公司（以下简称“信联支付”）于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年签署了《车载电子标签（</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）供货协 议》（简称“原协议”），根据协议约定的供货计划，公司应当在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月向信联支付供应指定型号的蓝牙</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车载 电子标签（</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）不少于</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日，经双方核对确认公司有</w:t>
      </w:r>
      <w:r>
        <w:rPr>
          <w:rFonts w:ascii="Times New Roman" w:eastAsia="Times New Roman" w:hAnsi="Times New Roman" w:cs="Times New Roman"/>
          <w:color w:val="000000"/>
          <w:spacing w:val="0"/>
          <w:w w:val="100"/>
          <w:position w:val="0"/>
          <w:sz w:val="18"/>
          <w:szCs w:val="18"/>
        </w:rPr>
        <w:t>85.63</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的供货时间晚于原 协议约定的时间，供货逾期数量明细记载于双方于当日签订的《〈车载电子标签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color w:val="000000"/>
          <w:spacing w:val="0"/>
          <w:w w:val="100"/>
          <w:position w:val="0"/>
        </w:rPr>
        <w:t>供货协议〉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年供货明细表》。 就上述设备交付逾期事项，公司于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日在深圳与信联支付签署《</w:t>
      </w:r>
      <w:r>
        <w:rPr>
          <w:color w:val="000000"/>
          <w:spacing w:val="0"/>
          <w:w w:val="100"/>
          <w:position w:val="0"/>
          <w:sz w:val="18"/>
          <w:szCs w:val="18"/>
        </w:rPr>
        <w:t>〈</w:t>
      </w:r>
      <w:r>
        <w:rPr>
          <w:color w:val="000000"/>
          <w:spacing w:val="0"/>
          <w:w w:val="100"/>
          <w:position w:val="0"/>
        </w:rPr>
        <w:t>车载电子标签（</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）供货协议</w:t>
      </w:r>
      <w:r>
        <w:rPr>
          <w:color w:val="000000"/>
          <w:spacing w:val="0"/>
          <w:w w:val="100"/>
          <w:position w:val="0"/>
          <w:sz w:val="18"/>
          <w:szCs w:val="18"/>
        </w:rPr>
        <w:t>〉</w:t>
      </w:r>
      <w:r>
        <w:rPr>
          <w:color w:val="000000"/>
          <w:spacing w:val="0"/>
          <w:w w:val="100"/>
          <w:position w:val="0"/>
        </w:rPr>
        <w:t>之补充 协议》，双方一致同意并确认在原合同履行过程中，公司存在未及时向信联支付交付</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设备的情形，公司逾期交货行为 已经构成违约，应当按原合同约定向信联支付支付违约金</w:t>
      </w:r>
      <w:r>
        <w:rPr>
          <w:rFonts w:ascii="Times New Roman" w:eastAsia="Times New Roman" w:hAnsi="Times New Roman" w:cs="Times New Roman"/>
          <w:color w:val="000000"/>
          <w:spacing w:val="0"/>
          <w:w w:val="100"/>
          <w:position w:val="0"/>
          <w:sz w:val="18"/>
          <w:szCs w:val="18"/>
        </w:rPr>
        <w:t>4,281.50</w:t>
      </w:r>
      <w:r>
        <w:rPr>
          <w:color w:val="000000"/>
          <w:spacing w:val="0"/>
          <w:w w:val="100"/>
          <w:position w:val="0"/>
        </w:rPr>
        <w:t>万元。截至报告期末已支付</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违约金款项</w:t>
      </w:r>
      <w:r>
        <w:rPr>
          <w:rFonts w:ascii="Times New Roman" w:eastAsia="Times New Roman" w:hAnsi="Times New Roman" w:cs="Times New Roman"/>
          <w:color w:val="000000"/>
          <w:spacing w:val="0"/>
          <w:w w:val="100"/>
          <w:position w:val="0"/>
          <w:sz w:val="18"/>
          <w:szCs w:val="18"/>
        </w:rPr>
        <w:t>1,284.45</w:t>
      </w:r>
      <w:r>
        <w:rPr>
          <w:color w:val="000000"/>
          <w:spacing w:val="0"/>
          <w:w w:val="100"/>
          <w:position w:val="0"/>
        </w:rPr>
        <w:t>万 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《关于控股子公司债务重组暨关联交易的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w:t>
            </w:r>
          </w:p>
        </w:tc>
      </w:tr>
    </w:tbl>
    <w:tbl>
      <w:tblPr>
        <w:tblOverlap w:val="never"/>
        <w:jc w:val="center"/>
        <w:tblLayout w:type="fixed"/>
      </w:tblPr>
      <w:tblGrid>
        <w:gridCol w:w="3466"/>
        <w:gridCol w:w="2650"/>
        <w:gridCol w:w="3470"/>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《关于公司与参股公司信联支付关联交易 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r>
        <w:rPr>
          <w:color w:val="000000"/>
          <w:spacing w:val="0"/>
          <w:w w:val="100"/>
          <w:position w:val="0"/>
          <w:sz w:val="24"/>
          <w:szCs w:val="24"/>
        </w:rPr>
        <w:t>十五、重大合同及其履行情况</w:t>
      </w:r>
      <w:bookmarkEnd w:id="564"/>
      <w:bookmarkEnd w:id="565"/>
      <w:bookmarkEnd w:id="566"/>
    </w:p>
    <w:p>
      <w:pPr>
        <w:pStyle w:val="Style31"/>
        <w:keepNext/>
        <w:keepLines/>
        <w:widowControl w:val="0"/>
        <w:shd w:val="clear" w:color="auto" w:fill="auto"/>
        <w:tabs>
          <w:tab w:pos="368" w:val="left"/>
        </w:tabs>
        <w:bidi w:val="0"/>
        <w:spacing w:before="0" w:after="38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w:t>
        <w:tab/>
        <w:t>托管、承包、租赁事项情况</w:t>
      </w:r>
      <w:bookmarkEnd w:id="567"/>
      <w:bookmarkEnd w:id="568"/>
      <w:bookmarkEnd w:id="570"/>
    </w:p>
    <w:p>
      <w:pPr>
        <w:pStyle w:val="Style42"/>
        <w:keepNext/>
        <w:keepLines/>
        <w:widowControl w:val="0"/>
        <w:shd w:val="clear" w:color="auto" w:fill="auto"/>
        <w:tabs>
          <w:tab w:pos="493" w:val="left"/>
        </w:tabs>
        <w:bidi w:val="0"/>
        <w:spacing w:before="0" w:after="42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1"/>
      <w:bookmarkEnd w:id="572"/>
      <w:bookmarkEnd w:id="574"/>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after="42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5"/>
      <w:bookmarkEnd w:id="576"/>
      <w:bookmarkEnd w:id="578"/>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9"/>
      <w:bookmarkEnd w:id="580"/>
      <w:bookmarkEnd w:id="582"/>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公司报告期内不存在为公司带来的损益达到利润总额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keepLines/>
        <w:widowControl w:val="0"/>
        <w:shd w:val="clear" w:color="auto" w:fill="auto"/>
        <w:tabs>
          <w:tab w:pos="378" w:val="left"/>
        </w:tabs>
        <w:bidi w:val="0"/>
        <w:spacing w:before="0" w:after="420" w:line="240"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重大担保</w:t>
      </w:r>
      <w:bookmarkEnd w:id="583"/>
      <w:bookmarkEnd w:id="584"/>
      <w:bookmarkEnd w:id="586"/>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公司报告期不存在重大担保情况。</w:t>
      </w:r>
    </w:p>
    <w:p>
      <w:pPr>
        <w:pStyle w:val="Style31"/>
        <w:keepNext/>
        <w:keepLines/>
        <w:widowControl w:val="0"/>
        <w:shd w:val="clear" w:color="auto" w:fill="auto"/>
        <w:tabs>
          <w:tab w:pos="378" w:val="left"/>
        </w:tabs>
        <w:bidi w:val="0"/>
        <w:spacing w:before="0" w:after="38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委托他人进行现金资产管理情况</w:t>
      </w:r>
      <w:bookmarkEnd w:id="587"/>
      <w:bookmarkEnd w:id="588"/>
      <w:bookmarkEnd w:id="590"/>
    </w:p>
    <w:p>
      <w:pPr>
        <w:pStyle w:val="Style42"/>
        <w:keepNext/>
        <w:keepLines/>
        <w:widowControl w:val="0"/>
        <w:shd w:val="clear" w:color="auto" w:fill="auto"/>
        <w:bidi w:val="0"/>
        <w:spacing w:before="0" w:after="420" w:line="240" w:lineRule="auto"/>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91"/>
      <w:bookmarkEnd w:id="592"/>
      <w:bookmarkEnd w:id="594"/>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单项金额重大或安全性较低、流动性较差的高风险委托理财具体情况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42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420" w:line="240" w:lineRule="auto"/>
        <w:ind w:left="0" w:right="0" w:firstLine="14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95"/>
      <w:bookmarkEnd w:id="596"/>
      <w:bookmarkEnd w:id="598"/>
    </w:p>
    <w:p>
      <w:pPr>
        <w:pStyle w:val="Style28"/>
        <w:keepNext w:val="0"/>
        <w:keepLines w:val="0"/>
        <w:widowControl w:val="0"/>
        <w:shd w:val="clear" w:color="auto" w:fill="auto"/>
        <w:bidi w:val="0"/>
        <w:spacing w:before="0" w:after="1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公司报告期不存在委托贷款。</w:t>
      </w:r>
    </w:p>
    <w:p>
      <w:pPr>
        <w:pStyle w:val="Style31"/>
        <w:keepNext/>
        <w:keepLines/>
        <w:widowControl w:val="0"/>
        <w:shd w:val="clear" w:color="auto" w:fill="auto"/>
        <w:bidi w:val="0"/>
        <w:spacing w:before="0" w:after="340" w:line="240" w:lineRule="auto"/>
        <w:ind w:left="0" w:right="0" w:firstLine="14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4</w:t>
      </w:r>
      <w:bookmarkEnd w:id="601"/>
      <w:r>
        <w:rPr>
          <w:color w:val="000000"/>
          <w:spacing w:val="0"/>
          <w:w w:val="100"/>
          <w:position w:val="0"/>
        </w:rPr>
        <w:t>、其他重大合同</w:t>
      </w:r>
      <w:bookmarkEnd w:id="599"/>
      <w:bookmarkEnd w:id="600"/>
      <w:bookmarkEnd w:id="602"/>
    </w:p>
    <w:p>
      <w:pPr>
        <w:pStyle w:val="Style26"/>
        <w:keepNext w:val="0"/>
        <w:keepLines w:val="0"/>
        <w:widowControl w:val="0"/>
        <w:shd w:val="clear" w:color="auto" w:fill="auto"/>
        <w:bidi w:val="0"/>
        <w:spacing w:before="0" w:after="0" w:line="240" w:lineRule="auto"/>
        <w:ind w:left="13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63"/>
        <w:gridCol w:w="763"/>
        <w:gridCol w:w="557"/>
        <w:gridCol w:w="466"/>
        <w:gridCol w:w="470"/>
        <w:gridCol w:w="466"/>
        <w:gridCol w:w="432"/>
        <w:gridCol w:w="432"/>
        <w:gridCol w:w="274"/>
        <w:gridCol w:w="437"/>
        <w:gridCol w:w="274"/>
        <w:gridCol w:w="456"/>
        <w:gridCol w:w="1459"/>
        <w:gridCol w:w="658"/>
        <w:gridCol w:w="2189"/>
      </w:tblGrid>
      <w:tr>
        <w:trPr>
          <w:trHeight w:val="32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立对方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 签订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合同 涉及 资产 的账 面价 值 （万 元） （如</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合同 涉及 资产 的评 估价 值 （万 元） （如</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评估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机构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名称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评估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 价 原 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价格</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 否 关 联 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截至报告期末的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金溢科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技股份</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重大产 业投资 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战略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 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本协议仅为框架 性协议，协议项下 的具体合作项目 在经过各自内部 必需的审批程序 审议通过后方可 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.com.cn）</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《关于与深圳市重大产业 投资集团有限公司签署战 略合作协议的公告》（公告 编号：</w:t>
            </w:r>
            <w:r>
              <w:rPr>
                <w:rFonts w:ascii="Times New Roman" w:eastAsia="Times New Roman" w:hAnsi="Times New Roman" w:cs="Times New Roman"/>
                <w:color w:val="000000"/>
                <w:spacing w:val="0"/>
                <w:w w:val="100"/>
                <w:position w:val="0"/>
                <w:sz w:val="18"/>
                <w:szCs w:val="18"/>
              </w:rPr>
              <w:t>2020-048</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金溢科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技股份</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腾讯科 技（深 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战略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 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本协议为双方合 作的原则性约定， 具体合作事项尚 待双方另行签署 相关协议依据以 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.com.cn）</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《关于与腾讯科技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有 限公司签署战略合作框架 协议的公告》（公告编号： </w:t>
            </w:r>
            <w:r>
              <w:rPr>
                <w:rFonts w:ascii="Times New Roman" w:eastAsia="Times New Roman" w:hAnsi="Times New Roman" w:cs="Times New Roman"/>
                <w:color w:val="000000"/>
                <w:spacing w:val="0"/>
                <w:w w:val="100"/>
                <w:position w:val="0"/>
                <w:sz w:val="18"/>
                <w:szCs w:val="18"/>
              </w:rPr>
              <w:t>2019-076</w:t>
            </w:r>
            <w:r>
              <w:rPr>
                <w:color w:val="000000"/>
                <w:spacing w:val="0"/>
                <w:w w:val="100"/>
                <w:position w:val="0"/>
              </w:rPr>
              <w:t>）</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金溢科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技股份</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 度网讯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百度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Apollo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 适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本协议为双方进 行相关合作达成 的原则性意见。双 方在开展具体项 目合作时，应根据 本协议确定的基 本原则签订具体 的业务合作协议，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.com.cn）</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《关于与北京百度网讯科 技有限公司签署合作框架 协议的公告》（公告编号： </w:t>
            </w:r>
            <w:r>
              <w:rPr>
                <w:rFonts w:ascii="Times New Roman" w:eastAsia="Times New Roman" w:hAnsi="Times New Roman" w:cs="Times New Roman"/>
                <w:color w:val="000000"/>
                <w:spacing w:val="0"/>
                <w:w w:val="100"/>
                <w:position w:val="0"/>
                <w:sz w:val="18"/>
                <w:szCs w:val="18"/>
              </w:rPr>
              <w:t>2020-100</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63"/>
        <w:gridCol w:w="763"/>
        <w:gridCol w:w="557"/>
        <w:gridCol w:w="466"/>
        <w:gridCol w:w="470"/>
        <w:gridCol w:w="466"/>
        <w:gridCol w:w="432"/>
        <w:gridCol w:w="432"/>
        <w:gridCol w:w="274"/>
        <w:gridCol w:w="437"/>
        <w:gridCol w:w="274"/>
        <w:gridCol w:w="456"/>
        <w:gridCol w:w="1459"/>
        <w:gridCol w:w="658"/>
        <w:gridCol w:w="2189"/>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具体合作安排以 双方正式签署的 业务合作协议为 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603" w:name="bookmark603"/>
      <w:bookmarkStart w:id="604" w:name="bookmark604"/>
      <w:bookmarkStart w:id="605" w:name="bookmark605"/>
      <w:r>
        <w:rPr>
          <w:color w:val="000000"/>
          <w:spacing w:val="0"/>
          <w:w w:val="100"/>
          <w:position w:val="0"/>
          <w:sz w:val="24"/>
          <w:szCs w:val="24"/>
        </w:rPr>
        <w:t>十六、其他重大事项的说明</w:t>
      </w:r>
      <w:bookmarkEnd w:id="603"/>
      <w:bookmarkEnd w:id="604"/>
      <w:bookmarkEnd w:id="60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1277"/>
        <w:gridCol w:w="624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65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公司参与山东高速信联 支付有限公司混改增资 事项已完成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）《对外投资进展公告（五）》（公告编</w:t>
            </w:r>
            <w:r>
              <w:rPr>
                <w:color w:val="000000"/>
                <w:spacing w:val="0"/>
                <w:w w:val="100"/>
                <w:position w:val="0"/>
              </w:rPr>
              <w:t xml:space="preserve"> 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）《对外投资进展公告（六）》（公告编</w:t>
            </w:r>
            <w:r>
              <w:rPr>
                <w:color w:val="000000"/>
                <w:spacing w:val="0"/>
                <w:w w:val="100"/>
                <w:position w:val="0"/>
              </w:rPr>
              <w:t xml:space="preserve"> 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）《对外投资进展公告（七）》（公告编</w:t>
            </w:r>
            <w:r>
              <w:rPr>
                <w:color w:val="000000"/>
                <w:spacing w:val="0"/>
                <w:w w:val="100"/>
                <w:position w:val="0"/>
              </w:rPr>
              <w:t xml:space="preserve"> 号：</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公司完成增资入股深圳 镓华微电子有限公司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《关于签署投资意向书的公告》（公告</w:t>
            </w:r>
            <w:r>
              <w:rPr>
                <w:color w:val="000000"/>
                <w:spacing w:val="0"/>
                <w:w w:val="100"/>
                <w:position w:val="0"/>
              </w:rPr>
              <w:t xml:space="preserve"> 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《对外投资公告》（公告编号:</w:t>
            </w:r>
            <w:r>
              <w:rPr>
                <w:rFonts w:ascii="Times New Roman" w:eastAsia="Times New Roman" w:hAnsi="Times New Roman" w:cs="Times New Roman"/>
                <w:color w:val="000000"/>
                <w:spacing w:val="0"/>
                <w:w w:val="100"/>
                <w:position w:val="0"/>
                <w:sz w:val="18"/>
                <w:szCs w:val="18"/>
              </w:rPr>
              <w:t>2021-041</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《对外投资进展公告》（公告编号：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公司出售参股公司山东 高速信联科技股份有限 公司部分股权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《关于出售参股公司部分股权的公告》</w:t>
            </w:r>
            <w:r>
              <w:rPr>
                <w:color w:val="000000"/>
                <w:spacing w:val="0"/>
                <w:w w:val="100"/>
                <w:position w:val="0"/>
              </w:rPr>
              <w:t xml:space="preserve"> （公告编号: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《关于出售参股公司部分股权的进展公</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tc>
      </w:tr>
      <w:tr>
        <w:trPr>
          <w:trHeight w:val="66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 及权益分派实施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年度利润分配预案的公告》 （公告编号: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年年度权益分派实施的公告》</w:t>
            </w:r>
            <w:r>
              <w:rPr>
                <w:color w:val="000000"/>
                <w:spacing w:val="0"/>
                <w:w w:val="100"/>
                <w:position w:val="0"/>
              </w:rPr>
              <w:t xml:space="preserve"> （公告编号: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公司原高新技术企业证 书有效期满后，通过高新 技术企业重新认定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）《关于公司通过高新技术企业重新认定 的公告》（公告编号：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19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年限制性激励计划 第二个解锁期解锁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《第三届董事会第十二次会议决议公告》</w:t>
            </w:r>
            <w:r>
              <w:rPr>
                <w:color w:val="000000"/>
                <w:spacing w:val="0"/>
                <w:w w:val="100"/>
                <w:position w:val="0"/>
              </w:rPr>
              <w:t xml:space="preserve"> （公告编号：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 xml:space="preserve">）、《第三届监事会第十次会议决议公告》（公告编号： </w:t>
            </w:r>
            <w:r>
              <w:rPr>
                <w:rFonts w:ascii="Times New Roman" w:eastAsia="Times New Roman" w:hAnsi="Times New Roman" w:cs="Times New Roman"/>
                <w:color w:val="000000"/>
                <w:spacing w:val="0"/>
                <w:w w:val="100"/>
                <w:position w:val="0"/>
                <w:sz w:val="18"/>
                <w:szCs w:val="18"/>
              </w:rPr>
              <w:t>2021-057</w:t>
            </w:r>
            <w:r>
              <w:rPr>
                <w:color w:val="000000"/>
                <w:spacing w:val="0"/>
                <w:w w:val="100"/>
                <w:position w:val="0"/>
              </w:rPr>
              <w:t>）</w:t>
            </w: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年限制性股票激励计划首次授予限制性股票回购价 格的公告》（公告编号：</w:t>
            </w:r>
            <w:r>
              <w:rPr>
                <w:rFonts w:ascii="Times New Roman" w:eastAsia="Times New Roman" w:hAnsi="Times New Roman" w:cs="Times New Roman"/>
                <w:color w:val="000000"/>
                <w:spacing w:val="0"/>
                <w:w w:val="100"/>
                <w:position w:val="0"/>
                <w:sz w:val="18"/>
                <w:szCs w:val="18"/>
              </w:rPr>
              <w:t>2021-058</w:t>
            </w:r>
            <w:r>
              <w:rPr>
                <w:color w:val="000000"/>
                <w:spacing w:val="0"/>
                <w:w w:val="100"/>
                <w:position w:val="0"/>
              </w:rPr>
              <w:t>）</w:t>
            </w:r>
            <w:r>
              <w:rPr>
                <w:color w:val="000000"/>
                <w:spacing w:val="0"/>
                <w:w w:val="100"/>
                <w:position w:val="0"/>
              </w:rPr>
              <w:t>、《关于回购注销部分首次授予的限制性股 票的公告》（公告编号：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 予限制性股票第二个解锁期解锁条件成就的公告》（公告编号：</w:t>
            </w:r>
            <w:r>
              <w:rPr>
                <w:rFonts w:ascii="Times New Roman" w:eastAsia="Times New Roman" w:hAnsi="Times New Roman" w:cs="Times New Roman"/>
                <w:color w:val="000000"/>
                <w:spacing w:val="0"/>
                <w:w w:val="100"/>
                <w:position w:val="0"/>
                <w:sz w:val="18"/>
                <w:szCs w:val="18"/>
              </w:rPr>
              <w:t>2021-061</w:t>
            </w: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400" w:line="240" w:lineRule="auto"/>
        <w:ind w:left="0" w:right="0" w:firstLine="0"/>
        <w:jc w:val="left"/>
      </w:pPr>
      <w:bookmarkStart w:id="606" w:name="bookmark606"/>
      <w:bookmarkStart w:id="607" w:name="bookmark607"/>
      <w:bookmarkStart w:id="608" w:name="bookmark608"/>
      <w:r>
        <w:rPr>
          <w:color w:val="000000"/>
          <w:spacing w:val="0"/>
          <w:w w:val="100"/>
          <w:position w:val="0"/>
          <w:sz w:val="24"/>
          <w:szCs w:val="24"/>
        </w:rPr>
        <w:t>十七、公司子公司重大事项</w:t>
      </w:r>
      <w:bookmarkEnd w:id="606"/>
      <w:bookmarkEnd w:id="607"/>
      <w:bookmarkEnd w:id="608"/>
    </w:p>
    <w:p>
      <w:pPr>
        <w:pStyle w:val="Style28"/>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广东华信金溢信息技术有限公司于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日召开股东大会，鉴于严重亏损不能到期清偿债务，并且资产不足以清 </w:t>
      </w:r>
      <w:r>
        <w:rPr>
          <w:color w:val="000000"/>
          <w:spacing w:val="0"/>
          <w:w w:val="100"/>
          <w:position w:val="0"/>
        </w:rPr>
        <w:t>偿全部债务，向广东省东莞市中级人民法院提出破产清算。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日，广东省东莞市中级人民法院裁定受理广东华信 金溢信息技术有限公司提出的破产清算申请，并出具了民事裁定书（（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日，广东省东 莞市中级人民法院指定广东天健会计师事务所有限公司为管理人，并出具了公告（（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破</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号），公司对广东华信 金溢信息技术有限公司丧失控制权，从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月起不再纳入合并范围。</w:t>
      </w:r>
      <w:r>
        <w:br w:type="page"/>
      </w:r>
    </w:p>
    <w:p>
      <w:pPr>
        <w:pStyle w:val="Style14"/>
        <w:keepNext/>
        <w:keepLines/>
        <w:widowControl w:val="0"/>
        <w:shd w:val="clear" w:color="auto" w:fill="auto"/>
        <w:bidi w:val="0"/>
        <w:spacing w:before="0" w:line="240" w:lineRule="auto"/>
        <w:ind w:left="0" w:right="0" w:firstLine="0"/>
        <w:jc w:val="center"/>
      </w:pPr>
      <w:bookmarkStart w:id="609" w:name="bookmark609"/>
      <w:bookmarkStart w:id="610" w:name="bookmark610"/>
      <w:bookmarkStart w:id="611" w:name="bookmark611"/>
      <w:r>
        <w:rPr>
          <w:color w:val="000000"/>
          <w:spacing w:val="0"/>
          <w:w w:val="100"/>
          <w:position w:val="0"/>
        </w:rPr>
        <w:t>第七节股份变动及股东情况</w:t>
      </w:r>
      <w:bookmarkEnd w:id="609"/>
      <w:bookmarkEnd w:id="610"/>
      <w:bookmarkEnd w:id="611"/>
    </w:p>
    <w:p>
      <w:pPr>
        <w:pStyle w:val="Style24"/>
        <w:keepNext/>
        <w:keepLines/>
        <w:widowControl w:val="0"/>
        <w:shd w:val="clear" w:color="auto" w:fill="auto"/>
        <w:bidi w:val="0"/>
        <w:spacing w:before="0" w:line="240" w:lineRule="auto"/>
        <w:ind w:left="0" w:right="0" w:firstLine="0"/>
        <w:jc w:val="both"/>
      </w:pPr>
      <w:bookmarkStart w:id="612" w:name="bookmark612"/>
      <w:bookmarkStart w:id="613" w:name="bookmark613"/>
      <w:bookmarkStart w:id="614" w:name="bookmark614"/>
      <w:bookmarkStart w:id="615" w:name="bookmark615"/>
      <w:bookmarkStart w:id="616" w:name="bookmark616"/>
      <w:r>
        <w:rPr>
          <w:color w:val="000000"/>
          <w:spacing w:val="0"/>
          <w:w w:val="100"/>
          <w:position w:val="0"/>
          <w:sz w:val="24"/>
          <w:szCs w:val="24"/>
        </w:rPr>
        <w:t>一</w:t>
      </w:r>
      <w:bookmarkEnd w:id="615"/>
      <w:r>
        <w:rPr>
          <w:color w:val="000000"/>
          <w:spacing w:val="0"/>
          <w:w w:val="100"/>
          <w:position w:val="0"/>
          <w:sz w:val="24"/>
          <w:szCs w:val="24"/>
        </w:rPr>
        <w:t>、股份变动情况</w:t>
      </w:r>
      <w:bookmarkEnd w:id="613"/>
      <w:bookmarkEnd w:id="614"/>
      <w:bookmarkEnd w:id="616"/>
      <w:bookmarkEnd w:id="612"/>
    </w:p>
    <w:p>
      <w:pPr>
        <w:pStyle w:val="Style31"/>
        <w:keepNext/>
        <w:keepLines/>
        <w:widowControl w:val="0"/>
        <w:shd w:val="clear" w:color="auto" w:fill="auto"/>
        <w:bidi w:val="0"/>
        <w:spacing w:before="0" w:after="360" w:line="240" w:lineRule="auto"/>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、股份变动情况</w:t>
      </w:r>
      <w:bookmarkEnd w:id="617"/>
      <w:bookmarkEnd w:id="618"/>
      <w:bookmarkEnd w:id="620"/>
    </w:p>
    <w:p>
      <w:pPr>
        <w:pStyle w:val="Style28"/>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单位：股</w:t>
      </w:r>
    </w:p>
    <w:tbl>
      <w:tblPr>
        <w:tblOverlap w:val="never"/>
        <w:jc w:val="center"/>
        <w:tblLayout w:type="fixed"/>
      </w:tblPr>
      <w:tblGrid>
        <w:gridCol w:w="1570"/>
        <w:gridCol w:w="1133"/>
        <w:gridCol w:w="710"/>
        <w:gridCol w:w="706"/>
        <w:gridCol w:w="566"/>
        <w:gridCol w:w="994"/>
        <w:gridCol w:w="1277"/>
        <w:gridCol w:w="850"/>
        <w:gridCol w:w="984"/>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一、有限售条件股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31,467,227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31,467,227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其中：境内法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境内自然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31,467,227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其中：境外法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境外自然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二、无限售条件股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149,168,870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155,219,292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149,168,870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155,219,292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 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 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180,636,097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180,148,557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8"/>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股份变动的原因</w:t>
      </w:r>
    </w:p>
    <w:p>
      <w:pPr>
        <w:pStyle w:val="Style28"/>
        <w:keepNext w:val="0"/>
        <w:keepLines w:val="0"/>
        <w:widowControl w:val="0"/>
        <w:shd w:val="clear" w:color="auto" w:fill="auto"/>
        <w:bidi w:val="0"/>
        <w:spacing w:before="0" w:after="220" w:line="240" w:lineRule="auto"/>
        <w:ind w:left="0" w:right="0" w:firstLine="5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年第二次临时股东大会审议通过《关于回购注销部分首次授予的限制性股票的议案》。对已 </w:t>
      </w:r>
      <w:r>
        <w:rPr>
          <w:color w:val="000000"/>
          <w:spacing w:val="0"/>
          <w:w w:val="100"/>
          <w:position w:val="0"/>
        </w:rPr>
        <w:t>不符合激励条件、失去激励资格的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名人员已获授但尚未解锁的合计</w:t>
      </w:r>
      <w:r>
        <w:rPr>
          <w:rFonts w:ascii="Times New Roman" w:eastAsia="Times New Roman" w:hAnsi="Times New Roman" w:cs="Times New Roman"/>
          <w:color w:val="000000"/>
          <w:spacing w:val="0"/>
          <w:w w:val="100"/>
          <w:position w:val="0"/>
          <w:sz w:val="18"/>
          <w:szCs w:val="18"/>
        </w:rPr>
        <w:t>487,540</w:t>
      </w:r>
      <w:r>
        <w:rPr>
          <w:color w:val="000000"/>
          <w:spacing w:val="0"/>
          <w:w w:val="100"/>
          <w:position w:val="0"/>
        </w:rPr>
        <w:t>股限制性股票予以回购注销。回购注销实施完 成后，公司总股本由</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180,148,557</w:t>
      </w:r>
      <w:r>
        <w:rPr>
          <w:color w:val="000000"/>
          <w:spacing w:val="0"/>
          <w:w w:val="100"/>
          <w:position w:val="0"/>
        </w:rPr>
        <w:t>股。</w:t>
      </w:r>
    </w:p>
    <w:p>
      <w:pPr>
        <w:pStyle w:val="Style28"/>
        <w:keepNext w:val="0"/>
        <w:keepLines w:val="0"/>
        <w:widowControl w:val="0"/>
        <w:shd w:val="clear" w:color="auto" w:fill="auto"/>
        <w:tabs>
          <w:tab w:pos="704" w:val="left"/>
        </w:tabs>
        <w:bidi w:val="0"/>
        <w:spacing w:before="0" w:after="0" w:line="389" w:lineRule="exact"/>
        <w:ind w:left="0" w:right="0" w:firstLine="500"/>
        <w:jc w:val="left"/>
      </w:pPr>
      <w:bookmarkStart w:id="621" w:name="bookmark621"/>
      <w:r>
        <w:rPr>
          <w:rFonts w:ascii="Times New Roman" w:eastAsia="Times New Roman" w:hAnsi="Times New Roman" w:cs="Times New Roman"/>
          <w:color w:val="000000"/>
          <w:spacing w:val="0"/>
          <w:w w:val="100"/>
          <w:position w:val="0"/>
          <w:sz w:val="18"/>
          <w:szCs w:val="18"/>
        </w:rPr>
        <w:t>2</w:t>
      </w:r>
      <w:bookmarkEnd w:id="62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年限制性股票激励计划首次授予限制性股票第二个解锁期解锁条件成就，解除限售股份总数 为</w:t>
      </w:r>
      <w:r>
        <w:rPr>
          <w:rFonts w:ascii="Times New Roman" w:eastAsia="Times New Roman" w:hAnsi="Times New Roman" w:cs="Times New Roman"/>
          <w:color w:val="000000"/>
          <w:spacing w:val="0"/>
          <w:w w:val="100"/>
          <w:position w:val="0"/>
          <w:sz w:val="18"/>
          <w:szCs w:val="18"/>
        </w:rPr>
        <w:t>888,296</w:t>
      </w:r>
      <w:r>
        <w:rPr>
          <w:color w:val="000000"/>
          <w:spacing w:val="0"/>
          <w:w w:val="100"/>
          <w:position w:val="0"/>
        </w:rPr>
        <w:t>股。</w:t>
      </w:r>
    </w:p>
    <w:p>
      <w:pPr>
        <w:pStyle w:val="Style28"/>
        <w:keepNext w:val="0"/>
        <w:keepLines w:val="0"/>
        <w:widowControl w:val="0"/>
        <w:shd w:val="clear" w:color="auto" w:fill="auto"/>
        <w:tabs>
          <w:tab w:pos="854" w:val="left"/>
        </w:tabs>
        <w:bidi w:val="0"/>
        <w:spacing w:before="0" w:after="0" w:line="389" w:lineRule="exact"/>
        <w:ind w:left="0" w:right="0" w:firstLine="500"/>
        <w:jc w:val="left"/>
      </w:pPr>
      <w:bookmarkStart w:id="622" w:name="bookmark622"/>
      <w:r>
        <w:rPr>
          <w:rFonts w:ascii="Times New Roman" w:eastAsia="Times New Roman" w:hAnsi="Times New Roman" w:cs="Times New Roman"/>
          <w:color w:val="000000"/>
          <w:spacing w:val="0"/>
          <w:w w:val="100"/>
          <w:position w:val="0"/>
          <w:sz w:val="18"/>
          <w:szCs w:val="18"/>
        </w:rPr>
        <w:t>3</w:t>
      </w:r>
      <w:bookmarkEnd w:id="622"/>
      <w:r>
        <w:rPr>
          <w:color w:val="000000"/>
          <w:spacing w:val="0"/>
          <w:w w:val="100"/>
          <w:position w:val="0"/>
        </w:rPr>
        <w:t>、</w:t>
        <w:tab/>
        <w:t>其他股份变动原因：因董监高股东任职变动导致报告期内高管锁定股数量相应发生变化。</w:t>
      </w:r>
    </w:p>
    <w:p>
      <w:pPr>
        <w:pStyle w:val="Style28"/>
        <w:keepNext w:val="0"/>
        <w:keepLines w:val="0"/>
        <w:widowControl w:val="0"/>
        <w:shd w:val="clear" w:color="auto" w:fill="auto"/>
        <w:bidi w:val="0"/>
        <w:spacing w:before="0" w:after="220" w:line="391" w:lineRule="exact"/>
        <w:ind w:left="0" w:right="0" w:firstLine="50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454"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91" w:lineRule="exact"/>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日公司分别召开第三届董事会第十二次会议、第三届监事会第十次会议和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 时股东大会，审议通过了《关于回购注销部分首次授予的限制性股票的议案》和《关于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年限制性股票激励计划首次授予 限制性股票第二个解锁期解锁条件成就的议案》，同意公司回购并注销已不符合激励条件、失去本次限制性股票激励资格的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名人员已获授但尚未解锁的合计</w:t>
      </w:r>
      <w:r>
        <w:rPr>
          <w:rFonts w:ascii="Times New Roman" w:eastAsia="Times New Roman" w:hAnsi="Times New Roman" w:cs="Times New Roman"/>
          <w:color w:val="000000"/>
          <w:spacing w:val="0"/>
          <w:w w:val="100"/>
          <w:position w:val="0"/>
          <w:sz w:val="18"/>
          <w:szCs w:val="18"/>
        </w:rPr>
        <w:t>487,540</w:t>
      </w:r>
      <w:r>
        <w:rPr>
          <w:color w:val="000000"/>
          <w:spacing w:val="0"/>
          <w:w w:val="100"/>
          <w:position w:val="0"/>
        </w:rPr>
        <w:t>股限制性股票，同意公司根据公司《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年限制性股票激励计划（草案）》的相 关规定和公司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年第三次临时股东大会的授权，办理激励计划首次授予限制性股票第二个解锁期解除限售的相关事宜。</w:t>
      </w:r>
    </w:p>
    <w:p>
      <w:pPr>
        <w:pStyle w:val="Style28"/>
        <w:keepNext w:val="0"/>
        <w:keepLines w:val="0"/>
        <w:widowControl w:val="0"/>
        <w:shd w:val="clear" w:color="auto" w:fill="auto"/>
        <w:bidi w:val="0"/>
        <w:spacing w:before="0" w:after="220" w:line="391" w:lineRule="exact"/>
        <w:ind w:left="0" w:right="0" w:firstLine="50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454"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20" w:line="391" w:lineRule="exact"/>
        <w:ind w:left="0" w:right="0" w:firstLine="50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line="454"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403" w:lineRule="exact"/>
        <w:ind w:left="0" w:right="0" w:firstLine="500"/>
        <w:jc w:val="left"/>
      </w:pPr>
      <w:r>
        <w:rPr>
          <w:color w:val="000000"/>
          <w:spacing w:val="0"/>
          <w:w w:val="100"/>
          <w:position w:val="0"/>
        </w:rPr>
        <w:t>股权激励计划限制性股票回购注销实施完成后，公司总股本由</w:t>
      </w:r>
      <w:r>
        <w:rPr>
          <w:color w:val="000000"/>
          <w:spacing w:val="0"/>
          <w:w w:val="100"/>
          <w:position w:val="0"/>
        </w:rPr>
        <w:t>180,636,097</w:t>
      </w:r>
      <w:r>
        <w:rPr>
          <w:color w:val="000000"/>
          <w:spacing w:val="0"/>
          <w:w w:val="100"/>
          <w:position w:val="0"/>
        </w:rPr>
        <w:t>股减少至</w:t>
      </w:r>
      <w:r>
        <w:rPr>
          <w:color w:val="000000"/>
          <w:spacing w:val="0"/>
          <w:w w:val="100"/>
          <w:position w:val="0"/>
        </w:rPr>
        <w:t>180,148,557</w:t>
      </w:r>
      <w:r>
        <w:rPr>
          <w:color w:val="000000"/>
          <w:spacing w:val="0"/>
          <w:w w:val="100"/>
          <w:position w:val="0"/>
        </w:rPr>
        <w:t>股。股份变动后相关财 务指标具体情况详见财务报告章节。</w:t>
      </w:r>
    </w:p>
    <w:p>
      <w:pPr>
        <w:pStyle w:val="Style28"/>
        <w:keepNext w:val="0"/>
        <w:keepLines w:val="0"/>
        <w:widowControl w:val="0"/>
        <w:shd w:val="clear" w:color="auto" w:fill="auto"/>
        <w:bidi w:val="0"/>
        <w:spacing w:before="0" w:after="220" w:line="403" w:lineRule="exact"/>
        <w:ind w:left="0" w:right="0" w:firstLine="50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220" w:line="468" w:lineRule="auto"/>
        <w:ind w:left="0" w:right="0" w:firstLine="50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、限售股份变动情况</w:t>
      </w:r>
      <w:bookmarkEnd w:id="623"/>
      <w:bookmarkEnd w:id="624"/>
      <w:bookmarkEnd w:id="626"/>
    </w:p>
    <w:p>
      <w:pPr>
        <w:pStyle w:val="Style28"/>
        <w:keepNext w:val="0"/>
        <w:keepLines w:val="0"/>
        <w:widowControl w:val="0"/>
        <w:shd w:val="clear" w:color="auto" w:fill="auto"/>
        <w:bidi w:val="0"/>
        <w:spacing w:before="0" w:after="0" w:line="45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单位：股</w:t>
      </w:r>
    </w:p>
    <w:tbl>
      <w:tblPr>
        <w:tblOverlap w:val="never"/>
        <w:jc w:val="center"/>
        <w:tblLayout w:type="fixed"/>
      </w:tblPr>
      <w:tblGrid>
        <w:gridCol w:w="1003"/>
        <w:gridCol w:w="989"/>
        <w:gridCol w:w="850"/>
        <w:gridCol w:w="1277"/>
        <w:gridCol w:w="1133"/>
        <w:gridCol w:w="1138"/>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9,447,600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根据法规规定所持高管锁定股后续分期 解锁，于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1,352,400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9,305,950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6,979,462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日离任第三届董事会董 事，根据法规规定所持高管锁定股后续 分期解锁，于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2,326,488 </w:t>
            </w:r>
            <w:r>
              <w:rPr>
                <w:color w:val="000000"/>
                <w:spacing w:val="0"/>
                <w:w w:val="100"/>
                <w:position w:val="0"/>
              </w:rPr>
              <w:t>股。</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1,306,163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6,118,837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根据法规规定所持高管锁定股后续分期 解锁，于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1,306,163 </w:t>
            </w:r>
            <w:r>
              <w:rPr>
                <w:color w:val="000000"/>
                <w:spacing w:val="0"/>
                <w:w w:val="100"/>
                <w:position w:val="0"/>
              </w:rPr>
              <w:t>股。</w:t>
            </w:r>
          </w:p>
        </w:tc>
      </w:tr>
    </w:tbl>
    <w:tbl>
      <w:tblPr>
        <w:tblOverlap w:val="never"/>
        <w:jc w:val="center"/>
        <w:tblLayout w:type="fixed"/>
      </w:tblPr>
      <w:tblGrid>
        <w:gridCol w:w="1003"/>
        <w:gridCol w:w="989"/>
        <w:gridCol w:w="850"/>
        <w:gridCol w:w="1277"/>
        <w:gridCol w:w="1133"/>
        <w:gridCol w:w="1138"/>
        <w:gridCol w:w="3197"/>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根据法规规定所持高管锁定股后续分期 解锁，于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148,950 </w:t>
            </w:r>
            <w:r>
              <w:rPr>
                <w:color w:val="000000"/>
                <w:spacing w:val="0"/>
                <w:w w:val="100"/>
                <w:position w:val="0"/>
              </w:rPr>
              <w:t>股。</w:t>
            </w:r>
          </w:p>
        </w:tc>
      </w:tr>
      <w:tr>
        <w:trPr>
          <w:trHeight w:val="23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性股票计划 首次授予激 励对象（不 含高管何</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 二个解锁期符合解锁条件股权激励限制 性股票合计</w:t>
            </w:r>
            <w:r>
              <w:rPr>
                <w:rFonts w:ascii="Times New Roman" w:eastAsia="Times New Roman" w:hAnsi="Times New Roman" w:cs="Times New Roman"/>
                <w:color w:val="000000"/>
                <w:spacing w:val="0"/>
                <w:w w:val="100"/>
                <w:position w:val="0"/>
                <w:sz w:val="18"/>
                <w:szCs w:val="18"/>
              </w:rPr>
              <w:t>888,296</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日解除限售并上市流通。</w:t>
            </w:r>
          </w:p>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不符合激励条件、丧失激励资格人员 所持</w:t>
            </w:r>
            <w:r>
              <w:rPr>
                <w:rFonts w:ascii="Times New Roman" w:eastAsia="Times New Roman" w:hAnsi="Times New Roman" w:cs="Times New Roman"/>
                <w:color w:val="000000"/>
                <w:spacing w:val="0"/>
                <w:w w:val="100"/>
                <w:position w:val="0"/>
                <w:sz w:val="18"/>
                <w:szCs w:val="18"/>
              </w:rPr>
              <w:t>487,540</w:t>
            </w:r>
            <w:r>
              <w:rPr>
                <w:color w:val="000000"/>
                <w:spacing w:val="0"/>
                <w:w w:val="100"/>
                <w:position w:val="0"/>
              </w:rPr>
              <w:t>股限制性股票于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月中旬被公司回购注销。</w:t>
            </w:r>
          </w:p>
        </w:tc>
      </w:tr>
      <w:tr>
        <w:trPr>
          <w:trHeight w:val="23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日离任公司副总 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根据法规规定所持高管锁定股后续 分期解锁，于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日解除限 售 </w:t>
            </w:r>
            <w:r>
              <w:rPr>
                <w:rFonts w:ascii="Times New Roman" w:eastAsia="Times New Roman" w:hAnsi="Times New Roman" w:cs="Times New Roman"/>
                <w:color w:val="000000"/>
                <w:spacing w:val="0"/>
                <w:w w:val="100"/>
                <w:position w:val="0"/>
                <w:sz w:val="18"/>
                <w:szCs w:val="18"/>
              </w:rPr>
              <w:t xml:space="preserve">28,125 </w:t>
            </w:r>
            <w:r>
              <w:rPr>
                <w:color w:val="000000"/>
                <w:spacing w:val="0"/>
                <w:w w:val="100"/>
                <w:position w:val="0"/>
              </w:rPr>
              <w:t>股。</w:t>
            </w:r>
          </w:p>
          <w:p>
            <w:pPr>
              <w:pStyle w:val="Style2"/>
              <w:keepNext w:val="0"/>
              <w:keepLines w:val="0"/>
              <w:widowControl w:val="0"/>
              <w:shd w:val="clear" w:color="auto" w:fill="auto"/>
              <w:tabs>
                <w:tab w:pos="211"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年限制性股票激励计划获授股权 激励限制性股票</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31,467,227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24,929,265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二</w:t>
      </w:r>
      <w:bookmarkEnd w:id="629"/>
      <w:r>
        <w:rPr>
          <w:color w:val="000000"/>
          <w:spacing w:val="0"/>
          <w:w w:val="100"/>
          <w:position w:val="0"/>
          <w:sz w:val="24"/>
          <w:szCs w:val="24"/>
        </w:rPr>
        <w:t>、证券发行与上市情况</w:t>
      </w:r>
      <w:bookmarkEnd w:id="627"/>
      <w:bookmarkEnd w:id="628"/>
      <w:bookmarkEnd w:id="630"/>
    </w:p>
    <w:p>
      <w:pPr>
        <w:pStyle w:val="Style31"/>
        <w:keepNext/>
        <w:keepLines/>
        <w:widowControl w:val="0"/>
        <w:shd w:val="clear" w:color="auto" w:fill="auto"/>
        <w:bidi w:val="0"/>
        <w:spacing w:before="0" w:after="20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color w:val="000000"/>
          <w:spacing w:val="0"/>
          <w:w w:val="100"/>
          <w:position w:val="0"/>
        </w:rPr>
        <w:t>、报告期内证券发行（不含优先股）情况</w:t>
      </w:r>
      <w:bookmarkEnd w:id="631"/>
      <w:bookmarkEnd w:id="632"/>
      <w:bookmarkEnd w:id="634"/>
    </w:p>
    <w:p>
      <w:pPr>
        <w:pStyle w:val="Style28"/>
        <w:keepNext w:val="0"/>
        <w:keepLines w:val="0"/>
        <w:widowControl w:val="0"/>
        <w:shd w:val="clear" w:color="auto" w:fill="auto"/>
        <w:bidi w:val="0"/>
        <w:spacing w:before="0" w:after="360" w:line="38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2" w:val="left"/>
        </w:tabs>
        <w:bidi w:val="0"/>
        <w:spacing w:before="0" w:after="24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w:t>
        <w:tab/>
        <w:t>公司股份总数及股东结构的变动、公司资产和负债结构的变动情况说明</w:t>
      </w:r>
      <w:bookmarkEnd w:id="635"/>
      <w:bookmarkEnd w:id="636"/>
      <w:bookmarkEnd w:id="638"/>
    </w:p>
    <w:p>
      <w:pPr>
        <w:pStyle w:val="Style28"/>
        <w:keepNext w:val="0"/>
        <w:keepLines w:val="0"/>
        <w:widowControl w:val="0"/>
        <w:shd w:val="clear" w:color="auto" w:fill="auto"/>
        <w:bidi w:val="0"/>
        <w:spacing w:before="0" w:after="0" w:line="38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20" w:line="389" w:lineRule="exact"/>
        <w:ind w:left="0" w:right="0" w:firstLine="3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日召开第三届董事会第十二次会议、第三届监事会第十次会议和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第二次临时股东大会，审议通过了《关于回购注销部分首次授予的限制性股票的议案》、《关于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 首次授予限制性股票第二个解锁期解锁条件成就的议案》及《关于调整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年限制性股票激励计划首次授予限制性股票回 购价格的议案》，公司向已不符合激励条件、失去本次限制性股票激励资格的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名激励对象回购并注销其已获授但尚未解锁 的合计</w:t>
      </w:r>
      <w:r>
        <w:rPr>
          <w:rFonts w:ascii="Times New Roman" w:eastAsia="Times New Roman" w:hAnsi="Times New Roman" w:cs="Times New Roman"/>
          <w:color w:val="000000"/>
          <w:spacing w:val="0"/>
          <w:w w:val="100"/>
          <w:position w:val="0"/>
          <w:sz w:val="18"/>
          <w:szCs w:val="18"/>
        </w:rPr>
        <w:t>487,540</w:t>
      </w:r>
      <w:r>
        <w:rPr>
          <w:color w:val="000000"/>
          <w:spacing w:val="0"/>
          <w:w w:val="100"/>
          <w:position w:val="0"/>
        </w:rPr>
        <w:t>股限制性股票，且回购价格调整为不高于</w:t>
      </w:r>
      <w:r>
        <w:rPr>
          <w:rFonts w:ascii="Times New Roman" w:eastAsia="Times New Roman" w:hAnsi="Times New Roman" w:cs="Times New Roman"/>
          <w:color w:val="000000"/>
          <w:spacing w:val="0"/>
          <w:w w:val="100"/>
          <w:position w:val="0"/>
          <w:sz w:val="18"/>
          <w:szCs w:val="18"/>
        </w:rPr>
        <w:t>11.91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股加上银行同期存款利息之和。截至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公司已完成限制性股票回购注销手续，本次回购限制性股票，公司股份总数由</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180,148,557</w:t>
      </w:r>
      <w:r>
        <w:rPr>
          <w:color w:val="000000"/>
          <w:spacing w:val="0"/>
          <w:w w:val="100"/>
          <w:position w:val="0"/>
        </w:rPr>
        <w:t>股，减少实 收资本</w:t>
      </w:r>
      <w:r>
        <w:rPr>
          <w:rFonts w:ascii="Times New Roman" w:eastAsia="Times New Roman" w:hAnsi="Times New Roman" w:cs="Times New Roman"/>
          <w:color w:val="000000"/>
          <w:spacing w:val="0"/>
          <w:w w:val="100"/>
          <w:position w:val="0"/>
          <w:sz w:val="18"/>
          <w:szCs w:val="18"/>
        </w:rPr>
        <w:t>487,540.00</w:t>
      </w:r>
      <w:r>
        <w:rPr>
          <w:color w:val="000000"/>
          <w:spacing w:val="0"/>
          <w:w w:val="100"/>
          <w:position w:val="0"/>
        </w:rPr>
        <w:t>元，减少资本公积（股本溢价）</w:t>
      </w:r>
      <w:r>
        <w:rPr>
          <w:rFonts w:ascii="Times New Roman" w:eastAsia="Times New Roman" w:hAnsi="Times New Roman" w:cs="Times New Roman"/>
          <w:color w:val="000000"/>
          <w:spacing w:val="0"/>
          <w:w w:val="100"/>
          <w:position w:val="0"/>
          <w:sz w:val="18"/>
          <w:szCs w:val="18"/>
        </w:rPr>
        <w:t>6,546,037.06</w:t>
      </w:r>
      <w:r>
        <w:rPr>
          <w:color w:val="000000"/>
          <w:spacing w:val="0"/>
          <w:w w:val="100"/>
          <w:position w:val="0"/>
        </w:rPr>
        <w:t>元。变更后的注册资本人民币</w:t>
      </w:r>
      <w:r>
        <w:rPr>
          <w:rFonts w:ascii="Times New Roman" w:eastAsia="Times New Roman" w:hAnsi="Times New Roman" w:cs="Times New Roman"/>
          <w:color w:val="000000"/>
          <w:spacing w:val="0"/>
          <w:w w:val="100"/>
          <w:position w:val="0"/>
          <w:sz w:val="18"/>
          <w:szCs w:val="18"/>
        </w:rPr>
        <w:t>180,148,557.00</w:t>
      </w:r>
      <w:r>
        <w:rPr>
          <w:color w:val="000000"/>
          <w:spacing w:val="0"/>
          <w:w w:val="100"/>
          <w:position w:val="0"/>
        </w:rPr>
        <w:t xml:space="preserve">元，实收资本 人民币 </w:t>
      </w:r>
      <w:r>
        <w:rPr>
          <w:rFonts w:ascii="Times New Roman" w:eastAsia="Times New Roman" w:hAnsi="Times New Roman" w:cs="Times New Roman"/>
          <w:color w:val="000000"/>
          <w:spacing w:val="0"/>
          <w:w w:val="100"/>
          <w:position w:val="0"/>
          <w:sz w:val="18"/>
          <w:szCs w:val="18"/>
        </w:rPr>
        <w:t xml:space="preserve">180,148,557.00 </w:t>
      </w:r>
      <w:r>
        <w:rPr>
          <w:color w:val="000000"/>
          <w:spacing w:val="0"/>
          <w:w w:val="100"/>
          <w:position w:val="0"/>
        </w:rPr>
        <w:t>元。</w:t>
      </w:r>
    </w:p>
    <w:p>
      <w:pPr>
        <w:pStyle w:val="Style31"/>
        <w:keepNext/>
        <w:keepLines/>
        <w:widowControl w:val="0"/>
        <w:shd w:val="clear" w:color="auto" w:fill="auto"/>
        <w:tabs>
          <w:tab w:pos="372" w:val="left"/>
        </w:tabs>
        <w:bidi w:val="0"/>
        <w:spacing w:before="0" w:after="20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3</w:t>
      </w:r>
      <w:bookmarkEnd w:id="641"/>
      <w:r>
        <w:rPr>
          <w:color w:val="000000"/>
          <w:spacing w:val="0"/>
          <w:w w:val="100"/>
          <w:position w:val="0"/>
        </w:rPr>
        <w:t>、</w:t>
        <w:tab/>
        <w:t>现存的内部职工股情况</w:t>
      </w:r>
      <w:bookmarkEnd w:id="639"/>
      <w:bookmarkEnd w:id="640"/>
      <w:bookmarkEnd w:id="642"/>
    </w:p>
    <w:p>
      <w:pPr>
        <w:pStyle w:val="Style28"/>
        <w:keepNext w:val="0"/>
        <w:keepLines w:val="0"/>
        <w:widowControl w:val="0"/>
        <w:shd w:val="clear" w:color="auto" w:fill="auto"/>
        <w:bidi w:val="0"/>
        <w:spacing w:before="0" w:after="340" w:line="38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三</w:t>
      </w:r>
      <w:bookmarkEnd w:id="645"/>
      <w:r>
        <w:rPr>
          <w:color w:val="000000"/>
          <w:spacing w:val="0"/>
          <w:w w:val="100"/>
          <w:position w:val="0"/>
          <w:sz w:val="24"/>
          <w:szCs w:val="24"/>
        </w:rPr>
        <w:t>、股东和实际控制人情况</w:t>
      </w:r>
      <w:bookmarkEnd w:id="643"/>
      <w:bookmarkEnd w:id="644"/>
      <w:bookmarkEnd w:id="646"/>
    </w:p>
    <w:p>
      <w:pPr>
        <w:pStyle w:val="Style31"/>
        <w:keepNext/>
        <w:keepLines/>
        <w:widowControl w:val="0"/>
        <w:shd w:val="clear" w:color="auto" w:fill="auto"/>
        <w:bidi w:val="0"/>
        <w:spacing w:before="0" w:after="36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color w:val="000000"/>
          <w:spacing w:val="0"/>
          <w:w w:val="100"/>
          <w:position w:val="0"/>
        </w:rPr>
        <w:t>、公司股东数量及持股情况</w:t>
      </w:r>
      <w:bookmarkEnd w:id="647"/>
      <w:bookmarkEnd w:id="648"/>
      <w:bookmarkEnd w:id="6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1138"/>
        <w:gridCol w:w="998"/>
        <w:gridCol w:w="437"/>
        <w:gridCol w:w="835"/>
        <w:gridCol w:w="226"/>
        <w:gridCol w:w="768"/>
        <w:gridCol w:w="562"/>
        <w:gridCol w:w="149"/>
        <w:gridCol w:w="78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715"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质押、标记或冻结 情况</w:t>
            </w:r>
          </w:p>
        </w:tc>
      </w:tr>
      <w:tr>
        <w:trPr>
          <w:trHeight w:val="715"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股份状 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深圳市敏行电子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3,149,200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8,158,450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6,118,837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2,039,613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7,724,650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7,724,650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7,499,634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-1,806,316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6,979,462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520,172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王明宽</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6,073,000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4,722,550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-1,587,450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4,722,550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2,375,700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孙剑波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2,041,512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2,041,512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2,041,512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基明资产管理（上 海）有限公司一基 明王牌一号私募 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1,142,950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1,142,950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5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股东罗瑞发为股东深圳市敏行电子有限公司的控股股东、法定代表人，持有深圳 市敏行电子有限公司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的股份，两者构成一致行动关系。</w:t>
            </w:r>
          </w:p>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股东王明宽与李娜系夫妻，属于一致行动人。</w:t>
            </w:r>
          </w:p>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除上述情况外，公司无法判断其他股东之间是否存在一致行动关系。</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890"/>
        <w:gridCol w:w="1944"/>
        <w:gridCol w:w="1690"/>
        <w:gridCol w:w="1565"/>
        <w:gridCol w:w="149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 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深圳市敏行电子有限公司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30,615,600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7,724,650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6,073,000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4,722,550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3,149,200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2,041,512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2,039,613</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基明资产管理（上海）有限公司一基明王牌一号私募证券投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1,142,950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729,126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李朝莉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681,500</w:t>
            </w:r>
          </w:p>
        </w:tc>
      </w:tr>
      <w:tr>
        <w:trPr>
          <w:trHeight w:val="20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股东罗瑞发为股东深圳市敏行电子有限公司的控股股东、法定代表人，持有深圳 市敏行电子有限公司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的股份，两者构成一致行动关系。</w:t>
            </w:r>
          </w:p>
          <w:p>
            <w:pPr>
              <w:pStyle w:val="Style2"/>
              <w:keepNext w:val="0"/>
              <w:keepLines w:val="0"/>
              <w:widowControl w:val="0"/>
              <w:shd w:val="clear" w:color="auto" w:fill="auto"/>
              <w:tabs>
                <w:tab w:pos="278"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股东王明宽与李娜系夫妻，李朝莉与李娜系母女，三人属于一致行动人。</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除上述情况外，公司无法判断前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 售普通股股东和前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名普通股股东之间是否存在关联关系，也无法判断他们是否属 于一致行动人。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股东孙剑波信用证券账户持有公司股数</w:t>
            </w:r>
            <w:r>
              <w:rPr>
                <w:rFonts w:ascii="Times New Roman" w:eastAsia="Times New Roman" w:hAnsi="Times New Roman" w:cs="Times New Roman"/>
                <w:color w:val="000000"/>
                <w:spacing w:val="0"/>
                <w:w w:val="100"/>
                <w:position w:val="0"/>
                <w:sz w:val="18"/>
                <w:szCs w:val="18"/>
              </w:rPr>
              <w:t>2,041,512</w:t>
            </w:r>
            <w:r>
              <w:rPr>
                <w:color w:val="000000"/>
                <w:spacing w:val="0"/>
                <w:w w:val="100"/>
                <w:position w:val="0"/>
              </w:rPr>
              <w:t>股；股东基明资产管理（上海）有 限公司一基明王牌一号私募证券投资基金信用证券账户持有公司股数</w:t>
            </w:r>
            <w:r>
              <w:rPr>
                <w:rFonts w:ascii="Times New Roman" w:eastAsia="Times New Roman" w:hAnsi="Times New Roman" w:cs="Times New Roman"/>
                <w:color w:val="000000"/>
                <w:spacing w:val="0"/>
                <w:w w:val="100"/>
                <w:position w:val="0"/>
                <w:sz w:val="18"/>
                <w:szCs w:val="18"/>
              </w:rPr>
              <w:t>1,142,950</w:t>
            </w:r>
            <w:r>
              <w:rPr>
                <w:color w:val="000000"/>
                <w:spacing w:val="0"/>
                <w:w w:val="100"/>
                <w:position w:val="0"/>
              </w:rPr>
              <w:t>股。</w:t>
            </w:r>
          </w:p>
        </w:tc>
      </w:tr>
    </w:tbl>
    <w:p>
      <w:pPr>
        <w:pStyle w:val="Style28"/>
        <w:keepNext w:val="0"/>
        <w:keepLines w:val="0"/>
        <w:widowControl w:val="0"/>
        <w:shd w:val="clear" w:color="auto" w:fill="auto"/>
        <w:bidi w:val="0"/>
        <w:spacing w:before="0" w:after="0" w:line="37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400" w:line="37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4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、公司控股股东情况</w:t>
      </w:r>
      <w:bookmarkEnd w:id="651"/>
      <w:bookmarkEnd w:id="652"/>
      <w:bookmarkEnd w:id="654"/>
    </w:p>
    <w:p>
      <w:pPr>
        <w:pStyle w:val="Style28"/>
        <w:keepNext w:val="0"/>
        <w:keepLines w:val="0"/>
        <w:widowControl w:val="0"/>
        <w:shd w:val="clear" w:color="auto" w:fill="auto"/>
        <w:bidi w:val="0"/>
        <w:spacing w:before="0" w:after="0" w:line="379" w:lineRule="exact"/>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379" w:lineRule="exact"/>
        <w:ind w:left="0" w:right="0" w:firstLine="0"/>
        <w:jc w:val="left"/>
      </w:pPr>
      <w:r>
        <w:rPr>
          <w:color w:val="000000"/>
          <w:spacing w:val="0"/>
          <w:w w:val="100"/>
          <w:position w:val="0"/>
        </w:rPr>
        <w:t>控股股东类型：法人</w:t>
      </w:r>
    </w:p>
    <w:tbl>
      <w:tblPr>
        <w:tblOverlap w:val="never"/>
        <w:jc w:val="center"/>
        <w:tblLayout w:type="fixed"/>
      </w:tblPr>
      <w:tblGrid>
        <w:gridCol w:w="2270"/>
        <w:gridCol w:w="1565"/>
        <w:gridCol w:w="1776"/>
        <w:gridCol w:w="1877"/>
        <w:gridCol w:w="20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深圳市敏行电子有限公司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9144030007581835X2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对外股权投资</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控股股东报告期内控股和参股的其他境内外上 市公司的股权情况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r>
        <w:br w:type="page"/>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42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、公司实际控制人及其一致行动人</w:t>
      </w:r>
      <w:bookmarkEnd w:id="655"/>
      <w:bookmarkEnd w:id="656"/>
      <w:bookmarkEnd w:id="658"/>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罗瑞发，男，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年出生，中国国籍，无境外永久居留权，硕士研究生学历，博士（在 读），高级工程师职称。本科毕业于华南理工大学，交通控制专业；硕士研究生毕业于 中山大学，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专业；同济大学交通信息与控制专业博士（在读）。曾任广州市埃特 斯通讯设备有限公司部门经理（总经理助理级）、公司总经理，现任公司董事长、董事 会秘书（代行）、财务总监（代行），华南理工大学客座教授、深圳技术大学客座教授、 深圳立尊科技有限公司执行董事、深圳市敏行电子有限公司执行董事、广州市华瑞腾科 技有限公司执行董事、深圳市敏行至达科技有限公司执行董事、北京中交金溢科技有限 公司执行董事、深圳镓华微电子有限公司董事。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736465" cy="23406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4736465" cy="2340610"/>
                    </a:xfrm>
                    <a:prstGeom prst="rect"/>
                  </pic:spPr>
                </pic:pic>
              </a:graphicData>
            </a:graphic>
          </wp:inline>
        </w:drawing>
      </w:r>
    </w:p>
    <w:p>
      <w:pPr>
        <w:widowControl w:val="0"/>
        <w:spacing w:after="31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420" w:line="24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4</w:t>
      </w:r>
      <w:bookmarkEnd w:id="66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9"/>
      <w:bookmarkEnd w:id="660"/>
      <w:bookmarkEnd w:id="662"/>
    </w:p>
    <w:p>
      <w:pPr>
        <w:pStyle w:val="Style28"/>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5</w:t>
      </w:r>
      <w:bookmarkEnd w:id="66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63"/>
      <w:bookmarkEnd w:id="664"/>
      <w:bookmarkEnd w:id="666"/>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both"/>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6</w:t>
      </w:r>
      <w:bookmarkEnd w:id="669"/>
      <w:r>
        <w:rPr>
          <w:color w:val="000000"/>
          <w:spacing w:val="0"/>
          <w:w w:val="100"/>
          <w:position w:val="0"/>
        </w:rPr>
        <w:t>、</w:t>
        <w:tab/>
        <w:t>控股股东、实际控制人、重组方及其他承诺主体股份限制减持情况</w:t>
      </w:r>
      <w:bookmarkEnd w:id="667"/>
      <w:bookmarkEnd w:id="668"/>
      <w:bookmarkEnd w:id="670"/>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420" w:line="240" w:lineRule="auto"/>
        <w:ind w:left="0" w:right="0" w:firstLine="0"/>
        <w:jc w:val="both"/>
      </w:pPr>
      <w:bookmarkStart w:id="671" w:name="bookmark671"/>
      <w:bookmarkStart w:id="672" w:name="bookmark672"/>
      <w:bookmarkStart w:id="673" w:name="bookmark673"/>
      <w:bookmarkStart w:id="674" w:name="bookmark674"/>
      <w:r>
        <w:rPr>
          <w:color w:val="000000"/>
          <w:spacing w:val="0"/>
          <w:w w:val="100"/>
          <w:position w:val="0"/>
          <w:sz w:val="24"/>
          <w:szCs w:val="24"/>
        </w:rPr>
        <w:t>四</w:t>
      </w:r>
      <w:bookmarkEnd w:id="673"/>
      <w:r>
        <w:rPr>
          <w:color w:val="000000"/>
          <w:spacing w:val="0"/>
          <w:w w:val="100"/>
          <w:position w:val="0"/>
          <w:sz w:val="24"/>
          <w:szCs w:val="24"/>
        </w:rPr>
        <w:t>、股份回购在报告期的具体实施情况</w:t>
      </w:r>
      <w:bookmarkEnd w:id="671"/>
      <w:bookmarkEnd w:id="672"/>
      <w:bookmarkEnd w:id="674"/>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股份回购的实施进展情况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850"/>
        <w:gridCol w:w="706"/>
        <w:gridCol w:w="994"/>
        <w:gridCol w:w="994"/>
        <w:gridCol w:w="2832"/>
        <w:gridCol w:w="1003"/>
        <w:gridCol w:w="120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方案披露时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拟回购股 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占总股 本的比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已回购数量占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股权激励计划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所涉及的标的</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股票的比例</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（如有）</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580.82</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鉴于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年限制性股票激励计划中 公司首次授予限制性股票原激励对 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人已离职，公司对不符合激励 条件的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名人员已获授但尚未解锁 的限制性股票进行回购注销。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50" w:right="882" w:bottom="1460" w:left="92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92100" distL="0" distR="0" simplePos="0" relativeHeight="125829392" behindDoc="0" locked="0" layoutInCell="1" allowOverlap="1">
                <wp:simplePos x="0" y="0"/>
                <wp:positionH relativeFrom="page">
                  <wp:posOffset>2691765</wp:posOffset>
                </wp:positionH>
                <wp:positionV relativeFrom="paragraph">
                  <wp:posOffset>0</wp:posOffset>
                </wp:positionV>
                <wp:extent cx="2170430" cy="243840"/>
                <wp:wrapTopAndBottom/>
                <wp:docPr id="20" name="Shape 2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675" w:name="bookmark675"/>
                            <w:bookmarkStart w:id="676" w:name="bookmark676"/>
                            <w:bookmarkStart w:id="677" w:name="bookmark677"/>
                            <w:r>
                              <w:rPr>
                                <w:color w:val="000000"/>
                                <w:spacing w:val="0"/>
                                <w:w w:val="100"/>
                                <w:position w:val="0"/>
                              </w:rPr>
                              <w:t>第八节优先股相关情况</w:t>
                            </w:r>
                            <w:bookmarkEnd w:id="675"/>
                            <w:bookmarkEnd w:id="676"/>
                            <w:bookmarkEnd w:id="677"/>
                          </w:p>
                        </w:txbxContent>
                      </wps:txbx>
                      <wps:bodyPr wrap="none" lIns="0" tIns="0" rIns="0" bIns="0">
                        <a:noAutoFit/>
                      </wps:bodyPr>
                    </wps:wsp>
                  </a:graphicData>
                </a:graphic>
              </wp:anchor>
            </w:drawing>
          </mc:Choice>
          <mc:Fallback>
            <w:pict>
              <v:shape id="_x0000_s1046" type="#_x0000_t202" style="position:absolute;margin-left:211.95000000000002pt;margin-top:0;width:170.90000000000001pt;height:19.199999999999999pt;z-index:-125829361;mso-wrap-distance-left:0;mso-wrap-distance-right:0;mso-wrap-distance-bottom:23.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675" w:name="bookmark675"/>
                      <w:bookmarkStart w:id="676" w:name="bookmark676"/>
                      <w:bookmarkStart w:id="677" w:name="bookmark677"/>
                      <w:r>
                        <w:rPr>
                          <w:color w:val="000000"/>
                          <w:spacing w:val="0"/>
                          <w:w w:val="100"/>
                          <w:position w:val="0"/>
                        </w:rPr>
                        <w:t>第八节优先股相关情况</w:t>
                      </w:r>
                      <w:bookmarkEnd w:id="675"/>
                      <w:bookmarkEnd w:id="676"/>
                      <w:bookmarkEnd w:id="677"/>
                    </w:p>
                  </w:txbxContent>
                </v:textbox>
                <w10:wrap type="topAndBottom" anchorx="page"/>
              </v:shape>
            </w:pict>
          </mc:Fallback>
        </mc:AlternateContent>
      </w:r>
    </w:p>
    <w:p>
      <w:pPr>
        <w:pStyle w:val="Style28"/>
        <w:keepNext w:val="0"/>
        <w:keepLines w:val="0"/>
        <w:widowControl w:val="0"/>
        <w:shd w:val="clear" w:color="auto" w:fill="auto"/>
        <w:bidi w:val="0"/>
        <w:spacing w:before="0" w:after="180" w:line="240" w:lineRule="auto"/>
        <w:ind w:left="0" w:right="0" w:firstLine="0"/>
        <w:jc w:val="left"/>
      </w:pPr>
      <w:bookmarkStart w:id="678" w:name="bookmark67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8"/>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0" w:after="600" w:line="240" w:lineRule="auto"/>
        <w:ind w:left="0" w:right="0" w:firstLine="0"/>
        <w:jc w:val="center"/>
      </w:pPr>
      <w:bookmarkStart w:id="679" w:name="bookmark679"/>
      <w:bookmarkStart w:id="680" w:name="bookmark680"/>
      <w:bookmarkStart w:id="681" w:name="bookmark681"/>
      <w:r>
        <w:rPr>
          <w:color w:val="000000"/>
          <w:spacing w:val="0"/>
          <w:w w:val="100"/>
          <w:position w:val="0"/>
        </w:rPr>
        <w:t>第九节债券相关情况</w:t>
      </w:r>
      <w:bookmarkEnd w:id="679"/>
      <w:bookmarkEnd w:id="680"/>
      <w:bookmarkEnd w:id="681"/>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bookmarkStart w:id="682" w:name="bookmark68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82"/>
    </w:p>
    <w:p>
      <w:pPr>
        <w:pStyle w:val="Style14"/>
        <w:keepNext/>
        <w:keepLines/>
        <w:widowControl w:val="0"/>
        <w:shd w:val="clear" w:color="auto" w:fill="auto"/>
        <w:bidi w:val="0"/>
        <w:spacing w:before="600" w:after="520" w:line="240" w:lineRule="auto"/>
        <w:ind w:left="0" w:right="0" w:firstLine="0"/>
        <w:jc w:val="center"/>
      </w:pPr>
      <w:bookmarkStart w:id="683" w:name="bookmark683"/>
      <w:bookmarkStart w:id="684" w:name="bookmark684"/>
      <w:bookmarkStart w:id="685" w:name="bookmark685"/>
      <w:r>
        <w:rPr>
          <w:color w:val="000000"/>
          <w:spacing w:val="0"/>
          <w:w w:val="100"/>
          <w:position w:val="0"/>
        </w:rPr>
        <w:t>第十节财务报告</w:t>
      </w:r>
      <w:bookmarkEnd w:id="683"/>
      <w:bookmarkEnd w:id="684"/>
      <w:bookmarkEnd w:id="685"/>
    </w:p>
    <w:p>
      <w:pPr>
        <w:pStyle w:val="Style24"/>
        <w:keepNext/>
        <w:keepLines/>
        <w:widowControl w:val="0"/>
        <w:shd w:val="clear" w:color="auto" w:fill="auto"/>
        <w:bidi w:val="0"/>
        <w:spacing w:before="0" w:after="320" w:line="240" w:lineRule="auto"/>
        <w:ind w:left="0" w:right="0" w:firstLine="0"/>
        <w:jc w:val="left"/>
      </w:pPr>
      <w:bookmarkStart w:id="686" w:name="bookmark686"/>
      <w:bookmarkStart w:id="687" w:name="bookmark687"/>
      <w:bookmarkStart w:id="688" w:name="bookmark688"/>
      <w:bookmarkStart w:id="689" w:name="bookmark689"/>
      <w:bookmarkStart w:id="690" w:name="bookmark690"/>
      <w:r>
        <w:rPr>
          <w:color w:val="000000"/>
          <w:spacing w:val="0"/>
          <w:w w:val="100"/>
          <w:position w:val="0"/>
          <w:sz w:val="24"/>
          <w:szCs w:val="24"/>
        </w:rPr>
        <w:t>一</w:t>
      </w:r>
      <w:bookmarkEnd w:id="689"/>
      <w:r>
        <w:rPr>
          <w:color w:val="000000"/>
          <w:spacing w:val="0"/>
          <w:w w:val="100"/>
          <w:position w:val="0"/>
          <w:sz w:val="24"/>
          <w:szCs w:val="24"/>
        </w:rPr>
        <w:t>、审计报告</w:t>
      </w:r>
      <w:bookmarkEnd w:id="687"/>
      <w:bookmarkEnd w:id="688"/>
      <w:bookmarkEnd w:id="690"/>
      <w:bookmarkEnd w:id="68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258" w:val="left"/>
              </w:tabs>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3-294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朱中伟，龙海燕</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深圳市金溢科技股份有限公司全体股东：</w:t>
      </w:r>
    </w:p>
    <w:p>
      <w:pPr>
        <w:pStyle w:val="Style28"/>
        <w:keepNext w:val="0"/>
        <w:keepLines w:val="0"/>
        <w:widowControl w:val="0"/>
        <w:shd w:val="clear" w:color="auto" w:fill="auto"/>
        <w:tabs>
          <w:tab w:pos="820" w:val="left"/>
        </w:tabs>
        <w:bidi w:val="0"/>
        <w:spacing w:before="0" w:after="0" w:line="392" w:lineRule="exact"/>
        <w:ind w:left="0" w:right="0" w:firstLine="380"/>
        <w:jc w:val="both"/>
      </w:pPr>
      <w:bookmarkStart w:id="691" w:name="bookmark691"/>
      <w:r>
        <w:rPr>
          <w:b/>
          <w:bCs/>
          <w:color w:val="000000"/>
          <w:spacing w:val="0"/>
          <w:w w:val="100"/>
          <w:position w:val="0"/>
        </w:rPr>
        <w:t>一</w:t>
      </w:r>
      <w:bookmarkEnd w:id="691"/>
      <w:r>
        <w:rPr>
          <w:b/>
          <w:bCs/>
          <w:color w:val="000000"/>
          <w:spacing w:val="0"/>
          <w:w w:val="100"/>
          <w:position w:val="0"/>
        </w:rPr>
        <w:t>、</w:t>
        <w:tab/>
        <w:t>审计意见</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我们审计了深圳市金溢科技股份有限公司（以下简称金溢科技公司）财务报表，包括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 表附注。</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我们认为，后附的财务报表在所有重大方面按照企业会计准则的规定编制，公允反映了金溢科技公司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8"/>
        <w:keepNext w:val="0"/>
        <w:keepLines w:val="0"/>
        <w:widowControl w:val="0"/>
        <w:shd w:val="clear" w:color="auto" w:fill="auto"/>
        <w:tabs>
          <w:tab w:pos="820" w:val="left"/>
        </w:tabs>
        <w:bidi w:val="0"/>
        <w:spacing w:before="0" w:after="0" w:line="392" w:lineRule="exact"/>
        <w:ind w:left="0" w:right="0" w:firstLine="380"/>
        <w:jc w:val="both"/>
      </w:pPr>
      <w:bookmarkStart w:id="692" w:name="bookmark692"/>
      <w:r>
        <w:rPr>
          <w:b/>
          <w:bCs/>
          <w:color w:val="000000"/>
          <w:spacing w:val="0"/>
          <w:w w:val="100"/>
          <w:position w:val="0"/>
        </w:rPr>
        <w:t>二</w:t>
      </w:r>
      <w:bookmarkEnd w:id="692"/>
      <w:r>
        <w:rPr>
          <w:b/>
          <w:bCs/>
          <w:color w:val="000000"/>
          <w:spacing w:val="0"/>
          <w:w w:val="100"/>
          <w:position w:val="0"/>
        </w:rPr>
        <w:t>、</w:t>
        <w:tab/>
        <w:t>形成审计意见的基础</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阐述了我们在这些准则下的责任。按照中国注册会计师职业道德守则，我们独立于金溢科技公司，并履行了职业道德方面的 其他责任。我们相信，我们获取的审计证据是充分、适当的，为发表审计意见提供了基础。</w:t>
      </w:r>
    </w:p>
    <w:p>
      <w:pPr>
        <w:pStyle w:val="Style28"/>
        <w:keepNext w:val="0"/>
        <w:keepLines w:val="0"/>
        <w:widowControl w:val="0"/>
        <w:shd w:val="clear" w:color="auto" w:fill="auto"/>
        <w:tabs>
          <w:tab w:pos="825" w:val="left"/>
        </w:tabs>
        <w:bidi w:val="0"/>
        <w:spacing w:before="0" w:after="0" w:line="392" w:lineRule="exact"/>
        <w:ind w:left="0" w:right="0" w:firstLine="380"/>
        <w:jc w:val="both"/>
      </w:pPr>
      <w:bookmarkStart w:id="693" w:name="bookmark693"/>
      <w:r>
        <w:rPr>
          <w:b/>
          <w:bCs/>
          <w:color w:val="000000"/>
          <w:spacing w:val="0"/>
          <w:w w:val="100"/>
          <w:position w:val="0"/>
        </w:rPr>
        <w:t>三</w:t>
      </w:r>
      <w:bookmarkEnd w:id="693"/>
      <w:r>
        <w:rPr>
          <w:b/>
          <w:bCs/>
          <w:color w:val="000000"/>
          <w:spacing w:val="0"/>
          <w:w w:val="100"/>
          <w:position w:val="0"/>
        </w:rPr>
        <w:t>、</w:t>
        <w:tab/>
        <w:t>关键审计事项</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8"/>
        <w:keepNext w:val="0"/>
        <w:keepLines w:val="0"/>
        <w:widowControl w:val="0"/>
        <w:shd w:val="clear" w:color="auto" w:fill="auto"/>
        <w:bidi w:val="0"/>
        <w:spacing w:before="0" w:after="180" w:line="392" w:lineRule="exact"/>
        <w:ind w:left="0" w:right="0" w:firstLine="380"/>
        <w:jc w:val="both"/>
      </w:pPr>
      <w:bookmarkStart w:id="694" w:name="bookmark694"/>
      <w:r>
        <w:rPr>
          <w:color w:val="000000"/>
          <w:spacing w:val="0"/>
          <w:w w:val="100"/>
          <w:position w:val="0"/>
        </w:rPr>
        <w:t>（</w:t>
      </w:r>
      <w:bookmarkEnd w:id="694"/>
      <w:r>
        <w:rPr>
          <w:color w:val="000000"/>
          <w:spacing w:val="0"/>
          <w:w w:val="100"/>
          <w:position w:val="0"/>
        </w:rPr>
        <w:t>一）收入确认</w:t>
      </w:r>
    </w:p>
    <w:p>
      <w:pPr>
        <w:pStyle w:val="Style28"/>
        <w:keepNext w:val="0"/>
        <w:keepLines w:val="0"/>
        <w:widowControl w:val="0"/>
        <w:numPr>
          <w:ilvl w:val="0"/>
          <w:numId w:val="11"/>
        </w:numPr>
        <w:shd w:val="clear" w:color="auto" w:fill="auto"/>
        <w:bidi w:val="0"/>
        <w:spacing w:before="0" w:after="0" w:line="454" w:lineRule="auto"/>
        <w:ind w:left="0" w:right="0" w:firstLine="380"/>
        <w:jc w:val="both"/>
      </w:pPr>
      <w:bookmarkStart w:id="695" w:name="bookmark695"/>
      <w:bookmarkEnd w:id="695"/>
      <w:r>
        <w:rPr>
          <w:color w:val="000000"/>
          <w:spacing w:val="0"/>
          <w:w w:val="100"/>
          <w:position w:val="0"/>
        </w:rPr>
        <w:t>事项描述</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相关信息披露详见财务报表附注三（二十二）收入及财务报表附注五（二）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营业收入。</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金溢科技公司的营业收入主要来自于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及相关业务产品的销售及服务。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年度，金溢科技公司营业收入金额为人民 币 </w:t>
      </w:r>
      <w:r>
        <w:rPr>
          <w:rFonts w:ascii="Times New Roman" w:eastAsia="Times New Roman" w:hAnsi="Times New Roman" w:cs="Times New Roman"/>
          <w:color w:val="000000"/>
          <w:spacing w:val="0"/>
          <w:w w:val="100"/>
          <w:position w:val="0"/>
          <w:sz w:val="18"/>
          <w:szCs w:val="18"/>
        </w:rPr>
        <w:t xml:space="preserve">301,555,088.53 </w:t>
      </w:r>
      <w:r>
        <w:rPr>
          <w:color w:val="000000"/>
          <w:spacing w:val="0"/>
          <w:w w:val="100"/>
          <w:position w:val="0"/>
        </w:rPr>
        <w:t>元。</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公司主要销售与不停车收费系统相关的</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停车场收费系统产品等，属于在某一时点履行的履约义务。 内销产品收入确认需满足以下条件：（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）公司已根据合同约定将产品交付给购货方，取得客户签收或验收的相关凭证；（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未取得客户签收或验收的相关凭证的，满足合同约定视同接受产品条件或客户实际接受产品；（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）客户实际接受产品、产 品销售收入金额已确定、已收取价款或取得收款权利且相关的经济利益很可能流入时确认。外销产品收入在公司已根据合同 约定将产品交付给承运人并报关，取得报关单和提单，且产品销售收入金额已确定，已收取货款或取得了收款权力且相关的 </w:t>
      </w:r>
      <w:r>
        <w:rPr>
          <w:color w:val="000000"/>
          <w:spacing w:val="0"/>
          <w:w w:val="100"/>
          <w:position w:val="0"/>
        </w:rPr>
        <w:t>经济利益很可能流入时确认。</w:t>
      </w:r>
    </w:p>
    <w:p>
      <w:pPr>
        <w:pStyle w:val="Style28"/>
        <w:keepNext w:val="0"/>
        <w:keepLines w:val="0"/>
        <w:widowControl w:val="0"/>
        <w:shd w:val="clear" w:color="auto" w:fill="auto"/>
        <w:bidi w:val="0"/>
        <w:spacing w:before="0" w:after="180" w:line="395" w:lineRule="exact"/>
        <w:ind w:left="0" w:right="0" w:firstLine="380"/>
        <w:jc w:val="both"/>
      </w:pPr>
      <w:r>
        <w:rPr>
          <w:color w:val="000000"/>
          <w:spacing w:val="0"/>
          <w:w w:val="100"/>
          <w:position w:val="0"/>
        </w:rPr>
        <w:t>由于营业收入是金溢科技公司关键业绩指标之一，可能存在金溢科技公司管理层（以下简称管理层）通过不恰当的收入 确认以达到特定目标或预期的固有风险。因此，我们将收入确认确定为关键审计事项。</w:t>
      </w:r>
    </w:p>
    <w:p>
      <w:pPr>
        <w:pStyle w:val="Style28"/>
        <w:keepNext w:val="0"/>
        <w:keepLines w:val="0"/>
        <w:widowControl w:val="0"/>
        <w:numPr>
          <w:ilvl w:val="0"/>
          <w:numId w:val="11"/>
        </w:numPr>
        <w:shd w:val="clear" w:color="auto" w:fill="auto"/>
        <w:bidi w:val="0"/>
        <w:spacing w:before="0" w:after="0" w:line="458" w:lineRule="auto"/>
        <w:ind w:left="0" w:right="0" w:firstLine="380"/>
        <w:jc w:val="both"/>
      </w:pPr>
      <w:bookmarkStart w:id="696" w:name="bookmark696"/>
      <w:bookmarkEnd w:id="696"/>
      <w:r>
        <w:rPr>
          <w:color w:val="000000"/>
          <w:spacing w:val="0"/>
          <w:w w:val="100"/>
          <w:position w:val="0"/>
        </w:rPr>
        <w:t>审计应对</w:t>
      </w:r>
    </w:p>
    <w:p>
      <w:pPr>
        <w:pStyle w:val="Style28"/>
        <w:keepNext w:val="0"/>
        <w:keepLines w:val="0"/>
        <w:widowControl w:val="0"/>
        <w:shd w:val="clear" w:color="auto" w:fill="auto"/>
        <w:bidi w:val="0"/>
        <w:spacing w:before="0" w:after="0" w:line="395" w:lineRule="exact"/>
        <w:ind w:left="0" w:right="0" w:firstLine="380"/>
        <w:jc w:val="both"/>
      </w:pPr>
      <w:r>
        <w:rPr>
          <w:color w:val="000000"/>
          <w:spacing w:val="0"/>
          <w:w w:val="100"/>
          <w:position w:val="0"/>
        </w:rPr>
        <w:t>针对收入确认，我们实施的审计程序主要包括：</w:t>
      </w:r>
    </w:p>
    <w:p>
      <w:pPr>
        <w:pStyle w:val="Style28"/>
        <w:keepNext w:val="0"/>
        <w:keepLines w:val="0"/>
        <w:widowControl w:val="0"/>
        <w:shd w:val="clear" w:color="auto" w:fill="auto"/>
        <w:tabs>
          <w:tab w:pos="901" w:val="left"/>
        </w:tabs>
        <w:bidi w:val="0"/>
        <w:spacing w:before="0" w:after="0" w:line="395" w:lineRule="exact"/>
        <w:ind w:left="0" w:right="0" w:firstLine="38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了解与收入确认相关的关键内部控制，评价这些控制的设计，确定其是否得到执行，并测试相关内部控制的运行 有效性；</w:t>
      </w:r>
    </w:p>
    <w:p>
      <w:pPr>
        <w:pStyle w:val="Style28"/>
        <w:keepNext w:val="0"/>
        <w:keepLines w:val="0"/>
        <w:widowControl w:val="0"/>
        <w:shd w:val="clear" w:color="auto" w:fill="auto"/>
        <w:tabs>
          <w:tab w:pos="825" w:val="left"/>
        </w:tabs>
        <w:bidi w:val="0"/>
        <w:spacing w:before="0" w:after="0" w:line="395" w:lineRule="exact"/>
        <w:ind w:left="0" w:right="0" w:firstLine="38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检查销售合同，了解主要合同条款或条件，评价收入确认方法是否适当；</w:t>
      </w:r>
    </w:p>
    <w:p>
      <w:pPr>
        <w:pStyle w:val="Style28"/>
        <w:keepNext w:val="0"/>
        <w:keepLines w:val="0"/>
        <w:widowControl w:val="0"/>
        <w:shd w:val="clear" w:color="auto" w:fill="auto"/>
        <w:tabs>
          <w:tab w:pos="891" w:val="left"/>
        </w:tabs>
        <w:bidi w:val="0"/>
        <w:spacing w:before="0" w:after="0" w:line="395" w:lineRule="exact"/>
        <w:ind w:left="0" w:right="0" w:firstLine="38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对营业收入及毛利率按月度、产品、客户等实施实质性分析程序，识别是否存在重大或异常波动，并查明波动原 因；</w:t>
      </w:r>
    </w:p>
    <w:p>
      <w:pPr>
        <w:pStyle w:val="Style28"/>
        <w:keepNext w:val="0"/>
        <w:keepLines w:val="0"/>
        <w:widowControl w:val="0"/>
        <w:shd w:val="clear" w:color="auto" w:fill="auto"/>
        <w:tabs>
          <w:tab w:pos="901" w:val="left"/>
        </w:tabs>
        <w:bidi w:val="0"/>
        <w:spacing w:before="0" w:after="0" w:line="395" w:lineRule="exact"/>
        <w:ind w:left="0" w:right="0" w:firstLine="38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对于内销收入，以抽样方式检查与收入确认相关的支持性文件，包括销售合同、销售发票、出库单、物流单及客 户签收单等支持性文件；对于出口收入，以抽样方式检查销售合同、出口报关单、货运提单、销售发票等支持性文件；</w:t>
      </w:r>
    </w:p>
    <w:p>
      <w:pPr>
        <w:pStyle w:val="Style28"/>
        <w:keepNext w:val="0"/>
        <w:keepLines w:val="0"/>
        <w:widowControl w:val="0"/>
        <w:shd w:val="clear" w:color="auto" w:fill="auto"/>
        <w:bidi w:val="0"/>
        <w:spacing w:before="0" w:after="0" w:line="395" w:lineRule="exact"/>
        <w:ind w:left="0" w:right="0" w:firstLine="38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结合应收账款函证，以抽样方式向主要客户函证本期销售额；</w:t>
      </w:r>
    </w:p>
    <w:p>
      <w:pPr>
        <w:pStyle w:val="Style28"/>
        <w:keepNext w:val="0"/>
        <w:keepLines w:val="0"/>
        <w:widowControl w:val="0"/>
        <w:shd w:val="clear" w:color="auto" w:fill="auto"/>
        <w:tabs>
          <w:tab w:pos="825" w:val="left"/>
        </w:tabs>
        <w:bidi w:val="0"/>
        <w:spacing w:before="0" w:after="0" w:line="395" w:lineRule="exact"/>
        <w:ind w:left="0" w:right="0" w:firstLine="38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对资产负债表日前后确认的营业收入实施截止测试，评价营业收入是否在恰当期间确认；</w:t>
      </w:r>
    </w:p>
    <w:p>
      <w:pPr>
        <w:pStyle w:val="Style28"/>
        <w:keepNext w:val="0"/>
        <w:keepLines w:val="0"/>
        <w:widowControl w:val="0"/>
        <w:shd w:val="clear" w:color="auto" w:fill="auto"/>
        <w:tabs>
          <w:tab w:pos="825" w:val="left"/>
        </w:tabs>
        <w:bidi w:val="0"/>
        <w:spacing w:before="0" w:after="0" w:line="395" w:lineRule="exact"/>
        <w:ind w:left="0" w:right="0" w:firstLine="38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检查与营业收入相关的信息是否已在财务报表中作出恰当列报</w:t>
      </w:r>
    </w:p>
    <w:p>
      <w:pPr>
        <w:pStyle w:val="Style28"/>
        <w:keepNext w:val="0"/>
        <w:keepLines w:val="0"/>
        <w:widowControl w:val="0"/>
        <w:shd w:val="clear" w:color="auto" w:fill="auto"/>
        <w:bidi w:val="0"/>
        <w:spacing w:before="0" w:after="180" w:line="395" w:lineRule="exact"/>
        <w:ind w:left="0" w:right="0" w:firstLine="380"/>
        <w:jc w:val="both"/>
      </w:pPr>
      <w:bookmarkStart w:id="704" w:name="bookmark704"/>
      <w:r>
        <w:rPr>
          <w:color w:val="000000"/>
          <w:spacing w:val="0"/>
          <w:w w:val="100"/>
          <w:position w:val="0"/>
        </w:rPr>
        <w:t>（</w:t>
      </w:r>
      <w:bookmarkEnd w:id="704"/>
      <w:r>
        <w:rPr>
          <w:color w:val="000000"/>
          <w:spacing w:val="0"/>
          <w:w w:val="100"/>
          <w:position w:val="0"/>
        </w:rPr>
        <w:t>二）应收账款减值</w:t>
      </w:r>
    </w:p>
    <w:p>
      <w:pPr>
        <w:pStyle w:val="Style28"/>
        <w:keepNext w:val="0"/>
        <w:keepLines w:val="0"/>
        <w:widowControl w:val="0"/>
        <w:numPr>
          <w:ilvl w:val="0"/>
          <w:numId w:val="13"/>
        </w:numPr>
        <w:shd w:val="clear" w:color="auto" w:fill="auto"/>
        <w:tabs>
          <w:tab w:pos="776" w:val="left"/>
        </w:tabs>
        <w:bidi w:val="0"/>
        <w:spacing w:before="0" w:after="0" w:line="458" w:lineRule="auto"/>
        <w:ind w:left="0" w:right="0" w:firstLine="380"/>
        <w:jc w:val="both"/>
      </w:pPr>
      <w:bookmarkStart w:id="705" w:name="bookmark705"/>
      <w:bookmarkEnd w:id="705"/>
      <w:r>
        <w:rPr>
          <w:color w:val="000000"/>
          <w:spacing w:val="0"/>
          <w:w w:val="100"/>
          <w:position w:val="0"/>
        </w:rPr>
        <w:t>事项描述</w:t>
      </w:r>
    </w:p>
    <w:p>
      <w:pPr>
        <w:pStyle w:val="Style28"/>
        <w:keepNext w:val="0"/>
        <w:keepLines w:val="0"/>
        <w:widowControl w:val="0"/>
        <w:shd w:val="clear" w:color="auto" w:fill="auto"/>
        <w:bidi w:val="0"/>
        <w:spacing w:before="0" w:after="0" w:line="395" w:lineRule="exact"/>
        <w:ind w:left="0" w:right="0" w:firstLine="380"/>
        <w:jc w:val="both"/>
      </w:pPr>
      <w:r>
        <w:rPr>
          <w:color w:val="000000"/>
          <w:spacing w:val="0"/>
          <w:w w:val="100"/>
          <w:position w:val="0"/>
        </w:rPr>
        <w:t>相关信息披露详见财务报表附注三（九）及附注五（一）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55"/>
        <w:keepNext w:val="0"/>
        <w:keepLines w:val="0"/>
        <w:widowControl w:val="0"/>
        <w:shd w:val="clear" w:color="auto" w:fill="auto"/>
        <w:bidi w:val="0"/>
        <w:spacing w:before="0" w:after="0" w:line="395"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日，金溢科技公司应收账款账面余额为人民币</w:t>
      </w:r>
      <w:r>
        <w:rPr>
          <w:color w:val="000000"/>
          <w:spacing w:val="0"/>
          <w:w w:val="100"/>
          <w:position w:val="0"/>
          <w:sz w:val="18"/>
          <w:szCs w:val="18"/>
        </w:rPr>
        <w:t>378,496,917.32</w:t>
      </w:r>
      <w:r>
        <w:rPr>
          <w:rFonts w:ascii="SimSun" w:eastAsia="SimSun" w:hAnsi="SimSun" w:cs="SimSun"/>
          <w:color w:val="000000"/>
          <w:spacing w:val="0"/>
          <w:w w:val="100"/>
          <w:position w:val="0"/>
          <w:sz w:val="17"/>
          <w:szCs w:val="17"/>
        </w:rPr>
        <w:t>元，坏账准备为人民币</w:t>
      </w:r>
      <w:r>
        <w:rPr>
          <w:color w:val="000000"/>
          <w:spacing w:val="0"/>
          <w:w w:val="100"/>
          <w:position w:val="0"/>
          <w:sz w:val="18"/>
          <w:szCs w:val="18"/>
        </w:rPr>
        <w:t>84,689,248.26</w:t>
      </w:r>
      <w:r>
        <w:rPr>
          <w:rFonts w:ascii="SimSun" w:eastAsia="SimSun" w:hAnsi="SimSun" w:cs="SimSun"/>
          <w:color w:val="000000"/>
          <w:spacing w:val="0"/>
          <w:w w:val="100"/>
          <w:position w:val="0"/>
          <w:sz w:val="17"/>
          <w:szCs w:val="17"/>
        </w:rPr>
        <w:t>元， 账面价值为人民币</w:t>
      </w:r>
      <w:r>
        <w:rPr>
          <w:color w:val="000000"/>
          <w:spacing w:val="0"/>
          <w:w w:val="100"/>
          <w:position w:val="0"/>
          <w:sz w:val="18"/>
          <w:szCs w:val="18"/>
        </w:rPr>
        <w:t>293,807,669.06</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bidi w:val="0"/>
        <w:spacing w:before="0" w:after="0" w:line="395" w:lineRule="exact"/>
        <w:ind w:left="0" w:right="0" w:firstLine="380"/>
        <w:jc w:val="both"/>
      </w:pPr>
      <w:r>
        <w:rPr>
          <w:color w:val="000000"/>
          <w:spacing w:val="0"/>
          <w:w w:val="100"/>
          <w:position w:val="0"/>
        </w:rPr>
        <w:t>管理层根据各项应收账款的信用风险特征，以单项应收账款或应收账款组合为基础，按照相当于整个存续期内的预期信 用损失金额计量其损失准备。对于以单项为基础计量预期信用损失的应收账款，管理层综合考虑有关过去事项、当前状况以 及未来经济状况预测的合理且有依据的信息，估计预期收取的现金流量，据此确定应计提的坏账准备；对于以组合为基础计 量预期信用损失的应收账款，管理层以货款账龄和质保金逾期天数为依据划分组合，参照历史信用损失经验，并根据前瞻性 估计予以调整，编制应收账款货款账龄和质保金逾期天数与预期信用损失率对照表，据此确定应计提的坏账准备。</w:t>
      </w:r>
    </w:p>
    <w:p>
      <w:pPr>
        <w:pStyle w:val="Style28"/>
        <w:keepNext w:val="0"/>
        <w:keepLines w:val="0"/>
        <w:widowControl w:val="0"/>
        <w:shd w:val="clear" w:color="auto" w:fill="auto"/>
        <w:bidi w:val="0"/>
        <w:spacing w:before="0" w:after="180" w:line="395" w:lineRule="exact"/>
        <w:ind w:left="0" w:right="0" w:firstLine="380"/>
        <w:jc w:val="left"/>
      </w:pPr>
      <w:r>
        <w:rPr>
          <w:color w:val="000000"/>
          <w:spacing w:val="0"/>
          <w:w w:val="100"/>
          <w:position w:val="0"/>
        </w:rPr>
        <w:t>由于应收账款金额重大，且应收账款减值涉及重大管理层判断，我们将应收账款减值确定为关键审计事项。</w:t>
      </w:r>
    </w:p>
    <w:p>
      <w:pPr>
        <w:pStyle w:val="Style28"/>
        <w:keepNext w:val="0"/>
        <w:keepLines w:val="0"/>
        <w:widowControl w:val="0"/>
        <w:numPr>
          <w:ilvl w:val="0"/>
          <w:numId w:val="13"/>
        </w:numPr>
        <w:shd w:val="clear" w:color="auto" w:fill="auto"/>
        <w:tabs>
          <w:tab w:pos="776" w:val="left"/>
        </w:tabs>
        <w:bidi w:val="0"/>
        <w:spacing w:before="0" w:after="0" w:line="458" w:lineRule="auto"/>
        <w:ind w:left="0" w:right="0" w:firstLine="380"/>
        <w:jc w:val="both"/>
      </w:pPr>
      <w:bookmarkStart w:id="706" w:name="bookmark706"/>
      <w:bookmarkEnd w:id="706"/>
      <w:r>
        <w:rPr>
          <w:color w:val="000000"/>
          <w:spacing w:val="0"/>
          <w:w w:val="100"/>
          <w:position w:val="0"/>
        </w:rPr>
        <w:t>审计应对</w:t>
      </w:r>
    </w:p>
    <w:p>
      <w:pPr>
        <w:pStyle w:val="Style28"/>
        <w:keepNext w:val="0"/>
        <w:keepLines w:val="0"/>
        <w:widowControl w:val="0"/>
        <w:shd w:val="clear" w:color="auto" w:fill="auto"/>
        <w:bidi w:val="0"/>
        <w:spacing w:before="0" w:after="0" w:line="395" w:lineRule="exact"/>
        <w:ind w:left="0" w:right="0" w:firstLine="380"/>
        <w:jc w:val="both"/>
      </w:pPr>
      <w:r>
        <w:rPr>
          <w:color w:val="000000"/>
          <w:spacing w:val="0"/>
          <w:w w:val="100"/>
          <w:position w:val="0"/>
        </w:rPr>
        <w:t>针对应收账款减值，我们实施的审计程序主要包括：</w:t>
      </w:r>
    </w:p>
    <w:p>
      <w:pPr>
        <w:pStyle w:val="Style28"/>
        <w:keepNext w:val="0"/>
        <w:keepLines w:val="0"/>
        <w:widowControl w:val="0"/>
        <w:shd w:val="clear" w:color="auto" w:fill="auto"/>
        <w:tabs>
          <w:tab w:pos="901" w:val="left"/>
        </w:tabs>
        <w:bidi w:val="0"/>
        <w:spacing w:before="0" w:after="0" w:line="395" w:lineRule="exact"/>
        <w:ind w:left="0" w:right="0" w:firstLine="38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了解与应收账款减值相关的关键内部控制，评价这些控制的设计，确定其是否得到执行，并测试相关内部控制的 运行有效性；</w:t>
      </w:r>
    </w:p>
    <w:p>
      <w:pPr>
        <w:pStyle w:val="Style28"/>
        <w:keepNext w:val="0"/>
        <w:keepLines w:val="0"/>
        <w:widowControl w:val="0"/>
        <w:shd w:val="clear" w:color="auto" w:fill="auto"/>
        <w:tabs>
          <w:tab w:pos="825" w:val="left"/>
        </w:tabs>
        <w:bidi w:val="0"/>
        <w:spacing w:before="0" w:after="0" w:line="395" w:lineRule="exact"/>
        <w:ind w:left="0" w:right="0" w:firstLine="38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复核以前年度已计提坏账准备的应收账款的后续实际核销或转回情况，评价管理层过往预测的准确性；</w:t>
      </w:r>
    </w:p>
    <w:p>
      <w:pPr>
        <w:pStyle w:val="Style28"/>
        <w:keepNext w:val="0"/>
        <w:keepLines w:val="0"/>
        <w:widowControl w:val="0"/>
        <w:shd w:val="clear" w:color="auto" w:fill="auto"/>
        <w:tabs>
          <w:tab w:pos="901" w:val="left"/>
        </w:tabs>
        <w:bidi w:val="0"/>
        <w:spacing w:before="0" w:after="0" w:line="395" w:lineRule="exact"/>
        <w:ind w:left="0" w:right="0" w:firstLine="38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复核管理层对应收账款进行信用风险评估的相关考虑和客观证据，评价管理层是否恰当识别各项应收账款的信用 风险特征；</w:t>
      </w:r>
    </w:p>
    <w:p>
      <w:pPr>
        <w:pStyle w:val="Style28"/>
        <w:keepNext w:val="0"/>
        <w:keepLines w:val="0"/>
        <w:widowControl w:val="0"/>
        <w:shd w:val="clear" w:color="auto" w:fill="auto"/>
        <w:tabs>
          <w:tab w:pos="901" w:val="left"/>
        </w:tabs>
        <w:bidi w:val="0"/>
        <w:spacing w:before="0" w:after="80" w:line="395" w:lineRule="exact"/>
        <w:ind w:left="0" w:right="0" w:firstLine="38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对于以单项为基础计量预期信用损失的应收账款，获取并检查管理层对预期收取现金流量的预测，评价在预测中 使用的关键假设的合理性和数据的准确性，并与获取的外部证据进行核对；</w:t>
      </w:r>
    </w:p>
    <w:p>
      <w:pPr>
        <w:pStyle w:val="Style28"/>
        <w:keepNext w:val="0"/>
        <w:keepLines w:val="0"/>
        <w:widowControl w:val="0"/>
        <w:shd w:val="clear" w:color="auto" w:fill="auto"/>
        <w:bidi w:val="0"/>
        <w:spacing w:before="0" w:after="0" w:line="394" w:lineRule="exact"/>
        <w:ind w:left="0" w:right="0" w:firstLine="38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对于以组合为基础计量预期信用损失的应收账款，评价管理层按信用风险特征划分组合的合理性；评价管理层根 据历史信用损失经验及前瞻性估计确定的应收账款货款账龄和质保金逾期天数与预期信用损失率对照表的合理性;测试管理 层使用数据（包括应收账款货款账龄、应收账款质保金逾期天数、历史损失率、迁徙率等）的准确性和完整性以及对坏账准 备的计算是否准确；</w:t>
      </w:r>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检查应收账款的期后回款情况，评价管理层计提应收账款坏账准备的合理性；</w:t>
      </w:r>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检查与应收账款减值相关的信息是否已在财务报表中作出恰当列报。</w:t>
      </w:r>
    </w:p>
    <w:p>
      <w:pPr>
        <w:pStyle w:val="Style28"/>
        <w:keepNext w:val="0"/>
        <w:keepLines w:val="0"/>
        <w:widowControl w:val="0"/>
        <w:shd w:val="clear" w:color="auto" w:fill="auto"/>
        <w:bidi w:val="0"/>
        <w:spacing w:before="0" w:after="180" w:line="394" w:lineRule="exact"/>
        <w:ind w:left="0" w:right="0" w:firstLine="380"/>
        <w:jc w:val="both"/>
      </w:pPr>
      <w:bookmarkStart w:id="714" w:name="bookmark714"/>
      <w:r>
        <w:rPr>
          <w:color w:val="000000"/>
          <w:spacing w:val="0"/>
          <w:w w:val="100"/>
          <w:position w:val="0"/>
        </w:rPr>
        <w:t>（</w:t>
      </w:r>
      <w:bookmarkEnd w:id="714"/>
      <w:r>
        <w:rPr>
          <w:color w:val="000000"/>
          <w:spacing w:val="0"/>
          <w:w w:val="100"/>
          <w:position w:val="0"/>
        </w:rPr>
        <w:t>三）存货可变现净值</w:t>
      </w:r>
    </w:p>
    <w:p>
      <w:pPr>
        <w:pStyle w:val="Style28"/>
        <w:keepNext w:val="0"/>
        <w:keepLines w:val="0"/>
        <w:widowControl w:val="0"/>
        <w:numPr>
          <w:ilvl w:val="0"/>
          <w:numId w:val="15"/>
        </w:numPr>
        <w:shd w:val="clear" w:color="auto" w:fill="auto"/>
        <w:tabs>
          <w:tab w:pos="768" w:val="left"/>
        </w:tabs>
        <w:bidi w:val="0"/>
        <w:spacing w:before="0" w:after="0" w:line="458" w:lineRule="auto"/>
        <w:ind w:left="0" w:right="0" w:firstLine="380"/>
        <w:jc w:val="both"/>
      </w:pPr>
      <w:bookmarkStart w:id="715" w:name="bookmark715"/>
      <w:bookmarkEnd w:id="715"/>
      <w:r>
        <w:rPr>
          <w:color w:val="000000"/>
          <w:spacing w:val="0"/>
          <w:w w:val="100"/>
          <w:position w:val="0"/>
        </w:rPr>
        <w:t>事项描述</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相关信息披露详见财务报表附注三（十）存货及财务报表附注五（一）</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存货。</w:t>
      </w:r>
    </w:p>
    <w:p>
      <w:pPr>
        <w:pStyle w:val="Style55"/>
        <w:keepNext w:val="0"/>
        <w:keepLines w:val="0"/>
        <w:widowControl w:val="0"/>
        <w:shd w:val="clear" w:color="auto" w:fill="auto"/>
        <w:bidi w:val="0"/>
        <w:spacing w:before="0" w:after="0" w:line="394"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日，金溢科技公司存货账面余额为</w:t>
      </w:r>
      <w:r>
        <w:rPr>
          <w:color w:val="000000"/>
          <w:spacing w:val="0"/>
          <w:w w:val="100"/>
          <w:position w:val="0"/>
          <w:sz w:val="18"/>
          <w:szCs w:val="18"/>
        </w:rPr>
        <w:t>259,535,247.92</w:t>
      </w:r>
      <w:r>
        <w:rPr>
          <w:rFonts w:ascii="SimSun" w:eastAsia="SimSun" w:hAnsi="SimSun" w:cs="SimSun"/>
          <w:color w:val="000000"/>
          <w:spacing w:val="0"/>
          <w:w w:val="100"/>
          <w:position w:val="0"/>
          <w:sz w:val="17"/>
          <w:szCs w:val="17"/>
        </w:rPr>
        <w:t>元，存货跌价准备为</w:t>
      </w:r>
      <w:r>
        <w:rPr>
          <w:color w:val="000000"/>
          <w:spacing w:val="0"/>
          <w:w w:val="100"/>
          <w:position w:val="0"/>
          <w:sz w:val="18"/>
          <w:szCs w:val="18"/>
        </w:rPr>
        <w:t>110,282,197.58</w:t>
      </w:r>
      <w:r>
        <w:rPr>
          <w:rFonts w:ascii="SimSun" w:eastAsia="SimSun" w:hAnsi="SimSun" w:cs="SimSun"/>
          <w:color w:val="000000"/>
          <w:spacing w:val="0"/>
          <w:w w:val="100"/>
          <w:position w:val="0"/>
          <w:sz w:val="17"/>
          <w:szCs w:val="17"/>
        </w:rPr>
        <w:t xml:space="preserve">元，账面价值为 </w:t>
      </w:r>
      <w:r>
        <w:rPr>
          <w:color w:val="000000"/>
          <w:spacing w:val="0"/>
          <w:w w:val="100"/>
          <w:position w:val="0"/>
          <w:sz w:val="18"/>
          <w:szCs w:val="18"/>
        </w:rPr>
        <w:t xml:space="preserve">149,253,050.34 </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资产负债表日，存货采用成本与可变现净值孰低计量，分类按照单个存货或存货类别成本高于可变现净值的差额计提存 货跌价准备。管理层在考虑持有存货目的的基础上，根据历史售价、实际售价、合同约定售价、相同或类似产品的市场售价、 未来市场趋势等确定估计售价，并按照估计售价减去至完工时估计将要发生的成本、估计的运费等合同履约成本、估计的销 售费用和相关税费后的金额确定存货的可变现净值。</w:t>
      </w:r>
    </w:p>
    <w:p>
      <w:pPr>
        <w:pStyle w:val="Style28"/>
        <w:keepNext w:val="0"/>
        <w:keepLines w:val="0"/>
        <w:widowControl w:val="0"/>
        <w:shd w:val="clear" w:color="auto" w:fill="auto"/>
        <w:bidi w:val="0"/>
        <w:spacing w:before="0" w:after="180" w:line="394" w:lineRule="exact"/>
        <w:ind w:left="0" w:right="0" w:firstLine="380"/>
        <w:jc w:val="both"/>
      </w:pPr>
      <w:r>
        <w:rPr>
          <w:color w:val="000000"/>
          <w:spacing w:val="0"/>
          <w:w w:val="100"/>
          <w:position w:val="0"/>
        </w:rPr>
        <w:t>由于存货金额重大，且存货跌价涉及重大管理层会计估计，我们将存货可变现净值确定为关键审计事项。</w:t>
      </w:r>
    </w:p>
    <w:p>
      <w:pPr>
        <w:pStyle w:val="Style28"/>
        <w:keepNext w:val="0"/>
        <w:keepLines w:val="0"/>
        <w:widowControl w:val="0"/>
        <w:numPr>
          <w:ilvl w:val="0"/>
          <w:numId w:val="15"/>
        </w:numPr>
        <w:shd w:val="clear" w:color="auto" w:fill="auto"/>
        <w:tabs>
          <w:tab w:pos="768" w:val="left"/>
        </w:tabs>
        <w:bidi w:val="0"/>
        <w:spacing w:before="0" w:after="0" w:line="458" w:lineRule="auto"/>
        <w:ind w:left="0" w:right="0" w:firstLine="380"/>
        <w:jc w:val="both"/>
      </w:pPr>
      <w:bookmarkStart w:id="716" w:name="bookmark716"/>
      <w:bookmarkEnd w:id="716"/>
      <w:r>
        <w:rPr>
          <w:color w:val="000000"/>
          <w:spacing w:val="0"/>
          <w:w w:val="100"/>
          <w:position w:val="0"/>
        </w:rPr>
        <w:t>审计应对</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针对存货可变现净值，我们实施的审计程序主要包括：</w:t>
      </w:r>
    </w:p>
    <w:p>
      <w:pPr>
        <w:pStyle w:val="Style28"/>
        <w:keepNext w:val="0"/>
        <w:keepLines w:val="0"/>
        <w:widowControl w:val="0"/>
        <w:shd w:val="clear" w:color="auto" w:fill="auto"/>
        <w:tabs>
          <w:tab w:pos="886" w:val="left"/>
        </w:tabs>
        <w:bidi w:val="0"/>
        <w:spacing w:before="0" w:after="0" w:line="394" w:lineRule="exact"/>
        <w:ind w:left="0" w:right="0" w:firstLine="38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了解与存货可变现净值相关的关键内部控制，评价这些控制的设计，确定其是否得到执行，并测试相关内部控制 的运行有效性；</w:t>
      </w:r>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复核管理层以前年度对存货可变现净值的预测和实际经营结果，评价管理层过往预测的准确性；</w:t>
      </w:r>
    </w:p>
    <w:p>
      <w:pPr>
        <w:pStyle w:val="Style28"/>
        <w:keepNext w:val="0"/>
        <w:keepLines w:val="0"/>
        <w:widowControl w:val="0"/>
        <w:shd w:val="clear" w:color="auto" w:fill="auto"/>
        <w:tabs>
          <w:tab w:pos="901" w:val="left"/>
        </w:tabs>
        <w:bidi w:val="0"/>
        <w:spacing w:before="0" w:after="0" w:line="394" w:lineRule="exact"/>
        <w:ind w:left="0" w:right="0" w:firstLine="38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结合存货监盘，检查期末存货中是否存在库龄较长、型号陈旧、产量下降、生产成本或售价波动、技术或市场需 求变化等情形；</w:t>
      </w:r>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访谈采购人员，关注最近一期材料市场价格是否明显低于库存材料成本，针对主要材料，取得材料采购价格清单；</w:t>
      </w:r>
    </w:p>
    <w:p>
      <w:pPr>
        <w:pStyle w:val="Style28"/>
        <w:keepNext w:val="0"/>
        <w:keepLines w:val="0"/>
        <w:widowControl w:val="0"/>
        <w:shd w:val="clear" w:color="auto" w:fill="auto"/>
        <w:tabs>
          <w:tab w:pos="901" w:val="left"/>
        </w:tabs>
        <w:bidi w:val="0"/>
        <w:spacing w:before="0" w:after="0" w:line="394" w:lineRule="exact"/>
        <w:ind w:left="0" w:right="0" w:firstLine="38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访谈仓管人员，关注存货储存情况；向公司取得各类存货质保期清单，关注呆滞料的计提是否合理、非呆滞料的 各类存货库龄是否在质保期内，以评价管理层是否已合理估计可变现净值，判断存货跌价准备计提是否充分；</w:t>
      </w:r>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以抽样方式复核管理层对存货估计售价的预测，将估计售价与历史数据、期后情况、市场信息等进行比较；</w:t>
      </w:r>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利用评估专家的工作，评价专家的胜任能力、专业素质和客观性，了解专家的专长领域。</w:t>
      </w:r>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检查与存货跌价准备相关的信息是否已在财务报表中作出恰当列报。</w:t>
      </w:r>
    </w:p>
    <w:p>
      <w:pPr>
        <w:pStyle w:val="Style28"/>
        <w:keepNext w:val="0"/>
        <w:keepLines w:val="0"/>
        <w:widowControl w:val="0"/>
        <w:shd w:val="clear" w:color="auto" w:fill="auto"/>
        <w:bidi w:val="0"/>
        <w:spacing w:before="0" w:after="0" w:line="394" w:lineRule="exact"/>
        <w:ind w:left="0" w:right="0" w:firstLine="380"/>
        <w:jc w:val="both"/>
      </w:pPr>
      <w:bookmarkStart w:id="725" w:name="bookmark725"/>
      <w:r>
        <w:rPr>
          <w:b/>
          <w:bCs/>
          <w:color w:val="000000"/>
          <w:spacing w:val="0"/>
          <w:w w:val="100"/>
          <w:position w:val="0"/>
        </w:rPr>
        <w:t>四</w:t>
      </w:r>
      <w:bookmarkEnd w:id="725"/>
      <w:r>
        <w:rPr>
          <w:b/>
          <w:bCs/>
          <w:color w:val="000000"/>
          <w:spacing w:val="0"/>
          <w:w w:val="100"/>
          <w:position w:val="0"/>
        </w:rPr>
        <w:t>、其他信息</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管理层对其他信息负责。其他信息包括年度报告中涵盖的信息，但不包括财务报表和我们的审计报告。</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 xml:space="preserve">基于我们已执行的工作，如果我们确定其他信息存在重大错报，我们应当报告该事实。在这方面，我们无任何事项需要 </w:t>
      </w:r>
      <w:r>
        <w:rPr>
          <w:color w:val="000000"/>
          <w:spacing w:val="0"/>
          <w:w w:val="100"/>
          <w:position w:val="0"/>
        </w:rPr>
        <w:t>报告。</w:t>
      </w:r>
    </w:p>
    <w:p>
      <w:pPr>
        <w:pStyle w:val="Style28"/>
        <w:keepNext w:val="0"/>
        <w:keepLines w:val="0"/>
        <w:widowControl w:val="0"/>
        <w:shd w:val="clear" w:color="auto" w:fill="auto"/>
        <w:tabs>
          <w:tab w:pos="847" w:val="left"/>
        </w:tabs>
        <w:bidi w:val="0"/>
        <w:spacing w:before="0" w:after="0" w:line="391" w:lineRule="exact"/>
        <w:ind w:left="0" w:right="0"/>
        <w:jc w:val="both"/>
      </w:pPr>
      <w:bookmarkStart w:id="726" w:name="bookmark726"/>
      <w:r>
        <w:rPr>
          <w:b/>
          <w:bCs/>
          <w:color w:val="000000"/>
          <w:spacing w:val="0"/>
          <w:w w:val="100"/>
          <w:position w:val="0"/>
        </w:rPr>
        <w:t>五</w:t>
      </w:r>
      <w:bookmarkEnd w:id="726"/>
      <w:r>
        <w:rPr>
          <w:b/>
          <w:bCs/>
          <w:color w:val="000000"/>
          <w:spacing w:val="0"/>
          <w:w w:val="100"/>
          <w:position w:val="0"/>
        </w:rPr>
        <w:t>、</w:t>
        <w:tab/>
        <w:t>管理层和治理层对财务报表的责任</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在编制财务报表时，管理层负责评估金溢科技公司的持续经营能力，披露与持续经营相关的事项（如适用），并运用持 续经营假设，除非计划进行清算、终止运营或别无其他现实的选择。</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金溢科技公司治理层（以下简称治理层）负责监督金溢科技公司的财务报告过程。</w:t>
      </w:r>
    </w:p>
    <w:p>
      <w:pPr>
        <w:pStyle w:val="Style28"/>
        <w:keepNext w:val="0"/>
        <w:keepLines w:val="0"/>
        <w:widowControl w:val="0"/>
        <w:shd w:val="clear" w:color="auto" w:fill="auto"/>
        <w:tabs>
          <w:tab w:pos="847" w:val="left"/>
        </w:tabs>
        <w:bidi w:val="0"/>
        <w:spacing w:before="0" w:after="0" w:line="391" w:lineRule="exact"/>
        <w:ind w:left="0" w:right="0"/>
        <w:jc w:val="both"/>
      </w:pPr>
      <w:bookmarkStart w:id="727" w:name="bookmark727"/>
      <w:r>
        <w:rPr>
          <w:b/>
          <w:bCs/>
          <w:color w:val="000000"/>
          <w:spacing w:val="0"/>
          <w:w w:val="100"/>
          <w:position w:val="0"/>
        </w:rPr>
        <w:t>六</w:t>
      </w:r>
      <w:bookmarkEnd w:id="727"/>
      <w:r>
        <w:rPr>
          <w:b/>
          <w:bCs/>
          <w:color w:val="000000"/>
          <w:spacing w:val="0"/>
          <w:w w:val="100"/>
          <w:position w:val="0"/>
        </w:rPr>
        <w:t>、</w:t>
        <w:tab/>
        <w:t>注册会计师对财务报表审计的责任</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8"/>
        <w:keepNext w:val="0"/>
        <w:keepLines w:val="0"/>
        <w:widowControl w:val="0"/>
        <w:shd w:val="clear" w:color="auto" w:fill="auto"/>
        <w:tabs>
          <w:tab w:pos="965" w:val="left"/>
        </w:tabs>
        <w:bidi w:val="0"/>
        <w:spacing w:before="0" w:after="0" w:line="391" w:lineRule="exact"/>
        <w:ind w:left="0" w:right="0"/>
        <w:jc w:val="both"/>
      </w:pPr>
      <w:bookmarkStart w:id="728" w:name="bookmark728"/>
      <w:r>
        <w:rPr>
          <w:color w:val="000000"/>
          <w:spacing w:val="0"/>
          <w:w w:val="100"/>
          <w:position w:val="0"/>
        </w:rPr>
        <w:t>（</w:t>
      </w:r>
      <w:bookmarkEnd w:id="728"/>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8"/>
        <w:keepNext w:val="0"/>
        <w:keepLines w:val="0"/>
        <w:widowControl w:val="0"/>
        <w:shd w:val="clear" w:color="auto" w:fill="auto"/>
        <w:tabs>
          <w:tab w:pos="946" w:val="left"/>
        </w:tabs>
        <w:bidi w:val="0"/>
        <w:spacing w:before="0" w:after="0" w:line="391" w:lineRule="exact"/>
        <w:ind w:left="0" w:right="0"/>
        <w:jc w:val="both"/>
      </w:pPr>
      <w:bookmarkStart w:id="729" w:name="bookmark729"/>
      <w:r>
        <w:rPr>
          <w:color w:val="000000"/>
          <w:spacing w:val="0"/>
          <w:w w:val="100"/>
          <w:position w:val="0"/>
        </w:rPr>
        <w:t>（</w:t>
      </w:r>
      <w:bookmarkEnd w:id="729"/>
      <w:r>
        <w:rPr>
          <w:color w:val="000000"/>
          <w:spacing w:val="0"/>
          <w:w w:val="100"/>
          <w:position w:val="0"/>
        </w:rPr>
        <w:t>二）</w:t>
        <w:tab/>
        <w:t>了解与审计相关的内部控制，以设计恰当的审计程序</w:t>
      </w:r>
      <w:r>
        <w:rPr>
          <w:i/>
          <w:iCs/>
          <w:color w:val="000000"/>
          <w:spacing w:val="0"/>
          <w:w w:val="100"/>
          <w:position w:val="0"/>
        </w:rPr>
        <w:t>，</w:t>
      </w:r>
      <w:r>
        <w:rPr>
          <w:color w:val="000000"/>
          <w:spacing w:val="0"/>
          <w:w w:val="100"/>
          <w:position w:val="0"/>
        </w:rPr>
        <w:t>但目的并非对内部控制的有效性发表意见。</w:t>
      </w:r>
    </w:p>
    <w:p>
      <w:pPr>
        <w:pStyle w:val="Style28"/>
        <w:keepNext w:val="0"/>
        <w:keepLines w:val="0"/>
        <w:widowControl w:val="0"/>
        <w:shd w:val="clear" w:color="auto" w:fill="auto"/>
        <w:tabs>
          <w:tab w:pos="946" w:val="left"/>
        </w:tabs>
        <w:bidi w:val="0"/>
        <w:spacing w:before="0" w:after="0" w:line="391" w:lineRule="exact"/>
        <w:ind w:left="0" w:right="0"/>
        <w:jc w:val="both"/>
      </w:pPr>
      <w:bookmarkStart w:id="730" w:name="bookmark730"/>
      <w:r>
        <w:rPr>
          <w:color w:val="000000"/>
          <w:spacing w:val="0"/>
          <w:w w:val="100"/>
          <w:position w:val="0"/>
        </w:rPr>
        <w:t>（</w:t>
      </w:r>
      <w:bookmarkEnd w:id="730"/>
      <w:r>
        <w:rPr>
          <w:color w:val="000000"/>
          <w:spacing w:val="0"/>
          <w:w w:val="100"/>
          <w:position w:val="0"/>
        </w:rPr>
        <w:t>三）</w:t>
        <w:tab/>
        <w:t>评价管理层选用会计政策的恰当性和作出会计估计及相关披露的合理性。</w:t>
      </w:r>
    </w:p>
    <w:p>
      <w:pPr>
        <w:pStyle w:val="Style28"/>
        <w:keepNext w:val="0"/>
        <w:keepLines w:val="0"/>
        <w:widowControl w:val="0"/>
        <w:shd w:val="clear" w:color="auto" w:fill="auto"/>
        <w:tabs>
          <w:tab w:pos="965" w:val="left"/>
        </w:tabs>
        <w:bidi w:val="0"/>
        <w:spacing w:before="0" w:after="0" w:line="391" w:lineRule="exact"/>
        <w:ind w:left="0" w:right="0"/>
        <w:jc w:val="both"/>
      </w:pPr>
      <w:bookmarkStart w:id="731" w:name="bookmark731"/>
      <w:r>
        <w:rPr>
          <w:color w:val="000000"/>
          <w:spacing w:val="0"/>
          <w:w w:val="100"/>
          <w:position w:val="0"/>
        </w:rPr>
        <w:t>（</w:t>
      </w:r>
      <w:bookmarkEnd w:id="731"/>
      <w:r>
        <w:rPr>
          <w:color w:val="000000"/>
          <w:spacing w:val="0"/>
          <w:w w:val="100"/>
          <w:position w:val="0"/>
        </w:rPr>
        <w:t>四）</w:t>
        <w:tab/>
        <w:t>对管理层使用持续经营假设的恰当性得出结论。同时，根据获取的审计证据，就可能导致对金溢科技公司持续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结论基于截至审计报告日可获得的信息。然而，未来的事项或情况可能导致金溢科技公司不能持续经营。</w:t>
      </w:r>
    </w:p>
    <w:p>
      <w:pPr>
        <w:pStyle w:val="Style28"/>
        <w:keepNext w:val="0"/>
        <w:keepLines w:val="0"/>
        <w:widowControl w:val="0"/>
        <w:shd w:val="clear" w:color="auto" w:fill="auto"/>
        <w:tabs>
          <w:tab w:pos="946" w:val="left"/>
        </w:tabs>
        <w:bidi w:val="0"/>
        <w:spacing w:before="0" w:after="0" w:line="391" w:lineRule="exact"/>
        <w:ind w:left="0" w:right="0"/>
        <w:jc w:val="both"/>
      </w:pPr>
      <w:bookmarkStart w:id="732" w:name="bookmark732"/>
      <w:r>
        <w:rPr>
          <w:color w:val="000000"/>
          <w:spacing w:val="0"/>
          <w:w w:val="100"/>
          <w:position w:val="0"/>
        </w:rPr>
        <w:t>（</w:t>
      </w:r>
      <w:bookmarkEnd w:id="732"/>
      <w:r>
        <w:rPr>
          <w:color w:val="000000"/>
          <w:spacing w:val="0"/>
          <w:w w:val="100"/>
          <w:position w:val="0"/>
        </w:rPr>
        <w:t>五）</w:t>
        <w:tab/>
        <w:t>评价财务报表的总体列报、结构和内容，并评价财务报表是否公允反映相关交易和事项。</w:t>
      </w:r>
    </w:p>
    <w:p>
      <w:pPr>
        <w:pStyle w:val="Style28"/>
        <w:keepNext w:val="0"/>
        <w:keepLines w:val="0"/>
        <w:widowControl w:val="0"/>
        <w:shd w:val="clear" w:color="auto" w:fill="auto"/>
        <w:tabs>
          <w:tab w:pos="960" w:val="left"/>
        </w:tabs>
        <w:bidi w:val="0"/>
        <w:spacing w:before="0" w:after="0" w:line="391" w:lineRule="exact"/>
        <w:ind w:left="0" w:right="0"/>
        <w:jc w:val="both"/>
      </w:pPr>
      <w:bookmarkStart w:id="733" w:name="bookmark733"/>
      <w:r>
        <w:rPr>
          <w:color w:val="000000"/>
          <w:spacing w:val="0"/>
          <w:w w:val="100"/>
          <w:position w:val="0"/>
        </w:rPr>
        <w:t>（</w:t>
      </w:r>
      <w:bookmarkEnd w:id="733"/>
      <w:r>
        <w:rPr>
          <w:color w:val="000000"/>
          <w:spacing w:val="0"/>
          <w:w w:val="100"/>
          <w:position w:val="0"/>
        </w:rPr>
        <w:t>六）</w:t>
        <w:tab/>
        <w:t>就金溢科技公司中实体或业务活动的财务信息获取充分、适当的审计证据，以对财务报表发表审计意见。我们 负责指导、监督和执行集团审计，并对审计意见承担全部责任。</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br w:type="page"/>
      </w:r>
    </w:p>
    <w:p>
      <w:pPr>
        <w:pStyle w:val="Style24"/>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sz w:val="24"/>
          <w:szCs w:val="24"/>
        </w:rPr>
        <w:t>二</w:t>
      </w:r>
      <w:bookmarkEnd w:id="736"/>
      <w:r>
        <w:rPr>
          <w:color w:val="000000"/>
          <w:spacing w:val="0"/>
          <w:w w:val="100"/>
          <w:position w:val="0"/>
          <w:sz w:val="24"/>
          <w:szCs w:val="24"/>
        </w:rPr>
        <w:t>、财务报表</w:t>
      </w:r>
      <w:bookmarkEnd w:id="734"/>
      <w:bookmarkEnd w:id="735"/>
      <w:bookmarkEnd w:id="73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、合并资产负债表</w:t>
      </w:r>
      <w:bookmarkEnd w:id="738"/>
      <w:bookmarkEnd w:id="739"/>
      <w:bookmarkEnd w:id="74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编制单位：深圳市金溢科技股份有限公司</w:t>
      </w:r>
    </w:p>
    <w:p>
      <w:pPr>
        <w:pStyle w:val="Style5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875,287,524.62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1,464,649,007.64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293,807,669.06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447,984,243.82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5,110,916.31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15,489,939.55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12,250,144.93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5,394,800.72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5,884,119.01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15,908,464.36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149,253,050.34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258,050,591.97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30,510,048.59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75,766,978.37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24,357,062.81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22,583,518.92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1,697,229,337.06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2,305,827,545.35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70,947,719.57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16,867,700.40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274,890,000.00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55,179,570.22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16,801,496.29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272,450,289.34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349,242,961.37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57,370,992.77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24,288,265.80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47,746,473.07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33,695,566.52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10,765,661.94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14,778,415.55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63,729,357.33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33,643,203.56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121,364,684.78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82,899,214.81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960,354,940.89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590,722,173.53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2,657,584,277.95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2,896,549,718.88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48,534,484.34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130,000,042.68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82,830,486.87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145,672,895.00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42,463,919.26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33,350,432.85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24,736,245.21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34,219,291.19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16,197,259.31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55,346,152.70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60,489,424.63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64,425,590.88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7,990,476.68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283,501,936.35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463,320,461.89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17,192,202.24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38,813,911.63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54,003,599.61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10,001,759.34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9,005,215.42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36,916,140.21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1,733,455.53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102,924,013.42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64,742,270.56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386,425,949.77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528,062,732.45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180,148,557.00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180,636,097.00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702,170,686.04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711,173,406.99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8,543,655.87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28,392,383.30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208,537,980.00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88,648,845.42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1,100,195,915.59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1,408,649,982.80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2,271,158,328.18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2,370,538,863.60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2,271,158,328.18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2,368,486,986.43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2,657,584,277.95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2,896,549,718.88</w:t>
            </w:r>
          </w:p>
        </w:tc>
      </w:tr>
    </w:tbl>
    <w:p>
      <w:pPr>
        <w:pStyle w:val="Style31"/>
        <w:keepNext/>
        <w:keepLines/>
        <w:widowControl w:val="0"/>
        <w:shd w:val="clear" w:color="auto" w:fill="auto"/>
        <w:bidi w:val="0"/>
        <w:spacing w:before="0" w:line="240" w:lineRule="auto"/>
        <w:ind w:left="0" w:right="0" w:firstLine="0"/>
        <w:jc w:val="left"/>
      </w:pPr>
      <w:r>
        <mc:AlternateContent>
          <mc:Choice Requires="wps">
            <w:drawing>
              <wp:anchor distT="139700" distB="0" distL="114300" distR="5027295" simplePos="0" relativeHeight="125829394" behindDoc="0" locked="0" layoutInCell="1" allowOverlap="1">
                <wp:simplePos x="0" y="0"/>
                <wp:positionH relativeFrom="page">
                  <wp:posOffset>694690</wp:posOffset>
                </wp:positionH>
                <wp:positionV relativeFrom="margin">
                  <wp:posOffset>2328545</wp:posOffset>
                </wp:positionV>
                <wp:extent cx="1054735" cy="149225"/>
                <wp:wrapTopAndBottom/>
                <wp:docPr id="22" name="Shape 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wps:txbx>
                      <wps:bodyPr wrap="none" lIns="0" tIns="0" rIns="0" bIns="0">
                        <a:noAutoFit/>
                      </wps:bodyPr>
                    </wps:wsp>
                  </a:graphicData>
                </a:graphic>
              </wp:anchor>
            </w:drawing>
          </mc:Choice>
          <mc:Fallback>
            <w:pict>
              <v:shape id="_x0000_s1048" type="#_x0000_t202" style="position:absolute;margin-left:54.700000000000003pt;margin-top:183.34999999999999pt;width:83.049999999999997pt;height:11.75pt;z-index:-125829359;mso-wrap-distance-left:9.pt;mso-wrap-distance-top:11.pt;mso-wrap-distance-right:395.85000000000002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v:textbox>
                <w10:wrap type="topAndBottom" anchorx="page" anchory="margin"/>
              </v:shape>
            </w:pict>
          </mc:Fallback>
        </mc:AlternateContent>
      </w:r>
      <w:r>
        <mc:AlternateContent>
          <mc:Choice Requires="wps">
            <w:drawing>
              <wp:anchor distT="139700" distB="3175" distL="2101850" distR="2588895" simplePos="0" relativeHeight="125829396" behindDoc="0" locked="0" layoutInCell="1" allowOverlap="1">
                <wp:simplePos x="0" y="0"/>
                <wp:positionH relativeFrom="page">
                  <wp:posOffset>2682240</wp:posOffset>
                </wp:positionH>
                <wp:positionV relativeFrom="margin">
                  <wp:posOffset>2328545</wp:posOffset>
                </wp:positionV>
                <wp:extent cx="1505585" cy="146050"/>
                <wp:wrapTopAndBottom/>
                <wp:docPr id="24" name="Shape 2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主管会计工作负责人：李锋龙</w:t>
                            </w:r>
                          </w:p>
                        </w:txbxContent>
                      </wps:txbx>
                      <wps:bodyPr wrap="none" lIns="0" tIns="0" rIns="0" bIns="0">
                        <a:noAutoFit/>
                      </wps:bodyPr>
                    </wps:wsp>
                  </a:graphicData>
                </a:graphic>
              </wp:anchor>
            </w:drawing>
          </mc:Choice>
          <mc:Fallback>
            <w:pict>
              <v:shape id="_x0000_s1050" type="#_x0000_t202" style="position:absolute;margin-left:211.20000000000002pt;margin-top:183.34999999999999pt;width:118.55pt;height:11.5pt;z-index:-125829357;mso-wrap-distance-left:165.5pt;mso-wrap-distance-top:11.pt;mso-wrap-distance-right:203.8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主管会计工作负责人：李锋龙</w:t>
                      </w:r>
                    </w:p>
                  </w:txbxContent>
                </v:textbox>
                <w10:wrap type="topAndBottom" anchorx="page" anchory="margin"/>
              </v:shape>
            </w:pict>
          </mc:Fallback>
        </mc:AlternateContent>
      </w:r>
      <w:r>
        <mc:AlternateContent>
          <mc:Choice Requires="wps">
            <w:drawing>
              <wp:anchor distT="139700" distB="0" distL="4911725" distR="114300" simplePos="0" relativeHeight="125829398" behindDoc="0" locked="0" layoutInCell="1" allowOverlap="1">
                <wp:simplePos x="0" y="0"/>
                <wp:positionH relativeFrom="page">
                  <wp:posOffset>5492115</wp:posOffset>
                </wp:positionH>
                <wp:positionV relativeFrom="margin">
                  <wp:posOffset>2328545</wp:posOffset>
                </wp:positionV>
                <wp:extent cx="1170305" cy="149225"/>
                <wp:wrapTopAndBottom/>
                <wp:docPr id="26" name="Shape 2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会计机构负责人：贺芳</w:t>
                            </w:r>
                          </w:p>
                        </w:txbxContent>
                      </wps:txbx>
                      <wps:bodyPr wrap="none" lIns="0" tIns="0" rIns="0" bIns="0">
                        <a:noAutoFit/>
                      </wps:bodyPr>
                    </wps:wsp>
                  </a:graphicData>
                </a:graphic>
              </wp:anchor>
            </w:drawing>
          </mc:Choice>
          <mc:Fallback>
            <w:pict>
              <v:shape id="_x0000_s1052" type="#_x0000_t202" style="position:absolute;margin-left:432.44999999999999pt;margin-top:183.34999999999999pt;width:92.150000000000006pt;height:11.75pt;z-index:-125829355;mso-wrap-distance-left:386.75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会计机构负责人：贺芳</w:t>
                      </w:r>
                    </w:p>
                  </w:txbxContent>
                </v:textbox>
                <w10:wrap type="topAndBottom" anchorx="page" anchory="margin"/>
              </v:shape>
            </w:pict>
          </mc:Fallback>
        </mc:AlternateContent>
      </w: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color w:val="000000"/>
          <w:spacing w:val="0"/>
          <w:w w:val="100"/>
          <w:position w:val="0"/>
        </w:rPr>
        <w:t>、母公司资产负债表</w:t>
      </w:r>
      <w:bookmarkEnd w:id="742"/>
      <w:bookmarkEnd w:id="743"/>
      <w:bookmarkEnd w:id="7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780,033,047.11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1,327,409,010.14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362,409,185.93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486,346,406.00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5,110,916.31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15,489,939.55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4,231,883.07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4,945,628.86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87,589,390.51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80,661,591.60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121,319,800.34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245,610,825.52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30,146,912.09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75,665,044.37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6,138,474.94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1,691,674,006.11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2,242,266,920.98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448,015,598.23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368,008,384.87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274,890,000.00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55,179,570.22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16,801,496.29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122,232,025.00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138,810,519.37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1,772,566.79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2,634,570.82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24,272,174.43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16,669,658.64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2,010,894.93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10,463,262.94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14,778,415.55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59,124,955.78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34,134,251.15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121,364,684.78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82,515,333.31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1,095,606,422.88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698,071,940.22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2,787,280,428.99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2,940,338,861.20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48,618,386.95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130,000,042.68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166,290,568.60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159,995,986.56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42,384,205.32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33,184,432.85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22,135,951.69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30,870,869.57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12,441,023.47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54,620,046.51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82,351,159.36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71,051,756.07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7,924,838.59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382,403,479.38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480,029,190.83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17,192,202.24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38,314,019.36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54,003,599.61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10,001,759.34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9,005,215.42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36,916,140.21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1,733,455.53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102,424,121.15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64,742,270.56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484,827,600.53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544,771,461.39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180,148,557.00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180,636,097.00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703,238,170.22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712,240,891.17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8,543,655.87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28,392,383.30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208,537,980.00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90,318,048.50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90,318,048.50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1,128,753,728.61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1,430,941,831.75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2,302,452,828.46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2,395,567,399.81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2,787,280,428.99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2,940,338,861.20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3</w:t>
      </w:r>
      <w:bookmarkEnd w:id="748"/>
      <w:r>
        <w:rPr>
          <w:color w:val="000000"/>
          <w:spacing w:val="0"/>
          <w:w w:val="100"/>
          <w:position w:val="0"/>
        </w:rPr>
        <w:t>、合并利润表</w:t>
      </w:r>
      <w:bookmarkEnd w:id="746"/>
      <w:bookmarkEnd w:id="747"/>
      <w:bookmarkEnd w:id="74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1,563,646,033.41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1,563,646,033.41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453,758,373.46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882,797,287.91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186,650,920.32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578,587,732.24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4,782,566.57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-1,232,913.02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105,346,119.00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105,634,201.74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94,067,096.61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107,128,776.59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82,932,771.58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124,204,674.89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-20,021,100.62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-31,525,184.53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1,758,832.25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21,911,283.52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30,833,206.17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39,894,302.64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110,021,868.64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10,479,050.02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6,056,402.51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9,233,191.09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1,836,943.74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-13,229,889.26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-111,865,582.72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-24,831,858.57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-226,553,297.70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772,185,529.51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1,449,331.75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1,798,008.55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6,190,473.81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50,477,728.03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-231,294,439.76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723,505,810.03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-38,561,973.77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94,551,868.96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-192,732,465.99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628,953,941.07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-192,732,465.99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628,618,980.08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-192,732,391.13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630,630,950.34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-1,677,009.27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79,021,399.32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638,776,855.76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79,021,399.32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640,453,865.03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-1,677,009.27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027295" simplePos="0" relativeHeight="125829400" behindDoc="0" locked="0" layoutInCell="1" allowOverlap="1">
                <wp:simplePos x="0" y="0"/>
                <wp:positionH relativeFrom="page">
                  <wp:posOffset>694690</wp:posOffset>
                </wp:positionH>
                <wp:positionV relativeFrom="margin">
                  <wp:posOffset>3691255</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wps:txbx>
                      <wps:bodyPr wrap="none" lIns="0" tIns="0" rIns="0" bIns="0">
                        <a:noAutoFit/>
                      </wps:bodyPr>
                    </wps:wsp>
                  </a:graphicData>
                </a:graphic>
              </wp:anchor>
            </w:drawing>
          </mc:Choice>
          <mc:Fallback>
            <w:pict>
              <v:shape id="_x0000_s1054" type="#_x0000_t202" style="position:absolute;margin-left:54.700000000000003pt;margin-top:290.65000000000003pt;width:83.049999999999997pt;height:11.75pt;z-index:-125829353;mso-wrap-distance-left:9.pt;mso-wrap-distance-top:12.pt;mso-wrap-distance-right:395.85000000000002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v:textbox>
                <w10:wrap type="topAndBottom" anchorx="page" anchory="margin"/>
              </v:shape>
            </w:pict>
          </mc:Fallback>
        </mc:AlternateContent>
      </w:r>
      <w:r>
        <mc:AlternateContent>
          <mc:Choice Requires="wps">
            <w:drawing>
              <wp:anchor distT="152400" distB="3175" distL="2101850" distR="2588895" simplePos="0" relativeHeight="125829402" behindDoc="0" locked="0" layoutInCell="1" allowOverlap="1">
                <wp:simplePos x="0" y="0"/>
                <wp:positionH relativeFrom="page">
                  <wp:posOffset>2682240</wp:posOffset>
                </wp:positionH>
                <wp:positionV relativeFrom="margin">
                  <wp:posOffset>3691255</wp:posOffset>
                </wp:positionV>
                <wp:extent cx="1505585" cy="146050"/>
                <wp:wrapTopAndBottom/>
                <wp:docPr id="30" name="Shape 3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主管会计工作负责人：李锋龙</w:t>
                            </w:r>
                          </w:p>
                        </w:txbxContent>
                      </wps:txbx>
                      <wps:bodyPr wrap="none" lIns="0" tIns="0" rIns="0" bIns="0">
                        <a:noAutoFit/>
                      </wps:bodyPr>
                    </wps:wsp>
                  </a:graphicData>
                </a:graphic>
              </wp:anchor>
            </w:drawing>
          </mc:Choice>
          <mc:Fallback>
            <w:pict>
              <v:shape id="_x0000_s1056" type="#_x0000_t202" style="position:absolute;margin-left:211.20000000000002pt;margin-top:290.65000000000003pt;width:118.55pt;height:11.5pt;z-index:-125829351;mso-wrap-distance-left:165.5pt;mso-wrap-distance-top:12.pt;mso-wrap-distance-right:203.8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主管会计工作负责人：李锋龙</w:t>
                      </w:r>
                    </w:p>
                  </w:txbxContent>
                </v:textbox>
                <w10:wrap type="topAndBottom" anchorx="page" anchory="margin"/>
              </v:shape>
            </w:pict>
          </mc:Fallback>
        </mc:AlternateContent>
      </w:r>
      <w:r>
        <mc:AlternateContent>
          <mc:Choice Requires="wps">
            <w:drawing>
              <wp:anchor distT="152400" distB="0" distL="4911725" distR="114300" simplePos="0" relativeHeight="125829404" behindDoc="0" locked="0" layoutInCell="1" allowOverlap="1">
                <wp:simplePos x="0" y="0"/>
                <wp:positionH relativeFrom="page">
                  <wp:posOffset>5492115</wp:posOffset>
                </wp:positionH>
                <wp:positionV relativeFrom="margin">
                  <wp:posOffset>3691255</wp:posOffset>
                </wp:positionV>
                <wp:extent cx="1170305" cy="149225"/>
                <wp:wrapTopAndBottom/>
                <wp:docPr id="32" name="Shape 3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会计机构负责人：贺芳</w:t>
                            </w:r>
                          </w:p>
                        </w:txbxContent>
                      </wps:txbx>
                      <wps:bodyPr wrap="none" lIns="0" tIns="0" rIns="0" bIns="0">
                        <a:noAutoFit/>
                      </wps:bodyPr>
                    </wps:wsp>
                  </a:graphicData>
                </a:graphic>
              </wp:anchor>
            </w:drawing>
          </mc:Choice>
          <mc:Fallback>
            <w:pict>
              <v:shape id="_x0000_s1058" type="#_x0000_t202" style="position:absolute;margin-left:432.44999999999999pt;margin-top:290.65000000000003pt;width:92.150000000000006pt;height:11.75pt;z-index:-125829349;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会计机构负责人：贺芳</w:t>
                      </w:r>
                    </w:p>
                  </w:txbxContent>
                </v:textbox>
                <w10:wrap type="topAndBottom" anchorx="page" anchory="margin"/>
              </v:shape>
            </w:pict>
          </mc:Fallback>
        </mc:AlternateContent>
      </w: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4</w:t>
      </w:r>
      <w:bookmarkEnd w:id="752"/>
      <w:r>
        <w:rPr>
          <w:color w:val="000000"/>
          <w:spacing w:val="0"/>
          <w:w w:val="100"/>
          <w:position w:val="0"/>
        </w:rPr>
        <w:t>、母公司利润表</w:t>
      </w:r>
      <w:bookmarkEnd w:id="750"/>
      <w:bookmarkEnd w:id="751"/>
      <w:bookmarkEnd w:id="7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369,148,667.68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1,587,244,232.31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267,940,011.89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607,925,715.56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2,516,696.94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-2,420,086.41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104,129,792.18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101,926,752.60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77,440,633.23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89,408,415.55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82,932,771.58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120,140,220.81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-17,984,130.59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-27,929,238.71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1,725,697.76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19,832,965.11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27,226,051.98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39,498,550.70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109,414,465.12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10,791,760.80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-14,371,873.68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8,720,900.51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-1,607,027.56</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-12,447,208.26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-6,957,068.77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-109,711,965.43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-24,811,396.00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-219,323,863.19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761,466,579.58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1,434,483.25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1,793,010.02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6,188,885.01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50,454,821.57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-224,078,264.95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712,804,768.03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-37,611,837.89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94,060,763.45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-186,466,427.06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618,744,004.58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-186,466,427.06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618,744,004.58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85,287,438.25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628,566,919.27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5</w:t>
      </w:r>
      <w:bookmarkEnd w:id="756"/>
      <w:r>
        <w:rPr>
          <w:color w:val="000000"/>
          <w:spacing w:val="0"/>
          <w:w w:val="100"/>
          <w:position w:val="0"/>
        </w:rPr>
        <w:t>、合并现金流量表</w:t>
      </w:r>
      <w:bookmarkEnd w:id="754"/>
      <w:bookmarkEnd w:id="755"/>
      <w:bookmarkEnd w:id="7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533,218,190.39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1,292,895,072.31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21,451,936.02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117,593,609.97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70,969,501.05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44,370,122.39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625,639,627.46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1,454,858,804.67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323,135,404.65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927,125,416.48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179,925,613.94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220,816,267.28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63,168,532.81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272,362,739.51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95,598,720.41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118,201,937.84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661,828,271.81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1,538,506,361.11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-36,188,644.35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-83,647,556.44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6,810,278.47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120,312,338.16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196,876,154.17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32,955,052.22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92,186,073.21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191,464,753.74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442,955,052.22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283,650,826.95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-322,642,714.06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-86,774,672.78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190,329,721.46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262,524,461.70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17,810,939.81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2,071,871.60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208,140,661.27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264,596,333.30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-208,140,661.27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-264,596,333.30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-566,976,527.41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-434,972,603.15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1,439,042,943.61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1,874,015,546.76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872,066,416.20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1,439,042,943.61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6</w:t>
      </w:r>
      <w:bookmarkEnd w:id="760"/>
      <w:r>
        <w:rPr>
          <w:color w:val="000000"/>
          <w:spacing w:val="0"/>
          <w:w w:val="100"/>
          <w:position w:val="0"/>
        </w:rPr>
        <w:t>、母公司现金流量表</w:t>
      </w:r>
      <w:bookmarkEnd w:id="758"/>
      <w:bookmarkEnd w:id="759"/>
      <w:bookmarkEnd w:id="7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568,967,013.02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1,281,531,793.33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21,451,936.02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117,593,609.97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90,316,098.81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50,159,606.42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680,735,047.85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1,449,285,009.72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300,526,812.38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928,429,798.42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157,197,594.16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198,762,975.25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59,555,711.43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270,801,418.86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127,814,453.99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110,691,950.99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645,094,571.96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1,508,686,143.52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35,640,475.89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-59,401,133.80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5,131,540.50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254,856.88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1,866,326.33</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120,254,856.88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6,997,867.83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32,888,856.90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27,508,877.63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472,888,856.90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30,508,877.63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-352,634,000.02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-23,511,009.80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190,329,721.46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262,524,461.70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17,663,254.10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2,071,871.60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207,992,975.56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264,596,333.30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-207,992,975.56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-264,596,333.30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-524,991,007.42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-347,462,517.53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1,301,802,946.11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1,649,265,463.64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776,811,938.69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1,301,802,946.11</w:t>
            </w:r>
          </w:p>
        </w:tc>
      </w:tr>
    </w:tbl>
    <w:p>
      <w:pPr>
        <w:sectPr>
          <w:footnotePr>
            <w:pos w:val="pageBottom"/>
            <w:numFmt w:val="decimal"/>
            <w:numRestart w:val="continuous"/>
          </w:footnotePr>
          <w:pgSz w:w="11900" w:h="16840"/>
          <w:pgMar w:top="1340" w:right="1081" w:bottom="1436" w:left="1046" w:header="0" w:footer="3" w:gutter="0"/>
          <w:cols w:space="720"/>
          <w:noEndnote/>
          <w:rtlGutter w:val="0"/>
          <w:docGrid w:linePitch="360"/>
        </w:sectPr>
      </w:pPr>
    </w:p>
    <w:p>
      <w:pPr>
        <w:pStyle w:val="Style31"/>
        <w:keepNext/>
        <w:keepLines/>
        <w:widowControl w:val="0"/>
        <w:shd w:val="clear" w:color="auto" w:fill="auto"/>
        <w:bidi w:val="0"/>
        <w:spacing w:before="320" w:after="3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、合并所有者权益变动表</w:t>
      </w:r>
      <w:bookmarkEnd w:id="762"/>
      <w:bookmarkEnd w:id="763"/>
      <w:bookmarkEnd w:id="76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349"/>
        <w:gridCol w:w="1181"/>
        <w:gridCol w:w="240"/>
        <w:gridCol w:w="235"/>
        <w:gridCol w:w="235"/>
        <w:gridCol w:w="1181"/>
        <w:gridCol w:w="1253"/>
        <w:gridCol w:w="1181"/>
        <w:gridCol w:w="341"/>
        <w:gridCol w:w="1094"/>
        <w:gridCol w:w="355"/>
        <w:gridCol w:w="1315"/>
        <w:gridCol w:w="341"/>
        <w:gridCol w:w="1315"/>
        <w:gridCol w:w="1090"/>
        <w:gridCol w:w="13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711,173,406.99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2,370,538,863.60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2,368,486,986.43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711,173,406.99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2,370,538,863.60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2,368,486,986.43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-487,540.00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-9,002,720.95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-19,848,727.43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198,715,065.31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-308,454,067.21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-99,380,535.42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-97,328,658.25</w:t>
            </w:r>
          </w:p>
        </w:tc>
      </w:tr>
    </w:tbl>
    <w:p>
      <w:pPr>
        <w:spacing w:lineRule="exact" w:line="1"/>
        <w:rPr>
          <w:sz w:val="2"/>
          <w:szCs w:val="2"/>
        </w:rPr>
      </w:pPr>
      <w:r>
        <w:br w:type="page"/>
      </w:r>
    </w:p>
    <w:tbl>
      <w:tblPr>
        <w:tblOverlap w:val="never"/>
        <w:jc w:val="center"/>
        <w:tblLayout w:type="fixed"/>
      </w:tblPr>
      <w:tblGrid>
        <w:gridCol w:w="1349"/>
        <w:gridCol w:w="1181"/>
        <w:gridCol w:w="240"/>
        <w:gridCol w:w="235"/>
        <w:gridCol w:w="235"/>
        <w:gridCol w:w="1181"/>
        <w:gridCol w:w="1253"/>
        <w:gridCol w:w="1181"/>
        <w:gridCol w:w="341"/>
        <w:gridCol w:w="1094"/>
        <w:gridCol w:w="355"/>
        <w:gridCol w:w="1315"/>
        <w:gridCol w:w="341"/>
        <w:gridCol w:w="1315"/>
        <w:gridCol w:w="1090"/>
        <w:gridCol w:w="133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-192,732,391.13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79,021,474.18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79,021,399.32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-487,540.00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-9,002,720.95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-19,848,727.43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10,358,466.48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10,358,466.48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-487,540.00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-6,546,037.06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-19,848,727.43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12,815,150.37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12,815,150.37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-2,456,683.89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-2,456,683.89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-188,760,476.08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-188,760,476.08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-188,760,476.08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-188,760,476.08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-188,760,476.08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-188,760,476.08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49"/>
        <w:gridCol w:w="1181"/>
        <w:gridCol w:w="240"/>
        <w:gridCol w:w="235"/>
        <w:gridCol w:w="235"/>
        <w:gridCol w:w="1181"/>
        <w:gridCol w:w="1253"/>
        <w:gridCol w:w="1181"/>
        <w:gridCol w:w="341"/>
        <w:gridCol w:w="1094"/>
        <w:gridCol w:w="355"/>
        <w:gridCol w:w="1315"/>
        <w:gridCol w:w="341"/>
        <w:gridCol w:w="1315"/>
        <w:gridCol w:w="1090"/>
        <w:gridCol w:w="1330"/>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2,051,952.03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180,148,557.00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702,170,686.04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8,543,655.87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208,537,980.00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1,100,195,915.59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2,271,158,328.18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2,271,158,328.18</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1205"/>
        <w:gridCol w:w="1181"/>
        <w:gridCol w:w="307"/>
        <w:gridCol w:w="307"/>
        <w:gridCol w:w="274"/>
        <w:gridCol w:w="1176"/>
        <w:gridCol w:w="1306"/>
        <w:gridCol w:w="1027"/>
        <w:gridCol w:w="341"/>
        <w:gridCol w:w="1094"/>
        <w:gridCol w:w="413"/>
        <w:gridCol w:w="1315"/>
        <w:gridCol w:w="274"/>
        <w:gridCol w:w="1315"/>
        <w:gridCol w:w="1142"/>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711,764,737.04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58,589,877.42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1,070,602,462.16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1,902,654,233.58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-11,988,629.77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1,890,665,603.81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81"/>
        <w:gridCol w:w="307"/>
        <w:gridCol w:w="307"/>
        <w:gridCol w:w="274"/>
        <w:gridCol w:w="1176"/>
        <w:gridCol w:w="1306"/>
        <w:gridCol w:w="1027"/>
        <w:gridCol w:w="341"/>
        <w:gridCol w:w="1094"/>
        <w:gridCol w:w="413"/>
        <w:gridCol w:w="1315"/>
        <w:gridCol w:w="274"/>
        <w:gridCol w:w="1315"/>
        <w:gridCol w:w="1142"/>
        <w:gridCol w:w="1330"/>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711,764,737.04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58,589,877.42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1,070,602,462.16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1,902,654,233.58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-11,988,629.77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1,890,665,603.81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60,117,936.00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-591,330.05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-30,428,620.74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338,047,520.64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467,884,630.02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9,936,752.60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477,821,382.62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630,630,950.34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640,453,865.03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-1,677,009.27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638,776,855.76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61,777,243.30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-30,428,620.74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92,064,720.04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86,064,720.04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-1,895,093.44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-30,428,620.74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22,392,383.30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63,672,336.74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63,672,336.74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63,672,336.74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81"/>
        <w:gridCol w:w="307"/>
        <w:gridCol w:w="307"/>
        <w:gridCol w:w="274"/>
        <w:gridCol w:w="1176"/>
        <w:gridCol w:w="1306"/>
        <w:gridCol w:w="1027"/>
        <w:gridCol w:w="341"/>
        <w:gridCol w:w="1094"/>
        <w:gridCol w:w="413"/>
        <w:gridCol w:w="1315"/>
        <w:gridCol w:w="274"/>
        <w:gridCol w:w="1315"/>
        <w:gridCol w:w="1142"/>
        <w:gridCol w:w="133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-292,583,429.70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-262,524,461.70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-262,524,461.70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-262,524,461.70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81"/>
        <w:gridCol w:w="307"/>
        <w:gridCol w:w="307"/>
        <w:gridCol w:w="274"/>
        <w:gridCol w:w="1176"/>
        <w:gridCol w:w="1306"/>
        <w:gridCol w:w="1027"/>
        <w:gridCol w:w="341"/>
        <w:gridCol w:w="1094"/>
        <w:gridCol w:w="413"/>
        <w:gridCol w:w="1315"/>
        <w:gridCol w:w="274"/>
        <w:gridCol w:w="1315"/>
        <w:gridCol w:w="1142"/>
        <w:gridCol w:w="133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-2,109,493.35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17,613,761.87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15,504,268.52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711,173,406.99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2,370,538,863.60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2,368,486,986.43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8</w:t>
      </w:r>
      <w:bookmarkEnd w:id="768"/>
      <w:r>
        <w:rPr>
          <w:color w:val="000000"/>
          <w:spacing w:val="0"/>
          <w:w w:val="100"/>
          <w:position w:val="0"/>
        </w:rPr>
        <w:t>、母公司所有者权益变动表</w:t>
      </w:r>
      <w:bookmarkEnd w:id="766"/>
      <w:bookmarkEnd w:id="767"/>
      <w:bookmarkEnd w:id="76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738"/>
        <w:gridCol w:w="1181"/>
        <w:gridCol w:w="696"/>
        <w:gridCol w:w="696"/>
        <w:gridCol w:w="701"/>
        <w:gridCol w:w="1181"/>
        <w:gridCol w:w="1205"/>
        <w:gridCol w:w="1181"/>
        <w:gridCol w:w="874"/>
        <w:gridCol w:w="1090"/>
        <w:gridCol w:w="1315"/>
        <w:gridCol w:w="85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712,240,891.17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90,318,048.50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1,430,941,831.75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2,395,567,399.81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712,240,891.17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90,318,048.50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1,430,941,831.75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2,395,567,399.81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-9,002,720.95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-19,848,727.43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198,715,065.31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-302,188,103.14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-93,114,571.35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271,753,865.31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-186,466,427.06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85,287,438.25</w:t>
            </w:r>
          </w:p>
        </w:tc>
      </w:tr>
    </w:tbl>
    <w:p>
      <w:pPr>
        <w:spacing w:lineRule="exact" w:line="1"/>
        <w:rPr>
          <w:sz w:val="2"/>
          <w:szCs w:val="2"/>
        </w:rPr>
      </w:pPr>
      <w:r>
        <w:br w:type="page"/>
      </w:r>
    </w:p>
    <w:tbl>
      <w:tblPr>
        <w:tblOverlap w:val="never"/>
        <w:jc w:val="center"/>
        <w:tblLayout w:type="fixed"/>
      </w:tblPr>
      <w:tblGrid>
        <w:gridCol w:w="1738"/>
        <w:gridCol w:w="1181"/>
        <w:gridCol w:w="696"/>
        <w:gridCol w:w="696"/>
        <w:gridCol w:w="701"/>
        <w:gridCol w:w="1181"/>
        <w:gridCol w:w="1205"/>
        <w:gridCol w:w="1181"/>
        <w:gridCol w:w="874"/>
        <w:gridCol w:w="1090"/>
        <w:gridCol w:w="1315"/>
        <w:gridCol w:w="850"/>
        <w:gridCol w:w="133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-487,540.00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-9,002,720.95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-19,848,727.43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10,358,466.48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-487,540.00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-6,546,037.06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-19,848,727.43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12,815,150.37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-2,456,683.89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-2,456,683.89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-188,760,476.08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-188,760,476.08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-188,760,476.08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-188,760,476.08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8"/>
        <w:gridCol w:w="1181"/>
        <w:gridCol w:w="696"/>
        <w:gridCol w:w="696"/>
        <w:gridCol w:w="701"/>
        <w:gridCol w:w="1181"/>
        <w:gridCol w:w="1205"/>
        <w:gridCol w:w="1181"/>
        <w:gridCol w:w="874"/>
        <w:gridCol w:w="1090"/>
        <w:gridCol w:w="1315"/>
        <w:gridCol w:w="850"/>
        <w:gridCol w:w="1330"/>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180,148,557.00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703,238,170.22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8,543,655.87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208,537,980.00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90,318,048.50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1,128,753,728.61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2,302,452,828.46</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570"/>
        <w:gridCol w:w="1286"/>
        <w:gridCol w:w="696"/>
        <w:gridCol w:w="701"/>
        <w:gridCol w:w="446"/>
        <w:gridCol w:w="1286"/>
        <w:gridCol w:w="1253"/>
        <w:gridCol w:w="1003"/>
        <w:gridCol w:w="1008"/>
        <w:gridCol w:w="1094"/>
        <w:gridCol w:w="1325"/>
        <w:gridCol w:w="1027"/>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710,722,727.87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60,259,080.50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1,104,781,256.87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1,937,460,222.20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710,722,727.87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60,259,080.50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1,104,781,256.87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1,937,460,222.20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60,117,936.00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1,518,163.30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-30,428,620.74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326,160,574.88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458,107,177.61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618,744,004.58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628,566,919.27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61,777,243.30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-30,428,620.74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92,064,720.04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-141,144.00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-1,895,093.44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-30,428,620.74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28,392,383.30</w:t>
            </w:r>
          </w:p>
        </w:tc>
      </w:tr>
    </w:tbl>
    <w:p>
      <w:pPr>
        <w:spacing w:lineRule="exact" w:line="1"/>
        <w:rPr>
          <w:sz w:val="2"/>
          <w:szCs w:val="2"/>
        </w:rPr>
      </w:pPr>
      <w:r>
        <w:br w:type="page"/>
      </w:r>
    </w:p>
    <w:tbl>
      <w:tblPr>
        <w:tblOverlap w:val="never"/>
        <w:jc w:val="center"/>
        <w:tblLayout w:type="fixed"/>
      </w:tblPr>
      <w:tblGrid>
        <w:gridCol w:w="1570"/>
        <w:gridCol w:w="1286"/>
        <w:gridCol w:w="696"/>
        <w:gridCol w:w="701"/>
        <w:gridCol w:w="446"/>
        <w:gridCol w:w="1286"/>
        <w:gridCol w:w="1253"/>
        <w:gridCol w:w="1003"/>
        <w:gridCol w:w="1008"/>
        <w:gridCol w:w="1094"/>
        <w:gridCol w:w="1325"/>
        <w:gridCol w:w="1027"/>
        <w:gridCol w:w="1339"/>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63,672,336.74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63,672,336.74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-292,583,429.70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-262,524,461.70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-262,524,461.70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-262,524,461.70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286"/>
        <w:gridCol w:w="696"/>
        <w:gridCol w:w="701"/>
        <w:gridCol w:w="446"/>
        <w:gridCol w:w="1286"/>
        <w:gridCol w:w="1253"/>
        <w:gridCol w:w="1003"/>
        <w:gridCol w:w="1008"/>
        <w:gridCol w:w="1094"/>
        <w:gridCol w:w="1325"/>
        <w:gridCol w:w="1027"/>
        <w:gridCol w:w="133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712,240,891.17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90,318,048.50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1,430,941,831.75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2,395,567,399.81</w:t>
            </w:r>
          </w:p>
        </w:tc>
      </w:tr>
    </w:tbl>
    <w:p>
      <w:pPr>
        <w:sectPr>
          <w:footnotePr>
            <w:pos w:val="pageBottom"/>
            <w:numFmt w:val="decimal"/>
            <w:numRestart w:val="continuous"/>
          </w:footnotePr>
          <w:pgSz w:w="16840" w:h="11900" w:orient="landscape"/>
          <w:pgMar w:top="1098" w:right="1399" w:bottom="1207" w:left="1405" w:header="0" w:footer="3" w:gutter="0"/>
          <w:cols w:space="720"/>
          <w:noEndnote/>
          <w:rtlGutter w:val="0"/>
          <w:docGrid w:linePitch="360"/>
        </w:sectPr>
      </w:pPr>
    </w:p>
    <w:p>
      <w:pPr>
        <w:pStyle w:val="Style24"/>
        <w:keepNext/>
        <w:keepLines/>
        <w:widowControl w:val="0"/>
        <w:shd w:val="clear" w:color="auto" w:fill="auto"/>
        <w:tabs>
          <w:tab w:pos="522" w:val="left"/>
        </w:tabs>
        <w:bidi w:val="0"/>
        <w:spacing w:before="360" w:after="220" w:line="240" w:lineRule="auto"/>
        <w:ind w:left="0" w:right="0" w:firstLine="0"/>
        <w:jc w:val="both"/>
      </w:pPr>
      <w:bookmarkStart w:id="770" w:name="bookmark770"/>
      <w:bookmarkStart w:id="771" w:name="bookmark771"/>
      <w:bookmarkStart w:id="772" w:name="bookmark772"/>
      <w:bookmarkStart w:id="773" w:name="bookmark773"/>
      <w:r>
        <w:rPr>
          <w:color w:val="000000"/>
          <w:spacing w:val="0"/>
          <w:w w:val="100"/>
          <w:position w:val="0"/>
          <w:sz w:val="24"/>
          <w:szCs w:val="24"/>
        </w:rPr>
        <w:t>三</w:t>
      </w:r>
      <w:bookmarkEnd w:id="772"/>
      <w:r>
        <w:rPr>
          <w:color w:val="000000"/>
          <w:spacing w:val="0"/>
          <w:w w:val="100"/>
          <w:position w:val="0"/>
          <w:sz w:val="24"/>
          <w:szCs w:val="24"/>
        </w:rPr>
        <w:t>、</w:t>
        <w:tab/>
        <w:t>公司基本情况</w:t>
      </w:r>
      <w:bookmarkEnd w:id="770"/>
      <w:bookmarkEnd w:id="771"/>
      <w:bookmarkEnd w:id="773"/>
    </w:p>
    <w:p>
      <w:pPr>
        <w:pStyle w:val="Style28"/>
        <w:keepNext w:val="0"/>
        <w:keepLines w:val="0"/>
        <w:widowControl w:val="0"/>
        <w:shd w:val="clear" w:color="auto" w:fill="auto"/>
        <w:bidi w:val="0"/>
        <w:spacing w:before="0" w:after="0" w:line="388" w:lineRule="exact"/>
        <w:ind w:left="0" w:right="0" w:firstLine="380"/>
        <w:jc w:val="both"/>
      </w:pPr>
      <w:r>
        <w:rPr>
          <w:color w:val="000000"/>
          <w:spacing w:val="0"/>
          <w:w w:val="100"/>
          <w:position w:val="0"/>
        </w:rPr>
        <w:t>深圳市金溢科技股份有限公司前身系原深圳市金溢科技有限公司（以下简称金溢有限公司），金溢有限公司系由深圳市 金溢实业有限公司和广州市立尊电子科技有限公司共同出资组建，于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日在深圳市工商行政管理局登记注册，金 溢有限公司以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日为基准日，整体变更为股份有限公司，于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日在深圳市市场监督管理局登记注册， 总部位于广东省深圳市。公司现持有统一社会信用代码为</w:t>
      </w:r>
      <w:r>
        <w:rPr>
          <w:rFonts w:ascii="Times New Roman" w:eastAsia="Times New Roman" w:hAnsi="Times New Roman" w:cs="Times New Roman"/>
          <w:color w:val="000000"/>
          <w:spacing w:val="0"/>
          <w:w w:val="100"/>
          <w:position w:val="0"/>
          <w:sz w:val="18"/>
          <w:szCs w:val="18"/>
        </w:rPr>
        <w:t>91440300761987321E</w:t>
      </w:r>
      <w:r>
        <w:rPr>
          <w:color w:val="000000"/>
          <w:spacing w:val="0"/>
          <w:w w:val="100"/>
          <w:position w:val="0"/>
        </w:rPr>
        <w:t>的营业执照，注册资本</w:t>
      </w:r>
      <w:r>
        <w:rPr>
          <w:rFonts w:ascii="Times New Roman" w:eastAsia="Times New Roman" w:hAnsi="Times New Roman" w:cs="Times New Roman"/>
          <w:color w:val="000000"/>
          <w:spacing w:val="0"/>
          <w:w w:val="100"/>
          <w:position w:val="0"/>
          <w:sz w:val="18"/>
          <w:szCs w:val="18"/>
        </w:rPr>
        <w:t>180,148,557</w:t>
      </w:r>
      <w:r>
        <w:rPr>
          <w:color w:val="000000"/>
          <w:spacing w:val="0"/>
          <w:w w:val="100"/>
          <w:position w:val="0"/>
        </w:rPr>
        <w:t>元，股份 总数</w:t>
      </w:r>
      <w:r>
        <w:rPr>
          <w:rFonts w:ascii="Times New Roman" w:eastAsia="Times New Roman" w:hAnsi="Times New Roman" w:cs="Times New Roman"/>
          <w:color w:val="000000"/>
          <w:spacing w:val="0"/>
          <w:w w:val="100"/>
          <w:position w:val="0"/>
          <w:sz w:val="18"/>
          <w:szCs w:val="18"/>
        </w:rPr>
        <w:t>180,148,557</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24,929,265</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155,219,292 </w:t>
      </w:r>
      <w:r>
        <w:rPr>
          <w:color w:val="000000"/>
          <w:spacing w:val="0"/>
          <w:w w:val="100"/>
          <w:position w:val="0"/>
        </w:rPr>
        <w:t>股。公司股票已于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日在深圳证券交易所挂牌交易。</w:t>
      </w:r>
    </w:p>
    <w:p>
      <w:pPr>
        <w:pStyle w:val="Style28"/>
        <w:keepNext w:val="0"/>
        <w:keepLines w:val="0"/>
        <w:widowControl w:val="0"/>
        <w:shd w:val="clear" w:color="auto" w:fill="auto"/>
        <w:bidi w:val="0"/>
        <w:spacing w:before="0" w:after="0" w:line="388" w:lineRule="exact"/>
        <w:ind w:left="0" w:right="0" w:firstLine="380"/>
        <w:jc w:val="both"/>
      </w:pPr>
      <w:r>
        <w:rPr>
          <w:color w:val="000000"/>
          <w:spacing w:val="0"/>
          <w:w w:val="100"/>
          <w:position w:val="0"/>
        </w:rPr>
        <w:t>本公司属计算机、通讯和其他电子设备制造行业。主要经营活动为无线收发设备、智能终端设备、网络与电子通信产品、 软件产品、计算机与电子信息的技术开发、设计、生产、销售、安装、技术服务及技术咨询。主要产品：车载电子标签（以 下简称</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color w:val="000000"/>
          <w:spacing w:val="0"/>
          <w:w w:val="100"/>
          <w:position w:val="0"/>
        </w:rPr>
        <w:t>微波读写天线（以下简称</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技术或</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（电子不停车收费系统）技术平台的路径识别产品 和手持终端设备。</w:t>
      </w:r>
    </w:p>
    <w:p>
      <w:pPr>
        <w:pStyle w:val="Style28"/>
        <w:keepNext w:val="0"/>
        <w:keepLines w:val="0"/>
        <w:widowControl w:val="0"/>
        <w:shd w:val="clear" w:color="auto" w:fill="auto"/>
        <w:bidi w:val="0"/>
        <w:spacing w:before="0" w:after="0" w:line="388" w:lineRule="exact"/>
        <w:ind w:left="0" w:right="0" w:firstLine="38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日召开的第三届十九次董事会批准对外报出。</w:t>
      </w:r>
    </w:p>
    <w:p>
      <w:pPr>
        <w:pStyle w:val="Style28"/>
        <w:keepNext w:val="0"/>
        <w:keepLines w:val="0"/>
        <w:widowControl w:val="0"/>
        <w:shd w:val="clear" w:color="auto" w:fill="auto"/>
        <w:bidi w:val="0"/>
        <w:spacing w:before="0" w:after="400" w:line="388" w:lineRule="exact"/>
        <w:ind w:left="0" w:right="0" w:firstLine="380"/>
        <w:jc w:val="both"/>
      </w:pPr>
      <w:r>
        <w:rPr>
          <w:color w:val="000000"/>
          <w:spacing w:val="0"/>
          <w:w w:val="100"/>
          <w:position w:val="0"/>
        </w:rPr>
        <w:t>本公司将北京中交金溢科技有限公司、青岛金溢科技有限公司、佛山金溢科技有限公司、无锡金溢科技有限公司、福建 金溢科技有限公司、深圳市金溢智慧城市科技有限公司和青岛经溢园区运营管理有限公司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家子公司纳入本期合并财务报表 范围，情况详见本财务报表附注八和九之说明。</w:t>
      </w:r>
    </w:p>
    <w:p>
      <w:pPr>
        <w:pStyle w:val="Style24"/>
        <w:keepNext/>
        <w:keepLines/>
        <w:widowControl w:val="0"/>
        <w:shd w:val="clear" w:color="auto" w:fill="auto"/>
        <w:tabs>
          <w:tab w:pos="522" w:val="left"/>
        </w:tabs>
        <w:bidi w:val="0"/>
        <w:spacing w:before="0" w:after="400" w:line="240" w:lineRule="auto"/>
        <w:ind w:left="0" w:right="0" w:firstLine="0"/>
        <w:jc w:val="both"/>
      </w:pPr>
      <w:bookmarkStart w:id="774" w:name="bookmark774"/>
      <w:bookmarkStart w:id="775" w:name="bookmark775"/>
      <w:bookmarkStart w:id="776" w:name="bookmark776"/>
      <w:bookmarkStart w:id="777" w:name="bookmark777"/>
      <w:r>
        <w:rPr>
          <w:color w:val="000000"/>
          <w:spacing w:val="0"/>
          <w:w w:val="100"/>
          <w:position w:val="0"/>
          <w:sz w:val="24"/>
          <w:szCs w:val="24"/>
        </w:rPr>
        <w:t>四</w:t>
      </w:r>
      <w:bookmarkEnd w:id="776"/>
      <w:r>
        <w:rPr>
          <w:color w:val="000000"/>
          <w:spacing w:val="0"/>
          <w:w w:val="100"/>
          <w:position w:val="0"/>
          <w:sz w:val="24"/>
          <w:szCs w:val="24"/>
        </w:rPr>
        <w:t>、</w:t>
        <w:tab/>
        <w:t>财务报表的编制基础</w:t>
      </w:r>
      <w:bookmarkEnd w:id="774"/>
      <w:bookmarkEnd w:id="775"/>
      <w:bookmarkEnd w:id="777"/>
    </w:p>
    <w:p>
      <w:pPr>
        <w:pStyle w:val="Style31"/>
        <w:keepNext/>
        <w:keepLines/>
        <w:widowControl w:val="0"/>
        <w:shd w:val="clear" w:color="auto" w:fill="auto"/>
        <w:tabs>
          <w:tab w:pos="413" w:val="left"/>
        </w:tabs>
        <w:bidi w:val="0"/>
        <w:spacing w:before="0" w:after="220" w:line="24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编制基础</w:t>
      </w:r>
      <w:bookmarkEnd w:id="778"/>
      <w:bookmarkEnd w:id="779"/>
      <w:bookmarkEnd w:id="781"/>
    </w:p>
    <w:p>
      <w:pPr>
        <w:pStyle w:val="Style28"/>
        <w:keepNext w:val="0"/>
        <w:keepLines w:val="0"/>
        <w:widowControl w:val="0"/>
        <w:shd w:val="clear" w:color="auto" w:fill="auto"/>
        <w:bidi w:val="0"/>
        <w:spacing w:before="0" w:after="400" w:line="388" w:lineRule="exact"/>
        <w:ind w:left="0" w:right="0" w:firstLine="380"/>
        <w:jc w:val="both"/>
      </w:pPr>
      <w:r>
        <w:rPr>
          <w:color w:val="000000"/>
          <w:spacing w:val="0"/>
          <w:w w:val="100"/>
          <w:position w:val="0"/>
        </w:rPr>
        <w:t>本公司财务报表以持续经营为编制基础。</w:t>
      </w:r>
    </w:p>
    <w:p>
      <w:pPr>
        <w:pStyle w:val="Style31"/>
        <w:keepNext/>
        <w:keepLines/>
        <w:widowControl w:val="0"/>
        <w:shd w:val="clear" w:color="auto" w:fill="auto"/>
        <w:tabs>
          <w:tab w:pos="413" w:val="left"/>
        </w:tabs>
        <w:bidi w:val="0"/>
        <w:spacing w:before="0" w:after="220" w:line="24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w:t>
        <w:tab/>
        <w:t>持续经营</w:t>
      </w:r>
      <w:bookmarkEnd w:id="782"/>
      <w:bookmarkEnd w:id="783"/>
      <w:bookmarkEnd w:id="785"/>
    </w:p>
    <w:p>
      <w:pPr>
        <w:pStyle w:val="Style28"/>
        <w:keepNext w:val="0"/>
        <w:keepLines w:val="0"/>
        <w:widowControl w:val="0"/>
        <w:shd w:val="clear" w:color="auto" w:fill="auto"/>
        <w:bidi w:val="0"/>
        <w:spacing w:before="0" w:after="400" w:line="388" w:lineRule="exact"/>
        <w:ind w:left="0" w:right="0" w:firstLine="38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4"/>
        <w:keepNext/>
        <w:keepLines/>
        <w:widowControl w:val="0"/>
        <w:shd w:val="clear" w:color="auto" w:fill="auto"/>
        <w:tabs>
          <w:tab w:pos="522" w:val="left"/>
        </w:tabs>
        <w:bidi w:val="0"/>
        <w:spacing w:before="0" w:after="22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sz w:val="24"/>
          <w:szCs w:val="24"/>
        </w:rPr>
        <w:t>五</w:t>
      </w:r>
      <w:bookmarkEnd w:id="788"/>
      <w:r>
        <w:rPr>
          <w:color w:val="000000"/>
          <w:spacing w:val="0"/>
          <w:w w:val="100"/>
          <w:position w:val="0"/>
          <w:sz w:val="24"/>
          <w:szCs w:val="24"/>
        </w:rPr>
        <w:t>、</w:t>
        <w:tab/>
        <w:t>重要会计政策及会计估计</w:t>
      </w:r>
      <w:bookmarkEnd w:id="786"/>
      <w:bookmarkEnd w:id="787"/>
      <w:bookmarkEnd w:id="789"/>
    </w:p>
    <w:p>
      <w:pPr>
        <w:pStyle w:val="Style28"/>
        <w:keepNext w:val="0"/>
        <w:keepLines w:val="0"/>
        <w:widowControl w:val="0"/>
        <w:shd w:val="clear" w:color="auto" w:fill="auto"/>
        <w:bidi w:val="0"/>
        <w:spacing w:before="0" w:after="0" w:line="389" w:lineRule="exact"/>
        <w:ind w:left="0" w:right="0" w:firstLine="380"/>
        <w:jc w:val="both"/>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400" w:line="389" w:lineRule="exact"/>
        <w:ind w:left="0" w:right="0" w:firstLine="380"/>
        <w:jc w:val="both"/>
      </w:pPr>
      <w:r>
        <w:rPr>
          <w:color w:val="000000"/>
          <w:spacing w:val="0"/>
          <w:w w:val="100"/>
          <w:position w:val="0"/>
        </w:rPr>
        <w:t>重要提示：本公司根据实际生产经营特点针对金融工具减值、固定资产折旧、无形资产摊销、收入确认等交易或事项制 定了具体会计政策和会计估计。</w:t>
      </w:r>
    </w:p>
    <w:p>
      <w:pPr>
        <w:pStyle w:val="Style31"/>
        <w:keepNext/>
        <w:keepLines/>
        <w:widowControl w:val="0"/>
        <w:shd w:val="clear" w:color="auto" w:fill="auto"/>
        <w:bidi w:val="0"/>
        <w:spacing w:before="0" w:after="220" w:line="240" w:lineRule="auto"/>
        <w:ind w:left="0" w:right="0" w:firstLine="0"/>
        <w:jc w:val="both"/>
      </w:pPr>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90"/>
      <w:bookmarkEnd w:id="791"/>
      <w:bookmarkEnd w:id="792"/>
    </w:p>
    <w:p>
      <w:pPr>
        <w:pStyle w:val="Style28"/>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本公司所编制的财务报表符合企业会计准则的要求，真实、完整地反映了公司的财务状况、经营成果和现金流量等有 关信息。</w:t>
      </w:r>
    </w:p>
    <w:p>
      <w:pPr>
        <w:pStyle w:val="Style31"/>
        <w:keepNext/>
        <w:keepLines/>
        <w:widowControl w:val="0"/>
        <w:shd w:val="clear" w:color="auto" w:fill="auto"/>
        <w:tabs>
          <w:tab w:pos="378" w:val="left"/>
        </w:tabs>
        <w:bidi w:val="0"/>
        <w:spacing w:before="0" w:after="22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color w:val="000000"/>
          <w:spacing w:val="0"/>
          <w:w w:val="100"/>
          <w:position w:val="0"/>
        </w:rPr>
        <w:t>、</w:t>
        <w:tab/>
        <w:t>会计期间</w:t>
      </w:r>
      <w:bookmarkEnd w:id="793"/>
      <w:bookmarkEnd w:id="794"/>
      <w:bookmarkEnd w:id="796"/>
    </w:p>
    <w:p>
      <w:pPr>
        <w:pStyle w:val="Style28"/>
        <w:keepNext w:val="0"/>
        <w:keepLines w:val="0"/>
        <w:widowControl w:val="0"/>
        <w:shd w:val="clear" w:color="auto" w:fill="auto"/>
        <w:bidi w:val="0"/>
        <w:spacing w:before="0" w:after="380" w:line="394" w:lineRule="exact"/>
        <w:ind w:left="0" w:right="0" w:firstLine="440"/>
        <w:jc w:val="both"/>
        <w:rPr>
          <w:sz w:val="19"/>
          <w:szCs w:val="19"/>
        </w:rPr>
      </w:pPr>
      <w:r>
        <w:rPr>
          <w:color w:val="000000"/>
          <w:spacing w:val="0"/>
          <w:w w:val="100"/>
          <w:position w:val="0"/>
          <w:sz w:val="17"/>
          <w:szCs w:val="17"/>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w:t>
      </w:r>
      <w:r>
        <w:rPr>
          <w:color w:val="000000"/>
          <w:spacing w:val="0"/>
          <w:w w:val="100"/>
          <w:position w:val="0"/>
          <w:sz w:val="19"/>
          <w:szCs w:val="19"/>
        </w:rPr>
        <w:t>。</w:t>
      </w:r>
    </w:p>
    <w:p>
      <w:pPr>
        <w:pStyle w:val="Style31"/>
        <w:keepNext/>
        <w:keepLines/>
        <w:widowControl w:val="0"/>
        <w:shd w:val="clear" w:color="auto" w:fill="auto"/>
        <w:tabs>
          <w:tab w:pos="378" w:val="left"/>
        </w:tabs>
        <w:bidi w:val="0"/>
        <w:spacing w:before="0" w:after="22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3</w:t>
      </w:r>
      <w:bookmarkEnd w:id="799"/>
      <w:r>
        <w:rPr>
          <w:color w:val="000000"/>
          <w:spacing w:val="0"/>
          <w:w w:val="100"/>
          <w:position w:val="0"/>
        </w:rPr>
        <w:t>、</w:t>
        <w:tab/>
        <w:t>营业周期</w:t>
      </w:r>
      <w:bookmarkEnd w:id="797"/>
      <w:bookmarkEnd w:id="798"/>
      <w:bookmarkEnd w:id="800"/>
    </w:p>
    <w:p>
      <w:pPr>
        <w:pStyle w:val="Style28"/>
        <w:keepNext w:val="0"/>
        <w:keepLines w:val="0"/>
        <w:widowControl w:val="0"/>
        <w:shd w:val="clear" w:color="auto" w:fill="auto"/>
        <w:bidi w:val="0"/>
        <w:spacing w:before="0" w:after="380" w:line="394" w:lineRule="exact"/>
        <w:ind w:left="0" w:right="0" w:firstLine="44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31"/>
        <w:keepNext/>
        <w:keepLines/>
        <w:widowControl w:val="0"/>
        <w:shd w:val="clear" w:color="auto" w:fill="auto"/>
        <w:tabs>
          <w:tab w:pos="378" w:val="left"/>
        </w:tabs>
        <w:bidi w:val="0"/>
        <w:spacing w:before="0" w:after="22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4</w:t>
      </w:r>
      <w:bookmarkEnd w:id="803"/>
      <w:r>
        <w:rPr>
          <w:color w:val="000000"/>
          <w:spacing w:val="0"/>
          <w:w w:val="100"/>
          <w:position w:val="0"/>
        </w:rPr>
        <w:t>、</w:t>
        <w:tab/>
        <w:t>记账本位币</w:t>
      </w:r>
      <w:bookmarkEnd w:id="801"/>
      <w:bookmarkEnd w:id="802"/>
      <w:bookmarkEnd w:id="804"/>
    </w:p>
    <w:p>
      <w:pPr>
        <w:pStyle w:val="Style28"/>
        <w:keepNext w:val="0"/>
        <w:keepLines w:val="0"/>
        <w:widowControl w:val="0"/>
        <w:shd w:val="clear" w:color="auto" w:fill="auto"/>
        <w:bidi w:val="0"/>
        <w:spacing w:before="0" w:after="380" w:line="394" w:lineRule="exact"/>
        <w:ind w:left="0" w:right="0" w:firstLine="440"/>
        <w:jc w:val="both"/>
      </w:pPr>
      <w:r>
        <w:rPr>
          <w:color w:val="000000"/>
          <w:spacing w:val="0"/>
          <w:w w:val="100"/>
          <w:position w:val="0"/>
        </w:rPr>
        <w:t>采用人民币为记账本位币。</w:t>
      </w:r>
    </w:p>
    <w:p>
      <w:pPr>
        <w:pStyle w:val="Style31"/>
        <w:keepNext/>
        <w:keepLines/>
        <w:widowControl w:val="0"/>
        <w:shd w:val="clear" w:color="auto" w:fill="auto"/>
        <w:tabs>
          <w:tab w:pos="378" w:val="left"/>
        </w:tabs>
        <w:bidi w:val="0"/>
        <w:spacing w:before="0" w:after="22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5</w:t>
      </w:r>
      <w:bookmarkEnd w:id="807"/>
      <w:r>
        <w:rPr>
          <w:color w:val="000000"/>
          <w:spacing w:val="0"/>
          <w:w w:val="100"/>
          <w:position w:val="0"/>
        </w:rPr>
        <w:t>、</w:t>
        <w:tab/>
        <w:t>同一控制下和非同一控制下企业合并的会计处理方法</w:t>
      </w:r>
      <w:bookmarkEnd w:id="805"/>
      <w:bookmarkEnd w:id="806"/>
      <w:bookmarkEnd w:id="808"/>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同一控制下企业合并的会计处理方法</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公司在企业合并中取得的资产和负债，按照合并日被合并方在最终控制方合并财务报表中的账面价值计量。公司按照被 合并方所有者权益在最终控制方合并财务报表中的账面价值份额与支付的合并对价账面价值或发行股份面值总额的差额，调 整资本公积；资本公积不足冲减的，调整留存收益。</w:t>
      </w:r>
    </w:p>
    <w:p>
      <w:pPr>
        <w:pStyle w:val="Style28"/>
        <w:keepNext w:val="0"/>
        <w:keepLines w:val="0"/>
        <w:widowControl w:val="0"/>
        <w:shd w:val="clear" w:color="auto" w:fill="auto"/>
        <w:tabs>
          <w:tab w:pos="825" w:val="left"/>
        </w:tabs>
        <w:bidi w:val="0"/>
        <w:spacing w:before="0" w:after="0" w:line="394" w:lineRule="exact"/>
        <w:ind w:left="0" w:right="0" w:firstLine="38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非同一控制下企业合并的会计处理方法</w:t>
      </w:r>
    </w:p>
    <w:p>
      <w:pPr>
        <w:pStyle w:val="Style28"/>
        <w:keepNext w:val="0"/>
        <w:keepLines w:val="0"/>
        <w:widowControl w:val="0"/>
        <w:shd w:val="clear" w:color="auto" w:fill="auto"/>
        <w:bidi w:val="0"/>
        <w:spacing w:before="0" w:after="420" w:line="394" w:lineRule="exact"/>
        <w:ind w:left="0" w:right="0" w:firstLine="380"/>
        <w:jc w:val="both"/>
      </w:pPr>
      <w:r>
        <w:rPr>
          <w:color w:val="000000"/>
          <w:spacing w:val="0"/>
          <w:w w:val="100"/>
          <w:position w:val="0"/>
        </w:rPr>
        <w:t>公司在购买日对合并成本大于合并中取得的被购买方可辨认净资产公允价值份额的差额，确认为商誉；如果合并成本小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31"/>
        <w:keepNext/>
        <w:keepLines/>
        <w:widowControl w:val="0"/>
        <w:shd w:val="clear" w:color="auto" w:fill="auto"/>
        <w:tabs>
          <w:tab w:pos="378" w:val="left"/>
        </w:tabs>
        <w:bidi w:val="0"/>
        <w:spacing w:before="0" w:after="22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6</w:t>
      </w:r>
      <w:bookmarkEnd w:id="813"/>
      <w:r>
        <w:rPr>
          <w:color w:val="000000"/>
          <w:spacing w:val="0"/>
          <w:w w:val="100"/>
          <w:position w:val="0"/>
        </w:rPr>
        <w:t>、</w:t>
        <w:tab/>
        <w:t>合并财务报表的编制方法</w:t>
      </w:r>
      <w:bookmarkEnd w:id="811"/>
      <w:bookmarkEnd w:id="812"/>
      <w:bookmarkEnd w:id="814"/>
    </w:p>
    <w:p>
      <w:pPr>
        <w:pStyle w:val="Style28"/>
        <w:keepNext w:val="0"/>
        <w:keepLines w:val="0"/>
        <w:widowControl w:val="0"/>
        <w:shd w:val="clear" w:color="auto" w:fill="auto"/>
        <w:bidi w:val="0"/>
        <w:spacing w:before="0" w:after="420" w:line="384" w:lineRule="exact"/>
        <w:ind w:left="0" w:right="0" w:firstLine="38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31"/>
        <w:keepNext/>
        <w:keepLines/>
        <w:widowControl w:val="0"/>
        <w:shd w:val="clear" w:color="auto" w:fill="auto"/>
        <w:tabs>
          <w:tab w:pos="378" w:val="left"/>
        </w:tabs>
        <w:bidi w:val="0"/>
        <w:spacing w:before="0" w:after="22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7</w:t>
      </w:r>
      <w:bookmarkEnd w:id="817"/>
      <w:r>
        <w:rPr>
          <w:color w:val="000000"/>
          <w:spacing w:val="0"/>
          <w:w w:val="100"/>
          <w:position w:val="0"/>
        </w:rPr>
        <w:t>、</w:t>
        <w:tab/>
        <w:t>合营安排分类及共同经营会计处理方法</w:t>
      </w:r>
      <w:bookmarkEnd w:id="815"/>
      <w:bookmarkEnd w:id="816"/>
      <w:bookmarkEnd w:id="818"/>
    </w:p>
    <w:p>
      <w:pPr>
        <w:pStyle w:val="Style28"/>
        <w:keepNext w:val="0"/>
        <w:keepLines w:val="0"/>
        <w:widowControl w:val="0"/>
        <w:shd w:val="clear" w:color="auto" w:fill="auto"/>
        <w:bidi w:val="0"/>
        <w:spacing w:before="0" w:after="420" w:line="394" w:lineRule="exact"/>
        <w:ind w:left="0" w:right="0" w:firstLine="38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22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8</w:t>
      </w:r>
      <w:bookmarkEnd w:id="821"/>
      <w:r>
        <w:rPr>
          <w:color w:val="000000"/>
          <w:spacing w:val="0"/>
          <w:w w:val="100"/>
          <w:position w:val="0"/>
        </w:rPr>
        <w:t>、</w:t>
        <w:tab/>
        <w:t>现金及现金等价物的确定标准</w:t>
      </w:r>
      <w:bookmarkEnd w:id="819"/>
      <w:bookmarkEnd w:id="820"/>
      <w:bookmarkEnd w:id="822"/>
    </w:p>
    <w:p>
      <w:pPr>
        <w:pStyle w:val="Style28"/>
        <w:keepNext w:val="0"/>
        <w:keepLines w:val="0"/>
        <w:widowControl w:val="0"/>
        <w:shd w:val="clear" w:color="auto" w:fill="auto"/>
        <w:bidi w:val="0"/>
        <w:spacing w:before="0" w:after="420" w:line="384" w:lineRule="exact"/>
        <w:ind w:left="0" w:right="0" w:firstLine="380"/>
        <w:jc w:val="both"/>
      </w:pPr>
      <w:r>
        <w:rPr>
          <w:color w:val="000000"/>
          <w:spacing w:val="0"/>
          <w:w w:val="100"/>
          <w:position w:val="0"/>
        </w:rPr>
        <w:t>列示于现金流量表中的现金是指库存现金以及可以随时用于支付的存款。现金等价物是指企业持有的期限短、流动性强、 易于转换为已知金额现金、价值变动风险很小的投资。</w:t>
      </w:r>
    </w:p>
    <w:p>
      <w:pPr>
        <w:pStyle w:val="Style31"/>
        <w:keepNext/>
        <w:keepLines/>
        <w:widowControl w:val="0"/>
        <w:shd w:val="clear" w:color="auto" w:fill="auto"/>
        <w:tabs>
          <w:tab w:pos="378" w:val="left"/>
        </w:tabs>
        <w:bidi w:val="0"/>
        <w:spacing w:before="0" w:after="22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9</w:t>
      </w:r>
      <w:bookmarkEnd w:id="825"/>
      <w:r>
        <w:rPr>
          <w:color w:val="000000"/>
          <w:spacing w:val="0"/>
          <w:w w:val="100"/>
          <w:position w:val="0"/>
        </w:rPr>
        <w:t>、</w:t>
        <w:tab/>
        <w:t>外币业务和外币报表折算</w:t>
      </w:r>
      <w:bookmarkEnd w:id="823"/>
      <w:bookmarkEnd w:id="824"/>
      <w:bookmarkEnd w:id="826"/>
    </w:p>
    <w:p>
      <w:pPr>
        <w:pStyle w:val="Style28"/>
        <w:keepNext w:val="0"/>
        <w:keepLines w:val="0"/>
        <w:widowControl w:val="0"/>
        <w:shd w:val="clear" w:color="auto" w:fill="auto"/>
        <w:bidi w:val="0"/>
        <w:spacing w:before="0" w:after="440" w:line="394" w:lineRule="exact"/>
        <w:ind w:left="0" w:right="0" w:firstLine="380"/>
        <w:jc w:val="both"/>
      </w:pPr>
      <w:r>
        <w:rPr>
          <w:color w:val="000000"/>
          <w:spacing w:val="0"/>
          <w:w w:val="100"/>
          <w:position w:val="0"/>
        </w:rPr>
        <w:t xml:space="preserve">外币交易在初始确认时，采用交易发生日即期汇率的近似汇率折算为人民币金额。资产负债表日，外币货币性项目采用 </w:t>
      </w:r>
      <w:r>
        <w:rPr>
          <w:color w:val="000000"/>
          <w:spacing w:val="0"/>
          <w:w w:val="100"/>
          <w:position w:val="0"/>
        </w:rPr>
        <w:t>资产负债表日即期汇率折算，因汇率不同而产生的汇兑差额，除与购建符合资本化条件资产有关的外币专门借款本金及利息 的汇兑差额外，计入当期损益；以历史成本计量的外币非货币性项目仍采用交易发生日即期汇率的近似汇率折算，不改变其 人民币金额；以公允价值计量的外币非货币性项目，采用公允价值确定日的即期汇率折算，差额计入当期损益或其他综合收 益。</w:t>
      </w:r>
    </w:p>
    <w:p>
      <w:pPr>
        <w:pStyle w:val="Style31"/>
        <w:keepNext/>
        <w:keepLines/>
        <w:widowControl w:val="0"/>
        <w:shd w:val="clear" w:color="auto" w:fill="auto"/>
        <w:bidi w:val="0"/>
        <w:spacing w:before="0" w:after="24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7"/>
      <w:bookmarkEnd w:id="828"/>
      <w:bookmarkEnd w:id="830"/>
    </w:p>
    <w:p>
      <w:pPr>
        <w:pStyle w:val="Style28"/>
        <w:keepNext w:val="0"/>
        <w:keepLines w:val="0"/>
        <w:widowControl w:val="0"/>
        <w:shd w:val="clear" w:color="auto" w:fill="auto"/>
        <w:tabs>
          <w:tab w:pos="819" w:val="left"/>
        </w:tabs>
        <w:bidi w:val="0"/>
        <w:spacing w:before="0" w:after="0" w:line="388" w:lineRule="exact"/>
        <w:ind w:left="0" w:right="0" w:firstLine="38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金融资产和金融负债的分类</w:t>
      </w:r>
    </w:p>
    <w:p>
      <w:pPr>
        <w:pStyle w:val="Style28"/>
        <w:keepNext w:val="0"/>
        <w:keepLines w:val="0"/>
        <w:widowControl w:val="0"/>
        <w:shd w:val="clear" w:color="auto" w:fill="auto"/>
        <w:bidi w:val="0"/>
        <w:spacing w:before="0" w:after="0" w:line="388" w:lineRule="exact"/>
        <w:ind w:left="0" w:right="0" w:firstLine="380"/>
        <w:jc w:val="both"/>
      </w:pPr>
      <w:r>
        <w:rPr>
          <w:color w:val="000000"/>
          <w:spacing w:val="0"/>
          <w:w w:val="100"/>
          <w:position w:val="0"/>
        </w:rPr>
        <w:t>金融资产在初始确认时划分为以下三类：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）以公允价值计量且其变动计入其他综合 收益的金融资产；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0" w:line="388" w:lineRule="exact"/>
        <w:ind w:left="0" w:right="0" w:firstLine="380"/>
        <w:jc w:val="both"/>
      </w:pPr>
      <w:r>
        <w:rPr>
          <w:color w:val="000000"/>
          <w:spacing w:val="0"/>
          <w:w w:val="100"/>
          <w:position w:val="0"/>
        </w:rPr>
        <w:t>金融负债在初始确认时划分为以下四类：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）以公允价值计量且其变动计入当期损益的金融负债；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）金融资产转移不 符合终止确认条件或继续涉入被转移金融资产所形成的金融负债；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 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）以摊余成本计量的金融负债。</w:t>
      </w:r>
    </w:p>
    <w:p>
      <w:pPr>
        <w:pStyle w:val="Style28"/>
        <w:keepNext w:val="0"/>
        <w:keepLines w:val="0"/>
        <w:widowControl w:val="0"/>
        <w:shd w:val="clear" w:color="auto" w:fill="auto"/>
        <w:tabs>
          <w:tab w:pos="819" w:val="left"/>
        </w:tabs>
        <w:bidi w:val="0"/>
        <w:spacing w:before="0" w:after="180" w:line="388" w:lineRule="exact"/>
        <w:ind w:left="0" w:right="0" w:firstLine="38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金融资产和金融负债的确认依据、计量方法和终止确认条件</w:t>
      </w:r>
    </w:p>
    <w:p>
      <w:pPr>
        <w:pStyle w:val="Style28"/>
        <w:keepNext w:val="0"/>
        <w:keepLines w:val="0"/>
        <w:widowControl w:val="0"/>
        <w:shd w:val="clear" w:color="auto" w:fill="auto"/>
        <w:tabs>
          <w:tab w:pos="723" w:val="left"/>
        </w:tabs>
        <w:bidi w:val="0"/>
        <w:spacing w:before="0" w:after="0" w:line="451" w:lineRule="auto"/>
        <w:ind w:left="0" w:right="0" w:firstLine="380"/>
        <w:jc w:val="both"/>
      </w:pPr>
      <w:bookmarkStart w:id="833" w:name="bookmark833"/>
      <w:r>
        <w:rPr>
          <w:rFonts w:ascii="Times New Roman" w:eastAsia="Times New Roman" w:hAnsi="Times New Roman" w:cs="Times New Roman"/>
          <w:color w:val="000000"/>
          <w:spacing w:val="0"/>
          <w:w w:val="100"/>
          <w:position w:val="0"/>
          <w:sz w:val="18"/>
          <w:szCs w:val="18"/>
        </w:rPr>
        <w:t>1</w:t>
      </w:r>
      <w:bookmarkEnd w:id="833"/>
      <w:r>
        <w:rPr>
          <w:color w:val="000000"/>
          <w:spacing w:val="0"/>
          <w:w w:val="100"/>
          <w:position w:val="0"/>
        </w:rPr>
        <w:t>）</w:t>
        <w:tab/>
        <w:t>金融资产和金融负债的确认依据和初始计量方法</w:t>
      </w:r>
    </w:p>
    <w:p>
      <w:pPr>
        <w:pStyle w:val="Style28"/>
        <w:keepNext w:val="0"/>
        <w:keepLines w:val="0"/>
        <w:widowControl w:val="0"/>
        <w:shd w:val="clear" w:color="auto" w:fill="auto"/>
        <w:bidi w:val="0"/>
        <w:spacing w:before="0" w:after="180" w:line="388" w:lineRule="exact"/>
        <w:ind w:left="0" w:right="0" w:firstLine="380"/>
        <w:jc w:val="both"/>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资产或金融负债，相关交易费用计入初始确认金额。但是，公司初始确认的应收账款未包含重大融资成分或公司不考虑未超 过一年的合同中的融资成分的，按照《企业会计准则第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号——收入》所定义的交易价格进行初始计量。</w:t>
      </w:r>
    </w:p>
    <w:p>
      <w:pPr>
        <w:pStyle w:val="Style28"/>
        <w:keepNext w:val="0"/>
        <w:keepLines w:val="0"/>
        <w:widowControl w:val="0"/>
        <w:shd w:val="clear" w:color="auto" w:fill="auto"/>
        <w:tabs>
          <w:tab w:pos="742" w:val="left"/>
        </w:tabs>
        <w:bidi w:val="0"/>
        <w:spacing w:before="0" w:after="0" w:line="451" w:lineRule="auto"/>
        <w:ind w:left="0" w:right="0" w:firstLine="380"/>
        <w:jc w:val="both"/>
      </w:pPr>
      <w:bookmarkStart w:id="834" w:name="bookmark834"/>
      <w:r>
        <w:rPr>
          <w:rFonts w:ascii="Times New Roman" w:eastAsia="Times New Roman" w:hAnsi="Times New Roman" w:cs="Times New Roman"/>
          <w:color w:val="000000"/>
          <w:spacing w:val="0"/>
          <w:w w:val="100"/>
          <w:position w:val="0"/>
          <w:sz w:val="18"/>
          <w:szCs w:val="18"/>
        </w:rPr>
        <w:t>2</w:t>
      </w:r>
      <w:bookmarkEnd w:id="834"/>
      <w:r>
        <w:rPr>
          <w:color w:val="000000"/>
          <w:spacing w:val="0"/>
          <w:w w:val="100"/>
          <w:position w:val="0"/>
        </w:rPr>
        <w:t>）</w:t>
        <w:tab/>
        <w:t>金融资产的后续计量方法</w:t>
      </w:r>
    </w:p>
    <w:p>
      <w:pPr>
        <w:pStyle w:val="Style28"/>
        <w:keepNext w:val="0"/>
        <w:keepLines w:val="0"/>
        <w:widowControl w:val="0"/>
        <w:numPr>
          <w:ilvl w:val="0"/>
          <w:numId w:val="17"/>
        </w:numPr>
        <w:shd w:val="clear" w:color="auto" w:fill="auto"/>
        <w:tabs>
          <w:tab w:pos="680" w:val="left"/>
        </w:tabs>
        <w:bidi w:val="0"/>
        <w:spacing w:before="0" w:after="0" w:line="451" w:lineRule="auto"/>
        <w:ind w:left="0" w:right="0" w:firstLine="380"/>
        <w:jc w:val="both"/>
      </w:pPr>
      <w:bookmarkStart w:id="835" w:name="bookmark835"/>
      <w:bookmarkEnd w:id="835"/>
      <w:r>
        <w:rPr>
          <w:color w:val="000000"/>
          <w:spacing w:val="0"/>
          <w:w w:val="100"/>
          <w:position w:val="0"/>
        </w:rPr>
        <w:t>以摊余成本计量的金融资产</w:t>
      </w:r>
    </w:p>
    <w:p>
      <w:pPr>
        <w:pStyle w:val="Style28"/>
        <w:keepNext w:val="0"/>
        <w:keepLines w:val="0"/>
        <w:widowControl w:val="0"/>
        <w:shd w:val="clear" w:color="auto" w:fill="auto"/>
        <w:bidi w:val="0"/>
        <w:spacing w:before="0" w:after="180" w:line="388" w:lineRule="exact"/>
        <w:ind w:left="0" w:right="0" w:firstLine="380"/>
        <w:jc w:val="both"/>
      </w:pPr>
      <w:r>
        <w:rPr>
          <w:color w:val="000000"/>
          <w:spacing w:val="0"/>
          <w:w w:val="100"/>
          <w:position w:val="0"/>
        </w:rPr>
        <w:t>采用实际利率法，按照摊余成本进行后续计量。以摊余成本计量且不属于任何套期关系的一部分的金融资产所产生的利 得或损失，在终止确认、重分类、按照实际利率法摊销或确认减值时，计入当期损益。</w:t>
      </w:r>
    </w:p>
    <w:p>
      <w:pPr>
        <w:pStyle w:val="Style28"/>
        <w:keepNext w:val="0"/>
        <w:keepLines w:val="0"/>
        <w:widowControl w:val="0"/>
        <w:numPr>
          <w:ilvl w:val="0"/>
          <w:numId w:val="17"/>
        </w:numPr>
        <w:shd w:val="clear" w:color="auto" w:fill="auto"/>
        <w:tabs>
          <w:tab w:pos="694" w:val="left"/>
        </w:tabs>
        <w:bidi w:val="0"/>
        <w:spacing w:before="0" w:after="0" w:line="451" w:lineRule="auto"/>
        <w:ind w:left="0" w:right="0" w:firstLine="380"/>
        <w:jc w:val="both"/>
      </w:pPr>
      <w:bookmarkStart w:id="836" w:name="bookmark836"/>
      <w:bookmarkEnd w:id="836"/>
      <w:r>
        <w:rPr>
          <w:color w:val="000000"/>
          <w:spacing w:val="0"/>
          <w:w w:val="100"/>
          <w:position w:val="0"/>
        </w:rPr>
        <w:t>以公允价值计量且其变动计入其他综合收益的债务工具投资</w:t>
      </w:r>
    </w:p>
    <w:p>
      <w:pPr>
        <w:pStyle w:val="Style28"/>
        <w:keepNext w:val="0"/>
        <w:keepLines w:val="0"/>
        <w:widowControl w:val="0"/>
        <w:shd w:val="clear" w:color="auto" w:fill="auto"/>
        <w:bidi w:val="0"/>
        <w:spacing w:before="0" w:after="180" w:line="388" w:lineRule="exact"/>
        <w:ind w:left="0" w:right="0" w:firstLine="380"/>
        <w:jc w:val="both"/>
      </w:pPr>
      <w:r>
        <w:rPr>
          <w:color w:val="000000"/>
          <w:spacing w:val="0"/>
          <w:w w:val="100"/>
          <w:position w:val="0"/>
        </w:rPr>
        <w:t>采用公允价值进行后续计量。采用实际利率法计算的利息、减值损失或利得及汇兑损益计入当期损益，其他利得或损失 计入其他综合收益。终止确认时，将之前计入其他综合收益的累计利得或损失从其他综合收益中转出，计入当期损益。</w:t>
      </w:r>
    </w:p>
    <w:p>
      <w:pPr>
        <w:pStyle w:val="Style28"/>
        <w:keepNext w:val="0"/>
        <w:keepLines w:val="0"/>
        <w:widowControl w:val="0"/>
        <w:numPr>
          <w:ilvl w:val="0"/>
          <w:numId w:val="17"/>
        </w:numPr>
        <w:shd w:val="clear" w:color="auto" w:fill="auto"/>
        <w:tabs>
          <w:tab w:pos="694" w:val="left"/>
        </w:tabs>
        <w:bidi w:val="0"/>
        <w:spacing w:before="0" w:after="0" w:line="451" w:lineRule="auto"/>
        <w:ind w:left="0" w:right="0" w:firstLine="380"/>
        <w:jc w:val="both"/>
      </w:pPr>
      <w:bookmarkStart w:id="837" w:name="bookmark837"/>
      <w:bookmarkEnd w:id="837"/>
      <w:r>
        <w:rPr>
          <w:color w:val="000000"/>
          <w:spacing w:val="0"/>
          <w:w w:val="100"/>
          <w:position w:val="0"/>
        </w:rPr>
        <w:t>以公允价值计量且其变动计入其他综合收益的权益工具投资</w:t>
      </w:r>
    </w:p>
    <w:p>
      <w:pPr>
        <w:pStyle w:val="Style28"/>
        <w:keepNext w:val="0"/>
        <w:keepLines w:val="0"/>
        <w:widowControl w:val="0"/>
        <w:shd w:val="clear" w:color="auto" w:fill="auto"/>
        <w:bidi w:val="0"/>
        <w:spacing w:before="0" w:after="180" w:line="388" w:lineRule="exact"/>
        <w:ind w:left="0" w:right="0" w:firstLine="380"/>
        <w:jc w:val="both"/>
      </w:pPr>
      <w:r>
        <w:rPr>
          <w:color w:val="000000"/>
          <w:spacing w:val="0"/>
          <w:w w:val="100"/>
          <w:position w:val="0"/>
        </w:rPr>
        <w:t>采用公允价值进行后续计量。获得的股利（属于投资成本收回部分的除外）计入当期损益，其他利得或损失计入其他综 合收益。终止确认时，将之前计入其他综合收益的累计利得或损失从其他综合收益中转出，计入留存收益。</w:t>
      </w:r>
    </w:p>
    <w:p>
      <w:pPr>
        <w:pStyle w:val="Style28"/>
        <w:keepNext w:val="0"/>
        <w:keepLines w:val="0"/>
        <w:widowControl w:val="0"/>
        <w:numPr>
          <w:ilvl w:val="0"/>
          <w:numId w:val="17"/>
        </w:numPr>
        <w:shd w:val="clear" w:color="auto" w:fill="auto"/>
        <w:tabs>
          <w:tab w:pos="694" w:val="left"/>
        </w:tabs>
        <w:bidi w:val="0"/>
        <w:spacing w:before="0" w:after="0" w:line="451" w:lineRule="auto"/>
        <w:ind w:left="0" w:right="0" w:firstLine="380"/>
        <w:jc w:val="both"/>
      </w:pPr>
      <w:bookmarkStart w:id="838" w:name="bookmark838"/>
      <w:bookmarkEnd w:id="838"/>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180" w:line="388" w:lineRule="exact"/>
        <w:ind w:left="0" w:right="0" w:firstLine="380"/>
        <w:jc w:val="both"/>
      </w:pPr>
      <w:r>
        <w:rPr>
          <w:color w:val="000000"/>
          <w:spacing w:val="0"/>
          <w:w w:val="100"/>
          <w:position w:val="0"/>
        </w:rPr>
        <w:t>采用公允价值进行后续计量，产生的利得或损失（包括利息和股利收入）计入当期损益，除非该金融资产属于套期关系 的一部分。</w:t>
      </w:r>
    </w:p>
    <w:p>
      <w:pPr>
        <w:pStyle w:val="Style28"/>
        <w:keepNext w:val="0"/>
        <w:keepLines w:val="0"/>
        <w:widowControl w:val="0"/>
        <w:shd w:val="clear" w:color="auto" w:fill="auto"/>
        <w:tabs>
          <w:tab w:pos="733" w:val="left"/>
        </w:tabs>
        <w:bidi w:val="0"/>
        <w:spacing w:before="0" w:after="0" w:line="451" w:lineRule="auto"/>
        <w:ind w:left="0" w:right="0" w:firstLine="380"/>
        <w:jc w:val="both"/>
      </w:pPr>
      <w:bookmarkStart w:id="839" w:name="bookmark839"/>
      <w:r>
        <w:rPr>
          <w:rFonts w:ascii="Times New Roman" w:eastAsia="Times New Roman" w:hAnsi="Times New Roman" w:cs="Times New Roman"/>
          <w:color w:val="000000"/>
          <w:spacing w:val="0"/>
          <w:w w:val="100"/>
          <w:position w:val="0"/>
          <w:sz w:val="18"/>
          <w:szCs w:val="18"/>
        </w:rPr>
        <w:t>3</w:t>
      </w:r>
      <w:bookmarkEnd w:id="839"/>
      <w:r>
        <w:rPr>
          <w:color w:val="000000"/>
          <w:spacing w:val="0"/>
          <w:w w:val="100"/>
          <w:position w:val="0"/>
        </w:rPr>
        <w:t>）</w:t>
        <w:tab/>
        <w:t>金融负债的后续计量方法</w:t>
      </w:r>
    </w:p>
    <w:p>
      <w:pPr>
        <w:pStyle w:val="Style28"/>
        <w:keepNext w:val="0"/>
        <w:keepLines w:val="0"/>
        <w:widowControl w:val="0"/>
        <w:numPr>
          <w:ilvl w:val="0"/>
          <w:numId w:val="19"/>
        </w:numPr>
        <w:shd w:val="clear" w:color="auto" w:fill="auto"/>
        <w:tabs>
          <w:tab w:pos="680" w:val="left"/>
        </w:tabs>
        <w:bidi w:val="0"/>
        <w:spacing w:before="0" w:after="0" w:line="451" w:lineRule="auto"/>
        <w:ind w:left="0" w:right="0" w:firstLine="380"/>
        <w:jc w:val="both"/>
      </w:pPr>
      <w:bookmarkStart w:id="840" w:name="bookmark840"/>
      <w:bookmarkEnd w:id="840"/>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180" w:line="388" w:lineRule="exact"/>
        <w:ind w:left="0" w:right="0" w:firstLine="380"/>
        <w:jc w:val="both"/>
      </w:pPr>
      <w:r>
        <w:rPr>
          <w:color w:val="000000"/>
          <w:spacing w:val="0"/>
          <w:w w:val="100"/>
          <w:position w:val="0"/>
        </w:rPr>
        <w:t xml:space="preserve">此类金融负债包括交易性金融负债（含属于金融负债的衍生工具）和指定为以公允价值计量且其变动计入当期损益的金 融负债。对于此类金融负债以公允价值进行后续计量。因公司自身信用风险变动引起的指定为以公允价值计量且其变动计入 </w:t>
      </w:r>
      <w:r>
        <w:rPr>
          <w:color w:val="000000"/>
          <w:spacing w:val="0"/>
          <w:w w:val="100"/>
          <w:position w:val="0"/>
        </w:rPr>
        <w:t>当期损益的金融负债的公允价值变动金额计入其他综合收益，除非该处理会造成或扩大损益中的会计错配。此类金融负债产 生的其他利得或损失（包括利息费用、除因公司自身信用风险变动引起的公允价值变动）计入当期损益，除非该金融负债属 于套期关系的一部分。终止确认时，将之前计入其他综合收益的累计利得或损失从其他综合收益中转出，计入留存收益。</w:t>
      </w:r>
    </w:p>
    <w:p>
      <w:pPr>
        <w:pStyle w:val="Style28"/>
        <w:keepNext w:val="0"/>
        <w:keepLines w:val="0"/>
        <w:widowControl w:val="0"/>
        <w:numPr>
          <w:ilvl w:val="0"/>
          <w:numId w:val="19"/>
        </w:numPr>
        <w:shd w:val="clear" w:color="auto" w:fill="auto"/>
        <w:tabs>
          <w:tab w:pos="679" w:val="left"/>
        </w:tabs>
        <w:bidi w:val="0"/>
        <w:spacing w:before="0" w:after="0" w:line="454" w:lineRule="auto"/>
        <w:ind w:left="0" w:right="0" w:firstLine="380"/>
        <w:jc w:val="both"/>
      </w:pPr>
      <w:bookmarkStart w:id="841" w:name="bookmark841"/>
      <w:bookmarkEnd w:id="841"/>
      <w:r>
        <w:rPr>
          <w:color w:val="000000"/>
          <w:spacing w:val="0"/>
          <w:w w:val="100"/>
          <w:position w:val="0"/>
        </w:rPr>
        <w:t>金融资产转移不符合终止确认条件或继续涉入被转移金融资产所形成的金融负债</w:t>
      </w:r>
    </w:p>
    <w:p>
      <w:pPr>
        <w:pStyle w:val="Style28"/>
        <w:keepNext w:val="0"/>
        <w:keepLines w:val="0"/>
        <w:widowControl w:val="0"/>
        <w:shd w:val="clear" w:color="auto" w:fill="auto"/>
        <w:bidi w:val="0"/>
        <w:spacing w:before="0" w:after="180" w:line="390" w:lineRule="exact"/>
        <w:ind w:left="0" w:right="0" w:firstLine="38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28"/>
        <w:keepNext w:val="0"/>
        <w:keepLines w:val="0"/>
        <w:widowControl w:val="0"/>
        <w:numPr>
          <w:ilvl w:val="0"/>
          <w:numId w:val="19"/>
        </w:numPr>
        <w:shd w:val="clear" w:color="auto" w:fill="auto"/>
        <w:tabs>
          <w:tab w:pos="679" w:val="left"/>
        </w:tabs>
        <w:bidi w:val="0"/>
        <w:spacing w:before="0" w:after="0" w:line="454" w:lineRule="auto"/>
        <w:ind w:left="0" w:right="0" w:firstLine="380"/>
        <w:jc w:val="both"/>
      </w:pPr>
      <w:bookmarkStart w:id="842" w:name="bookmark842"/>
      <w:bookmarkEnd w:id="842"/>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p>
    <w:p>
      <w:pPr>
        <w:pStyle w:val="Style28"/>
        <w:keepNext w:val="0"/>
        <w:keepLines w:val="0"/>
        <w:widowControl w:val="0"/>
        <w:shd w:val="clear" w:color="auto" w:fill="auto"/>
        <w:bidi w:val="0"/>
        <w:spacing w:before="0" w:after="180" w:line="390" w:lineRule="exact"/>
        <w:ind w:left="0" w:right="0" w:firstLine="380"/>
        <w:jc w:val="both"/>
      </w:pPr>
      <w:r>
        <w:rPr>
          <w:color w:val="000000"/>
          <w:spacing w:val="0"/>
          <w:w w:val="100"/>
          <w:position w:val="0"/>
        </w:rPr>
        <w:t>在初始确认后按照下列两项金额之中的较高者进行后续计量：①按照金融工具的减值规定确定的损失准备金额；②初 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号——收入》相关规定所确定的累计摊销额后的余额。</w:t>
      </w:r>
    </w:p>
    <w:p>
      <w:pPr>
        <w:pStyle w:val="Style28"/>
        <w:keepNext w:val="0"/>
        <w:keepLines w:val="0"/>
        <w:widowControl w:val="0"/>
        <w:numPr>
          <w:ilvl w:val="0"/>
          <w:numId w:val="19"/>
        </w:numPr>
        <w:shd w:val="clear" w:color="auto" w:fill="auto"/>
        <w:tabs>
          <w:tab w:pos="679" w:val="left"/>
        </w:tabs>
        <w:bidi w:val="0"/>
        <w:spacing w:before="0" w:after="0" w:line="454" w:lineRule="auto"/>
        <w:ind w:left="0" w:right="0" w:firstLine="380"/>
        <w:jc w:val="both"/>
      </w:pPr>
      <w:bookmarkStart w:id="843" w:name="bookmark843"/>
      <w:bookmarkEnd w:id="843"/>
      <w:r>
        <w:rPr>
          <w:color w:val="000000"/>
          <w:spacing w:val="0"/>
          <w:w w:val="100"/>
          <w:position w:val="0"/>
        </w:rPr>
        <w:t>以摊余成本计量的金融负债</w:t>
      </w:r>
    </w:p>
    <w:p>
      <w:pPr>
        <w:pStyle w:val="Style28"/>
        <w:keepNext w:val="0"/>
        <w:keepLines w:val="0"/>
        <w:widowControl w:val="0"/>
        <w:shd w:val="clear" w:color="auto" w:fill="auto"/>
        <w:bidi w:val="0"/>
        <w:spacing w:before="0" w:after="180" w:line="390" w:lineRule="exact"/>
        <w:ind w:left="0" w:right="0" w:firstLine="380"/>
        <w:jc w:val="both"/>
      </w:pPr>
      <w:r>
        <w:rPr>
          <w:color w:val="000000"/>
          <w:spacing w:val="0"/>
          <w:w w:val="100"/>
          <w:position w:val="0"/>
        </w:rPr>
        <w:t>采用实际利率法以摊余成本计量。以摊余成本计量且不属于任何套期关系的一部分的金融负债所产生的利得或损失，在 终止确认、按照实际利率法摊销时计入当期损益。</w:t>
      </w:r>
    </w:p>
    <w:p>
      <w:pPr>
        <w:pStyle w:val="Style28"/>
        <w:keepNext w:val="0"/>
        <w:keepLines w:val="0"/>
        <w:widowControl w:val="0"/>
        <w:shd w:val="clear" w:color="auto" w:fill="auto"/>
        <w:bidi w:val="0"/>
        <w:spacing w:before="0" w:after="0" w:line="454" w:lineRule="auto"/>
        <w:ind w:left="0" w:right="0" w:firstLine="380"/>
        <w:jc w:val="both"/>
      </w:pPr>
      <w:bookmarkStart w:id="844" w:name="bookmark844"/>
      <w:r>
        <w:rPr>
          <w:rFonts w:ascii="Times New Roman" w:eastAsia="Times New Roman" w:hAnsi="Times New Roman" w:cs="Times New Roman"/>
          <w:color w:val="000000"/>
          <w:spacing w:val="0"/>
          <w:w w:val="100"/>
          <w:position w:val="0"/>
          <w:sz w:val="18"/>
          <w:szCs w:val="18"/>
        </w:rPr>
        <w:t>4</w:t>
      </w:r>
      <w:bookmarkEnd w:id="844"/>
      <w:r>
        <w:rPr>
          <w:color w:val="000000"/>
          <w:spacing w:val="0"/>
          <w:w w:val="100"/>
          <w:position w:val="0"/>
        </w:rPr>
        <w:t>）金融资产和金融负债的终止确认</w:t>
      </w:r>
    </w:p>
    <w:p>
      <w:pPr>
        <w:pStyle w:val="Style28"/>
        <w:keepNext w:val="0"/>
        <w:keepLines w:val="0"/>
        <w:widowControl w:val="0"/>
        <w:numPr>
          <w:ilvl w:val="0"/>
          <w:numId w:val="21"/>
        </w:numPr>
        <w:shd w:val="clear" w:color="auto" w:fill="auto"/>
        <w:tabs>
          <w:tab w:pos="664" w:val="left"/>
        </w:tabs>
        <w:bidi w:val="0"/>
        <w:spacing w:before="0" w:after="0" w:line="454" w:lineRule="auto"/>
        <w:ind w:left="0" w:right="0" w:firstLine="380"/>
        <w:jc w:val="both"/>
      </w:pPr>
      <w:bookmarkStart w:id="845" w:name="bookmark845"/>
      <w:bookmarkEnd w:id="845"/>
      <w:r>
        <w:rPr>
          <w:color w:val="000000"/>
          <w:spacing w:val="0"/>
          <w:w w:val="100"/>
          <w:position w:val="0"/>
        </w:rPr>
        <w:t>当满足下列条件之一时，终止确认金融资产：</w:t>
      </w:r>
    </w:p>
    <w:p>
      <w:pPr>
        <w:pStyle w:val="Style28"/>
        <w:keepNext w:val="0"/>
        <w:keepLines w:val="0"/>
        <w:widowControl w:val="0"/>
        <w:numPr>
          <w:ilvl w:val="0"/>
          <w:numId w:val="23"/>
        </w:numPr>
        <w:shd w:val="clear" w:color="auto" w:fill="auto"/>
        <w:tabs>
          <w:tab w:pos="732" w:val="left"/>
        </w:tabs>
        <w:bidi w:val="0"/>
        <w:spacing w:before="0" w:after="0" w:line="390" w:lineRule="exact"/>
        <w:ind w:left="0" w:right="0" w:firstLine="380"/>
        <w:jc w:val="both"/>
      </w:pPr>
      <w:bookmarkStart w:id="846" w:name="bookmark846"/>
      <w:bookmarkEnd w:id="846"/>
      <w:r>
        <w:rPr>
          <w:color w:val="000000"/>
          <w:spacing w:val="0"/>
          <w:w w:val="100"/>
          <w:position w:val="0"/>
        </w:rPr>
        <w:t>收取金融资产现金流量的合同权利已终止；</w:t>
      </w:r>
    </w:p>
    <w:p>
      <w:pPr>
        <w:pStyle w:val="Style28"/>
        <w:keepNext w:val="0"/>
        <w:keepLines w:val="0"/>
        <w:widowControl w:val="0"/>
        <w:numPr>
          <w:ilvl w:val="0"/>
          <w:numId w:val="23"/>
        </w:numPr>
        <w:shd w:val="clear" w:color="auto" w:fill="auto"/>
        <w:tabs>
          <w:tab w:pos="732" w:val="left"/>
        </w:tabs>
        <w:bidi w:val="0"/>
        <w:spacing w:before="0" w:after="180" w:line="390" w:lineRule="exact"/>
        <w:ind w:left="0" w:right="0" w:firstLine="380"/>
        <w:jc w:val="both"/>
      </w:pPr>
      <w:bookmarkStart w:id="847" w:name="bookmark847"/>
      <w:bookmarkEnd w:id="847"/>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28"/>
        <w:keepNext w:val="0"/>
        <w:keepLines w:val="0"/>
        <w:widowControl w:val="0"/>
        <w:numPr>
          <w:ilvl w:val="0"/>
          <w:numId w:val="21"/>
        </w:numPr>
        <w:shd w:val="clear" w:color="auto" w:fill="auto"/>
        <w:tabs>
          <w:tab w:pos="679" w:val="left"/>
        </w:tabs>
        <w:bidi w:val="0"/>
        <w:spacing w:before="0" w:after="0" w:line="454" w:lineRule="auto"/>
        <w:ind w:left="0" w:right="0" w:firstLine="380"/>
        <w:jc w:val="both"/>
      </w:pPr>
      <w:bookmarkStart w:id="848" w:name="bookmark848"/>
      <w:bookmarkEnd w:id="848"/>
      <w:r>
        <w:rPr>
          <w:color w:val="000000"/>
          <w:spacing w:val="0"/>
          <w:w w:val="100"/>
          <w:position w:val="0"/>
        </w:rPr>
        <w:t>当金融负债（或其一部分）的现时义务已经解除时，相应终止确认该金融负债（或该部分金融负债）。</w:t>
      </w:r>
    </w:p>
    <w:p>
      <w:pPr>
        <w:pStyle w:val="Style28"/>
        <w:keepNext w:val="0"/>
        <w:keepLines w:val="0"/>
        <w:widowControl w:val="0"/>
        <w:shd w:val="clear" w:color="auto" w:fill="auto"/>
        <w:tabs>
          <w:tab w:pos="804" w:val="left"/>
        </w:tabs>
        <w:bidi w:val="0"/>
        <w:spacing w:before="0" w:after="0" w:line="390" w:lineRule="exact"/>
        <w:ind w:left="0" w:right="0" w:firstLine="38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公司转移了金融资产所有权上几乎所有的风险和报酬的，终止确认该金融资产，并将转移中产生或保留的权利和义务单 独确认为资产或负债；保留了金融资产所有权上几乎所有的风险和报酬的，继续确认所转移的金融资产。公司既没有转移也 没有保留金融资产所有权上几乎所有的风险和报酬的，分别下列情况处理：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）未保留对该金融资产控制的，终止确认该金 融资产，并将转移中产生或保留的权利和义务单独确认为资产或负债；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）保留了对该金融资产控制的，按照继续涉入所转 移金融资产的程度确认有关金融资产，并相应确认有关负债。</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）所转移金融资产在终止确认日的账 面价值；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 部分的对价，与原直接计入其他综合收益的公允价值变动累计额中对应终止确认部分的金额（涉及转移的金融资产为以公允 价值计量且其变动计入其他综合收益的债务工具投资）之和。</w:t>
      </w:r>
    </w:p>
    <w:p>
      <w:pPr>
        <w:pStyle w:val="Style28"/>
        <w:keepNext w:val="0"/>
        <w:keepLines w:val="0"/>
        <w:widowControl w:val="0"/>
        <w:shd w:val="clear" w:color="auto" w:fill="auto"/>
        <w:tabs>
          <w:tab w:pos="804" w:val="left"/>
        </w:tabs>
        <w:bidi w:val="0"/>
        <w:spacing w:before="0" w:after="0" w:line="390" w:lineRule="exact"/>
        <w:ind w:left="0" w:right="0" w:firstLine="38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金融资产和金融负债的公允价值确定方法</w:t>
      </w:r>
    </w:p>
    <w:p>
      <w:pPr>
        <w:pStyle w:val="Style28"/>
        <w:keepNext w:val="0"/>
        <w:keepLines w:val="0"/>
        <w:widowControl w:val="0"/>
        <w:shd w:val="clear" w:color="auto" w:fill="auto"/>
        <w:bidi w:val="0"/>
        <w:spacing w:before="0" w:after="180" w:line="390" w:lineRule="exact"/>
        <w:ind w:left="0" w:right="0" w:firstLine="38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8"/>
        <w:keepNext w:val="0"/>
        <w:keepLines w:val="0"/>
        <w:widowControl w:val="0"/>
        <w:shd w:val="clear" w:color="auto" w:fill="auto"/>
        <w:tabs>
          <w:tab w:pos="708" w:val="left"/>
        </w:tabs>
        <w:bidi w:val="0"/>
        <w:spacing w:before="0" w:after="0" w:line="454" w:lineRule="auto"/>
        <w:ind w:left="0" w:right="0" w:firstLine="380"/>
        <w:jc w:val="both"/>
      </w:pPr>
      <w:bookmarkStart w:id="851" w:name="bookmark851"/>
      <w:r>
        <w:rPr>
          <w:rFonts w:ascii="Times New Roman" w:eastAsia="Times New Roman" w:hAnsi="Times New Roman" w:cs="Times New Roman"/>
          <w:color w:val="000000"/>
          <w:spacing w:val="0"/>
          <w:w w:val="100"/>
          <w:position w:val="0"/>
          <w:sz w:val="18"/>
          <w:szCs w:val="18"/>
        </w:rPr>
        <w:t>1</w:t>
      </w:r>
      <w:bookmarkEnd w:id="851"/>
      <w:r>
        <w:rPr>
          <w:color w:val="000000"/>
          <w:spacing w:val="0"/>
          <w:w w:val="100"/>
          <w:position w:val="0"/>
        </w:rPr>
        <w:t>）</w:t>
        <w:tab/>
        <w:t>第一层次输入值是在计量日能够取得的相同资产或负债在活跃市场上未经调整的报价；</w:t>
      </w:r>
    </w:p>
    <w:p>
      <w:pPr>
        <w:pStyle w:val="Style28"/>
        <w:keepNext w:val="0"/>
        <w:keepLines w:val="0"/>
        <w:widowControl w:val="0"/>
        <w:shd w:val="clear" w:color="auto" w:fill="auto"/>
        <w:tabs>
          <w:tab w:pos="692" w:val="left"/>
        </w:tabs>
        <w:bidi w:val="0"/>
        <w:spacing w:before="0" w:after="0" w:line="390" w:lineRule="exact"/>
        <w:ind w:left="0" w:right="0" w:firstLine="380"/>
        <w:jc w:val="both"/>
      </w:pPr>
      <w:bookmarkStart w:id="852" w:name="bookmark852"/>
      <w:r>
        <w:rPr>
          <w:rFonts w:ascii="Times New Roman" w:eastAsia="Times New Roman" w:hAnsi="Times New Roman" w:cs="Times New Roman"/>
          <w:color w:val="000000"/>
          <w:spacing w:val="0"/>
          <w:w w:val="100"/>
          <w:position w:val="0"/>
          <w:sz w:val="18"/>
          <w:szCs w:val="18"/>
        </w:rPr>
        <w:t>2</w:t>
      </w:r>
      <w:bookmarkEnd w:id="852"/>
      <w:r>
        <w:rPr>
          <w:color w:val="000000"/>
          <w:spacing w:val="0"/>
          <w:w w:val="100"/>
          <w:position w:val="0"/>
        </w:rPr>
        <w:t>）</w:t>
        <w:tab/>
        <w:t xml:space="preserve">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w:t>
      </w:r>
      <w:r>
        <w:rPr>
          <w:color w:val="000000"/>
          <w:spacing w:val="0"/>
          <w:w w:val="100"/>
          <w:position w:val="0"/>
        </w:rPr>
        <w:t>的利率和收益率曲线等；市场验证的输入值等；</w:t>
      </w:r>
    </w:p>
    <w:p>
      <w:pPr>
        <w:pStyle w:val="Style28"/>
        <w:keepNext w:val="0"/>
        <w:keepLines w:val="0"/>
        <w:widowControl w:val="0"/>
        <w:shd w:val="clear" w:color="auto" w:fill="auto"/>
        <w:bidi w:val="0"/>
        <w:spacing w:before="0" w:after="0" w:line="392" w:lineRule="exact"/>
        <w:ind w:left="0" w:right="0"/>
        <w:jc w:val="both"/>
      </w:pPr>
      <w:bookmarkStart w:id="853" w:name="bookmark853"/>
      <w:r>
        <w:rPr>
          <w:rFonts w:ascii="Times New Roman" w:eastAsia="Times New Roman" w:hAnsi="Times New Roman" w:cs="Times New Roman"/>
          <w:color w:val="000000"/>
          <w:spacing w:val="0"/>
          <w:w w:val="100"/>
          <w:position w:val="0"/>
          <w:sz w:val="18"/>
          <w:szCs w:val="18"/>
        </w:rPr>
        <w:t>3</w:t>
      </w:r>
      <w:bookmarkEnd w:id="853"/>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28"/>
        <w:keepNext w:val="0"/>
        <w:keepLines w:val="0"/>
        <w:widowControl w:val="0"/>
        <w:shd w:val="clear" w:color="auto" w:fill="auto"/>
        <w:tabs>
          <w:tab w:pos="766" w:val="left"/>
        </w:tabs>
        <w:bidi w:val="0"/>
        <w:spacing w:before="0" w:after="200" w:line="392" w:lineRule="exact"/>
        <w:ind w:left="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金融工具减值</w:t>
      </w:r>
    </w:p>
    <w:p>
      <w:pPr>
        <w:pStyle w:val="Style28"/>
        <w:keepNext w:val="0"/>
        <w:keepLines w:val="0"/>
        <w:widowControl w:val="0"/>
        <w:shd w:val="clear" w:color="auto" w:fill="auto"/>
        <w:bidi w:val="0"/>
        <w:spacing w:before="0" w:after="0" w:line="456" w:lineRule="auto"/>
        <w:ind w:left="0" w:right="0"/>
        <w:jc w:val="both"/>
      </w:pPr>
      <w:bookmarkStart w:id="855" w:name="bookmark855"/>
      <w:r>
        <w:rPr>
          <w:rFonts w:ascii="Times New Roman" w:eastAsia="Times New Roman" w:hAnsi="Times New Roman" w:cs="Times New Roman"/>
          <w:color w:val="000000"/>
          <w:spacing w:val="0"/>
          <w:w w:val="100"/>
          <w:position w:val="0"/>
          <w:sz w:val="18"/>
          <w:szCs w:val="18"/>
        </w:rPr>
        <w:t>1</w:t>
      </w:r>
      <w:bookmarkEnd w:id="855"/>
      <w:r>
        <w:rPr>
          <w:color w:val="000000"/>
          <w:spacing w:val="0"/>
          <w:w w:val="100"/>
          <w:position w:val="0"/>
        </w:rPr>
        <w:t>）金融工具减值计量和会计处理</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公司以预期信用损失为基础，对以摊余成本计量的金融资产、以公允价值计量且其变动计入其他综合收益的债务工具投 资、合同资产、租赁应收款、分类为以公允价值计量且其变动计入当期损益的金融负债以外的贷款承诺、不属于以公允价值 计量且其变动计入当期损益的金融负债或不属于金融资产转移不符合终止确认条件或继续涉入被转移金融资产所形成的金 融负债的财务担保合同进行减值处理并确认损失准备。</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预期信用损失，是指以发生违约的风险为权重的金融工具信用损失的加权平均值。信用损失，是指公司按照原实际利率 折现的、根据合同应收的所有合同现金流量与预期收取的所有现金流量之间的差额，即全部现金短缺的现值。其中，对于公 司购买或源生的已发生信用减值的金融资产，按照该金融资产经信用调整的实际利率折现。</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号——收入》规范的交易形成的应收款项及合同资产，公司运用简化计量方法， 按照相当于整个存续期内的预期信用损失金额计量损失准备。</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除上述计量方法以外的金融资产，公司在每个资产负债表日评估其信用风险自初始确认后是否已经显著增加。如果信用 风险自初始确认后已显著增加，公司按照整个存续期内预期信用损失的金额计量损失准备；如果信用风险自初始确认后未显 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公司利用可获得的合理且有依据的信息，包括前瞻性信息，通过比较金融工具在资产负债表日发生违约的风险与在初始 确认日发生违约的风险，以确定金融工具的信用风险自初始确认后是否已显著增加。</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公司以单项金融工具或金融工具组合为基础评估预期信用风险和计量预期信用损失。当以金融工具组合为基础时，公司 以共同风险特征为依据，将金融工具划分为不同组合。</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 且其变动计入其他综合收益的债权投资，公司在其他综合收益中确认其损失准备，不抵减该金融资产的账面价值。</w:t>
      </w:r>
    </w:p>
    <w:p>
      <w:pPr>
        <w:pStyle w:val="Style28"/>
        <w:keepNext w:val="0"/>
        <w:keepLines w:val="0"/>
        <w:widowControl w:val="0"/>
        <w:shd w:val="clear" w:color="auto" w:fill="auto"/>
        <w:tabs>
          <w:tab w:pos="766" w:val="left"/>
        </w:tabs>
        <w:bidi w:val="0"/>
        <w:spacing w:before="0" w:after="0" w:line="392" w:lineRule="exact"/>
        <w:ind w:left="0" w:right="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金融资产和金融负债的抵销</w:t>
      </w:r>
    </w:p>
    <w:p>
      <w:pPr>
        <w:pStyle w:val="Style28"/>
        <w:keepNext w:val="0"/>
        <w:keepLines w:val="0"/>
        <w:widowControl w:val="0"/>
        <w:shd w:val="clear" w:color="auto" w:fill="auto"/>
        <w:bidi w:val="0"/>
        <w:spacing w:before="0" w:after="0" w:line="392" w:lineRule="exact"/>
        <w:ind w:left="0" w:right="0"/>
        <w:jc w:val="both"/>
      </w:pPr>
      <w:r>
        <w:rPr>
          <w:color w:val="000000"/>
          <w:spacing w:val="0"/>
          <w:w w:val="100"/>
          <w:position w:val="0"/>
        </w:rPr>
        <w:t>金融资产和金融负债在资产负债表内分别列示，不相互抵销。但同时满足下列条件的，公司以相互抵销后的净额在资产 负债表内列示：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）公司具有抵销已确认金额的法定权利，且该种法定权利是当前可执行的；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）公司计划以净额结算，或 同时变现该金融资产和清偿该金融负债。</w:t>
      </w:r>
    </w:p>
    <w:p>
      <w:pPr>
        <w:pStyle w:val="Style28"/>
        <w:keepNext w:val="0"/>
        <w:keepLines w:val="0"/>
        <w:widowControl w:val="0"/>
        <w:shd w:val="clear" w:color="auto" w:fill="auto"/>
        <w:bidi w:val="0"/>
        <w:spacing w:before="0" w:after="100" w:line="392" w:lineRule="exact"/>
        <w:ind w:left="0" w:right="0"/>
        <w:jc w:val="both"/>
      </w:pPr>
      <w:r>
        <w:rPr>
          <w:color w:val="000000"/>
          <w:spacing w:val="0"/>
          <w:w w:val="100"/>
          <w:position w:val="0"/>
        </w:rPr>
        <w:t>不满足终止确认条件的金融资产转移，公司不对已转移的金融资产和相关负债进行抵销。</w:t>
      </w:r>
      <w:r>
        <w:br w:type="page"/>
      </w:r>
    </w:p>
    <w:p>
      <w:pPr>
        <w:pStyle w:val="Style31"/>
        <w:keepNext/>
        <w:keepLines/>
        <w:widowControl w:val="0"/>
        <w:shd w:val="clear" w:color="auto" w:fill="auto"/>
        <w:bidi w:val="0"/>
        <w:spacing w:before="0" w:after="34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57"/>
      <w:bookmarkEnd w:id="858"/>
      <w:bookmarkEnd w:id="86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按应收票据的类别划分若干组合，在组合基础上计算预期信用损失，确定组合的依据如下:</w:t>
      </w:r>
    </w:p>
    <w:tbl>
      <w:tblPr>
        <w:tblOverlap w:val="never"/>
        <w:jc w:val="left"/>
        <w:tblLayout w:type="fixed"/>
      </w:tblPr>
      <w:tblGrid>
        <w:gridCol w:w="1570"/>
        <w:gridCol w:w="1560"/>
        <w:gridCol w:w="54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参考历史信用损失经验，结合当前状况以及对未来经济状况的预测， 通过违约风险敞口和整个存续期预期信用损失率，计算预期信用损失</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应收商业承兑汇票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参考历史信用损失经验，结合当前状况以及对未来经济状况的预测， 编制应收商业承兑汇票账龄与整个存续期预期信用损失率对照表，计 算预期信用损失</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61"/>
      <w:bookmarkEnd w:id="862"/>
      <w:bookmarkEnd w:id="864"/>
    </w:p>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（1）</w:t>
      </w:r>
      <w:r>
        <w:rPr>
          <w:color w:val="000000"/>
          <w:spacing w:val="0"/>
          <w:w w:val="100"/>
          <w:position w:val="0"/>
        </w:rPr>
        <w:t>按组合计量预期信用损失的应收款项</w:t>
      </w:r>
    </w:p>
    <w:tbl>
      <w:tblPr>
        <w:tblOverlap w:val="never"/>
        <w:jc w:val="left"/>
        <w:tblLayout w:type="fixed"/>
      </w:tblPr>
      <w:tblGrid>
        <w:gridCol w:w="1853"/>
        <w:gridCol w:w="1560"/>
        <w:gridCol w:w="511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应收账款、应收商业承 兑汇票——账龄组合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参考历史信用损失经验，结合当前状况以及对未来经济状况的预 测，编制应收款项、应收商业承兑汇票账龄与整个存续期预期信 用损失率对照表，计算预期信用损失</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应收账款——质保金组 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逾期天数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参考历史信用损失经验，结合当前状况以及对未来经济状况的预 测，编制应收账款逾期天数与整个存续期预期信用损失率对照表， 计算预期信用损失</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应收账款一合并范围 内关联方组合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客户类型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参考历史信用损失经验，结合当前状况以及对未来经济状况的预 测，通过违约风险敞口和整个存续期预期信用损失率，计算预期 信用损失</w:t>
            </w:r>
          </w:p>
        </w:tc>
      </w:tr>
    </w:tbl>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）应收账款——账龄组合的账龄与整个存续期预期信用损失率对照表</w:t>
      </w:r>
    </w:p>
    <w:tbl>
      <w:tblPr>
        <w:tblOverlap w:val="never"/>
        <w:jc w:val="left"/>
        <w:tblLayout w:type="fixed"/>
      </w:tblPr>
      <w:tblGrid>
        <w:gridCol w:w="4118"/>
        <w:gridCol w:w="442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）应收账款——质保金组合的逾期天数与整个存续期预期信用损失率对照表</w:t>
      </w:r>
    </w:p>
    <w:tbl>
      <w:tblPr>
        <w:tblOverlap w:val="never"/>
        <w:jc w:val="left"/>
        <w:tblLayout w:type="fixed"/>
      </w:tblPr>
      <w:tblGrid>
        <w:gridCol w:w="4118"/>
        <w:gridCol w:w="442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逾期天数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65"/>
      <w:bookmarkEnd w:id="866"/>
      <w:bookmarkEnd w:id="868"/>
    </w:p>
    <w:p>
      <w:pPr>
        <w:pStyle w:val="Style26"/>
        <w:keepNext w:val="0"/>
        <w:keepLines w:val="0"/>
        <w:widowControl w:val="0"/>
        <w:shd w:val="clear" w:color="auto" w:fill="auto"/>
        <w:bidi w:val="0"/>
        <w:spacing w:before="0" w:after="0" w:line="240" w:lineRule="auto"/>
        <w:ind w:left="456" w:right="0" w:firstLine="0"/>
        <w:jc w:val="left"/>
      </w:pPr>
      <w:r>
        <w:rPr>
          <w:color w:val="000000"/>
          <w:spacing w:val="0"/>
          <w:w w:val="100"/>
          <w:position w:val="0"/>
        </w:rPr>
        <w:t>按组合评估预期信用风险和计量预期信用损失的应收款项融资</w:t>
      </w:r>
    </w:p>
    <w:tbl>
      <w:tblPr>
        <w:tblOverlap w:val="never"/>
        <w:jc w:val="center"/>
        <w:tblLayout w:type="fixed"/>
      </w:tblPr>
      <w:tblGrid>
        <w:gridCol w:w="1810"/>
        <w:gridCol w:w="2256"/>
        <w:gridCol w:w="580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承兑人为银行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参考历史信用损失经验，结合当前状况以及对未来经济状况的预测，通 过违约风险敞口和整个存续期预期信用损失率，计算预期信用损失</w:t>
            </w:r>
          </w:p>
        </w:tc>
      </w:tr>
    </w:tbl>
    <w:p>
      <w:pPr>
        <w:pStyle w:val="Style26"/>
        <w:keepNext w:val="0"/>
        <w:keepLines w:val="0"/>
        <w:widowControl w:val="0"/>
        <w:shd w:val="clear" w:color="auto" w:fill="auto"/>
        <w:bidi w:val="0"/>
        <w:spacing w:before="0" w:after="0" w:line="240" w:lineRule="auto"/>
        <w:ind w:left="456" w:right="0" w:firstLine="0"/>
        <w:jc w:val="left"/>
      </w:pPr>
      <w:r>
        <w:rPr>
          <w:color w:val="000000"/>
          <w:spacing w:val="0"/>
          <w:w w:val="100"/>
          <w:position w:val="0"/>
        </w:rPr>
        <w:t>本公司认为银行承兑汇票的承兑人信用较好，到期无法收回合同现金流量的可能性极低，因此本公司不对其计提损失准</w:t>
      </w:r>
    </w:p>
    <w:p>
      <w:pPr>
        <w:pStyle w:val="Style28"/>
        <w:keepNext w:val="0"/>
        <w:keepLines w:val="0"/>
        <w:widowControl w:val="0"/>
        <w:shd w:val="clear" w:color="auto" w:fill="auto"/>
        <w:bidi w:val="0"/>
        <w:spacing w:before="0" w:after="420" w:line="240" w:lineRule="auto"/>
        <w:ind w:left="0" w:right="0" w:firstLine="460"/>
        <w:jc w:val="left"/>
      </w:pPr>
      <w:r>
        <w:rPr>
          <w:color w:val="000000"/>
          <w:spacing w:val="0"/>
          <w:w w:val="100"/>
          <w:position w:val="0"/>
        </w:rPr>
        <w:t>备。</w:t>
      </w:r>
    </w:p>
    <w:p>
      <w:pPr>
        <w:pStyle w:val="Style31"/>
        <w:keepNext/>
        <w:keepLines/>
        <w:widowControl w:val="0"/>
        <w:shd w:val="clear" w:color="auto" w:fill="auto"/>
        <w:bidi w:val="0"/>
        <w:spacing w:before="0" w:after="42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69"/>
      <w:bookmarkEnd w:id="870"/>
      <w:bookmarkEnd w:id="872"/>
    </w:p>
    <w:p>
      <w:pPr>
        <w:pStyle w:val="Style28"/>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按组合评估预期信用风险和计量预期信用损失的金融工具</w:t>
      </w:r>
    </w:p>
    <w:tbl>
      <w:tblPr>
        <w:tblOverlap w:val="never"/>
        <w:jc w:val="center"/>
        <w:tblLayout w:type="fixed"/>
      </w:tblPr>
      <w:tblGrid>
        <w:gridCol w:w="3634"/>
        <w:gridCol w:w="1738"/>
        <w:gridCol w:w="449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 状况的预测，通过违约风险敞口和未来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 存续期预期信用损失率，计算预期信用损失</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其他应收款——合并范围内的关联往来组 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客户类型</w:t>
            </w: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31"/>
        <w:keepNext/>
        <w:keepLines/>
        <w:widowControl w:val="0"/>
        <w:shd w:val="clear" w:color="auto" w:fill="auto"/>
        <w:tabs>
          <w:tab w:pos="474" w:val="left"/>
        </w:tabs>
        <w:bidi w:val="0"/>
        <w:spacing w:before="0" w:after="24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3"/>
      <w:bookmarkEnd w:id="874"/>
      <w:bookmarkEnd w:id="876"/>
    </w:p>
    <w:p>
      <w:pPr>
        <w:pStyle w:val="Style28"/>
        <w:keepNext w:val="0"/>
        <w:keepLines w:val="0"/>
        <w:widowControl w:val="0"/>
        <w:shd w:val="clear" w:color="auto" w:fill="auto"/>
        <w:tabs>
          <w:tab w:pos="905" w:val="left"/>
        </w:tabs>
        <w:bidi w:val="0"/>
        <w:spacing w:before="0" w:after="0" w:line="390" w:lineRule="exact"/>
        <w:ind w:left="0" w:right="0" w:firstLine="460"/>
        <w:jc w:val="left"/>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8"/>
        <w:keepNext w:val="0"/>
        <w:keepLines w:val="0"/>
        <w:widowControl w:val="0"/>
        <w:shd w:val="clear" w:color="auto" w:fill="auto"/>
        <w:bidi w:val="0"/>
        <w:spacing w:before="0" w:after="0" w:line="390" w:lineRule="exact"/>
        <w:ind w:left="0" w:right="0" w:firstLine="460"/>
        <w:jc w:val="both"/>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28"/>
        <w:keepNext w:val="0"/>
        <w:keepLines w:val="0"/>
        <w:widowControl w:val="0"/>
        <w:shd w:val="clear" w:color="auto" w:fill="auto"/>
        <w:tabs>
          <w:tab w:pos="905" w:val="left"/>
        </w:tabs>
        <w:bidi w:val="0"/>
        <w:spacing w:before="0" w:after="0" w:line="390" w:lineRule="exact"/>
        <w:ind w:left="0" w:right="0" w:firstLine="46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28"/>
        <w:keepNext w:val="0"/>
        <w:keepLines w:val="0"/>
        <w:widowControl w:val="0"/>
        <w:shd w:val="clear" w:color="auto" w:fill="auto"/>
        <w:bidi w:val="0"/>
        <w:spacing w:before="0" w:after="0" w:line="390" w:lineRule="exact"/>
        <w:ind w:left="0" w:right="0" w:firstLine="460"/>
        <w:jc w:val="both"/>
      </w:pPr>
      <w:r>
        <w:rPr>
          <w:color w:val="000000"/>
          <w:spacing w:val="0"/>
          <w:w w:val="100"/>
          <w:position w:val="0"/>
        </w:rPr>
        <w:t>发出存货采用月末一次加权平均法。</w:t>
      </w:r>
    </w:p>
    <w:p>
      <w:pPr>
        <w:pStyle w:val="Style28"/>
        <w:keepNext w:val="0"/>
        <w:keepLines w:val="0"/>
        <w:widowControl w:val="0"/>
        <w:shd w:val="clear" w:color="auto" w:fill="auto"/>
        <w:tabs>
          <w:tab w:pos="905" w:val="left"/>
        </w:tabs>
        <w:bidi w:val="0"/>
        <w:spacing w:before="0" w:after="0" w:line="390" w:lineRule="exact"/>
        <w:ind w:left="0" w:right="0" w:firstLine="46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w:t>
      </w:r>
    </w:p>
    <w:p>
      <w:pPr>
        <w:pStyle w:val="Style28"/>
        <w:keepNext w:val="0"/>
        <w:keepLines w:val="0"/>
        <w:widowControl w:val="0"/>
        <w:shd w:val="clear" w:color="auto" w:fill="auto"/>
        <w:bidi w:val="0"/>
        <w:spacing w:before="0" w:after="0" w:line="390" w:lineRule="exact"/>
        <w:ind w:left="0" w:right="0" w:firstLine="46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接用于出售的存货，在正常生产经营过程中以该存货的估计售价减去估计的销售费用和相关税费后的金额确定其可变现净值; 需要经过加工的存货，在正常生产经营过程中以所生产的产成品的估计售价减去至完工时估计将要发生的成本、估计的销售 费用和相关税费后的金额确定其可变现净值；资产负债表日，同一项存货中一部分有合同价格约定、其他部分不存在合同价 格的，分别确定其可变现净值，并与其对应的成本进行比较，分别确定存货跌价准备的计提或转回的金额。</w:t>
      </w:r>
    </w:p>
    <w:p>
      <w:pPr>
        <w:pStyle w:val="Style28"/>
        <w:keepNext w:val="0"/>
        <w:keepLines w:val="0"/>
        <w:widowControl w:val="0"/>
        <w:shd w:val="clear" w:color="auto" w:fill="auto"/>
        <w:tabs>
          <w:tab w:pos="905" w:val="left"/>
        </w:tabs>
        <w:bidi w:val="0"/>
        <w:spacing w:before="0" w:after="0" w:line="390" w:lineRule="exact"/>
        <w:ind w:left="0" w:right="0" w:firstLine="46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28"/>
        <w:keepNext w:val="0"/>
        <w:keepLines w:val="0"/>
        <w:widowControl w:val="0"/>
        <w:shd w:val="clear" w:color="auto" w:fill="auto"/>
        <w:bidi w:val="0"/>
        <w:spacing w:before="0" w:after="0" w:line="390" w:lineRule="exact"/>
        <w:ind w:left="0" w:right="0" w:firstLine="460"/>
        <w:jc w:val="both"/>
      </w:pPr>
      <w:r>
        <w:rPr>
          <w:color w:val="000000"/>
          <w:spacing w:val="0"/>
          <w:w w:val="100"/>
          <w:position w:val="0"/>
        </w:rPr>
        <w:t>存货的盘存制度为永续盘存制。</w:t>
      </w:r>
    </w:p>
    <w:p>
      <w:pPr>
        <w:pStyle w:val="Style28"/>
        <w:keepNext w:val="0"/>
        <w:keepLines w:val="0"/>
        <w:widowControl w:val="0"/>
        <w:shd w:val="clear" w:color="auto" w:fill="auto"/>
        <w:tabs>
          <w:tab w:pos="905" w:val="left"/>
        </w:tabs>
        <w:bidi w:val="0"/>
        <w:spacing w:before="0" w:after="0" w:line="390" w:lineRule="exact"/>
        <w:ind w:left="0" w:right="0" w:firstLine="46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8"/>
        <w:keepNext w:val="0"/>
        <w:keepLines w:val="0"/>
        <w:widowControl w:val="0"/>
        <w:shd w:val="clear" w:color="auto" w:fill="auto"/>
        <w:tabs>
          <w:tab w:pos="821" w:val="left"/>
        </w:tabs>
        <w:bidi w:val="0"/>
        <w:spacing w:before="0" w:after="0" w:line="390" w:lineRule="exact"/>
        <w:ind w:left="0" w:right="0" w:firstLine="460"/>
        <w:jc w:val="both"/>
      </w:pPr>
      <w:bookmarkStart w:id="882" w:name="bookmark882"/>
      <w:r>
        <w:rPr>
          <w:rFonts w:ascii="Times New Roman" w:eastAsia="Times New Roman" w:hAnsi="Times New Roman" w:cs="Times New Roman"/>
          <w:color w:val="000000"/>
          <w:spacing w:val="0"/>
          <w:w w:val="100"/>
          <w:position w:val="0"/>
          <w:sz w:val="18"/>
          <w:szCs w:val="18"/>
        </w:rPr>
        <w:t>1</w:t>
      </w:r>
      <w:bookmarkEnd w:id="882"/>
      <w:r>
        <w:rPr>
          <w:color w:val="000000"/>
          <w:spacing w:val="0"/>
          <w:w w:val="100"/>
          <w:position w:val="0"/>
        </w:rPr>
        <w:t>）</w:t>
        <w:tab/>
        <w:t>低值易耗品</w:t>
      </w:r>
    </w:p>
    <w:p>
      <w:pPr>
        <w:pStyle w:val="Style28"/>
        <w:keepNext w:val="0"/>
        <w:keepLines w:val="0"/>
        <w:widowControl w:val="0"/>
        <w:shd w:val="clear" w:color="auto" w:fill="auto"/>
        <w:bidi w:val="0"/>
        <w:spacing w:before="0" w:after="0" w:line="390" w:lineRule="exact"/>
        <w:ind w:left="0" w:right="0" w:firstLine="460"/>
        <w:jc w:val="both"/>
      </w:pPr>
      <w:r>
        <w:rPr>
          <w:color w:val="000000"/>
          <w:spacing w:val="0"/>
          <w:w w:val="100"/>
          <w:position w:val="0"/>
        </w:rPr>
        <w:t>按照一次转销法进行摊销。</w:t>
      </w:r>
    </w:p>
    <w:p>
      <w:pPr>
        <w:pStyle w:val="Style28"/>
        <w:keepNext w:val="0"/>
        <w:keepLines w:val="0"/>
        <w:widowControl w:val="0"/>
        <w:shd w:val="clear" w:color="auto" w:fill="auto"/>
        <w:tabs>
          <w:tab w:pos="828" w:val="left"/>
        </w:tabs>
        <w:bidi w:val="0"/>
        <w:spacing w:before="0" w:after="0" w:line="390" w:lineRule="exact"/>
        <w:ind w:left="0" w:right="0" w:firstLine="460"/>
        <w:jc w:val="both"/>
      </w:pPr>
      <w:bookmarkStart w:id="883" w:name="bookmark883"/>
      <w:r>
        <w:rPr>
          <w:rFonts w:ascii="Times New Roman" w:eastAsia="Times New Roman" w:hAnsi="Times New Roman" w:cs="Times New Roman"/>
          <w:color w:val="000000"/>
          <w:spacing w:val="0"/>
          <w:w w:val="100"/>
          <w:position w:val="0"/>
          <w:sz w:val="18"/>
          <w:szCs w:val="18"/>
        </w:rPr>
        <w:t>2</w:t>
      </w:r>
      <w:bookmarkEnd w:id="883"/>
      <w:r>
        <w:rPr>
          <w:color w:val="000000"/>
          <w:spacing w:val="0"/>
          <w:w w:val="100"/>
          <w:position w:val="0"/>
        </w:rPr>
        <w:t>）</w:t>
        <w:tab/>
        <w:t>包装物</w:t>
      </w:r>
    </w:p>
    <w:p>
      <w:pPr>
        <w:pStyle w:val="Style28"/>
        <w:keepNext w:val="0"/>
        <w:keepLines w:val="0"/>
        <w:widowControl w:val="0"/>
        <w:shd w:val="clear" w:color="auto" w:fill="auto"/>
        <w:bidi w:val="0"/>
        <w:spacing w:before="0" w:after="420" w:line="390" w:lineRule="exact"/>
        <w:ind w:left="0" w:right="0" w:firstLine="460"/>
        <w:jc w:val="both"/>
      </w:pPr>
      <w:r>
        <w:rPr>
          <w:color w:val="000000"/>
          <w:spacing w:val="0"/>
          <w:w w:val="100"/>
          <w:position w:val="0"/>
        </w:rPr>
        <w:t>按照一次转销法进行摊销。</w:t>
      </w:r>
    </w:p>
    <w:p>
      <w:pPr>
        <w:pStyle w:val="Style31"/>
        <w:keepNext/>
        <w:keepLines/>
        <w:widowControl w:val="0"/>
        <w:shd w:val="clear" w:color="auto" w:fill="auto"/>
        <w:tabs>
          <w:tab w:pos="474" w:val="left"/>
        </w:tabs>
        <w:bidi w:val="0"/>
        <w:spacing w:before="0" w:after="24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4"/>
      <w:bookmarkEnd w:id="885"/>
      <w:bookmarkEnd w:id="887"/>
    </w:p>
    <w:p>
      <w:pPr>
        <w:pStyle w:val="Style28"/>
        <w:keepNext w:val="0"/>
        <w:keepLines w:val="0"/>
        <w:widowControl w:val="0"/>
        <w:shd w:val="clear" w:color="auto" w:fill="auto"/>
        <w:bidi w:val="0"/>
        <w:spacing w:before="0" w:after="0" w:line="389" w:lineRule="exact"/>
        <w:ind w:left="0" w:right="0" w:firstLine="46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28"/>
        <w:keepNext w:val="0"/>
        <w:keepLines w:val="0"/>
        <w:widowControl w:val="0"/>
        <w:shd w:val="clear" w:color="auto" w:fill="auto"/>
        <w:bidi w:val="0"/>
        <w:spacing w:before="0" w:after="200" w:line="389" w:lineRule="exact"/>
        <w:ind w:left="0" w:right="0" w:firstLine="460"/>
        <w:jc w:val="both"/>
      </w:pPr>
      <w:r>
        <w:rPr>
          <w:color w:val="000000"/>
          <w:spacing w:val="0"/>
          <w:w w:val="100"/>
          <w:position w:val="0"/>
        </w:rPr>
        <w:t>公司将拥有的、无条件（即，仅取决于时间流逝）向客户收取对价的权利作为应收款项列示，将已向客户转让商品而有 权收取对价的权利（该权利取决于时间流逝之外的其他因素）作为合同资产列示。</w:t>
      </w:r>
    </w:p>
    <w:p>
      <w:pPr>
        <w:pStyle w:val="Style28"/>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合同资产</w:t>
      </w:r>
      <w:r>
        <w:rPr>
          <w:color w:val="000000"/>
          <w:spacing w:val="0"/>
          <w:w w:val="100"/>
          <w:position w:val="0"/>
          <w:sz w:val="18"/>
          <w:szCs w:val="18"/>
        </w:rPr>
        <w:t>一一</w:t>
      </w:r>
      <w:r>
        <w:rPr>
          <w:color w:val="000000"/>
          <w:spacing w:val="0"/>
          <w:w w:val="100"/>
          <w:position w:val="0"/>
        </w:rPr>
        <w:t>未到期质保金与整个存续期预期信用损失率对照表</w:t>
      </w:r>
    </w:p>
    <w:tbl>
      <w:tblPr>
        <w:tblOverlap w:val="never"/>
        <w:jc w:val="center"/>
        <w:tblLayout w:type="fixed"/>
      </w:tblPr>
      <w:tblGrid>
        <w:gridCol w:w="3206"/>
        <w:gridCol w:w="2635"/>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质保期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合同资产预期信用损失率（</w:t>
            </w:r>
            <w:r>
              <w:rPr>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质保期以内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after="319" w:line="1" w:lineRule="exact"/>
      </w:pPr>
    </w:p>
    <w:p>
      <w:pPr>
        <w:pStyle w:val="Style31"/>
        <w:keepNext/>
        <w:keepLines/>
        <w:widowControl w:val="0"/>
        <w:shd w:val="clear" w:color="auto" w:fill="auto"/>
        <w:tabs>
          <w:tab w:pos="447" w:val="left"/>
        </w:tabs>
        <w:bidi w:val="0"/>
        <w:spacing w:before="0" w:after="24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88"/>
      <w:bookmarkEnd w:id="889"/>
      <w:bookmarkEnd w:id="891"/>
    </w:p>
    <w:p>
      <w:pPr>
        <w:pStyle w:val="Style28"/>
        <w:keepNext w:val="0"/>
        <w:keepLines w:val="0"/>
        <w:widowControl w:val="0"/>
        <w:shd w:val="clear" w:color="auto" w:fill="auto"/>
        <w:bidi w:val="0"/>
        <w:spacing w:before="0" w:after="0" w:line="389" w:lineRule="exact"/>
        <w:ind w:left="0" w:right="0" w:firstLine="380"/>
        <w:jc w:val="left"/>
      </w:pPr>
      <w:r>
        <w:rPr>
          <w:color w:val="000000"/>
          <w:spacing w:val="0"/>
          <w:w w:val="100"/>
          <w:position w:val="0"/>
        </w:rPr>
        <w:t>与合同成本有关的资产包括合同取得成本和合同履约成本。</w:t>
      </w:r>
    </w:p>
    <w:p>
      <w:pPr>
        <w:pStyle w:val="Style28"/>
        <w:keepNext w:val="0"/>
        <w:keepLines w:val="0"/>
        <w:widowControl w:val="0"/>
        <w:shd w:val="clear" w:color="auto" w:fill="auto"/>
        <w:bidi w:val="0"/>
        <w:spacing w:before="0" w:after="0" w:line="389" w:lineRule="exact"/>
        <w:ind w:left="0" w:right="0" w:firstLine="380"/>
        <w:jc w:val="left"/>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28"/>
        <w:keepNext w:val="0"/>
        <w:keepLines w:val="0"/>
        <w:widowControl w:val="0"/>
        <w:shd w:val="clear" w:color="auto" w:fill="auto"/>
        <w:bidi w:val="0"/>
        <w:spacing w:before="0" w:after="0" w:line="389" w:lineRule="exact"/>
        <w:ind w:left="0" w:right="0" w:firstLine="380"/>
        <w:jc w:val="left"/>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28"/>
        <w:keepNext w:val="0"/>
        <w:keepLines w:val="0"/>
        <w:widowControl w:val="0"/>
        <w:shd w:val="clear" w:color="auto" w:fill="auto"/>
        <w:tabs>
          <w:tab w:pos="875" w:val="left"/>
        </w:tabs>
        <w:bidi w:val="0"/>
        <w:spacing w:before="0" w:after="0" w:line="389" w:lineRule="exact"/>
        <w:ind w:left="0" w:right="0" w:firstLine="38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28"/>
        <w:keepNext w:val="0"/>
        <w:keepLines w:val="0"/>
        <w:widowControl w:val="0"/>
        <w:shd w:val="clear" w:color="auto" w:fill="auto"/>
        <w:tabs>
          <w:tab w:pos="799" w:val="left"/>
        </w:tabs>
        <w:bidi w:val="0"/>
        <w:spacing w:before="0" w:after="0" w:line="389" w:lineRule="exact"/>
        <w:ind w:left="0" w:right="0" w:firstLine="38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该成本增加了公司未来用于履行履约义务的资源；</w:t>
      </w:r>
    </w:p>
    <w:p>
      <w:pPr>
        <w:pStyle w:val="Style28"/>
        <w:keepNext w:val="0"/>
        <w:keepLines w:val="0"/>
        <w:widowControl w:val="0"/>
        <w:shd w:val="clear" w:color="auto" w:fill="auto"/>
        <w:tabs>
          <w:tab w:pos="799" w:val="left"/>
        </w:tabs>
        <w:bidi w:val="0"/>
        <w:spacing w:before="0" w:after="0" w:line="389" w:lineRule="exact"/>
        <w:ind w:left="0" w:right="0" w:firstLine="380"/>
        <w:jc w:val="left"/>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28"/>
        <w:keepNext w:val="0"/>
        <w:keepLines w:val="0"/>
        <w:widowControl w:val="0"/>
        <w:shd w:val="clear" w:color="auto" w:fill="auto"/>
        <w:bidi w:val="0"/>
        <w:spacing w:before="0" w:after="0" w:line="389" w:lineRule="exact"/>
        <w:ind w:left="0" w:right="0" w:firstLine="380"/>
        <w:jc w:val="left"/>
      </w:pPr>
      <w:r>
        <w:rPr>
          <w:color w:val="000000"/>
          <w:spacing w:val="0"/>
          <w:w w:val="100"/>
          <w:position w:val="0"/>
        </w:rPr>
        <w:t>公司对于与合同成本有关的资产采用与该资产相关的商品或服务收入确认相同的基础进行摊销，计入当期损益。</w:t>
      </w:r>
    </w:p>
    <w:p>
      <w:pPr>
        <w:pStyle w:val="Style28"/>
        <w:keepNext w:val="0"/>
        <w:keepLines w:val="0"/>
        <w:widowControl w:val="0"/>
        <w:shd w:val="clear" w:color="auto" w:fill="auto"/>
        <w:bidi w:val="0"/>
        <w:spacing w:before="0" w:after="420" w:line="389" w:lineRule="exact"/>
        <w:ind w:left="0" w:right="0" w:firstLine="380"/>
        <w:jc w:val="left"/>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相关的商品或服务预期能够取得的剩余对价减去估计将要发生的成本高于该资产账面价值的，转回原已计提的资产减值准备， 并计入当期损益，但转回后的资产账面价值不超过假定不计提减值准备情况下该资产在转回日的账面价值。</w:t>
      </w:r>
    </w:p>
    <w:p>
      <w:pPr>
        <w:pStyle w:val="Style31"/>
        <w:keepNext/>
        <w:keepLines/>
        <w:widowControl w:val="0"/>
        <w:shd w:val="clear" w:color="auto" w:fill="auto"/>
        <w:tabs>
          <w:tab w:pos="447" w:val="left"/>
        </w:tabs>
        <w:bidi w:val="0"/>
        <w:spacing w:before="0" w:after="24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895"/>
      <w:bookmarkEnd w:id="896"/>
      <w:bookmarkEnd w:id="898"/>
    </w:p>
    <w:p>
      <w:pPr>
        <w:pStyle w:val="Style28"/>
        <w:keepNext w:val="0"/>
        <w:keepLines w:val="0"/>
        <w:widowControl w:val="0"/>
        <w:shd w:val="clear" w:color="auto" w:fill="auto"/>
        <w:tabs>
          <w:tab w:pos="799" w:val="left"/>
        </w:tabs>
        <w:bidi w:val="0"/>
        <w:spacing w:before="0" w:after="0" w:line="390" w:lineRule="exact"/>
        <w:ind w:left="0" w:right="0" w:firstLine="38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共同控制、重大影响的判断</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28"/>
        <w:keepNext w:val="0"/>
        <w:keepLines w:val="0"/>
        <w:widowControl w:val="0"/>
        <w:shd w:val="clear" w:color="auto" w:fill="auto"/>
        <w:tabs>
          <w:tab w:pos="799" w:val="left"/>
        </w:tabs>
        <w:bidi w:val="0"/>
        <w:spacing w:before="0" w:after="0" w:line="390" w:lineRule="exact"/>
        <w:ind w:left="0" w:right="0" w:firstLine="38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投资成本的确定</w:t>
      </w:r>
    </w:p>
    <w:p>
      <w:pPr>
        <w:pStyle w:val="Style28"/>
        <w:keepNext w:val="0"/>
        <w:keepLines w:val="0"/>
        <w:widowControl w:val="0"/>
        <w:shd w:val="clear" w:color="auto" w:fill="auto"/>
        <w:bidi w:val="0"/>
        <w:spacing w:before="0" w:after="0" w:line="39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8"/>
        <w:keepNext w:val="0"/>
        <w:keepLines w:val="0"/>
        <w:widowControl w:val="0"/>
        <w:shd w:val="clear" w:color="auto" w:fill="auto"/>
        <w:tabs>
          <w:tab w:pos="706" w:val="left"/>
        </w:tabs>
        <w:bidi w:val="0"/>
        <w:spacing w:before="0" w:after="0" w:line="390" w:lineRule="exact"/>
        <w:ind w:left="0" w:right="0" w:firstLine="380"/>
        <w:jc w:val="both"/>
      </w:pPr>
      <w:bookmarkStart w:id="901" w:name="bookmark901"/>
      <w:r>
        <w:rPr>
          <w:rFonts w:ascii="Times New Roman" w:eastAsia="Times New Roman" w:hAnsi="Times New Roman" w:cs="Times New Roman"/>
          <w:color w:val="000000"/>
          <w:spacing w:val="0"/>
          <w:w w:val="100"/>
          <w:position w:val="0"/>
          <w:sz w:val="18"/>
          <w:szCs w:val="18"/>
        </w:rPr>
        <w:t>2</w:t>
      </w:r>
      <w:bookmarkEnd w:id="901"/>
      <w:r>
        <w:rPr>
          <w:color w:val="000000"/>
          <w:spacing w:val="0"/>
          <w:w w:val="100"/>
          <w:position w:val="0"/>
        </w:rPr>
        <w:t>）</w:t>
        <w:tab/>
        <w:t>非同一控制下的企业合并形成的，在购买日按照支付的合并对价的公允价值作为其初始投资成本。</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公司通过多次交易分步实现非同一控制下企业合并形成的长期股权投资，区分个别财务报表和合并财务报表进行相关会 计处理：</w:t>
      </w:r>
    </w:p>
    <w:p>
      <w:pPr>
        <w:pStyle w:val="Style28"/>
        <w:keepNext w:val="0"/>
        <w:keepLines w:val="0"/>
        <w:widowControl w:val="0"/>
        <w:numPr>
          <w:ilvl w:val="0"/>
          <w:numId w:val="25"/>
        </w:numPr>
        <w:shd w:val="clear" w:color="auto" w:fill="auto"/>
        <w:tabs>
          <w:tab w:pos="677" w:val="left"/>
        </w:tabs>
        <w:bidi w:val="0"/>
        <w:spacing w:before="0" w:after="0" w:line="390" w:lineRule="exact"/>
        <w:ind w:left="0" w:right="0" w:firstLine="380"/>
        <w:jc w:val="both"/>
      </w:pPr>
      <w:bookmarkStart w:id="902" w:name="bookmark902"/>
      <w:bookmarkEnd w:id="902"/>
      <w:r>
        <w:rPr>
          <w:color w:val="000000"/>
          <w:spacing w:val="0"/>
          <w:w w:val="100"/>
          <w:position w:val="0"/>
        </w:rPr>
        <w:t>在个别财务报表中，按照原持有的股权投资的账面价值加上新增投资成本之和，作为改按成本法核算的初始投资成 本。</w:t>
      </w:r>
    </w:p>
    <w:p>
      <w:pPr>
        <w:pStyle w:val="Style28"/>
        <w:keepNext w:val="0"/>
        <w:keepLines w:val="0"/>
        <w:widowControl w:val="0"/>
        <w:numPr>
          <w:ilvl w:val="0"/>
          <w:numId w:val="25"/>
        </w:numPr>
        <w:shd w:val="clear" w:color="auto" w:fill="auto"/>
        <w:tabs>
          <w:tab w:pos="677" w:val="left"/>
        </w:tabs>
        <w:bidi w:val="0"/>
        <w:spacing w:before="0" w:after="0" w:line="390" w:lineRule="exact"/>
        <w:ind w:left="0" w:right="0" w:firstLine="380"/>
        <w:jc w:val="both"/>
      </w:pPr>
      <w:bookmarkStart w:id="903" w:name="bookmark903"/>
      <w:bookmarkEnd w:id="903"/>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的，把各项交易作为一项取得控制权的交易进行 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的，对于购买日之前持有的被购买方的股权，按照该股权在购买日的公允价值进行重新计量， 公允价值与其账面价值的差额计入当期投资收益;购买日之前持有的被购买方的股权涉及权益法核算下的其他综合收益等的， 与其相关的其他综合收益等转为购买日所属当期收益。但由于被投资方重新计量设定受益计划净负债或净资产变动而产生的 其他综合收益除外。</w:t>
      </w:r>
    </w:p>
    <w:p>
      <w:pPr>
        <w:pStyle w:val="Style28"/>
        <w:keepNext w:val="0"/>
        <w:keepLines w:val="0"/>
        <w:widowControl w:val="0"/>
        <w:shd w:val="clear" w:color="auto" w:fill="auto"/>
        <w:tabs>
          <w:tab w:pos="686" w:val="left"/>
        </w:tabs>
        <w:bidi w:val="0"/>
        <w:spacing w:before="0" w:after="0" w:line="390" w:lineRule="exact"/>
        <w:ind w:left="0" w:right="0" w:firstLine="380"/>
        <w:jc w:val="both"/>
      </w:pPr>
      <w:bookmarkStart w:id="904" w:name="bookmark904"/>
      <w:r>
        <w:rPr>
          <w:rFonts w:ascii="Times New Roman" w:eastAsia="Times New Roman" w:hAnsi="Times New Roman" w:cs="Times New Roman"/>
          <w:color w:val="000000"/>
          <w:spacing w:val="0"/>
          <w:w w:val="100"/>
          <w:position w:val="0"/>
          <w:sz w:val="18"/>
          <w:szCs w:val="18"/>
        </w:rPr>
        <w:t>3</w:t>
      </w:r>
      <w:bookmarkEnd w:id="904"/>
      <w:r>
        <w:rPr>
          <w:color w:val="000000"/>
          <w:spacing w:val="0"/>
          <w:w w:val="100"/>
          <w:position w:val="0"/>
        </w:rPr>
        <w:t>）</w:t>
        <w:tab/>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 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 成本。</w:t>
      </w:r>
    </w:p>
    <w:p>
      <w:pPr>
        <w:pStyle w:val="Style28"/>
        <w:keepNext w:val="0"/>
        <w:keepLines w:val="0"/>
        <w:widowControl w:val="0"/>
        <w:shd w:val="clear" w:color="auto" w:fill="auto"/>
        <w:tabs>
          <w:tab w:pos="783" w:val="left"/>
        </w:tabs>
        <w:bidi w:val="0"/>
        <w:spacing w:before="0" w:after="0" w:line="390" w:lineRule="exact"/>
        <w:ind w:left="0" w:right="0" w:firstLine="38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后续计量及损益确认方法</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对被投资单位实施控制的长期股权投资采用成本法核算；对联营企业和合营企业的长期股权投资，采用权益法核算。</w:t>
      </w:r>
    </w:p>
    <w:p>
      <w:pPr>
        <w:pStyle w:val="Style28"/>
        <w:keepNext w:val="0"/>
        <w:keepLines w:val="0"/>
        <w:widowControl w:val="0"/>
        <w:shd w:val="clear" w:color="auto" w:fill="auto"/>
        <w:tabs>
          <w:tab w:pos="783" w:val="left"/>
        </w:tabs>
        <w:bidi w:val="0"/>
        <w:spacing w:before="0" w:after="0" w:line="390" w:lineRule="exact"/>
        <w:ind w:left="0" w:right="0" w:firstLine="38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通过多次交易分步处置对子公司投资至丧失控制权的处理方法</w:t>
      </w:r>
    </w:p>
    <w:p>
      <w:pPr>
        <w:pStyle w:val="Style28"/>
        <w:keepNext w:val="0"/>
        <w:keepLines w:val="0"/>
        <w:widowControl w:val="0"/>
        <w:shd w:val="clear" w:color="auto" w:fill="auto"/>
        <w:tabs>
          <w:tab w:pos="687" w:val="left"/>
        </w:tabs>
        <w:bidi w:val="0"/>
        <w:spacing w:before="0" w:after="0" w:line="390" w:lineRule="exact"/>
        <w:ind w:left="0" w:right="0" w:firstLine="380"/>
        <w:jc w:val="left"/>
      </w:pPr>
      <w:bookmarkStart w:id="907" w:name="bookmark907"/>
      <w:r>
        <w:rPr>
          <w:rFonts w:ascii="Times New Roman" w:eastAsia="Times New Roman" w:hAnsi="Times New Roman" w:cs="Times New Roman"/>
          <w:color w:val="000000"/>
          <w:spacing w:val="0"/>
          <w:w w:val="100"/>
          <w:position w:val="0"/>
          <w:sz w:val="18"/>
          <w:szCs w:val="18"/>
        </w:rPr>
        <w:t>1</w:t>
      </w:r>
      <w:bookmarkEnd w:id="907"/>
      <w:r>
        <w:rPr>
          <w:color w:val="000000"/>
          <w:spacing w:val="0"/>
          <w:w w:val="100"/>
          <w:position w:val="0"/>
        </w:rPr>
        <w:t>）</w:t>
        <w:tab/>
        <w:t>个别财务报表</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或者与其他方一起实施共同控制的，转为权益法核算；不能再对被投资单位实施控制、共同控制或重大影响的，按照《企业 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28"/>
        <w:keepNext w:val="0"/>
        <w:keepLines w:val="0"/>
        <w:widowControl w:val="0"/>
        <w:shd w:val="clear" w:color="auto" w:fill="auto"/>
        <w:tabs>
          <w:tab w:pos="706" w:val="left"/>
        </w:tabs>
        <w:bidi w:val="0"/>
        <w:spacing w:before="0" w:after="180" w:line="390" w:lineRule="exact"/>
        <w:ind w:left="0" w:right="0" w:firstLine="380"/>
        <w:jc w:val="both"/>
      </w:pPr>
      <w:bookmarkStart w:id="908" w:name="bookmark908"/>
      <w:r>
        <w:rPr>
          <w:rFonts w:ascii="Times New Roman" w:eastAsia="Times New Roman" w:hAnsi="Times New Roman" w:cs="Times New Roman"/>
          <w:color w:val="000000"/>
          <w:spacing w:val="0"/>
          <w:w w:val="100"/>
          <w:position w:val="0"/>
          <w:sz w:val="18"/>
          <w:szCs w:val="18"/>
        </w:rPr>
        <w:t>2</w:t>
      </w:r>
      <w:bookmarkEnd w:id="908"/>
      <w:r>
        <w:rPr>
          <w:color w:val="000000"/>
          <w:spacing w:val="0"/>
          <w:w w:val="100"/>
          <w:position w:val="0"/>
        </w:rPr>
        <w:t>）</w:t>
        <w:tab/>
        <w:t>合并财务报表</w:t>
      </w:r>
    </w:p>
    <w:p>
      <w:pPr>
        <w:pStyle w:val="Style28"/>
        <w:keepNext w:val="0"/>
        <w:keepLines w:val="0"/>
        <w:widowControl w:val="0"/>
        <w:numPr>
          <w:ilvl w:val="0"/>
          <w:numId w:val="27"/>
        </w:numPr>
        <w:shd w:val="clear" w:color="auto" w:fill="auto"/>
        <w:tabs>
          <w:tab w:pos="677" w:val="left"/>
        </w:tabs>
        <w:bidi w:val="0"/>
        <w:spacing w:before="0" w:after="0" w:line="451" w:lineRule="auto"/>
        <w:ind w:left="0" w:right="0" w:firstLine="380"/>
        <w:jc w:val="left"/>
      </w:pPr>
      <w:bookmarkStart w:id="909" w:name="bookmark909"/>
      <w:bookmarkEnd w:id="909"/>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8"/>
        <w:keepNext w:val="0"/>
        <w:keepLines w:val="0"/>
        <w:widowControl w:val="0"/>
        <w:shd w:val="clear" w:color="auto" w:fill="auto"/>
        <w:bidi w:val="0"/>
        <w:spacing w:before="0" w:after="0" w:line="390" w:lineRule="exact"/>
        <w:ind w:left="0" w:right="0" w:firstLine="380"/>
        <w:jc w:val="left"/>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28"/>
        <w:keepNext w:val="0"/>
        <w:keepLines w:val="0"/>
        <w:widowControl w:val="0"/>
        <w:shd w:val="clear" w:color="auto" w:fill="auto"/>
        <w:bidi w:val="0"/>
        <w:spacing w:before="0" w:after="180" w:line="390" w:lineRule="exact"/>
        <w:ind w:left="0" w:right="0" w:firstLine="380"/>
        <w:jc w:val="left"/>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余股权公允价值之和，减去按原持股比例计算应享有原有子公司自购买日或合并日开始持续计算的净资产的份额之间的差额， 计入丧失控制权当期的投资收益，同时冲减商誉。与原有子公司股权投资相关的其他综合收益等，应当在丧失控制权时转为 当期投资收益。</w:t>
      </w:r>
    </w:p>
    <w:p>
      <w:pPr>
        <w:pStyle w:val="Style28"/>
        <w:keepNext w:val="0"/>
        <w:keepLines w:val="0"/>
        <w:widowControl w:val="0"/>
        <w:numPr>
          <w:ilvl w:val="0"/>
          <w:numId w:val="27"/>
        </w:numPr>
        <w:shd w:val="clear" w:color="auto" w:fill="auto"/>
        <w:tabs>
          <w:tab w:pos="677" w:val="left"/>
        </w:tabs>
        <w:bidi w:val="0"/>
        <w:spacing w:before="0" w:after="0" w:line="451" w:lineRule="auto"/>
        <w:ind w:left="0" w:right="0" w:firstLine="380"/>
        <w:jc w:val="left"/>
      </w:pPr>
      <w:bookmarkStart w:id="910" w:name="bookmark910"/>
      <w:bookmarkEnd w:id="910"/>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8"/>
        <w:keepNext w:val="0"/>
        <w:keepLines w:val="0"/>
        <w:widowControl w:val="0"/>
        <w:shd w:val="clear" w:color="auto" w:fill="auto"/>
        <w:bidi w:val="0"/>
        <w:spacing w:before="0" w:after="0" w:line="390" w:lineRule="exact"/>
        <w:ind w:left="0" w:right="0" w:firstLine="380"/>
        <w:jc w:val="left"/>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31"/>
        <w:keepNext/>
        <w:keepLines/>
        <w:widowControl w:val="0"/>
        <w:shd w:val="clear" w:color="auto" w:fill="auto"/>
        <w:tabs>
          <w:tab w:pos="474" w:val="left"/>
        </w:tabs>
        <w:bidi w:val="0"/>
        <w:spacing w:before="0" w:after="24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9</w:t>
      </w:r>
      <w:r>
        <w:rPr>
          <w:color w:val="000000"/>
          <w:spacing w:val="0"/>
          <w:w w:val="100"/>
          <w:position w:val="0"/>
        </w:rPr>
        <w:t>、</w:t>
        <w:tab/>
        <w:t>投资性房地产</w:t>
      </w:r>
      <w:bookmarkEnd w:id="911"/>
      <w:bookmarkEnd w:id="912"/>
      <w:bookmarkEnd w:id="914"/>
    </w:p>
    <w:p>
      <w:pPr>
        <w:pStyle w:val="Style28"/>
        <w:keepNext w:val="0"/>
        <w:keepLines w:val="0"/>
        <w:widowControl w:val="0"/>
        <w:shd w:val="clear" w:color="auto" w:fill="auto"/>
        <w:bidi w:val="0"/>
        <w:spacing w:before="0" w:after="0" w:line="398" w:lineRule="exact"/>
        <w:ind w:left="0" w:right="0" w:firstLine="38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98" w:lineRule="exact"/>
        <w:ind w:left="0" w:right="0" w:firstLine="380"/>
        <w:jc w:val="both"/>
      </w:pPr>
      <w:r>
        <w:rPr>
          <w:color w:val="000000"/>
          <w:spacing w:val="0"/>
          <w:w w:val="100"/>
          <w:position w:val="0"/>
        </w:rPr>
        <w:t>成本法计量</w:t>
      </w:r>
    </w:p>
    <w:p>
      <w:pPr>
        <w:pStyle w:val="Style28"/>
        <w:keepNext w:val="0"/>
        <w:keepLines w:val="0"/>
        <w:widowControl w:val="0"/>
        <w:shd w:val="clear" w:color="auto" w:fill="auto"/>
        <w:bidi w:val="0"/>
        <w:spacing w:before="0" w:after="0" w:line="398" w:lineRule="exact"/>
        <w:ind w:left="0" w:right="0" w:firstLine="380"/>
        <w:jc w:val="both"/>
      </w:pPr>
      <w:r>
        <w:rPr>
          <w:color w:val="000000"/>
          <w:spacing w:val="0"/>
          <w:w w:val="100"/>
          <w:position w:val="0"/>
        </w:rPr>
        <w:t>折旧或摊销方法</w:t>
      </w:r>
    </w:p>
    <w:p>
      <w:pPr>
        <w:pStyle w:val="Style28"/>
        <w:keepNext w:val="0"/>
        <w:keepLines w:val="0"/>
        <w:widowControl w:val="0"/>
        <w:shd w:val="clear" w:color="auto" w:fill="auto"/>
        <w:tabs>
          <w:tab w:pos="825" w:val="left"/>
        </w:tabs>
        <w:bidi w:val="0"/>
        <w:spacing w:before="0" w:after="0" w:line="398" w:lineRule="exact"/>
        <w:ind w:left="0" w:right="0" w:firstLine="38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投资性房地产包括已出租的土地使用权、持有并准备增值后转让的土地使用权和已出租的建筑物。</w:t>
      </w:r>
    </w:p>
    <w:p>
      <w:pPr>
        <w:pStyle w:val="Style28"/>
        <w:keepNext w:val="0"/>
        <w:keepLines w:val="0"/>
        <w:widowControl w:val="0"/>
        <w:shd w:val="clear" w:color="auto" w:fill="auto"/>
        <w:tabs>
          <w:tab w:pos="901" w:val="left"/>
        </w:tabs>
        <w:bidi w:val="0"/>
        <w:spacing w:before="0" w:after="420" w:line="398" w:lineRule="exact"/>
        <w:ind w:left="0" w:right="0" w:firstLine="38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投资性房地产按照成本进行初始计量，采用成本模式进行后续计量，并采用与固定资产和无形资产相同的方法计 提折旧或进行摊销。</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0</w:t>
      </w:r>
      <w:r>
        <w:rPr>
          <w:color w:val="000000"/>
          <w:spacing w:val="0"/>
          <w:w w:val="100"/>
          <w:position w:val="0"/>
        </w:rPr>
        <w:t>、</w:t>
        <w:tab/>
        <w:t>固定资产</w:t>
      </w:r>
      <w:bookmarkEnd w:id="917"/>
      <w:bookmarkEnd w:id="918"/>
      <w:bookmarkEnd w:id="920"/>
    </w:p>
    <w:p>
      <w:pPr>
        <w:pStyle w:val="Style42"/>
        <w:keepNext/>
        <w:keepLines/>
        <w:widowControl w:val="0"/>
        <w:shd w:val="clear" w:color="auto" w:fill="auto"/>
        <w:bidi w:val="0"/>
        <w:spacing w:before="0" w:after="240" w:line="240" w:lineRule="auto"/>
        <w:ind w:left="0" w:right="0" w:firstLine="0"/>
        <w:jc w:val="both"/>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1"/>
      <w:bookmarkEnd w:id="922"/>
      <w:bookmarkEnd w:id="924"/>
    </w:p>
    <w:p>
      <w:pPr>
        <w:pStyle w:val="Style28"/>
        <w:keepNext w:val="0"/>
        <w:keepLines w:val="0"/>
        <w:widowControl w:val="0"/>
        <w:shd w:val="clear" w:color="auto" w:fill="auto"/>
        <w:bidi w:val="0"/>
        <w:spacing w:before="0" w:after="420" w:line="384" w:lineRule="exact"/>
        <w:ind w:left="0" w:right="0" w:firstLine="38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42"/>
        <w:keepNext/>
        <w:keepLines/>
        <w:widowControl w:val="0"/>
        <w:shd w:val="clear" w:color="auto" w:fill="auto"/>
        <w:bidi w:val="0"/>
        <w:spacing w:before="0" w:after="34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5"/>
      <w:bookmarkEnd w:id="926"/>
      <w:bookmarkEnd w:id="92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39" w:line="1" w:lineRule="exact"/>
      </w:pPr>
    </w:p>
    <w:p>
      <w:pPr>
        <w:pStyle w:val="Style42"/>
        <w:keepNext/>
        <w:keepLines/>
        <w:widowControl w:val="0"/>
        <w:shd w:val="clear" w:color="auto" w:fill="auto"/>
        <w:bidi w:val="0"/>
        <w:spacing w:before="0" w:after="24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9"/>
      <w:bookmarkEnd w:id="930"/>
      <w:bookmarkEnd w:id="932"/>
    </w:p>
    <w:p>
      <w:pPr>
        <w:pStyle w:val="Style28"/>
        <w:keepNext w:val="0"/>
        <w:keepLines w:val="0"/>
        <w:widowControl w:val="0"/>
        <w:shd w:val="clear" w:color="auto" w:fill="auto"/>
        <w:bidi w:val="0"/>
        <w:spacing w:before="0" w:after="420" w:line="396" w:lineRule="exact"/>
        <w:ind w:left="0" w:right="0" w:firstLine="38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24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933"/>
      <w:bookmarkEnd w:id="934"/>
      <w:bookmarkEnd w:id="936"/>
    </w:p>
    <w:p>
      <w:pPr>
        <w:pStyle w:val="Style28"/>
        <w:keepNext w:val="0"/>
        <w:keepLines w:val="0"/>
        <w:widowControl w:val="0"/>
        <w:shd w:val="clear" w:color="auto" w:fill="auto"/>
        <w:tabs>
          <w:tab w:pos="901" w:val="left"/>
        </w:tabs>
        <w:bidi w:val="0"/>
        <w:spacing w:before="0" w:after="0" w:line="389" w:lineRule="exact"/>
        <w:ind w:left="0" w:right="0" w:firstLine="38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在建工程同时满足经济利益很可能流入、成本能够可靠计量则予以确认。在建工程按建造该项资产达到预定可使 用状态前所发生的实际成本计量。</w:t>
      </w:r>
    </w:p>
    <w:p>
      <w:pPr>
        <w:pStyle w:val="Style28"/>
        <w:keepNext w:val="0"/>
        <w:keepLines w:val="0"/>
        <w:widowControl w:val="0"/>
        <w:shd w:val="clear" w:color="auto" w:fill="auto"/>
        <w:tabs>
          <w:tab w:pos="901" w:val="left"/>
        </w:tabs>
        <w:bidi w:val="0"/>
        <w:spacing w:before="0" w:after="420" w:line="403" w:lineRule="exact"/>
        <w:ind w:left="0" w:right="0" w:firstLine="38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31"/>
        <w:keepNext/>
        <w:keepLines/>
        <w:widowControl w:val="0"/>
        <w:shd w:val="clear" w:color="auto" w:fill="auto"/>
        <w:tabs>
          <w:tab w:pos="483" w:val="left"/>
        </w:tabs>
        <w:bidi w:val="0"/>
        <w:spacing w:before="0" w:after="24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2</w:t>
      </w:r>
      <w:r>
        <w:rPr>
          <w:color w:val="000000"/>
          <w:spacing w:val="0"/>
          <w:w w:val="100"/>
          <w:position w:val="0"/>
        </w:rPr>
        <w:t>、</w:t>
        <w:tab/>
        <w:t>使用权资产</w:t>
      </w:r>
      <w:bookmarkEnd w:id="939"/>
      <w:bookmarkEnd w:id="940"/>
      <w:bookmarkEnd w:id="942"/>
    </w:p>
    <w:p>
      <w:pPr>
        <w:pStyle w:val="Style28"/>
        <w:keepNext w:val="0"/>
        <w:keepLines w:val="0"/>
        <w:widowControl w:val="0"/>
        <w:shd w:val="clear" w:color="auto" w:fill="auto"/>
        <w:bidi w:val="0"/>
        <w:spacing w:before="0" w:after="0" w:line="396" w:lineRule="exact"/>
        <w:ind w:left="0" w:right="0" w:firstLine="380"/>
        <w:jc w:val="both"/>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）在租赁期开始日或之前支付的 </w:t>
      </w:r>
      <w:r>
        <w:rPr>
          <w:color w:val="000000"/>
          <w:spacing w:val="0"/>
          <w:w w:val="100"/>
          <w:position w:val="0"/>
        </w:rPr>
        <w:t>租赁付款额，存在租赁激励的，扣除已享受的租赁激励相关金额；（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）承租人发生的初始直接费用；（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）承租人为拆卸 及移除租赁资产、复原租赁资产所在场地或将租赁资产恢复至租赁条款约定状态预计将发生的成本。</w:t>
      </w:r>
    </w:p>
    <w:p>
      <w:pPr>
        <w:pStyle w:val="Style28"/>
        <w:keepNext w:val="0"/>
        <w:keepLines w:val="0"/>
        <w:widowControl w:val="0"/>
        <w:shd w:val="clear" w:color="auto" w:fill="auto"/>
        <w:bidi w:val="0"/>
        <w:spacing w:before="0" w:after="420" w:line="394" w:lineRule="exact"/>
        <w:ind w:left="0" w:right="0" w:firstLine="380"/>
        <w:jc w:val="both"/>
      </w:pPr>
      <w:r>
        <w:rPr>
          <w:color w:val="000000"/>
          <w:spacing w:val="0"/>
          <w:w w:val="100"/>
          <w:position w:val="0"/>
        </w:rPr>
        <w:t>公司按照直线法对使用权资产计提折旧。能够合理确定租赁期届满时取得租赁资产所有权的，公司在租赁资产剩余使用 寿命内计提折旧。无法合理确定租赁期届满时能够取得租赁资产所有权的，公司在租赁期与租赁资产剩余使用寿命两者孰短 的期间内计提折旧。</w:t>
      </w:r>
    </w:p>
    <w:p>
      <w:pPr>
        <w:pStyle w:val="Style31"/>
        <w:keepNext/>
        <w:keepLines/>
        <w:widowControl w:val="0"/>
        <w:shd w:val="clear" w:color="auto" w:fill="auto"/>
        <w:bidi w:val="0"/>
        <w:spacing w:before="0" w:after="42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43"/>
      <w:bookmarkEnd w:id="944"/>
      <w:bookmarkEnd w:id="946"/>
    </w:p>
    <w:p>
      <w:pPr>
        <w:pStyle w:val="Style42"/>
        <w:keepNext/>
        <w:keepLines/>
        <w:widowControl w:val="0"/>
        <w:shd w:val="clear" w:color="auto" w:fill="auto"/>
        <w:bidi w:val="0"/>
        <w:spacing w:before="0" w:after="22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7"/>
      <w:bookmarkEnd w:id="948"/>
      <w:bookmarkEnd w:id="950"/>
    </w:p>
    <w:p>
      <w:pPr>
        <w:pStyle w:val="Style28"/>
        <w:keepNext w:val="0"/>
        <w:keepLines w:val="0"/>
        <w:widowControl w:val="0"/>
        <w:shd w:val="clear" w:color="auto" w:fill="auto"/>
        <w:tabs>
          <w:tab w:pos="729" w:val="left"/>
        </w:tabs>
        <w:bidi w:val="0"/>
        <w:spacing w:before="0" w:after="0" w:line="398" w:lineRule="exact"/>
        <w:ind w:left="0" w:right="0" w:firstLine="380"/>
        <w:jc w:val="both"/>
      </w:pPr>
      <w:bookmarkStart w:id="951" w:name="bookmark951"/>
      <w:r>
        <w:rPr>
          <w:rFonts w:ascii="Times New Roman" w:eastAsia="Times New Roman" w:hAnsi="Times New Roman" w:cs="Times New Roman"/>
          <w:color w:val="000000"/>
          <w:spacing w:val="0"/>
          <w:w w:val="100"/>
          <w:position w:val="0"/>
          <w:sz w:val="18"/>
          <w:szCs w:val="18"/>
        </w:rPr>
        <w:t>1</w:t>
      </w:r>
      <w:bookmarkEnd w:id="951"/>
      <w:r>
        <w:rPr>
          <w:color w:val="000000"/>
          <w:spacing w:val="0"/>
          <w:w w:val="100"/>
          <w:position w:val="0"/>
        </w:rPr>
        <w:t>）</w:t>
        <w:tab/>
        <w:t>无形资产包括土地使用权、专利权及非专利技术等，按成本进行初始计量。</w:t>
      </w:r>
    </w:p>
    <w:p>
      <w:pPr>
        <w:pStyle w:val="Style28"/>
        <w:keepNext w:val="0"/>
        <w:keepLines w:val="0"/>
        <w:widowControl w:val="0"/>
        <w:shd w:val="clear" w:color="auto" w:fill="auto"/>
        <w:tabs>
          <w:tab w:pos="718" w:val="left"/>
        </w:tabs>
        <w:bidi w:val="0"/>
        <w:spacing w:before="0" w:after="80" w:line="398" w:lineRule="exact"/>
        <w:ind w:left="0" w:right="0" w:firstLine="380"/>
        <w:jc w:val="both"/>
      </w:pPr>
      <w:bookmarkStart w:id="952" w:name="bookmark952"/>
      <w:r>
        <w:rPr>
          <w:rFonts w:ascii="Times New Roman" w:eastAsia="Times New Roman" w:hAnsi="Times New Roman" w:cs="Times New Roman"/>
          <w:color w:val="000000"/>
          <w:spacing w:val="0"/>
          <w:w w:val="100"/>
          <w:position w:val="0"/>
          <w:sz w:val="18"/>
          <w:szCs w:val="18"/>
        </w:rPr>
        <w:t>2</w:t>
      </w:r>
      <w:bookmarkEnd w:id="952"/>
      <w:r>
        <w:rPr>
          <w:color w:val="000000"/>
          <w:spacing w:val="0"/>
          <w:w w:val="100"/>
          <w:position w:val="0"/>
        </w:rPr>
        <w:t>）</w:t>
        <w:tab/>
        <w:t>使用寿命有限的无形资产，在使用寿命内按照与该项无形资产有关的经济利益的预期实现方式系统合理地摊销，无 法可靠确定预期实现方式的，采用直线法摊销。具体年限如下：</w:t>
      </w:r>
    </w:p>
    <w:tbl>
      <w:tblPr>
        <w:tblOverlap w:val="never"/>
        <w:jc w:val="center"/>
        <w:tblLayout w:type="fixed"/>
      </w:tblPr>
      <w:tblGrid>
        <w:gridCol w:w="3374"/>
        <w:gridCol w:w="338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after="319" w:line="1" w:lineRule="exact"/>
      </w:pPr>
    </w:p>
    <w:p>
      <w:pPr>
        <w:pStyle w:val="Style42"/>
        <w:keepNext/>
        <w:keepLines/>
        <w:widowControl w:val="0"/>
        <w:shd w:val="clear" w:color="auto" w:fill="auto"/>
        <w:bidi w:val="0"/>
        <w:spacing w:before="0" w:after="22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3"/>
      <w:bookmarkEnd w:id="954"/>
      <w:bookmarkEnd w:id="956"/>
    </w:p>
    <w:p>
      <w:pPr>
        <w:pStyle w:val="Style28"/>
        <w:keepNext w:val="0"/>
        <w:keepLines w:val="0"/>
        <w:widowControl w:val="0"/>
        <w:shd w:val="clear" w:color="auto" w:fill="auto"/>
        <w:bidi w:val="0"/>
        <w:spacing w:before="0" w:after="0" w:line="398" w:lineRule="exact"/>
        <w:ind w:left="0" w:right="0" w:firstLine="380"/>
        <w:jc w:val="both"/>
      </w:pPr>
      <w:r>
        <w:rPr>
          <w:color w:val="000000"/>
          <w:spacing w:val="0"/>
          <w:w w:val="100"/>
          <w:position w:val="0"/>
        </w:rPr>
        <w:t>内部研究开发项目研究阶段的支出，于发生时计入当期损益。内部研究开发项目开发阶段的支出，同时满足下列条件的， 确认为无形资产：</w:t>
      </w:r>
    </w:p>
    <w:p>
      <w:pPr>
        <w:pStyle w:val="Style28"/>
        <w:keepNext w:val="0"/>
        <w:keepLines w:val="0"/>
        <w:widowControl w:val="0"/>
        <w:shd w:val="clear" w:color="auto" w:fill="auto"/>
        <w:tabs>
          <w:tab w:pos="729" w:val="left"/>
        </w:tabs>
        <w:bidi w:val="0"/>
        <w:spacing w:before="0" w:after="0" w:line="398" w:lineRule="exact"/>
        <w:ind w:left="0" w:right="0" w:firstLine="380"/>
        <w:jc w:val="both"/>
      </w:pPr>
      <w:bookmarkStart w:id="957" w:name="bookmark957"/>
      <w:r>
        <w:rPr>
          <w:rFonts w:ascii="Times New Roman" w:eastAsia="Times New Roman" w:hAnsi="Times New Roman" w:cs="Times New Roman"/>
          <w:color w:val="000000"/>
          <w:spacing w:val="0"/>
          <w:w w:val="100"/>
          <w:position w:val="0"/>
          <w:sz w:val="18"/>
          <w:szCs w:val="18"/>
        </w:rPr>
        <w:t>1</w:t>
      </w:r>
      <w:bookmarkEnd w:id="957"/>
      <w:r>
        <w:rPr>
          <w:color w:val="000000"/>
          <w:spacing w:val="0"/>
          <w:w w:val="100"/>
          <w:position w:val="0"/>
        </w:rPr>
        <w:t>）</w:t>
        <w:tab/>
        <w:t>完成该无形资产以使其能够使用或出售在技术上具有可行性；</w:t>
      </w:r>
    </w:p>
    <w:p>
      <w:pPr>
        <w:pStyle w:val="Style28"/>
        <w:keepNext w:val="0"/>
        <w:keepLines w:val="0"/>
        <w:widowControl w:val="0"/>
        <w:shd w:val="clear" w:color="auto" w:fill="auto"/>
        <w:tabs>
          <w:tab w:pos="748" w:val="left"/>
        </w:tabs>
        <w:bidi w:val="0"/>
        <w:spacing w:before="0" w:after="0" w:line="398" w:lineRule="exact"/>
        <w:ind w:left="0" w:right="0" w:firstLine="380"/>
        <w:jc w:val="both"/>
      </w:pPr>
      <w:bookmarkStart w:id="958" w:name="bookmark958"/>
      <w:r>
        <w:rPr>
          <w:rFonts w:ascii="Times New Roman" w:eastAsia="Times New Roman" w:hAnsi="Times New Roman" w:cs="Times New Roman"/>
          <w:color w:val="000000"/>
          <w:spacing w:val="0"/>
          <w:w w:val="100"/>
          <w:position w:val="0"/>
          <w:sz w:val="18"/>
          <w:szCs w:val="18"/>
        </w:rPr>
        <w:t>2</w:t>
      </w:r>
      <w:bookmarkEnd w:id="958"/>
      <w:r>
        <w:rPr>
          <w:color w:val="000000"/>
          <w:spacing w:val="0"/>
          <w:w w:val="100"/>
          <w:position w:val="0"/>
        </w:rPr>
        <w:t>）</w:t>
        <w:tab/>
        <w:t>具有完成该无形资产并使用或出售的意图；</w:t>
      </w:r>
    </w:p>
    <w:p>
      <w:pPr>
        <w:pStyle w:val="Style28"/>
        <w:keepNext w:val="0"/>
        <w:keepLines w:val="0"/>
        <w:widowControl w:val="0"/>
        <w:shd w:val="clear" w:color="auto" w:fill="auto"/>
        <w:tabs>
          <w:tab w:pos="723" w:val="left"/>
        </w:tabs>
        <w:bidi w:val="0"/>
        <w:spacing w:before="0" w:after="0" w:line="398" w:lineRule="exact"/>
        <w:ind w:left="0" w:right="0" w:firstLine="380"/>
        <w:jc w:val="both"/>
      </w:pPr>
      <w:bookmarkStart w:id="959" w:name="bookmark959"/>
      <w:r>
        <w:rPr>
          <w:rFonts w:ascii="Times New Roman" w:eastAsia="Times New Roman" w:hAnsi="Times New Roman" w:cs="Times New Roman"/>
          <w:color w:val="000000"/>
          <w:spacing w:val="0"/>
          <w:w w:val="100"/>
          <w:position w:val="0"/>
          <w:sz w:val="18"/>
          <w:szCs w:val="18"/>
        </w:rPr>
        <w:t>3</w:t>
      </w:r>
      <w:bookmarkEnd w:id="959"/>
      <w:r>
        <w:rPr>
          <w:color w:val="000000"/>
          <w:spacing w:val="0"/>
          <w:w w:val="100"/>
          <w:position w:val="0"/>
        </w:rPr>
        <w:t>）</w:t>
        <w:tab/>
        <w:t>无形资产产生经济利益的方式，包括能够证明运用该无形资产生产的产品存在市场或无形资产自身存在市场，无形 资产将在内部使用的，能证明其有用性；</w:t>
      </w:r>
    </w:p>
    <w:p>
      <w:pPr>
        <w:pStyle w:val="Style28"/>
        <w:keepNext w:val="0"/>
        <w:keepLines w:val="0"/>
        <w:widowControl w:val="0"/>
        <w:shd w:val="clear" w:color="auto" w:fill="auto"/>
        <w:tabs>
          <w:tab w:pos="748" w:val="left"/>
        </w:tabs>
        <w:bidi w:val="0"/>
        <w:spacing w:before="0" w:after="0" w:line="398" w:lineRule="exact"/>
        <w:ind w:left="0" w:right="0" w:firstLine="380"/>
        <w:jc w:val="both"/>
      </w:pPr>
      <w:bookmarkStart w:id="960" w:name="bookmark960"/>
      <w:r>
        <w:rPr>
          <w:rFonts w:ascii="Times New Roman" w:eastAsia="Times New Roman" w:hAnsi="Times New Roman" w:cs="Times New Roman"/>
          <w:color w:val="000000"/>
          <w:spacing w:val="0"/>
          <w:w w:val="100"/>
          <w:position w:val="0"/>
          <w:sz w:val="18"/>
          <w:szCs w:val="18"/>
        </w:rPr>
        <w:t>4</w:t>
      </w:r>
      <w:bookmarkEnd w:id="960"/>
      <w:r>
        <w:rPr>
          <w:color w:val="000000"/>
          <w:spacing w:val="0"/>
          <w:w w:val="100"/>
          <w:position w:val="0"/>
        </w:rPr>
        <w:t>）</w:t>
        <w:tab/>
        <w:t>有足够的技术、财务资源和其他资源支持，以完成该无形资产的开发，并有能力使用或出售该无形资产；</w:t>
      </w:r>
    </w:p>
    <w:p>
      <w:pPr>
        <w:pStyle w:val="Style28"/>
        <w:keepNext w:val="0"/>
        <w:keepLines w:val="0"/>
        <w:widowControl w:val="0"/>
        <w:shd w:val="clear" w:color="auto" w:fill="auto"/>
        <w:tabs>
          <w:tab w:pos="748" w:val="left"/>
        </w:tabs>
        <w:bidi w:val="0"/>
        <w:spacing w:before="0" w:after="420" w:line="398" w:lineRule="exact"/>
        <w:ind w:left="0" w:right="0" w:firstLine="380"/>
        <w:jc w:val="both"/>
      </w:pPr>
      <w:bookmarkStart w:id="961" w:name="bookmark961"/>
      <w:r>
        <w:rPr>
          <w:rFonts w:ascii="Times New Roman" w:eastAsia="Times New Roman" w:hAnsi="Times New Roman" w:cs="Times New Roman"/>
          <w:color w:val="000000"/>
          <w:spacing w:val="0"/>
          <w:w w:val="100"/>
          <w:position w:val="0"/>
          <w:sz w:val="18"/>
          <w:szCs w:val="18"/>
        </w:rPr>
        <w:t>5</w:t>
      </w:r>
      <w:bookmarkEnd w:id="961"/>
      <w:r>
        <w:rPr>
          <w:color w:val="000000"/>
          <w:spacing w:val="0"/>
          <w:w w:val="100"/>
          <w:position w:val="0"/>
        </w:rPr>
        <w:t>）</w:t>
        <w:tab/>
        <w:t>归属于该无形资产开发阶段的支出能够可靠地计量。</w:t>
      </w:r>
    </w:p>
    <w:p>
      <w:pPr>
        <w:pStyle w:val="Style31"/>
        <w:keepNext/>
        <w:keepLines/>
        <w:widowControl w:val="0"/>
        <w:shd w:val="clear" w:color="auto" w:fill="auto"/>
        <w:tabs>
          <w:tab w:pos="483" w:val="left"/>
        </w:tabs>
        <w:bidi w:val="0"/>
        <w:spacing w:before="0" w:after="22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962"/>
      <w:bookmarkEnd w:id="963"/>
      <w:bookmarkEnd w:id="965"/>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对长期股权投资、采用成本模式计量的投资性房地产、固定资产、在建工程、使用权资产、使用寿命有限的无形资产等 长期资产，在资产负债表日有迹象表明发生减值的，估计其可收回金额。对因企业合并所形成的商誉和使用寿命不确定的无 形资产，无论是否存在减值迹象，每年都进行减值测试。商誉结合与其相关的资产组或者资产组组合进行减值测试。</w:t>
      </w:r>
    </w:p>
    <w:p>
      <w:pPr>
        <w:pStyle w:val="Style28"/>
        <w:keepNext w:val="0"/>
        <w:keepLines w:val="0"/>
        <w:widowControl w:val="0"/>
        <w:shd w:val="clear" w:color="auto" w:fill="auto"/>
        <w:bidi w:val="0"/>
        <w:spacing w:before="0" w:after="420" w:line="391" w:lineRule="exact"/>
        <w:ind w:left="0" w:right="0" w:firstLine="380"/>
        <w:jc w:val="both"/>
      </w:pPr>
      <w:r>
        <w:rPr>
          <w:color w:val="000000"/>
          <w:spacing w:val="0"/>
          <w:w w:val="100"/>
          <w:position w:val="0"/>
        </w:rPr>
        <w:t>若上述长期资产的可收回金额低于其账面价值的，按其差额确认资产减值准备并计入当期损益。</w:t>
      </w:r>
    </w:p>
    <w:p>
      <w:pPr>
        <w:pStyle w:val="Style31"/>
        <w:keepNext/>
        <w:keepLines/>
        <w:widowControl w:val="0"/>
        <w:shd w:val="clear" w:color="auto" w:fill="auto"/>
        <w:tabs>
          <w:tab w:pos="483" w:val="left"/>
        </w:tabs>
        <w:bidi w:val="0"/>
        <w:spacing w:before="0" w:after="22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966"/>
      <w:bookmarkEnd w:id="967"/>
      <w:bookmarkEnd w:id="969"/>
    </w:p>
    <w:p>
      <w:pPr>
        <w:pStyle w:val="Style28"/>
        <w:keepNext w:val="0"/>
        <w:keepLines w:val="0"/>
        <w:widowControl w:val="0"/>
        <w:shd w:val="clear" w:color="auto" w:fill="auto"/>
        <w:bidi w:val="0"/>
        <w:spacing w:before="0" w:after="420" w:line="394" w:lineRule="exact"/>
        <w:ind w:left="0" w:right="0" w:firstLine="38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年）的各项费用。长期待摊费用按实际发生额入账，在受益期 或规定的期限内分期平均摊销。如果长期待摊的费用项目不能使以后会计期间受益则将尚未摊销的该项目的摊余价值全部转 </w:t>
      </w:r>
      <w:r>
        <w:rPr>
          <w:color w:val="000000"/>
          <w:spacing w:val="0"/>
          <w:w w:val="100"/>
          <w:position w:val="0"/>
        </w:rPr>
        <w:t>入当期损益。</w:t>
      </w:r>
    </w:p>
    <w:p>
      <w:pPr>
        <w:pStyle w:val="Style31"/>
        <w:keepNext/>
        <w:keepLines/>
        <w:widowControl w:val="0"/>
        <w:shd w:val="clear" w:color="auto" w:fill="auto"/>
        <w:tabs>
          <w:tab w:pos="483" w:val="left"/>
        </w:tabs>
        <w:bidi w:val="0"/>
        <w:spacing w:before="0" w:after="24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970"/>
      <w:bookmarkEnd w:id="971"/>
      <w:bookmarkEnd w:id="973"/>
    </w:p>
    <w:p>
      <w:pPr>
        <w:pStyle w:val="Style28"/>
        <w:keepNext w:val="0"/>
        <w:keepLines w:val="0"/>
        <w:widowControl w:val="0"/>
        <w:shd w:val="clear" w:color="auto" w:fill="auto"/>
        <w:bidi w:val="0"/>
        <w:spacing w:before="0" w:after="420" w:line="393" w:lineRule="exact"/>
        <w:ind w:left="0" w:right="0" w:firstLine="380"/>
        <w:jc w:val="both"/>
      </w:pPr>
      <w:r>
        <w:rPr>
          <w:color w:val="000000"/>
          <w:spacing w:val="0"/>
          <w:w w:val="100"/>
          <w:position w:val="0"/>
        </w:rPr>
        <w:t>公司将已收或应收客户对价而应向客户转让商品的义务作为合同负债列示。</w:t>
      </w:r>
    </w:p>
    <w:p>
      <w:pPr>
        <w:pStyle w:val="Style31"/>
        <w:keepNext/>
        <w:keepLines/>
        <w:widowControl w:val="0"/>
        <w:shd w:val="clear" w:color="auto" w:fill="auto"/>
        <w:tabs>
          <w:tab w:pos="483" w:val="left"/>
        </w:tabs>
        <w:bidi w:val="0"/>
        <w:spacing w:before="0" w:after="38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974"/>
      <w:bookmarkEnd w:id="975"/>
      <w:bookmarkEnd w:id="977"/>
    </w:p>
    <w:p>
      <w:pPr>
        <w:pStyle w:val="Style42"/>
        <w:keepNext/>
        <w:keepLines/>
        <w:widowControl w:val="0"/>
        <w:shd w:val="clear" w:color="auto" w:fill="auto"/>
        <w:tabs>
          <w:tab w:pos="493" w:val="left"/>
        </w:tabs>
        <w:bidi w:val="0"/>
        <w:spacing w:before="0" w:after="24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8"/>
      <w:bookmarkEnd w:id="979"/>
      <w:bookmarkEnd w:id="981"/>
    </w:p>
    <w:p>
      <w:pPr>
        <w:pStyle w:val="Style28"/>
        <w:keepNext w:val="0"/>
        <w:keepLines w:val="0"/>
        <w:widowControl w:val="0"/>
        <w:shd w:val="clear" w:color="auto" w:fill="auto"/>
        <w:bidi w:val="0"/>
        <w:spacing w:before="0" w:after="420" w:line="393" w:lineRule="exact"/>
        <w:ind w:left="0" w:right="0" w:firstLine="380"/>
        <w:jc w:val="both"/>
      </w:pPr>
      <w:r>
        <w:rPr>
          <w:color w:val="000000"/>
          <w:spacing w:val="0"/>
          <w:w w:val="100"/>
          <w:position w:val="0"/>
        </w:rPr>
        <w:t>在职工为公司提供服务的会计期间，将实际发生的短期薪酬确认为负债，并计入当期损益或相关资产成本。</w:t>
      </w:r>
    </w:p>
    <w:p>
      <w:pPr>
        <w:pStyle w:val="Style42"/>
        <w:keepNext/>
        <w:keepLines/>
        <w:widowControl w:val="0"/>
        <w:shd w:val="clear" w:color="auto" w:fill="auto"/>
        <w:tabs>
          <w:tab w:pos="493" w:val="left"/>
        </w:tabs>
        <w:bidi w:val="0"/>
        <w:spacing w:before="0" w:after="24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2"/>
      <w:bookmarkEnd w:id="983"/>
      <w:bookmarkEnd w:id="985"/>
    </w:p>
    <w:p>
      <w:pPr>
        <w:pStyle w:val="Style28"/>
        <w:keepNext w:val="0"/>
        <w:keepLines w:val="0"/>
        <w:widowControl w:val="0"/>
        <w:shd w:val="clear" w:color="auto" w:fill="auto"/>
        <w:bidi w:val="0"/>
        <w:spacing w:before="0" w:after="0" w:line="393" w:lineRule="exact"/>
        <w:ind w:left="0" w:right="0" w:firstLine="380"/>
        <w:jc w:val="left"/>
      </w:pPr>
      <w:r>
        <w:rPr>
          <w:color w:val="000000"/>
          <w:spacing w:val="0"/>
          <w:w w:val="100"/>
          <w:position w:val="0"/>
        </w:rPr>
        <w:t>离职后福利分为设定提存计划和设定受益计划。</w:t>
      </w:r>
    </w:p>
    <w:p>
      <w:pPr>
        <w:pStyle w:val="Style28"/>
        <w:keepNext w:val="0"/>
        <w:keepLines w:val="0"/>
        <w:widowControl w:val="0"/>
        <w:shd w:val="clear" w:color="auto" w:fill="auto"/>
        <w:tabs>
          <w:tab w:pos="718" w:val="left"/>
        </w:tabs>
        <w:bidi w:val="0"/>
        <w:spacing w:before="0" w:after="0" w:line="393" w:lineRule="exact"/>
        <w:ind w:left="0" w:right="0" w:firstLine="380"/>
        <w:jc w:val="left"/>
      </w:pPr>
      <w:bookmarkStart w:id="986" w:name="bookmark986"/>
      <w:r>
        <w:rPr>
          <w:rFonts w:ascii="Times New Roman" w:eastAsia="Times New Roman" w:hAnsi="Times New Roman" w:cs="Times New Roman"/>
          <w:color w:val="000000"/>
          <w:spacing w:val="0"/>
          <w:w w:val="100"/>
          <w:position w:val="0"/>
          <w:sz w:val="18"/>
          <w:szCs w:val="18"/>
        </w:rPr>
        <w:t>1</w:t>
      </w:r>
      <w:bookmarkEnd w:id="986"/>
      <w:r>
        <w:rPr>
          <w:color w:val="000000"/>
          <w:spacing w:val="0"/>
          <w:w w:val="100"/>
          <w:position w:val="0"/>
        </w:rPr>
        <w:t>）</w:t>
        <w:tab/>
        <w:t>在职工为公司提供服务的会计期间，根据设定提存计划计算的应缴存金额确认为负债，并计入当期损益或相关资产 成本。</w:t>
      </w:r>
    </w:p>
    <w:p>
      <w:pPr>
        <w:pStyle w:val="Style28"/>
        <w:keepNext w:val="0"/>
        <w:keepLines w:val="0"/>
        <w:widowControl w:val="0"/>
        <w:shd w:val="clear" w:color="auto" w:fill="auto"/>
        <w:tabs>
          <w:tab w:pos="748" w:val="left"/>
        </w:tabs>
        <w:bidi w:val="0"/>
        <w:spacing w:before="0" w:after="0" w:line="393" w:lineRule="exact"/>
        <w:ind w:left="0" w:right="0" w:firstLine="380"/>
        <w:jc w:val="left"/>
      </w:pPr>
      <w:bookmarkStart w:id="987" w:name="bookmark987"/>
      <w:r>
        <w:rPr>
          <w:rFonts w:ascii="Times New Roman" w:eastAsia="Times New Roman" w:hAnsi="Times New Roman" w:cs="Times New Roman"/>
          <w:color w:val="000000"/>
          <w:spacing w:val="0"/>
          <w:w w:val="100"/>
          <w:position w:val="0"/>
          <w:sz w:val="18"/>
          <w:szCs w:val="18"/>
        </w:rPr>
        <w:t>2</w:t>
      </w:r>
      <w:bookmarkEnd w:id="987"/>
      <w:r>
        <w:rPr>
          <w:color w:val="000000"/>
          <w:spacing w:val="0"/>
          <w:w w:val="100"/>
          <w:position w:val="0"/>
        </w:rPr>
        <w:t>）</w:t>
        <w:tab/>
        <w:t>对设定受益计划的会计处理通常包括下列步骤：</w:t>
      </w:r>
    </w:p>
    <w:p>
      <w:pPr>
        <w:pStyle w:val="Style28"/>
        <w:keepNext w:val="0"/>
        <w:keepLines w:val="0"/>
        <w:widowControl w:val="0"/>
        <w:numPr>
          <w:ilvl w:val="0"/>
          <w:numId w:val="29"/>
        </w:numPr>
        <w:shd w:val="clear" w:color="auto" w:fill="auto"/>
        <w:tabs>
          <w:tab w:pos="661" w:val="left"/>
        </w:tabs>
        <w:bidi w:val="0"/>
        <w:spacing w:before="0" w:after="0" w:line="393" w:lineRule="exact"/>
        <w:ind w:left="0" w:right="0" w:firstLine="380"/>
        <w:jc w:val="left"/>
      </w:pPr>
      <w:bookmarkStart w:id="988" w:name="bookmark988"/>
      <w:bookmarkEnd w:id="988"/>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8"/>
        <w:keepNext w:val="0"/>
        <w:keepLines w:val="0"/>
        <w:widowControl w:val="0"/>
        <w:numPr>
          <w:ilvl w:val="0"/>
          <w:numId w:val="29"/>
        </w:numPr>
        <w:shd w:val="clear" w:color="auto" w:fill="auto"/>
        <w:tabs>
          <w:tab w:pos="687" w:val="left"/>
        </w:tabs>
        <w:bidi w:val="0"/>
        <w:spacing w:before="0" w:after="0" w:line="393" w:lineRule="exact"/>
        <w:ind w:left="0" w:right="0" w:firstLine="380"/>
        <w:jc w:val="left"/>
      </w:pPr>
      <w:bookmarkStart w:id="989" w:name="bookmark989"/>
      <w:bookmarkEnd w:id="989"/>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28"/>
        <w:keepNext w:val="0"/>
        <w:keepLines w:val="0"/>
        <w:widowControl w:val="0"/>
        <w:numPr>
          <w:ilvl w:val="0"/>
          <w:numId w:val="29"/>
        </w:numPr>
        <w:shd w:val="clear" w:color="auto" w:fill="auto"/>
        <w:tabs>
          <w:tab w:pos="675" w:val="left"/>
        </w:tabs>
        <w:bidi w:val="0"/>
        <w:spacing w:before="0" w:after="420" w:line="393" w:lineRule="exact"/>
        <w:ind w:left="0" w:right="0" w:firstLine="380"/>
        <w:jc w:val="left"/>
      </w:pPr>
      <w:bookmarkStart w:id="990" w:name="bookmark990"/>
      <w:bookmarkEnd w:id="990"/>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42"/>
        <w:keepNext/>
        <w:keepLines/>
        <w:widowControl w:val="0"/>
        <w:shd w:val="clear" w:color="auto" w:fill="auto"/>
        <w:tabs>
          <w:tab w:pos="493" w:val="left"/>
        </w:tabs>
        <w:bidi w:val="0"/>
        <w:spacing w:before="0" w:after="24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91"/>
      <w:bookmarkEnd w:id="992"/>
      <w:bookmarkEnd w:id="994"/>
    </w:p>
    <w:p>
      <w:pPr>
        <w:pStyle w:val="Style28"/>
        <w:keepNext w:val="0"/>
        <w:keepLines w:val="0"/>
        <w:widowControl w:val="0"/>
        <w:shd w:val="clear" w:color="auto" w:fill="auto"/>
        <w:bidi w:val="0"/>
        <w:spacing w:before="0" w:after="420" w:line="386" w:lineRule="exact"/>
        <w:ind w:left="0" w:right="0" w:firstLine="380"/>
        <w:jc w:val="both"/>
      </w:pPr>
      <w:r>
        <w:rPr>
          <w:color w:val="000000"/>
          <w:spacing w:val="0"/>
          <w:w w:val="100"/>
          <w:position w:val="0"/>
        </w:rPr>
        <w:t>向职工提供的辞退福利，在下列两者孰早日确认辞退福利产生的职工薪酬负债，并计入当期损益：（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）公司不能单方 面撤回因解除劳动关系计划或裁减建议所提供的辞退福利时；（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 时。</w:t>
      </w:r>
    </w:p>
    <w:p>
      <w:pPr>
        <w:pStyle w:val="Style42"/>
        <w:keepNext/>
        <w:keepLines/>
        <w:widowControl w:val="0"/>
        <w:shd w:val="clear" w:color="auto" w:fill="auto"/>
        <w:tabs>
          <w:tab w:pos="493" w:val="left"/>
        </w:tabs>
        <w:bidi w:val="0"/>
        <w:spacing w:before="0" w:after="24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95"/>
      <w:bookmarkEnd w:id="996"/>
      <w:bookmarkEnd w:id="998"/>
    </w:p>
    <w:p>
      <w:pPr>
        <w:pStyle w:val="Style28"/>
        <w:keepNext w:val="0"/>
        <w:keepLines w:val="0"/>
        <w:widowControl w:val="0"/>
        <w:shd w:val="clear" w:color="auto" w:fill="auto"/>
        <w:bidi w:val="0"/>
        <w:spacing w:before="0" w:after="440" w:line="398" w:lineRule="exact"/>
        <w:ind w:left="0" w:right="0" w:firstLine="380"/>
        <w:jc w:val="left"/>
      </w:pPr>
      <w:r>
        <w:rPr>
          <w:color w:val="000000"/>
          <w:spacing w:val="0"/>
          <w:w w:val="100"/>
          <w:position w:val="0"/>
        </w:rPr>
        <w:t xml:space="preserve">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w:t>
      </w:r>
      <w:r>
        <w:rPr>
          <w:color w:val="000000"/>
          <w:spacing w:val="0"/>
          <w:w w:val="100"/>
          <w:position w:val="0"/>
        </w:rPr>
        <w:t>其他长期职工福利净负债或净资产的利息净额以及重新计量其他长期职工福利净负债或净资产所产生的变动等组成项目的 总净额计入当期损益或相关资产成本。</w:t>
      </w:r>
    </w:p>
    <w:p>
      <w:pPr>
        <w:pStyle w:val="Style31"/>
        <w:keepNext/>
        <w:keepLines/>
        <w:widowControl w:val="0"/>
        <w:shd w:val="clear" w:color="auto" w:fill="auto"/>
        <w:tabs>
          <w:tab w:pos="458" w:val="left"/>
        </w:tabs>
        <w:bidi w:val="0"/>
        <w:spacing w:before="0" w:after="22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8</w:t>
      </w:r>
      <w:r>
        <w:rPr>
          <w:color w:val="000000"/>
          <w:spacing w:val="0"/>
          <w:w w:val="100"/>
          <w:position w:val="0"/>
        </w:rPr>
        <w:t>、</w:t>
        <w:tab/>
        <w:t>租赁负债</w:t>
      </w:r>
      <w:bookmarkEnd w:id="1000"/>
      <w:bookmarkEnd w:id="1002"/>
      <w:bookmarkEnd w:id="999"/>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在租赁开始日，公司将尚未支付的租赁付款额的现值确认为租赁负债。计算租赁付款额现值时采用租赁内含利率作为折 现率，无法确定租赁内含利率的，采用公司增量借款利率作为折现率。租赁付款额与其现值之间的差额作为未确认融资费用， 在租赁期各个期间内按照确认租赁付款额现值的折现率确认利息费用，并计入当期损益。未纳入租赁负债计量的可变租赁付 款额于实际发生时计入当期损益。</w:t>
      </w:r>
    </w:p>
    <w:p>
      <w:pPr>
        <w:pStyle w:val="Style28"/>
        <w:keepNext w:val="0"/>
        <w:keepLines w:val="0"/>
        <w:widowControl w:val="0"/>
        <w:shd w:val="clear" w:color="auto" w:fill="auto"/>
        <w:bidi w:val="0"/>
        <w:spacing w:before="0" w:after="440" w:line="391" w:lineRule="exact"/>
        <w:ind w:left="0" w:right="0" w:firstLine="38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发生变动、购买选择权、续租选择权或终止选择权的评估结果或实际行权情况发生变化时，公司按照变动后的租赁付款额的 现值重新计量租赁负债，并相应调整使用权资产的账面价值，如使用权资产账面价值已调减至零，但租赁负债仍需进一步调 减的，将剩余金额计入当期损益。</w:t>
      </w:r>
    </w:p>
    <w:p>
      <w:pPr>
        <w:pStyle w:val="Style31"/>
        <w:keepNext/>
        <w:keepLines/>
        <w:widowControl w:val="0"/>
        <w:shd w:val="clear" w:color="auto" w:fill="auto"/>
        <w:tabs>
          <w:tab w:pos="458" w:val="left"/>
        </w:tabs>
        <w:bidi w:val="0"/>
        <w:spacing w:before="0" w:after="22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003"/>
      <w:bookmarkEnd w:id="1004"/>
      <w:bookmarkEnd w:id="1006"/>
    </w:p>
    <w:p>
      <w:pPr>
        <w:pStyle w:val="Style28"/>
        <w:keepNext w:val="0"/>
        <w:keepLines w:val="0"/>
        <w:widowControl w:val="0"/>
        <w:shd w:val="clear" w:color="auto" w:fill="auto"/>
        <w:bidi w:val="0"/>
        <w:spacing w:before="0" w:after="0" w:line="394" w:lineRule="exact"/>
        <w:ind w:left="0" w:right="0" w:firstLine="380"/>
        <w:jc w:val="left"/>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）因对外提供担保、诉讼事项、产品质量保证、亏损合同等或有事项形成的义务成为公司承担的现时义务，履行该 义务很可能导致经济利益流出公司，且该义务的金额能够可靠的计量时，公司将该项义务确认为预计负债。</w:t>
      </w:r>
    </w:p>
    <w:p>
      <w:pPr>
        <w:pStyle w:val="Style28"/>
        <w:keepNext w:val="0"/>
        <w:keepLines w:val="0"/>
        <w:widowControl w:val="0"/>
        <w:shd w:val="clear" w:color="auto" w:fill="auto"/>
        <w:bidi w:val="0"/>
        <w:spacing w:before="0" w:after="440" w:line="403" w:lineRule="exact"/>
        <w:ind w:left="0" w:right="0" w:firstLine="380"/>
        <w:jc w:val="left"/>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）公司按照履行相关现时义务所需支出的最佳估计数对预计负债进行初始计量，并在资产负债表日对预计负债的账 面价值进行复核。</w:t>
      </w:r>
    </w:p>
    <w:p>
      <w:pPr>
        <w:pStyle w:val="Style31"/>
        <w:keepNext/>
        <w:keepLines/>
        <w:widowControl w:val="0"/>
        <w:shd w:val="clear" w:color="auto" w:fill="auto"/>
        <w:tabs>
          <w:tab w:pos="458" w:val="left"/>
        </w:tabs>
        <w:bidi w:val="0"/>
        <w:spacing w:before="0" w:after="22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1009"/>
      <w:bookmarkEnd w:id="1010"/>
      <w:bookmarkEnd w:id="1012"/>
    </w:p>
    <w:p>
      <w:pPr>
        <w:pStyle w:val="Style28"/>
        <w:keepNext w:val="0"/>
        <w:keepLines w:val="0"/>
        <w:widowControl w:val="0"/>
        <w:shd w:val="clear" w:color="auto" w:fill="auto"/>
        <w:tabs>
          <w:tab w:pos="799" w:val="left"/>
        </w:tabs>
        <w:bidi w:val="0"/>
        <w:spacing w:before="0" w:after="0" w:line="391" w:lineRule="exact"/>
        <w:ind w:left="0" w:right="0" w:firstLine="380"/>
        <w:jc w:val="left"/>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28"/>
        <w:keepNext w:val="0"/>
        <w:keepLines w:val="0"/>
        <w:widowControl w:val="0"/>
        <w:shd w:val="clear" w:color="auto" w:fill="auto"/>
        <w:bidi w:val="0"/>
        <w:spacing w:before="0" w:after="0" w:line="391" w:lineRule="exact"/>
        <w:ind w:left="0" w:right="0" w:firstLine="380"/>
        <w:jc w:val="left"/>
      </w:pPr>
      <w:r>
        <w:rPr>
          <w:color w:val="000000"/>
          <w:spacing w:val="0"/>
          <w:w w:val="100"/>
          <w:position w:val="0"/>
        </w:rPr>
        <w:t>包括以权益结算的股份支付和以现金结算的股份支付。</w:t>
      </w:r>
    </w:p>
    <w:p>
      <w:pPr>
        <w:pStyle w:val="Style28"/>
        <w:keepNext w:val="0"/>
        <w:keepLines w:val="0"/>
        <w:widowControl w:val="0"/>
        <w:shd w:val="clear" w:color="auto" w:fill="auto"/>
        <w:tabs>
          <w:tab w:pos="799" w:val="left"/>
        </w:tabs>
        <w:bidi w:val="0"/>
        <w:spacing w:before="0" w:after="220" w:line="391" w:lineRule="exact"/>
        <w:ind w:left="0" w:right="0" w:firstLine="38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实施、修改、终止股份支付计划的相关会计处理</w:t>
      </w:r>
    </w:p>
    <w:p>
      <w:pPr>
        <w:pStyle w:val="Style28"/>
        <w:keepNext w:val="0"/>
        <w:keepLines w:val="0"/>
        <w:widowControl w:val="0"/>
        <w:shd w:val="clear" w:color="auto" w:fill="auto"/>
        <w:tabs>
          <w:tab w:pos="751" w:val="left"/>
        </w:tabs>
        <w:bidi w:val="0"/>
        <w:spacing w:before="0" w:after="0" w:line="454" w:lineRule="auto"/>
        <w:ind w:left="0" w:right="0" w:firstLine="380"/>
        <w:jc w:val="left"/>
      </w:pPr>
      <w:bookmarkStart w:id="1015" w:name="bookmark1015"/>
      <w:r>
        <w:rPr>
          <w:rFonts w:ascii="Times New Roman" w:eastAsia="Times New Roman" w:hAnsi="Times New Roman" w:cs="Times New Roman"/>
          <w:color w:val="000000"/>
          <w:spacing w:val="0"/>
          <w:w w:val="100"/>
          <w:position w:val="0"/>
          <w:sz w:val="18"/>
          <w:szCs w:val="18"/>
        </w:rPr>
        <w:t>1</w:t>
      </w:r>
      <w:bookmarkEnd w:id="1015"/>
      <w:r>
        <w:rPr>
          <w:color w:val="000000"/>
          <w:spacing w:val="0"/>
          <w:w w:val="100"/>
          <w:position w:val="0"/>
        </w:rPr>
        <w:t>）</w:t>
        <w:tab/>
        <w:t>以权益结算的股份支付</w:t>
      </w:r>
    </w:p>
    <w:p>
      <w:pPr>
        <w:pStyle w:val="Style28"/>
        <w:keepNext w:val="0"/>
        <w:keepLines w:val="0"/>
        <w:widowControl w:val="0"/>
        <w:shd w:val="clear" w:color="auto" w:fill="auto"/>
        <w:bidi w:val="0"/>
        <w:spacing w:before="0" w:after="0" w:line="391" w:lineRule="exact"/>
        <w:ind w:left="0" w:right="0" w:firstLine="38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8"/>
        <w:keepNext w:val="0"/>
        <w:keepLines w:val="0"/>
        <w:widowControl w:val="0"/>
        <w:shd w:val="clear" w:color="auto" w:fill="auto"/>
        <w:bidi w:val="0"/>
        <w:spacing w:before="0" w:after="220" w:line="391" w:lineRule="exact"/>
        <w:ind w:left="0" w:right="0" w:firstLine="38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28"/>
        <w:keepNext w:val="0"/>
        <w:keepLines w:val="0"/>
        <w:widowControl w:val="0"/>
        <w:shd w:val="clear" w:color="auto" w:fill="auto"/>
        <w:tabs>
          <w:tab w:pos="751" w:val="left"/>
        </w:tabs>
        <w:bidi w:val="0"/>
        <w:spacing w:before="0" w:after="0" w:line="454" w:lineRule="auto"/>
        <w:ind w:left="0" w:right="0" w:firstLine="380"/>
        <w:jc w:val="left"/>
      </w:pPr>
      <w:bookmarkStart w:id="1016" w:name="bookmark1016"/>
      <w:r>
        <w:rPr>
          <w:rFonts w:ascii="Times New Roman" w:eastAsia="Times New Roman" w:hAnsi="Times New Roman" w:cs="Times New Roman"/>
          <w:color w:val="000000"/>
          <w:spacing w:val="0"/>
          <w:w w:val="100"/>
          <w:position w:val="0"/>
          <w:sz w:val="18"/>
          <w:szCs w:val="18"/>
        </w:rPr>
        <w:t>2</w:t>
      </w:r>
      <w:bookmarkEnd w:id="1016"/>
      <w:r>
        <w:rPr>
          <w:color w:val="000000"/>
          <w:spacing w:val="0"/>
          <w:w w:val="100"/>
          <w:position w:val="0"/>
        </w:rPr>
        <w:t>）</w:t>
        <w:tab/>
        <w:t>以现金结算的股份支付</w:t>
      </w:r>
    </w:p>
    <w:p>
      <w:pPr>
        <w:pStyle w:val="Style28"/>
        <w:keepNext w:val="0"/>
        <w:keepLines w:val="0"/>
        <w:widowControl w:val="0"/>
        <w:shd w:val="clear" w:color="auto" w:fill="auto"/>
        <w:bidi w:val="0"/>
        <w:spacing w:before="0" w:after="180" w:line="391" w:lineRule="exact"/>
        <w:ind w:left="0" w:right="0" w:firstLine="380"/>
        <w:jc w:val="left"/>
      </w:pPr>
      <w:r>
        <w:rPr>
          <w:color w:val="000000"/>
          <w:spacing w:val="0"/>
          <w:w w:val="100"/>
          <w:position w:val="0"/>
        </w:rPr>
        <w:t xml:space="preserve">授予后立即可行权的换取职工服务的以现金结算的股份支付，在授予日按公司承担负债的公允价值计入相关成本或费用， 相应增加负债。完成等待期内的服务或达到规定业绩条件才可行权的换取职工服务的以现金结算的股份支付，在等待期内的 </w:t>
      </w:r>
      <w:r>
        <w:rPr>
          <w:color w:val="000000"/>
          <w:spacing w:val="0"/>
          <w:w w:val="100"/>
          <w:position w:val="0"/>
        </w:rPr>
        <w:t>每个资产负债表日，以对可行权情况的最佳估计为基础，按公司承担负债的公允价值，将当期取得的服务计入相关成本或费 用和相应的负债。</w:t>
      </w:r>
    </w:p>
    <w:p>
      <w:pPr>
        <w:pStyle w:val="Style28"/>
        <w:keepNext w:val="0"/>
        <w:keepLines w:val="0"/>
        <w:widowControl w:val="0"/>
        <w:shd w:val="clear" w:color="auto" w:fill="auto"/>
        <w:bidi w:val="0"/>
        <w:spacing w:before="0" w:after="0" w:line="451" w:lineRule="auto"/>
        <w:ind w:left="0" w:right="0" w:firstLine="380"/>
        <w:jc w:val="both"/>
      </w:pPr>
      <w:bookmarkStart w:id="1017" w:name="bookmark1017"/>
      <w:r>
        <w:rPr>
          <w:rFonts w:ascii="Times New Roman" w:eastAsia="Times New Roman" w:hAnsi="Times New Roman" w:cs="Times New Roman"/>
          <w:color w:val="000000"/>
          <w:spacing w:val="0"/>
          <w:w w:val="100"/>
          <w:position w:val="0"/>
          <w:sz w:val="18"/>
          <w:szCs w:val="18"/>
        </w:rPr>
        <w:t>3</w:t>
      </w:r>
      <w:bookmarkEnd w:id="1017"/>
      <w:r>
        <w:rPr>
          <w:color w:val="000000"/>
          <w:spacing w:val="0"/>
          <w:w w:val="100"/>
          <w:position w:val="0"/>
        </w:rPr>
        <w:t>）修改、终止股份支付计划</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28"/>
        <w:keepNext w:val="0"/>
        <w:keepLines w:val="0"/>
        <w:widowControl w:val="0"/>
        <w:shd w:val="clear" w:color="auto" w:fill="auto"/>
        <w:bidi w:val="0"/>
        <w:spacing w:before="0" w:after="0" w:line="390" w:lineRule="exact"/>
        <w:ind w:left="0" w:right="0" w:firstLine="38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8"/>
        <w:keepNext w:val="0"/>
        <w:keepLines w:val="0"/>
        <w:widowControl w:val="0"/>
        <w:shd w:val="clear" w:color="auto" w:fill="auto"/>
        <w:bidi w:val="0"/>
        <w:spacing w:before="0" w:after="440" w:line="390" w:lineRule="exact"/>
        <w:ind w:left="0" w:right="0" w:firstLine="380"/>
        <w:jc w:val="both"/>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31"/>
        <w:keepNext/>
        <w:keepLines/>
        <w:widowControl w:val="0"/>
        <w:shd w:val="clear" w:color="auto" w:fill="auto"/>
        <w:bidi w:val="0"/>
        <w:spacing w:before="0" w:after="220" w:line="240" w:lineRule="auto"/>
        <w:ind w:left="0" w:right="0" w:firstLine="0"/>
        <w:jc w:val="left"/>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31</w:t>
      </w:r>
      <w:r>
        <w:rPr>
          <w:color w:val="000000"/>
          <w:spacing w:val="0"/>
          <w:w w:val="100"/>
          <w:position w:val="0"/>
        </w:rPr>
        <w:t>、收入</w:t>
      </w:r>
      <w:bookmarkEnd w:id="1018"/>
      <w:bookmarkEnd w:id="1019"/>
      <w:bookmarkEnd w:id="1020"/>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收入确认和计量所采用的会计政策</w:t>
      </w:r>
    </w:p>
    <w:p>
      <w:pPr>
        <w:pStyle w:val="Style28"/>
        <w:keepNext w:val="0"/>
        <w:keepLines w:val="0"/>
        <w:widowControl w:val="0"/>
        <w:shd w:val="clear" w:color="auto" w:fill="auto"/>
        <w:tabs>
          <w:tab w:pos="773" w:val="left"/>
        </w:tabs>
        <w:bidi w:val="0"/>
        <w:spacing w:before="0" w:after="0" w:line="391" w:lineRule="exact"/>
        <w:ind w:left="0" w:right="0" w:firstLine="38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收入确认原则</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满足下列条件之一时，属于在某一时段内履行履约义务，否则，属于在某一时点履行履约义务：（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 的同时即取得并消耗公司履约所带来的经济利益；（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 产出的商品具有不可替代用途，且公司在整个合同期间内有权就累计至今已完成的履约部分收取款项。</w:t>
      </w:r>
    </w:p>
    <w:p>
      <w:pPr>
        <w:pStyle w:val="Style28"/>
        <w:keepNext w:val="0"/>
        <w:keepLines w:val="0"/>
        <w:widowControl w:val="0"/>
        <w:shd w:val="clear" w:color="auto" w:fill="auto"/>
        <w:bidi w:val="0"/>
        <w:spacing w:before="0" w:after="0" w:line="391" w:lineRule="exact"/>
        <w:ind w:left="0" w:right="0" w:firstLine="380"/>
        <w:jc w:val="both"/>
      </w:pPr>
      <w:r>
        <w:rPr>
          <w:color w:val="000000"/>
          <w:spacing w:val="0"/>
          <w:w w:val="100"/>
          <w:position w:val="0"/>
        </w:rPr>
        <w:t>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公司就该商品享有现时收款权利，即客户就该商品负有现时付款义务；（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 客户已拥有该商品的法定所有权；（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 品所有权上的主要风险和报酬转移给客户，即客户已取得该商品所有权上的主要风险和报酬；（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其他表明客户已取得商品控制权的迹象。</w:t>
      </w:r>
    </w:p>
    <w:p>
      <w:pPr>
        <w:pStyle w:val="Style28"/>
        <w:keepNext w:val="0"/>
        <w:keepLines w:val="0"/>
        <w:widowControl w:val="0"/>
        <w:shd w:val="clear" w:color="auto" w:fill="auto"/>
        <w:tabs>
          <w:tab w:pos="773" w:val="left"/>
        </w:tabs>
        <w:bidi w:val="0"/>
        <w:spacing w:before="0" w:after="0" w:line="391" w:lineRule="exact"/>
        <w:ind w:left="0" w:right="0" w:firstLine="38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收入计量原则</w:t>
      </w:r>
    </w:p>
    <w:p>
      <w:pPr>
        <w:pStyle w:val="Style28"/>
        <w:keepNext w:val="0"/>
        <w:keepLines w:val="0"/>
        <w:widowControl w:val="0"/>
        <w:shd w:val="clear" w:color="auto" w:fill="auto"/>
        <w:tabs>
          <w:tab w:pos="701" w:val="left"/>
        </w:tabs>
        <w:bidi w:val="0"/>
        <w:spacing w:before="0" w:after="0" w:line="391" w:lineRule="exact"/>
        <w:ind w:left="0" w:right="0" w:firstLine="380"/>
        <w:jc w:val="both"/>
      </w:pPr>
      <w:bookmarkStart w:id="1023" w:name="bookmark1023"/>
      <w:r>
        <w:rPr>
          <w:rFonts w:ascii="Times New Roman" w:eastAsia="Times New Roman" w:hAnsi="Times New Roman" w:cs="Times New Roman"/>
          <w:color w:val="000000"/>
          <w:spacing w:val="0"/>
          <w:w w:val="100"/>
          <w:position w:val="0"/>
          <w:sz w:val="18"/>
          <w:szCs w:val="18"/>
        </w:rPr>
        <w:t>1</w:t>
      </w:r>
      <w:bookmarkEnd w:id="1023"/>
      <w:r>
        <w:rPr>
          <w:color w:val="000000"/>
          <w:spacing w:val="0"/>
          <w:w w:val="100"/>
          <w:position w:val="0"/>
        </w:rPr>
        <w:t>）</w:t>
        <w:tab/>
        <w:t>公司按照分摊至各单项履约义务的交易价格计量收入。交易价格是公司因向客户转让商品或服务而预期有权收取的 对价金额，不包括代第三方收取的款项以及预期将退还给客户的款项。</w:t>
      </w:r>
    </w:p>
    <w:p>
      <w:pPr>
        <w:pStyle w:val="Style28"/>
        <w:keepNext w:val="0"/>
        <w:keepLines w:val="0"/>
        <w:widowControl w:val="0"/>
        <w:shd w:val="clear" w:color="auto" w:fill="auto"/>
        <w:tabs>
          <w:tab w:pos="701" w:val="left"/>
        </w:tabs>
        <w:bidi w:val="0"/>
        <w:spacing w:before="0" w:after="0" w:line="391" w:lineRule="exact"/>
        <w:ind w:left="0" w:right="0" w:firstLine="380"/>
        <w:jc w:val="both"/>
      </w:pPr>
      <w:bookmarkStart w:id="1024" w:name="bookmark1024"/>
      <w:r>
        <w:rPr>
          <w:rFonts w:ascii="Times New Roman" w:eastAsia="Times New Roman" w:hAnsi="Times New Roman" w:cs="Times New Roman"/>
          <w:color w:val="000000"/>
          <w:spacing w:val="0"/>
          <w:w w:val="100"/>
          <w:position w:val="0"/>
          <w:sz w:val="18"/>
          <w:szCs w:val="18"/>
        </w:rPr>
        <w:t>2</w:t>
      </w:r>
      <w:bookmarkEnd w:id="1024"/>
      <w:r>
        <w:rPr>
          <w:color w:val="000000"/>
          <w:spacing w:val="0"/>
          <w:w w:val="100"/>
          <w:position w:val="0"/>
        </w:rPr>
        <w:t>）</w:t>
        <w:tab/>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28"/>
        <w:keepNext w:val="0"/>
        <w:keepLines w:val="0"/>
        <w:widowControl w:val="0"/>
        <w:shd w:val="clear" w:color="auto" w:fill="auto"/>
        <w:tabs>
          <w:tab w:pos="701" w:val="left"/>
        </w:tabs>
        <w:bidi w:val="0"/>
        <w:spacing w:before="0" w:after="100" w:line="391" w:lineRule="exact"/>
        <w:ind w:left="0" w:right="0" w:firstLine="380"/>
        <w:jc w:val="both"/>
      </w:pPr>
      <w:bookmarkStart w:id="1025" w:name="bookmark1025"/>
      <w:r>
        <w:rPr>
          <w:rFonts w:ascii="Times New Roman" w:eastAsia="Times New Roman" w:hAnsi="Times New Roman" w:cs="Times New Roman"/>
          <w:color w:val="000000"/>
          <w:spacing w:val="0"/>
          <w:w w:val="100"/>
          <w:position w:val="0"/>
          <w:sz w:val="18"/>
          <w:szCs w:val="18"/>
        </w:rPr>
        <w:t>3</w:t>
      </w:r>
      <w:bookmarkEnd w:id="1025"/>
      <w:r>
        <w:rPr>
          <w:color w:val="000000"/>
          <w:spacing w:val="0"/>
          <w:w w:val="100"/>
          <w:position w:val="0"/>
        </w:rPr>
        <w:t>）</w:t>
        <w:tab/>
        <w:t>合同中存在重大融资成分的，公司按照假定客户在取得商品或服务控制权时即以现金支付的应付金额确定交易价格。 该交易价格与合同对价之间的差额，在合同期间内采用实际利率法摊销。合同开始日，公司预计客户取得商品或服务控制权 与客户支付价款间隔不超过一年的，不考虑合同中存在的重大融资成分。</w:t>
      </w:r>
    </w:p>
    <w:p>
      <w:pPr>
        <w:pStyle w:val="Style28"/>
        <w:keepNext w:val="0"/>
        <w:keepLines w:val="0"/>
        <w:widowControl w:val="0"/>
        <w:shd w:val="clear" w:color="auto" w:fill="auto"/>
        <w:bidi w:val="0"/>
        <w:spacing w:before="0" w:after="0" w:line="394" w:lineRule="exact"/>
        <w:ind w:left="0" w:right="0" w:firstLine="380"/>
        <w:jc w:val="both"/>
      </w:pPr>
      <w:bookmarkStart w:id="1026" w:name="bookmark1026"/>
      <w:r>
        <w:rPr>
          <w:rFonts w:ascii="Times New Roman" w:eastAsia="Times New Roman" w:hAnsi="Times New Roman" w:cs="Times New Roman"/>
          <w:color w:val="000000"/>
          <w:spacing w:val="0"/>
          <w:w w:val="100"/>
          <w:position w:val="0"/>
          <w:sz w:val="18"/>
          <w:szCs w:val="18"/>
        </w:rPr>
        <w:t>4</w:t>
      </w:r>
      <w:bookmarkEnd w:id="1026"/>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8"/>
        <w:keepNext w:val="0"/>
        <w:keepLines w:val="0"/>
        <w:widowControl w:val="0"/>
        <w:shd w:val="clear" w:color="auto" w:fill="auto"/>
        <w:bidi w:val="0"/>
        <w:spacing w:before="0" w:after="0" w:line="394" w:lineRule="exact"/>
        <w:ind w:left="0" w:right="0" w:firstLine="38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）收入确认的具体方法</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公司主要销售与不停车收费系统相关的</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停车场收费系统产品等，属于在某一时点履行的履约义务。 内销产品收入确认需满足以下条件：（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）公司已根据合同约定将产品交付给购货方，取得客户签收或验收的相关凭证；（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未取得客户签收或验收的相关凭证的，满足合同约定视同接受产品条件或客户实际接受产品；（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）客户实际接受产品、产 品销售收入金额已确定、已收取价款或取得收款权利且相关的经济利益很可能流入时确认。外销产品收入在公司已根据合同 约定将产品交付给承运人并报关，取得报关单和提单，且产品销售收入金额已确定，已收取货款或取得了收款权力且相关的 经济利益很可能流入时确认。</w:t>
      </w:r>
    </w:p>
    <w:p>
      <w:pPr>
        <w:pStyle w:val="Style28"/>
        <w:keepNext w:val="0"/>
        <w:keepLines w:val="0"/>
        <w:widowControl w:val="0"/>
        <w:shd w:val="clear" w:color="auto" w:fill="auto"/>
        <w:bidi w:val="0"/>
        <w:spacing w:before="0" w:after="0" w:line="394" w:lineRule="exact"/>
        <w:ind w:left="0" w:right="0" w:firstLine="380"/>
        <w:jc w:val="both"/>
      </w:pPr>
      <w:r>
        <w:rPr>
          <w:color w:val="000000"/>
          <w:spacing w:val="0"/>
          <w:w w:val="100"/>
          <w:position w:val="0"/>
        </w:rPr>
        <w:t>同类业务采用不同经营模式导致收入确认会计政策存在差异的情况</w:t>
      </w:r>
    </w:p>
    <w:p>
      <w:pPr>
        <w:pStyle w:val="Style28"/>
        <w:keepNext w:val="0"/>
        <w:keepLines w:val="0"/>
        <w:widowControl w:val="0"/>
        <w:shd w:val="clear" w:color="auto" w:fill="auto"/>
        <w:bidi w:val="0"/>
        <w:spacing w:before="0" w:after="420" w:line="394" w:lineRule="exact"/>
        <w:ind w:left="0" w:right="0" w:firstLine="380"/>
        <w:jc w:val="both"/>
      </w:pPr>
      <w:r>
        <w:rPr>
          <w:color w:val="000000"/>
          <w:spacing w:val="0"/>
          <w:w w:val="100"/>
          <w:position w:val="0"/>
        </w:rPr>
        <w:t>不适用。</w:t>
      </w:r>
    </w:p>
    <w:p>
      <w:pPr>
        <w:pStyle w:val="Style31"/>
        <w:keepNext/>
        <w:keepLines/>
        <w:widowControl w:val="0"/>
        <w:shd w:val="clear" w:color="auto" w:fill="auto"/>
        <w:tabs>
          <w:tab w:pos="434" w:val="left"/>
        </w:tabs>
        <w:bidi w:val="0"/>
        <w:spacing w:before="0" w:after="24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1028"/>
      <w:bookmarkEnd w:id="1029"/>
      <w:bookmarkEnd w:id="1031"/>
    </w:p>
    <w:p>
      <w:pPr>
        <w:pStyle w:val="Style28"/>
        <w:keepNext w:val="0"/>
        <w:keepLines w:val="0"/>
        <w:widowControl w:val="0"/>
        <w:shd w:val="clear" w:color="auto" w:fill="auto"/>
        <w:bidi w:val="0"/>
        <w:spacing w:before="0" w:after="0" w:line="392" w:lineRule="exact"/>
        <w:ind w:left="0" w:right="0" w:firstLine="38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政府补助在同时满足下列条件时予以确认：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 政府补助为货币性资产的，按照收到或应收的金额计量。政府补助为非货币性资产的，按照公允价值计量；公允价值不能可 靠取得的，按照名义金额计量。</w:t>
      </w:r>
    </w:p>
    <w:p>
      <w:pPr>
        <w:pStyle w:val="Style28"/>
        <w:keepNext w:val="0"/>
        <w:keepLines w:val="0"/>
        <w:widowControl w:val="0"/>
        <w:shd w:val="clear" w:color="auto" w:fill="auto"/>
        <w:tabs>
          <w:tab w:pos="776" w:val="left"/>
        </w:tabs>
        <w:bidi w:val="0"/>
        <w:spacing w:before="0" w:after="0" w:line="392" w:lineRule="exact"/>
        <w:ind w:left="0" w:right="0" w:firstLine="38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与资产相关的政府补助判断依据及会计处理方法</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28"/>
        <w:keepNext w:val="0"/>
        <w:keepLines w:val="0"/>
        <w:widowControl w:val="0"/>
        <w:shd w:val="clear" w:color="auto" w:fill="auto"/>
        <w:tabs>
          <w:tab w:pos="776" w:val="left"/>
        </w:tabs>
        <w:bidi w:val="0"/>
        <w:spacing w:before="0" w:after="0" w:line="392" w:lineRule="exact"/>
        <w:ind w:left="0" w:right="0" w:firstLine="38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与收益相关的政府补助判断依据及会计处理方法</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28"/>
        <w:keepNext w:val="0"/>
        <w:keepLines w:val="0"/>
        <w:widowControl w:val="0"/>
        <w:shd w:val="clear" w:color="auto" w:fill="auto"/>
        <w:tabs>
          <w:tab w:pos="852" w:val="left"/>
        </w:tabs>
        <w:bidi w:val="0"/>
        <w:spacing w:before="0" w:after="420" w:line="392" w:lineRule="exact"/>
        <w:ind w:left="0" w:right="0" w:firstLine="38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与公司日常经营活动相关的政府补助，按照经济业务实质，计入其他收益或冲减相关成本费用。与公司日常活动 无关的政府补助，计入营业外收支。</w:t>
      </w:r>
    </w:p>
    <w:p>
      <w:pPr>
        <w:pStyle w:val="Style31"/>
        <w:keepNext/>
        <w:keepLines/>
        <w:widowControl w:val="0"/>
        <w:shd w:val="clear" w:color="auto" w:fill="auto"/>
        <w:tabs>
          <w:tab w:pos="434" w:val="left"/>
        </w:tabs>
        <w:bidi w:val="0"/>
        <w:spacing w:before="0" w:after="24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6"/>
      <w:bookmarkEnd w:id="1037"/>
      <w:bookmarkEnd w:id="1039"/>
    </w:p>
    <w:p>
      <w:pPr>
        <w:pStyle w:val="Style28"/>
        <w:keepNext w:val="0"/>
        <w:keepLines w:val="0"/>
        <w:widowControl w:val="0"/>
        <w:shd w:val="clear" w:color="auto" w:fill="auto"/>
        <w:bidi w:val="0"/>
        <w:spacing w:before="0" w:after="0" w:line="389" w:lineRule="exact"/>
        <w:ind w:left="0" w:right="0" w:firstLine="38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根据资产、负债的账面价值与其计税基础之间的差额（未作为资产和负债确认的项目按照税法规定可以确定其计 税基础的，该计税基础与其账面数之间的差额），按照预期收回该资产或清偿该负债期间的适用税率计算确认递延所得税资 产或递延所得税负债。</w:t>
      </w:r>
    </w:p>
    <w:p>
      <w:pPr>
        <w:pStyle w:val="Style28"/>
        <w:keepNext w:val="0"/>
        <w:keepLines w:val="0"/>
        <w:widowControl w:val="0"/>
        <w:shd w:val="clear" w:color="auto" w:fill="auto"/>
        <w:tabs>
          <w:tab w:pos="396" w:val="left"/>
        </w:tabs>
        <w:bidi w:val="0"/>
        <w:spacing w:before="0" w:after="0" w:line="389" w:lineRule="exact"/>
        <w:ind w:left="0" w:right="0" w:firstLine="38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确认递延所得税资产以很可能取得用来抵扣可抵扣暂时性差异的应纳税所得额为限。资产负债表日，有确凿证据 </w:t>
      </w:r>
      <w:r>
        <w:rPr>
          <w:color w:val="000000"/>
          <w:spacing w:val="0"/>
          <w:w w:val="100"/>
          <w:position w:val="0"/>
        </w:rPr>
        <w:t>表明未来期间很可能获得足够的应纳税所得额用来抵扣可抵扣暂时性差异的，确认以前会计期间未确认的递延所得税资产。</w:t>
      </w:r>
    </w:p>
    <w:p>
      <w:pPr>
        <w:pStyle w:val="Style28"/>
        <w:keepNext w:val="0"/>
        <w:keepLines w:val="0"/>
        <w:widowControl w:val="0"/>
        <w:shd w:val="clear" w:color="auto" w:fill="auto"/>
        <w:tabs>
          <w:tab w:pos="901" w:val="left"/>
        </w:tabs>
        <w:bidi w:val="0"/>
        <w:spacing w:before="0" w:after="0" w:line="408" w:lineRule="exact"/>
        <w:ind w:left="0" w:right="0" w:firstLine="380"/>
        <w:jc w:val="left"/>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资产负债表日，对递延所得税资产的账面价值进行复核，如果未来期间很可能无法获得足够的应纳税所得额用以 抵扣递延所得税资产的利益，则减记递延所得税资产的账面价值。在很可能获得足够的应纳税所得额时，转回减记的金额。</w:t>
      </w:r>
    </w:p>
    <w:p>
      <w:pPr>
        <w:pStyle w:val="Style28"/>
        <w:keepNext w:val="0"/>
        <w:keepLines w:val="0"/>
        <w:widowControl w:val="0"/>
        <w:shd w:val="clear" w:color="auto" w:fill="auto"/>
        <w:tabs>
          <w:tab w:pos="901" w:val="left"/>
        </w:tabs>
        <w:bidi w:val="0"/>
        <w:spacing w:before="0" w:after="420" w:line="389" w:lineRule="exact"/>
        <w:ind w:left="0" w:right="0" w:firstLine="38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 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31"/>
        <w:keepNext/>
        <w:keepLines/>
        <w:widowControl w:val="0"/>
        <w:shd w:val="clear" w:color="auto" w:fill="auto"/>
        <w:tabs>
          <w:tab w:pos="483" w:val="left"/>
        </w:tabs>
        <w:bidi w:val="0"/>
        <w:spacing w:before="0" w:after="42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1044"/>
      <w:bookmarkEnd w:id="1045"/>
      <w:bookmarkEnd w:id="1047"/>
    </w:p>
    <w:p>
      <w:pPr>
        <w:pStyle w:val="Style42"/>
        <w:keepNext/>
        <w:keepLines/>
        <w:widowControl w:val="0"/>
        <w:shd w:val="clear" w:color="auto" w:fill="auto"/>
        <w:tabs>
          <w:tab w:pos="493" w:val="left"/>
        </w:tabs>
        <w:bidi w:val="0"/>
        <w:spacing w:before="0" w:after="24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48"/>
      <w:bookmarkEnd w:id="1049"/>
      <w:bookmarkEnd w:id="1051"/>
    </w:p>
    <w:p>
      <w:pPr>
        <w:pStyle w:val="Style28"/>
        <w:keepNext w:val="0"/>
        <w:keepLines w:val="0"/>
        <w:widowControl w:val="0"/>
        <w:shd w:val="clear" w:color="auto" w:fill="auto"/>
        <w:bidi w:val="0"/>
        <w:spacing w:before="0" w:after="420" w:line="391" w:lineRule="exact"/>
        <w:ind w:left="0" w:right="0" w:firstLine="380"/>
        <w:jc w:val="both"/>
      </w:pPr>
      <w:r>
        <w:rPr>
          <w:color w:val="000000"/>
          <w:spacing w:val="0"/>
          <w:w w:val="100"/>
          <w:position w:val="0"/>
        </w:rPr>
        <w:t>公司在租赁期内各个期间按照直线法将租赁收款额确认为租金收入，发生的初始直接费用予以资本化并按照与租金收入 确认相同的基础进行分摊，分期计入当期损益。公司取得的与经营租赁有关的未计入租赁收款额的可变租赁付款额在实际发 生时计入当期损益。</w:t>
      </w:r>
    </w:p>
    <w:p>
      <w:pPr>
        <w:pStyle w:val="Style42"/>
        <w:keepNext/>
        <w:keepLines/>
        <w:widowControl w:val="0"/>
        <w:shd w:val="clear" w:color="auto" w:fill="auto"/>
        <w:tabs>
          <w:tab w:pos="493" w:val="left"/>
        </w:tabs>
        <w:bidi w:val="0"/>
        <w:spacing w:before="0" w:after="24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52"/>
      <w:bookmarkEnd w:id="1053"/>
      <w:bookmarkEnd w:id="1055"/>
    </w:p>
    <w:p>
      <w:pPr>
        <w:pStyle w:val="Style28"/>
        <w:keepNext w:val="0"/>
        <w:keepLines w:val="0"/>
        <w:widowControl w:val="0"/>
        <w:shd w:val="clear" w:color="auto" w:fill="auto"/>
        <w:bidi w:val="0"/>
        <w:spacing w:before="0" w:after="0" w:line="389" w:lineRule="exact"/>
        <w:ind w:left="0" w:right="0" w:firstLine="380"/>
        <w:jc w:val="both"/>
      </w:pPr>
      <w:r>
        <w:rPr>
          <w:color w:val="000000"/>
          <w:spacing w:val="0"/>
          <w:w w:val="100"/>
          <w:position w:val="0"/>
        </w:rPr>
        <w:t>在租赁期开始日，公司按照租赁投资净额（未担保余值和租赁期开始日尚未收到的租赁收款额按照租赁内含利率折现的 现值之和）确认应收融资租赁款，并终止确认融资租赁资产。在租赁期的各个期间，公司按照租赁内含利率计算并确认利息 收入。</w:t>
      </w:r>
    </w:p>
    <w:p>
      <w:pPr>
        <w:pStyle w:val="Style28"/>
        <w:keepNext w:val="0"/>
        <w:keepLines w:val="0"/>
        <w:widowControl w:val="0"/>
        <w:shd w:val="clear" w:color="auto" w:fill="auto"/>
        <w:bidi w:val="0"/>
        <w:spacing w:before="0" w:after="420" w:line="389" w:lineRule="exact"/>
        <w:ind w:left="0" w:right="0" w:firstLine="380"/>
        <w:jc w:val="both"/>
      </w:pPr>
      <w:r>
        <w:rPr>
          <w:color w:val="000000"/>
          <w:spacing w:val="0"/>
          <w:w w:val="100"/>
          <w:position w:val="0"/>
        </w:rPr>
        <w:t>公司取得的未纳入租赁投资净额计量的可变租赁付款额在实际发生时计入当期损益。</w:t>
      </w:r>
    </w:p>
    <w:p>
      <w:pPr>
        <w:pStyle w:val="Style31"/>
        <w:keepNext/>
        <w:keepLines/>
        <w:widowControl w:val="0"/>
        <w:shd w:val="clear" w:color="auto" w:fill="auto"/>
        <w:tabs>
          <w:tab w:pos="483" w:val="left"/>
        </w:tabs>
        <w:bidi w:val="0"/>
        <w:spacing w:before="0" w:after="24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3</w:t>
      </w:r>
      <w:bookmarkEnd w:id="1058"/>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1056"/>
      <w:bookmarkEnd w:id="1057"/>
      <w:bookmarkEnd w:id="1059"/>
    </w:p>
    <w:p>
      <w:pPr>
        <w:pStyle w:val="Style28"/>
        <w:keepNext w:val="0"/>
        <w:keepLines w:val="0"/>
        <w:widowControl w:val="0"/>
        <w:shd w:val="clear" w:color="auto" w:fill="auto"/>
        <w:tabs>
          <w:tab w:pos="825" w:val="left"/>
        </w:tabs>
        <w:bidi w:val="0"/>
        <w:spacing w:before="0" w:after="0" w:line="390" w:lineRule="exact"/>
        <w:ind w:left="0" w:right="0" w:firstLine="380"/>
        <w:jc w:val="left"/>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终止经营的确认标准、会计处理方法</w:t>
      </w:r>
    </w:p>
    <w:p>
      <w:pPr>
        <w:pStyle w:val="Style28"/>
        <w:keepNext w:val="0"/>
        <w:keepLines w:val="0"/>
        <w:widowControl w:val="0"/>
        <w:shd w:val="clear" w:color="auto" w:fill="auto"/>
        <w:bidi w:val="0"/>
        <w:spacing w:before="0" w:after="180" w:line="390" w:lineRule="exact"/>
        <w:ind w:left="0" w:right="0" w:firstLine="380"/>
        <w:jc w:val="left"/>
      </w:pPr>
      <w:r>
        <w:rPr>
          <w:color w:val="000000"/>
          <w:spacing w:val="0"/>
          <w:w w:val="100"/>
          <w:position w:val="0"/>
        </w:rPr>
        <w:t>满足下列条件之一的、已经被处置或划分为持有待售类别且能够单独区分的组成部分确认为终止经营：</w:t>
      </w:r>
    </w:p>
    <w:p>
      <w:pPr>
        <w:pStyle w:val="Style28"/>
        <w:keepNext w:val="0"/>
        <w:keepLines w:val="0"/>
        <w:widowControl w:val="0"/>
        <w:shd w:val="clear" w:color="auto" w:fill="auto"/>
        <w:tabs>
          <w:tab w:pos="759" w:val="left"/>
        </w:tabs>
        <w:bidi w:val="0"/>
        <w:spacing w:before="0" w:after="0" w:line="454" w:lineRule="auto"/>
        <w:ind w:left="0" w:right="0" w:firstLine="380"/>
        <w:jc w:val="left"/>
      </w:pPr>
      <w:bookmarkStart w:id="1061" w:name="bookmark1061"/>
      <w:r>
        <w:rPr>
          <w:rFonts w:ascii="Times New Roman" w:eastAsia="Times New Roman" w:hAnsi="Times New Roman" w:cs="Times New Roman"/>
          <w:color w:val="000000"/>
          <w:spacing w:val="0"/>
          <w:w w:val="100"/>
          <w:position w:val="0"/>
          <w:sz w:val="18"/>
          <w:szCs w:val="18"/>
        </w:rPr>
        <w:t>1</w:t>
      </w:r>
      <w:bookmarkEnd w:id="1061"/>
      <w:r>
        <w:rPr>
          <w:color w:val="000000"/>
          <w:spacing w:val="0"/>
          <w:w w:val="100"/>
          <w:position w:val="0"/>
        </w:rPr>
        <w:t>）</w:t>
        <w:tab/>
        <w:t>该组成部分代表一项独立的主要业务或一个单独的主要经营地区；</w:t>
      </w:r>
    </w:p>
    <w:p>
      <w:pPr>
        <w:pStyle w:val="Style28"/>
        <w:keepNext w:val="0"/>
        <w:keepLines w:val="0"/>
        <w:widowControl w:val="0"/>
        <w:shd w:val="clear" w:color="auto" w:fill="auto"/>
        <w:tabs>
          <w:tab w:pos="759" w:val="left"/>
        </w:tabs>
        <w:bidi w:val="0"/>
        <w:spacing w:before="0" w:after="0" w:line="454" w:lineRule="auto"/>
        <w:ind w:left="0" w:right="0" w:firstLine="380"/>
        <w:jc w:val="left"/>
      </w:pPr>
      <w:bookmarkStart w:id="1062" w:name="bookmark1062"/>
      <w:r>
        <w:rPr>
          <w:rFonts w:ascii="Times New Roman" w:eastAsia="Times New Roman" w:hAnsi="Times New Roman" w:cs="Times New Roman"/>
          <w:color w:val="000000"/>
          <w:spacing w:val="0"/>
          <w:w w:val="100"/>
          <w:position w:val="0"/>
          <w:sz w:val="18"/>
          <w:szCs w:val="18"/>
        </w:rPr>
        <w:t>2</w:t>
      </w:r>
      <w:bookmarkEnd w:id="1062"/>
      <w:r>
        <w:rPr>
          <w:color w:val="000000"/>
          <w:spacing w:val="0"/>
          <w:w w:val="100"/>
          <w:position w:val="0"/>
        </w:rPr>
        <w:t>）</w:t>
        <w:tab/>
        <w:t>该组成部分是拟对一项独立的主要业务或一个单独的主要经营地区进行处置的一项相关联计划的一部分；</w:t>
      </w:r>
    </w:p>
    <w:p>
      <w:pPr>
        <w:pStyle w:val="Style28"/>
        <w:keepNext w:val="0"/>
        <w:keepLines w:val="0"/>
        <w:widowControl w:val="0"/>
        <w:shd w:val="clear" w:color="auto" w:fill="auto"/>
        <w:tabs>
          <w:tab w:pos="759" w:val="left"/>
        </w:tabs>
        <w:bidi w:val="0"/>
        <w:spacing w:before="0" w:after="0" w:line="454" w:lineRule="auto"/>
        <w:ind w:left="0" w:right="0" w:firstLine="380"/>
        <w:jc w:val="left"/>
      </w:pPr>
      <w:bookmarkStart w:id="1063" w:name="bookmark1063"/>
      <w:r>
        <w:rPr>
          <w:rFonts w:ascii="Times New Roman" w:eastAsia="Times New Roman" w:hAnsi="Times New Roman" w:cs="Times New Roman"/>
          <w:color w:val="000000"/>
          <w:spacing w:val="0"/>
          <w:w w:val="100"/>
          <w:position w:val="0"/>
          <w:sz w:val="18"/>
          <w:szCs w:val="18"/>
        </w:rPr>
        <w:t>3</w:t>
      </w:r>
      <w:bookmarkEnd w:id="1063"/>
      <w:r>
        <w:rPr>
          <w:color w:val="000000"/>
          <w:spacing w:val="0"/>
          <w:w w:val="100"/>
          <w:position w:val="0"/>
        </w:rPr>
        <w:t>）</w:t>
        <w:tab/>
        <w:t>该组成部分是专为转售而取得的子公司。</w:t>
      </w:r>
    </w:p>
    <w:p>
      <w:pPr>
        <w:pStyle w:val="Style28"/>
        <w:keepNext w:val="0"/>
        <w:keepLines w:val="0"/>
        <w:widowControl w:val="0"/>
        <w:shd w:val="clear" w:color="auto" w:fill="auto"/>
        <w:tabs>
          <w:tab w:pos="825" w:val="left"/>
        </w:tabs>
        <w:bidi w:val="0"/>
        <w:spacing w:before="0" w:after="0" w:line="390" w:lineRule="exact"/>
        <w:ind w:left="0" w:right="0" w:firstLine="380"/>
        <w:jc w:val="left"/>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与回购公司股份相关的会计处理方法</w:t>
      </w:r>
    </w:p>
    <w:p>
      <w:pPr>
        <w:pStyle w:val="Style28"/>
        <w:keepNext w:val="0"/>
        <w:keepLines w:val="0"/>
        <w:widowControl w:val="0"/>
        <w:shd w:val="clear" w:color="auto" w:fill="auto"/>
        <w:bidi w:val="0"/>
        <w:spacing w:before="0" w:after="240" w:line="390" w:lineRule="exact"/>
        <w:ind w:left="0" w:right="0" w:firstLine="380"/>
        <w:jc w:val="left"/>
      </w:pPr>
      <w:r>
        <w:rPr>
          <w:color w:val="000000"/>
          <w:spacing w:val="0"/>
          <w:w w:val="100"/>
          <w:position w:val="0"/>
        </w:rPr>
        <w:t>因减少注册资本或奖励职工等原因收购本公司股份的，按实际支付的金额作为库存股处理，同时进行备查登记。如果将 回购的股份注销，则将按注销股票面值和注销股数计算的股票面值总额与实际回购所支付的金额之间的差额冲减资本公积， 资本公积不足冲减的，冲减留存收益；如果将回购的股份奖励给本公司职工属于以权益结算的股份支付，于职工行权购买本 公司股份收到价款时，转销交付职工的库存股成本和等待期内资本公积（其他资本公积）累计金额，同时，按照其差额调整 资本公积（股本溢价）。</w:t>
      </w:r>
      <w:r>
        <w:br w:type="page"/>
      </w:r>
    </w:p>
    <w:p>
      <w:pPr>
        <w:pStyle w:val="Style31"/>
        <w:keepNext/>
        <w:keepLines/>
        <w:widowControl w:val="0"/>
        <w:shd w:val="clear" w:color="auto" w:fill="auto"/>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1065"/>
      <w:bookmarkEnd w:id="1066"/>
      <w:bookmarkEnd w:id="1068"/>
    </w:p>
    <w:p>
      <w:pPr>
        <w:pStyle w:val="Style42"/>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9"/>
      <w:bookmarkEnd w:id="1070"/>
      <w:bookmarkEnd w:id="107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号），根据财政部要求，在境内外同时上 市的企业以及在境外上市并采用国际务 报告准则或企业会计准则编制财务报表 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其他执行企业会计准则的企业，自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 会第十一次会议审议通过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 赁准则，并根据首次执行本准则的累积 影响数，调整首次执行本准则当年年初 留存收益及财务报表其他相关项目金 额，不调整可比期间信息。</w:t>
            </w:r>
          </w:p>
        </w:tc>
      </w:tr>
    </w:tbl>
    <w:p>
      <w:pPr>
        <w:pStyle w:val="Style26"/>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）执行新租赁准则对公司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tbl>
      <w:tblPr>
        <w:tblOverlap w:val="never"/>
        <w:jc w:val="left"/>
        <w:tblLayout w:type="fixed"/>
      </w:tblPr>
      <w:tblGrid>
        <w:gridCol w:w="2669"/>
        <w:gridCol w:w="1594"/>
        <w:gridCol w:w="2136"/>
        <w:gridCol w:w="2141"/>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资产负债表（单位：元）</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新租赁准则调整影响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42,928,376.57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42,928,376.57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14,149,006.97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14,149,006.97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28,779,369.60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28,779,369.60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73"/>
      <w:bookmarkEnd w:id="1074"/>
      <w:bookmarkEnd w:id="107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77"/>
      <w:bookmarkEnd w:id="1078"/>
      <w:bookmarkEnd w:id="108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1,464,649,007.64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1,464,649,007.64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447,984,243.82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447,984,243.82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5,394,800.72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5,394,800.72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15,908,464.36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15,908,464.36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258,050,591.97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258,050,591.97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75,766,978.37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75,766,978.37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22,583,518.92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22,583,518.92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2,305,827,545.35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2,305,827,545.35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349,242,961.37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349,242,961.37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42,928,376.57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42,928,376.57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33,695,566.52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33,695,566.52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14,778,415.55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14,778,415.55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33,643,203.56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33,643,203.56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82,899,214.81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82,899,214.81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590,722,173.53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633,650,550.1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42,928,376.57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2,896,549,718.88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2,939,478,095.45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42,928,376.57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33,350,432.85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33,350,432.85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34,219,291.19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34,219,291.19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55,346,152.70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55,346,152.70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14,149,006.97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14,149,006.97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463,320,461.89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477,469,468.86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14,149,006.97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28,779,369.60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28,779,369.60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64,742,270.56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93,521,640.16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28,779,369.60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528,062,732.45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570,991,109.02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42,928,376.57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711,173,406.99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711,173,406.99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2,370,538,863.60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2,370,538,863.60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2,368,486,986.43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2,368,486,986.43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2,896,549,718.88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2,939,478,095.45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42,928,376.57</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0" w:line="394"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日起执行新租赁准则，根据首次执行新租赁准则的累积影响数，调整首次执行当年年初财务报表相 关项目金额，不调整可比期间信息。对于首次执行日前的经营租赁，本公司根据剩余租赁付款额按首次执行日的增量借款利 率折现的现值计量租赁负债，使用权资产按照与租赁负债相等的金额进行必要调整。</w:t>
      </w:r>
    </w:p>
    <w:p>
      <w:pPr>
        <w:pStyle w:val="Style28"/>
        <w:keepNext w:val="0"/>
        <w:keepLines w:val="0"/>
        <w:widowControl w:val="0"/>
        <w:shd w:val="clear" w:color="auto" w:fill="auto"/>
        <w:bidi w:val="0"/>
        <w:spacing w:before="0" w:after="0" w:line="394" w:lineRule="exact"/>
        <w:ind w:left="0" w:right="0" w:firstLine="0"/>
        <w:jc w:val="left"/>
      </w:pPr>
      <w:r>
        <w:rPr>
          <w:color w:val="000000"/>
          <w:spacing w:val="0"/>
          <w:w w:val="100"/>
          <w:position w:val="0"/>
        </w:rPr>
        <w:t>母公司资产负债表</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1,327,409,010.14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1,327,409,010.14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486,346,406.00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486,346,406.00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4,945,628.86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4,945,628.86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80,661,591.60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80,661,591.60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245,610,825.52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245,610,825.52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75,665,044.37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75,665,044.37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6,138,474.94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6,138,474.94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2,242,266,920.98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2,242,266,920.98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368,008,384.87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368,008,384.87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138,810,519.37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138,810,519.37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2,634,570.82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2,634,570.82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41,993,006.94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41,993,006.94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2,010,894.93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2,010,894.93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14,778,415.55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14,778,415.55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34,134,251.15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34,134,251.15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82,515,333.31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82,515,333.31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698,071,940.22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740,064,947.16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41,993,006.94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2,940,338,861.20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2,982,331,868.14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41,993,006.94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159,995,986.56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159,995,986.56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33,184,432.85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33,184,432.85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30,870,869.57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30,870,869.57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54,620,046.51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54,620,046.51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71,051,756.07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71,051,756.07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15,159,927.05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15,159,927.05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480,029,190.83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495,189,117.88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15,159,927.05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26,833,079.89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26,833,079.89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64,742,270.56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91,575,350.45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26,833,079.89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544,771,461.39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586,764,468.33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26,833,079.89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712,240,891.17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712,240,891.17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90,318,048.50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90,318,048.50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1,430,941,831.75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1,430,941,831.75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2,395,567,399.81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2,395,567,399.81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2,940,338,861.20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2,982,331,868.14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41,993,006.94</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420" w:line="396" w:lineRule="exact"/>
        <w:ind w:left="0" w:right="0" w:firstLine="3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日起执行新租赁准则，根据首次执行新租赁准则的累积影响数，调整首次执行当年年初财务报 表相关项目金额，不调整可比期间信息。对于首次执行日前的经营租赁，本公司根据剩余租赁付款额按首次执行日的增量借 款利率折现的现值计量租赁负债，使用权资产按照与租赁负债相等的金额进行必要调整。</w:t>
      </w:r>
    </w:p>
    <w:p>
      <w:pPr>
        <w:pStyle w:val="Style42"/>
        <w:keepNext/>
        <w:keepLines/>
        <w:widowControl w:val="0"/>
        <w:shd w:val="clear" w:color="auto" w:fill="auto"/>
        <w:bidi w:val="0"/>
        <w:spacing w:before="0" w:after="20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81"/>
      <w:bookmarkEnd w:id="1082"/>
      <w:bookmarkEnd w:id="1084"/>
    </w:p>
    <w:p>
      <w:pPr>
        <w:pStyle w:val="Style28"/>
        <w:keepNext w:val="0"/>
        <w:keepLines w:val="0"/>
        <w:widowControl w:val="0"/>
        <w:shd w:val="clear" w:color="auto" w:fill="auto"/>
        <w:bidi w:val="0"/>
        <w:spacing w:before="0" w:after="360" w:line="39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sz w:val="24"/>
          <w:szCs w:val="24"/>
        </w:rPr>
        <w:t>六</w:t>
      </w:r>
      <w:bookmarkEnd w:id="1087"/>
      <w:r>
        <w:rPr>
          <w:color w:val="000000"/>
          <w:spacing w:val="0"/>
          <w:w w:val="100"/>
          <w:position w:val="0"/>
          <w:sz w:val="24"/>
          <w:szCs w:val="24"/>
        </w:rPr>
        <w:t>、税项</w:t>
      </w:r>
      <w:bookmarkEnd w:id="1085"/>
      <w:bookmarkEnd w:id="1086"/>
      <w:bookmarkEnd w:id="1088"/>
    </w:p>
    <w:p>
      <w:pPr>
        <w:pStyle w:val="Style31"/>
        <w:keepNext/>
        <w:keepLines/>
        <w:widowControl w:val="0"/>
        <w:shd w:val="clear" w:color="auto" w:fill="auto"/>
        <w:bidi w:val="0"/>
        <w:spacing w:before="0" w:after="320" w:line="240" w:lineRule="auto"/>
        <w:ind w:left="0" w:right="0" w:firstLine="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89"/>
      <w:bookmarkEnd w:id="1090"/>
      <w:bookmarkEnd w:id="109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土地面积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31"/>
        <w:keepNext/>
        <w:keepLines/>
        <w:widowControl w:val="0"/>
        <w:shd w:val="clear" w:color="auto" w:fill="auto"/>
        <w:bidi w:val="0"/>
        <w:spacing w:before="0" w:after="240" w:line="240" w:lineRule="auto"/>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92"/>
      <w:bookmarkEnd w:id="1093"/>
      <w:bookmarkEnd w:id="1094"/>
    </w:p>
    <w:p>
      <w:pPr>
        <w:pStyle w:val="Style28"/>
        <w:keepNext w:val="0"/>
        <w:keepLines w:val="0"/>
        <w:widowControl w:val="0"/>
        <w:numPr>
          <w:ilvl w:val="0"/>
          <w:numId w:val="31"/>
        </w:numPr>
        <w:shd w:val="clear" w:color="auto" w:fill="auto"/>
        <w:tabs>
          <w:tab w:pos="741" w:val="left"/>
        </w:tabs>
        <w:bidi w:val="0"/>
        <w:spacing w:before="0" w:after="0" w:line="389" w:lineRule="exact"/>
        <w:ind w:left="0" w:right="0" w:firstLine="440"/>
        <w:jc w:val="left"/>
      </w:pPr>
      <w:bookmarkStart w:id="1095" w:name="bookmark1095"/>
      <w:bookmarkEnd w:id="1095"/>
      <w:r>
        <w:rPr>
          <w:color w:val="000000"/>
          <w:spacing w:val="0"/>
          <w:w w:val="100"/>
          <w:position w:val="0"/>
        </w:rPr>
        <w:t>企业所得税</w:t>
      </w:r>
    </w:p>
    <w:p>
      <w:pPr>
        <w:pStyle w:val="Style28"/>
        <w:keepNext w:val="0"/>
        <w:keepLines w:val="0"/>
        <w:widowControl w:val="0"/>
        <w:shd w:val="clear" w:color="auto" w:fill="auto"/>
        <w:bidi w:val="0"/>
        <w:spacing w:before="0" w:after="180" w:line="389"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日通过高新技术企业复审，取得证书编号为</w:t>
      </w:r>
      <w:r>
        <w:rPr>
          <w:rFonts w:ascii="Times New Roman" w:eastAsia="Times New Roman" w:hAnsi="Times New Roman" w:cs="Times New Roman"/>
          <w:color w:val="000000"/>
          <w:spacing w:val="0"/>
          <w:w w:val="100"/>
          <w:position w:val="0"/>
          <w:sz w:val="18"/>
          <w:szCs w:val="18"/>
        </w:rPr>
        <w:t>GR202044206183</w:t>
      </w:r>
      <w:r>
        <w:rPr>
          <w:color w:val="000000"/>
          <w:spacing w:val="0"/>
          <w:w w:val="100"/>
          <w:position w:val="0"/>
        </w:rPr>
        <w:t>的高新技术企业证书，有效期三年， 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年度享受减按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税率缴纳企业所得税的税收优惠政策。</w:t>
      </w:r>
    </w:p>
    <w:p>
      <w:pPr>
        <w:pStyle w:val="Style28"/>
        <w:keepNext w:val="0"/>
        <w:keepLines w:val="0"/>
        <w:widowControl w:val="0"/>
        <w:numPr>
          <w:ilvl w:val="0"/>
          <w:numId w:val="31"/>
        </w:numPr>
        <w:shd w:val="clear" w:color="auto" w:fill="auto"/>
        <w:tabs>
          <w:tab w:pos="760" w:val="left"/>
        </w:tabs>
        <w:bidi w:val="0"/>
        <w:spacing w:before="0" w:after="0" w:line="451" w:lineRule="auto"/>
        <w:ind w:left="0" w:right="0" w:firstLine="440"/>
        <w:jc w:val="left"/>
      </w:pPr>
      <w:bookmarkStart w:id="1096" w:name="bookmark1096"/>
      <w:bookmarkEnd w:id="1096"/>
      <w:r>
        <w:rPr>
          <w:color w:val="000000"/>
          <w:spacing w:val="0"/>
          <w:w w:val="100"/>
          <w:position w:val="0"/>
        </w:rPr>
        <w:t>增值税</w:t>
      </w:r>
    </w:p>
    <w:p>
      <w:pPr>
        <w:pStyle w:val="Style28"/>
        <w:keepNext w:val="0"/>
        <w:keepLines w:val="0"/>
        <w:widowControl w:val="0"/>
        <w:shd w:val="clear" w:color="auto" w:fill="auto"/>
        <w:tabs>
          <w:tab w:pos="6789" w:val="left"/>
        </w:tabs>
        <w:bidi w:val="0"/>
        <w:spacing w:before="0" w:after="0" w:line="389" w:lineRule="exact"/>
        <w:ind w:left="0" w:right="0" w:firstLine="440"/>
        <w:jc w:val="left"/>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号），增值税一般纳税人销售自行</w:t>
      </w:r>
    </w:p>
    <w:p>
      <w:pPr>
        <w:pStyle w:val="Style28"/>
        <w:keepNext w:val="0"/>
        <w:keepLines w:val="0"/>
        <w:widowControl w:val="0"/>
        <w:shd w:val="clear" w:color="auto" w:fill="auto"/>
        <w:bidi w:val="0"/>
        <w:spacing w:before="0" w:after="420" w:line="389" w:lineRule="exact"/>
        <w:ind w:left="0" w:right="0" w:firstLine="0"/>
        <w:jc w:val="left"/>
      </w:pPr>
      <w:r>
        <w:rPr>
          <w:color w:val="000000"/>
          <w:spacing w:val="0"/>
          <w:w w:val="100"/>
          <w:position w:val="0"/>
        </w:rPr>
        <w:t>开发生产的软件产品，对其增值税实际税负超过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的部分实行即征即退的优惠政策，本公司享受上述优惠政策。</w:t>
      </w:r>
    </w:p>
    <w:p>
      <w:pPr>
        <w:pStyle w:val="Style24"/>
        <w:keepNext/>
        <w:keepLines/>
        <w:widowControl w:val="0"/>
        <w:shd w:val="clear" w:color="auto" w:fill="auto"/>
        <w:bidi w:val="0"/>
        <w:spacing w:before="0" w:after="34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sz w:val="24"/>
          <w:szCs w:val="24"/>
        </w:rPr>
        <w:t>七</w:t>
      </w:r>
      <w:bookmarkEnd w:id="1099"/>
      <w:r>
        <w:rPr>
          <w:color w:val="000000"/>
          <w:spacing w:val="0"/>
          <w:w w:val="100"/>
          <w:position w:val="0"/>
          <w:sz w:val="24"/>
          <w:szCs w:val="24"/>
        </w:rPr>
        <w:t>、合并财务报表项目注释</w:t>
      </w:r>
      <w:bookmarkEnd w:id="1097"/>
      <w:bookmarkEnd w:id="1098"/>
      <w:bookmarkEnd w:id="1100"/>
    </w:p>
    <w:p>
      <w:pPr>
        <w:pStyle w:val="Style31"/>
        <w:keepNext/>
        <w:keepLines/>
        <w:widowControl w:val="0"/>
        <w:shd w:val="clear" w:color="auto" w:fill="auto"/>
        <w:bidi w:val="0"/>
        <w:spacing w:before="0" w:after="34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1"/>
      <w:bookmarkEnd w:id="1102"/>
      <w:bookmarkEnd w:id="11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875,236,193.84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1,464,649,007.64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875,287,524.62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1,464,649,007.64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12,193,736.25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其他说明：受限货币资金情况如下:</w:t>
      </w:r>
    </w:p>
    <w:p>
      <w:pPr>
        <w:widowControl w:val="0"/>
        <w:spacing w:after="79" w:line="1" w:lineRule="exact"/>
      </w:pPr>
    </w:p>
    <w:tbl>
      <w:tblPr>
        <w:tblOverlap w:val="never"/>
        <w:jc w:val="center"/>
        <w:tblLayout w:type="fixed"/>
      </w:tblPr>
      <w:tblGrid>
        <w:gridCol w:w="2462"/>
        <w:gridCol w:w="3341"/>
        <w:gridCol w:w="387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财政资金监管户、保证金等</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40" w:right="957" w:bottom="1455" w:left="988" w:header="0" w:footer="3" w:gutter="0"/>
          <w:cols w:space="720"/>
          <w:noEndnote/>
          <w:rtlGutter w:val="0"/>
          <w:docGrid w:linePitch="360"/>
        </w:sectPr>
      </w:pPr>
    </w:p>
    <w:p>
      <w:pPr>
        <w:pStyle w:val="Style31"/>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04"/>
      <w:bookmarkEnd w:id="1105"/>
      <w:bookmarkEnd w:id="1106"/>
    </w:p>
    <w:p>
      <w:pPr>
        <w:pStyle w:val="Style26"/>
        <w:keepNext w:val="0"/>
        <w:keepLines w:val="0"/>
        <w:widowControl w:val="0"/>
        <w:shd w:val="clear" w:color="auto" w:fill="auto"/>
        <w:bidi w:val="0"/>
        <w:spacing w:before="0" w:after="0" w:line="240" w:lineRule="auto"/>
        <w:ind w:left="8717"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300,768,801.39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其他说明：交易性金融资产余额系公司银行理财本金和收益构成。</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24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color w:val="000000"/>
          <w:spacing w:val="0"/>
          <w:w w:val="100"/>
          <w:position w:val="0"/>
        </w:rPr>
        <w:t>、应收账款</w:t>
      </w:r>
      <w:bookmarkEnd w:id="1107"/>
      <w:bookmarkEnd w:id="1108"/>
      <w:bookmarkEnd w:id="1110"/>
    </w:p>
    <w:p>
      <w:pPr>
        <w:pStyle w:val="Style42"/>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1"/>
      <w:bookmarkEnd w:id="1112"/>
      <w:bookmarkEnd w:id="1114"/>
    </w:p>
    <w:p>
      <w:pPr>
        <w:pStyle w:val="Style26"/>
        <w:keepNext w:val="0"/>
        <w:keepLines w:val="0"/>
        <w:widowControl w:val="0"/>
        <w:shd w:val="clear" w:color="auto" w:fill="auto"/>
        <w:bidi w:val="0"/>
        <w:spacing w:before="0" w:after="0" w:line="240" w:lineRule="auto"/>
        <w:ind w:left="12542" w:right="0" w:firstLine="0"/>
        <w:jc w:val="left"/>
      </w:pPr>
      <w:r>
        <w:rPr>
          <w:color w:val="000000"/>
          <w:spacing w:val="0"/>
          <w:w w:val="100"/>
          <w:position w:val="0"/>
        </w:rPr>
        <w:t>单位：元</w:t>
      </w:r>
    </w:p>
    <w:tbl>
      <w:tblPr>
        <w:tblOverlap w:val="never"/>
        <w:jc w:val="center"/>
        <w:tblLayout w:type="fixed"/>
      </w:tblPr>
      <w:tblGrid>
        <w:gridCol w:w="2386"/>
        <w:gridCol w:w="1181"/>
        <w:gridCol w:w="1099"/>
        <w:gridCol w:w="1094"/>
        <w:gridCol w:w="1104"/>
        <w:gridCol w:w="1181"/>
        <w:gridCol w:w="1181"/>
        <w:gridCol w:w="1152"/>
        <w:gridCol w:w="1152"/>
        <w:gridCol w:w="1142"/>
        <w:gridCol w:w="136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按单项计提坏账准备的应收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10,789,935.08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9,812,059.00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10,789,935.08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9,812,059.00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367,706,982.24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74,877,189.26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292,829,792.98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517,185,242.01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69,200,998.19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447,984,243.82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331,031,534.41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49,338,957.32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281,692,577.09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497,144,997.87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55,803,436.47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质保金组合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36,675,447.83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25,538,231.94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11,137,215.89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20,040,244.14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13,397,561.72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378,496,917.32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84,689,248.26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293,807,669.06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521,519,591.68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73,535,347.86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447,984,243.82</w:t>
            </w:r>
          </w:p>
        </w:tc>
      </w:tr>
    </w:tbl>
    <w:p>
      <w:pPr>
        <w:sectPr>
          <w:footnotePr>
            <w:pos w:val="pageBottom"/>
            <w:numFmt w:val="decimal"/>
            <w:numRestart w:val="continuous"/>
          </w:footnotePr>
          <w:pgSz w:w="16840" w:h="11900" w:orient="landscape"/>
          <w:pgMar w:top="1158" w:right="1402" w:bottom="1158" w:left="1402" w:header="0" w:footer="3" w:gutter="0"/>
          <w:cols w:space="720"/>
          <w:noEndnote/>
          <w:rtlGutter w:val="0"/>
          <w:docGrid w:linePitch="360"/>
        </w:sectPr>
      </w:pPr>
    </w:p>
    <w:p>
      <w:pPr>
        <w:pStyle w:val="Style28"/>
        <w:keepNext w:val="0"/>
        <w:keepLines w:val="0"/>
        <w:widowControl w:val="0"/>
        <w:shd w:val="clear" w:color="auto" w:fill="auto"/>
        <w:bidi w:val="0"/>
        <w:spacing w:before="160" w:after="12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9,812,059.00</w:t>
      </w:r>
      <w:r>
        <w:rPr>
          <w:color w:val="000000"/>
          <w:spacing w:val="0"/>
          <w:w w:val="100"/>
          <w:position w:val="0"/>
        </w:rPr>
        <w:t>元</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经营不善无履约能力， 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2,013,089.11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2,013,089.11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5,977,876.08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1,005,666.47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1,005,666.47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10,789,935.08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9,812,059.00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49,338,957.32</w:t>
      </w:r>
      <w:r>
        <w:rPr>
          <w:color w:val="000000"/>
          <w:spacing w:val="0"/>
          <w:w w:val="100"/>
          <w:position w:val="0"/>
        </w:rPr>
        <w:t>元</w:t>
      </w:r>
    </w:p>
    <w:p>
      <w:pPr>
        <w:widowControl w:val="0"/>
        <w:spacing w:after="119" w:line="1" w:lineRule="exact"/>
      </w:pP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123,314,190.79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6,165,709.54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133,460,430.23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13,346,043.02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57,002,798.41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17,100,839.52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7,354,355.61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3,677,177.81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4,252,859.73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3,402,287.79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5,646,899.64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5,646,899.64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331,031,534.41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49,338,957.32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5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r>
        <w:rPr>
          <w:color w:val="000000"/>
          <w:spacing w:val="0"/>
          <w:w w:val="100"/>
          <w:position w:val="0"/>
          <w:sz w:val="18"/>
          <w:szCs w:val="18"/>
        </w:rPr>
        <w:t>25,538,231.94</w:t>
      </w:r>
      <w:r>
        <w:rPr>
          <w:rFonts w:ascii="SimSun" w:eastAsia="SimSun" w:hAnsi="SimSun" w:cs="SimSun"/>
          <w:color w:val="000000"/>
          <w:spacing w:val="0"/>
          <w:w w:val="100"/>
          <w:position w:val="0"/>
          <w:sz w:val="17"/>
          <w:szCs w:val="17"/>
        </w:rPr>
        <w:t>元</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22,274,431.80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11,137,215.91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超质保期一年以上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14,401,016.03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14,401,016.03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36,675,447.83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25,538,231.94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146,229,513.46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153,108,732.18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58,923,257.83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20,235,413.85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8,350,313.55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4,643,075.33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7,242,024.97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378,496,917.32</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5"/>
      <w:bookmarkEnd w:id="1116"/>
      <w:bookmarkEnd w:id="1118"/>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2"/>
        <w:gridCol w:w="1421"/>
        <w:gridCol w:w="1416"/>
        <w:gridCol w:w="1277"/>
        <w:gridCol w:w="1272"/>
        <w:gridCol w:w="835"/>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8,134,755.58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2,657,046.25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9,812,059.00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69,200,998.19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5,817,331.07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141,140.00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74,877,189.26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73,535,347.86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13,952,086.65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2,657,046.25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141,140.00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84,689,248.26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内蒙古中翼泰达科技有限公司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2,621,846.25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9"/>
      <w:bookmarkEnd w:id="1120"/>
      <w:bookmarkEnd w:id="112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应收账款核销说明：华信金溢破产清算，历史债权核销。</w:t>
      </w:r>
    </w:p>
    <w:p>
      <w:pPr>
        <w:pStyle w:val="Style42"/>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23"/>
      <w:bookmarkEnd w:id="1124"/>
      <w:bookmarkEnd w:id="112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32,185,150.80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7,201,931.84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23,497,645.04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2,067,863.75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21,558,811.14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3,468,015.89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19,787,157.48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4,773,985.14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19,328,886.19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1,973,484.62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116,357,650.65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42"/>
        <w:keepNext/>
        <w:keepLines/>
        <w:widowControl w:val="0"/>
        <w:shd w:val="clear" w:color="auto" w:fill="auto"/>
        <w:tabs>
          <w:tab w:pos="493" w:val="left"/>
        </w:tabs>
        <w:bidi w:val="0"/>
        <w:spacing w:before="0" w:after="44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27"/>
      <w:bookmarkEnd w:id="1128"/>
      <w:bookmarkEnd w:id="1130"/>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31"/>
      <w:bookmarkEnd w:id="1132"/>
      <w:bookmarkEnd w:id="113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4</w:t>
      </w:r>
      <w:bookmarkEnd w:id="1137"/>
      <w:r>
        <w:rPr>
          <w:color w:val="000000"/>
          <w:spacing w:val="0"/>
          <w:w w:val="100"/>
          <w:position w:val="0"/>
        </w:rPr>
        <w:t>、应收款项融资</w:t>
      </w:r>
      <w:bookmarkEnd w:id="1135"/>
      <w:bookmarkEnd w:id="1136"/>
      <w:bookmarkEnd w:id="11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5,110,916.31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15,489,939.55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5,110,916.31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15,489,939.55</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5</w:t>
      </w:r>
      <w:bookmarkEnd w:id="1141"/>
      <w:r>
        <w:rPr>
          <w:color w:val="000000"/>
          <w:spacing w:val="0"/>
          <w:w w:val="100"/>
          <w:position w:val="0"/>
        </w:rPr>
        <w:t>、预付款项</w:t>
      </w:r>
      <w:bookmarkEnd w:id="1139"/>
      <w:bookmarkEnd w:id="1140"/>
      <w:bookmarkEnd w:id="1142"/>
    </w:p>
    <w:p>
      <w:pPr>
        <w:pStyle w:val="Style42"/>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3"/>
      <w:bookmarkEnd w:id="1144"/>
      <w:bookmarkEnd w:id="1146"/>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11,218,911.86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4,298,973.25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818,583.10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12,250,144.93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5,394,800.72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47"/>
      <w:bookmarkEnd w:id="1148"/>
      <w:bookmarkEnd w:id="1150"/>
    </w:p>
    <w:tbl>
      <w:tblPr>
        <w:tblOverlap w:val="never"/>
        <w:jc w:val="center"/>
        <w:tblLayout w:type="fixed"/>
      </w:tblPr>
      <w:tblGrid>
        <w:gridCol w:w="3293"/>
        <w:gridCol w:w="3283"/>
        <w:gridCol w:w="329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占预付款项余额的比例（</w:t>
            </w:r>
            <w:r>
              <w:rPr>
                <w:color w:val="000000"/>
                <w:spacing w:val="0"/>
                <w:w w:val="100"/>
                <w:position w:val="0"/>
                <w:sz w:val="18"/>
                <w:szCs w:val="18"/>
              </w:rPr>
              <w:t>％</w:t>
            </w:r>
            <w:r>
              <w:rPr>
                <w:color w:val="000000"/>
                <w:spacing w:val="0"/>
                <w:w w:val="100"/>
                <w:position w:val="0"/>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6,947,515.00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943,396.20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849,398.40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261,000.00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247,524.75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9,248,834.35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6</w:t>
      </w:r>
      <w:bookmarkEnd w:id="1153"/>
      <w:r>
        <w:rPr>
          <w:color w:val="000000"/>
          <w:spacing w:val="0"/>
          <w:w w:val="100"/>
          <w:position w:val="0"/>
        </w:rPr>
        <w:t>、其他应收款</w:t>
      </w:r>
      <w:bookmarkEnd w:id="1151"/>
      <w:bookmarkEnd w:id="1152"/>
      <w:bookmarkEnd w:id="115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3,813,258.72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15,908,464.36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5,884,119.01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15,908,464.36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5"/>
      <w:bookmarkEnd w:id="1156"/>
      <w:bookmarkEnd w:id="1158"/>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2"/>
        <w:keepNext/>
        <w:keepLines/>
        <w:widowControl w:val="0"/>
        <w:shd w:val="clear" w:color="auto" w:fill="auto"/>
        <w:bidi w:val="0"/>
        <w:spacing w:before="0" w:after="360" w:line="240" w:lineRule="auto"/>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59"/>
      <w:bookmarkEnd w:id="1160"/>
      <w:bookmarkEnd w:id="1162"/>
    </w:p>
    <w:p>
      <w:pPr>
        <w:pStyle w:val="Style63"/>
        <w:keepNext/>
        <w:keepLines/>
        <w:widowControl w:val="0"/>
        <w:shd w:val="clear" w:color="auto" w:fill="auto"/>
        <w:bidi w:val="0"/>
        <w:spacing w:before="0" w:after="360" w:line="240" w:lineRule="auto"/>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color w:val="000000"/>
          <w:spacing w:val="0"/>
          <w:w w:val="100"/>
          <w:position w:val="0"/>
        </w:rPr>
        <w:t>）应收股利分类</w:t>
      </w:r>
      <w:bookmarkEnd w:id="1163"/>
      <w:bookmarkEnd w:id="1164"/>
      <w:bookmarkEnd w:id="116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3"/>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67"/>
      <w:bookmarkEnd w:id="1168"/>
      <w:bookmarkEnd w:id="117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after="42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color w:val="000000"/>
          <w:spacing w:val="0"/>
          <w:w w:val="100"/>
          <w:position w:val="0"/>
        </w:rPr>
        <w:t>）坏账准备计提情况</w:t>
      </w:r>
      <w:bookmarkEnd w:id="1171"/>
      <w:bookmarkEnd w:id="1172"/>
      <w:bookmarkEnd w:id="117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其他说明：无。</w:t>
      </w:r>
    </w:p>
    <w:p>
      <w:pPr>
        <w:pStyle w:val="Style4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75"/>
      <w:bookmarkEnd w:id="1176"/>
      <w:bookmarkEnd w:id="1178"/>
    </w:p>
    <w:p>
      <w:pPr>
        <w:pStyle w:val="Style63"/>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color w:val="000000"/>
          <w:spacing w:val="0"/>
          <w:w w:val="100"/>
          <w:position w:val="0"/>
        </w:rPr>
        <w:t>）其他应收款按款项性质分类情况</w:t>
      </w:r>
      <w:bookmarkEnd w:id="1179"/>
      <w:bookmarkEnd w:id="1180"/>
      <w:bookmarkEnd w:id="11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应收债务重组款项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6,623,495.73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7,357,497.24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代缴社保及公积金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715,952.97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689,356.52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1,930,833.07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1,865,357.50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9,301,807.64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19,462,164.42</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color w:val="000000"/>
          <w:spacing w:val="0"/>
          <w:w w:val="100"/>
          <w:position w:val="0"/>
        </w:rPr>
        <w:t>）坏账准备计提情况</w:t>
      </w:r>
      <w:bookmarkEnd w:id="1183"/>
      <w:bookmarkEnd w:id="1184"/>
      <w:bookmarkEnd w:id="118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整个存续期预期信用损失 （已发生信用减值）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603,755.52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2,723,672.90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3,553,700.06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2,551,066.91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1,934,848.86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106,873.87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5,282,197.30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5,488,548.92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2,137,477.32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994,777.50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1,828,147.10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4,341,405.72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454,040.45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3,212,965.27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9,301,807.64</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color w:val="000000"/>
          <w:spacing w:val="0"/>
          <w:w w:val="100"/>
          <w:position w:val="0"/>
        </w:rPr>
        <w:t>）本期计提、收回或转回的坏账准备情况</w:t>
      </w:r>
      <w:bookmarkEnd w:id="1187"/>
      <w:bookmarkEnd w:id="1188"/>
      <w:bookmarkEnd w:id="119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560"/>
        <w:gridCol w:w="1416"/>
        <w:gridCol w:w="1138"/>
        <w:gridCol w:w="989"/>
        <w:gridCol w:w="1037"/>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1,902,449.03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1,902,449.03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3,553,700.06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3,586,099.89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3,553,700.06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1,934,848.86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5,488,548.92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其中本期坏账准备转回或收回金额重要的：无。</w:t>
      </w:r>
    </w:p>
    <w:p>
      <w:pPr>
        <w:pStyle w:val="Style63"/>
        <w:keepNext/>
        <w:keepLines/>
        <w:widowControl w:val="0"/>
        <w:shd w:val="clear" w:color="auto" w:fill="auto"/>
        <w:tabs>
          <w:tab w:pos="392"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color w:val="000000"/>
          <w:spacing w:val="0"/>
          <w:w w:val="100"/>
          <w:position w:val="0"/>
        </w:rPr>
        <w:t>）</w:t>
        <w:tab/>
        <w:t>本期实际核销的其他应收款情况</w:t>
      </w:r>
      <w:bookmarkEnd w:id="1191"/>
      <w:bookmarkEnd w:id="1192"/>
      <w:bookmarkEnd w:id="119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tabs>
          <w:tab w:pos="392"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5</w:t>
      </w:r>
      <w:bookmarkEnd w:id="1197"/>
      <w:r>
        <w:rPr>
          <w:color w:val="000000"/>
          <w:spacing w:val="0"/>
          <w:w w:val="100"/>
          <w:position w:val="0"/>
        </w:rPr>
        <w:t>）</w:t>
        <w:tab/>
        <w:t>按欠款方归集的期末余额前五名的其他应收款情况</w:t>
      </w:r>
      <w:bookmarkEnd w:id="1195"/>
      <w:bookmarkEnd w:id="1196"/>
      <w:bookmarkEnd w:id="119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2,504,344.18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1,840,495.07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804,944.89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643,955.91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734,036.00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734,036.00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517,340.50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454,967.03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454,967.03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5,015,632.60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3,717,552.34</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6</w:t>
      </w:r>
      <w:bookmarkEnd w:id="1201"/>
      <w:r>
        <w:rPr>
          <w:color w:val="000000"/>
          <w:spacing w:val="0"/>
          <w:w w:val="100"/>
          <w:position w:val="0"/>
        </w:rPr>
        <w:t>）涉及政府补助的应收款项</w:t>
      </w:r>
      <w:bookmarkEnd w:id="1199"/>
      <w:bookmarkEnd w:id="1200"/>
      <w:bookmarkEnd w:id="120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3"/>
        <w:keepNext/>
        <w:keepLines/>
        <w:widowControl w:val="0"/>
        <w:shd w:val="clear" w:color="auto" w:fill="auto"/>
        <w:tabs>
          <w:tab w:pos="387" w:val="left"/>
        </w:tabs>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7</w:t>
      </w:r>
      <w:bookmarkEnd w:id="1205"/>
      <w:r>
        <w:rPr>
          <w:color w:val="000000"/>
          <w:spacing w:val="0"/>
          <w:w w:val="100"/>
          <w:position w:val="0"/>
        </w:rPr>
        <w:t>）</w:t>
        <w:tab/>
        <w:t>因金融资产转移而终止确认的其他应收款</w:t>
      </w:r>
      <w:bookmarkEnd w:id="1203"/>
      <w:bookmarkEnd w:id="1204"/>
      <w:bookmarkEnd w:id="120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tabs>
          <w:tab w:pos="392"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8</w:t>
      </w:r>
      <w:bookmarkEnd w:id="1209"/>
      <w:r>
        <w:rPr>
          <w:color w:val="000000"/>
          <w:spacing w:val="0"/>
          <w:w w:val="100"/>
          <w:position w:val="0"/>
        </w:rPr>
        <w:t>）</w:t>
        <w:tab/>
        <w:t>转移其他应收款且继续涉入形成的资产、负债金额</w:t>
      </w:r>
      <w:bookmarkEnd w:id="1207"/>
      <w:bookmarkEnd w:id="1208"/>
      <w:bookmarkEnd w:id="121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7</w:t>
      </w:r>
      <w:bookmarkEnd w:id="1213"/>
      <w:r>
        <w:rPr>
          <w:color w:val="000000"/>
          <w:spacing w:val="0"/>
          <w:w w:val="100"/>
          <w:position w:val="0"/>
        </w:rPr>
        <w:t>、存货</w:t>
      </w:r>
      <w:bookmarkEnd w:id="1211"/>
      <w:bookmarkEnd w:id="1212"/>
      <w:bookmarkEnd w:id="121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公司是否需要遵守房地产行业的披露要求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2"/>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15"/>
      <w:bookmarkEnd w:id="1216"/>
      <w:bookmarkEnd w:id="12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174,716,729.89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104,144,401.32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70,572,328.57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208,101,507.87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24,222,818.61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183,878,689.26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298,162.30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298,162.30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2,399,670.89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2,399,670.89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40,721,662.49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5,731,995.57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34,989,666.92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29,803,065.11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2,758,035.06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27,045,030.05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3,134,519.18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3,134,519.18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3,264,350.52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3,264,350.52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40,664,174.06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405,800.69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40,258,373.37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40,696,209.56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40,259,463.12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1,203,388.13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1,203,388.13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259,535,247.92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110,282,197.58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149,253,050.34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285,468,192.08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27,417,600.11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258,050,591.97</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19"/>
      <w:bookmarkEnd w:id="1220"/>
      <w:bookmarkEnd w:id="12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24,222,818.61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94,639,060.01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14,717,477.30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104,144,401.32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2,758,035.06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3,041,838.23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5,731,995.57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436,746.44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333,933.90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364,879.65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405,800.69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27,417,600.11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98,014,832.14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15,150,234.67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110,282,197.58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bl>
      <w:tblPr>
        <w:tblOverlap w:val="never"/>
        <w:jc w:val="left"/>
        <w:tblLayout w:type="fixed"/>
      </w:tblPr>
      <w:tblGrid>
        <w:gridCol w:w="1886"/>
        <w:gridCol w:w="3034"/>
        <w:gridCol w:w="3403"/>
      </w:tblGrid>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本期转回或转销存货跌价准备的原因</w:t>
            </w:r>
          </w:p>
        </w:tc>
      </w:tr>
    </w:tbl>
    <w:p>
      <w:pPr>
        <w:spacing w:lineRule="exact" w:line="1"/>
        <w:rPr>
          <w:sz w:val="2"/>
          <w:szCs w:val="2"/>
        </w:rPr>
      </w:pPr>
      <w:r>
        <w:br w:type="page"/>
      </w:r>
    </w:p>
    <w:tbl>
      <w:tblPr>
        <w:tblOverlap w:val="never"/>
        <w:jc w:val="left"/>
        <w:tblLayout w:type="fixed"/>
      </w:tblPr>
      <w:tblGrid>
        <w:gridCol w:w="1886"/>
        <w:gridCol w:w="3034"/>
        <w:gridCol w:w="3403"/>
      </w:tblGrid>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相关产成品估计售价减去至完工估计 将要发生的成本、估计的销售费用以及 相关税费后的金额确定可变现净值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本期已将期初计提存货跌价准备的存货耗 用或报废</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库存商品、发出商品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相关产成品估计售价减去估计的销售 费用以及相关税费后的金额确定可变 现净值</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本期已将期初计提存货跌价准备的存货售 出或报废</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23"/>
      <w:bookmarkEnd w:id="1224"/>
      <w:bookmarkEnd w:id="1226"/>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40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227"/>
      <w:bookmarkEnd w:id="1228"/>
      <w:bookmarkEnd w:id="12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387"/>
        <w:gridCol w:w="1392"/>
        <w:gridCol w:w="1387"/>
        <w:gridCol w:w="1392"/>
        <w:gridCol w:w="139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期末数</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湖北客运站项目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2,326,123.05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2,326,123.05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个标杆场站智能化建设项目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595,660.31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212,735.82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808,396.13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342,567.16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3,264,350.52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212,735.82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342,567.16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3,134,519.18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8</w:t>
      </w:r>
      <w:bookmarkEnd w:id="1233"/>
      <w:r>
        <w:rPr>
          <w:color w:val="000000"/>
          <w:spacing w:val="0"/>
          <w:w w:val="100"/>
          <w:position w:val="0"/>
        </w:rPr>
        <w:t>、合同资产</w:t>
      </w:r>
      <w:bookmarkEnd w:id="1231"/>
      <w:bookmarkEnd w:id="1232"/>
      <w:bookmarkEnd w:id="123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33,900,053.99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3,390,005.40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30,510,048.59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84,203,171.53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8,436,193.16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75,766,978.37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33,900,053.99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3,390,005.40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30,510,048.59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84,203,171.53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8,436,193.16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75,766,978.37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-5,028,547.76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-5,028,547.76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left"/>
        <w:tblLayout w:type="fixed"/>
      </w:tblPr>
      <w:tblGrid>
        <w:gridCol w:w="1958"/>
        <w:gridCol w:w="2035"/>
        <w:gridCol w:w="2266"/>
        <w:gridCol w:w="2280"/>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33,900,053.99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3,390,005.40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spacing w:lineRule="exact" w:line="1"/>
        <w:rPr>
          <w:sz w:val="2"/>
          <w:szCs w:val="2"/>
        </w:rPr>
      </w:pPr>
      <w:r>
        <w:br w:type="page"/>
      </w:r>
    </w:p>
    <w:tbl>
      <w:tblPr>
        <w:tblOverlap w:val="never"/>
        <w:jc w:val="left"/>
        <w:tblLayout w:type="fixed"/>
      </w:tblPr>
      <w:tblGrid>
        <w:gridCol w:w="1958"/>
        <w:gridCol w:w="2035"/>
        <w:gridCol w:w="2266"/>
        <w:gridCol w:w="2280"/>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33,900,053.99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3,390,005.40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9</w:t>
      </w:r>
      <w:bookmarkEnd w:id="1237"/>
      <w:r>
        <w:rPr>
          <w:color w:val="000000"/>
          <w:spacing w:val="0"/>
          <w:w w:val="100"/>
          <w:position w:val="0"/>
        </w:rPr>
        <w:t>、其他流动资产</w:t>
      </w:r>
      <w:bookmarkEnd w:id="1235"/>
      <w:bookmarkEnd w:id="1236"/>
      <w:bookmarkEnd w:id="123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24,357,062.81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22,583,518.92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24,357,062.81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22,583,518.92</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39"/>
      <w:bookmarkEnd w:id="1240"/>
      <w:bookmarkEnd w:id="1242"/>
    </w:p>
    <w:p>
      <w:pPr>
        <w:pStyle w:val="Style26"/>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643"/>
        <w:gridCol w:w="1094"/>
        <w:gridCol w:w="1085"/>
        <w:gridCol w:w="552"/>
        <w:gridCol w:w="1003"/>
        <w:gridCol w:w="638"/>
        <w:gridCol w:w="1090"/>
        <w:gridCol w:w="638"/>
        <w:gridCol w:w="638"/>
        <w:gridCol w:w="638"/>
        <w:gridCol w:w="1090"/>
        <w:gridCol w:w="60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 面价值）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期末余额（账 面价值）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山东高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速信威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2,125,255.82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4,012,720.22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6,137,976.04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宝溢交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14,742,444.58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312,531.58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15,054,976.16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信联支 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4,395,648.81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49,754,767.47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8,720,900.61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70,947,719.67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8,720,900.61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70,947,719.67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43"/>
      <w:bookmarkEnd w:id="1244"/>
      <w:bookmarkEnd w:id="124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55,179,570.22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55,179,570.22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其他综合收益转</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值计量且其变动 计入其他综合收 益的原因</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处置部分股权</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47"/>
      <w:bookmarkEnd w:id="1248"/>
      <w:bookmarkEnd w:id="1250"/>
    </w:p>
    <w:p>
      <w:pPr>
        <w:pStyle w:val="Style42"/>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51"/>
      <w:bookmarkEnd w:id="1252"/>
      <w:bookmarkEnd w:id="1254"/>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27,810,000.00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11,008,503.71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11,008,503.71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10,788,346.63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10,788,346.63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11,008,503.71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11,008,503.71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16,801,496.29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16,801,496.29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55"/>
      <w:bookmarkEnd w:id="1256"/>
      <w:bookmarkEnd w:id="125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59"/>
      <w:bookmarkEnd w:id="1260"/>
      <w:bookmarkEnd w:id="126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63"/>
      <w:bookmarkEnd w:id="1264"/>
      <w:bookmarkEnd w:id="12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272,450,289.34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349,242,961.37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272,450,289.34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349,242,961.37</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7"/>
      <w:bookmarkEnd w:id="1268"/>
      <w:bookmarkEnd w:id="12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固定资产装修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303,571,050.60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29,974,409.46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76,961,743.62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9,443,703.10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5,481,214.44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425,432,121.22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3,796,010.75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10,810,651.26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4,013,143.43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18,816,085.89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10,692,414.68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4,013,143.43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14,901,838.56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3,362,994.52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3,481,231.10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暂 估调整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433,016.23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433,016.23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86,884,951.85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2,217,611.79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90,218,378.05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2,217,611.79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3,333,426.20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转入在建工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59,074,951.85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59,074,951.85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216,686,098.75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33,770,420.21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85,554,783.09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9,274,991.55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8,743,535.46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354,029,829.06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20,615,759.87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532,300.47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45,876,059.80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6,356,495.57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2,808,544.14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76,189,159.85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8,220,758.80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6,036,518.02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7,600,790.03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798,270.65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23,484,829.34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8,220,758.80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6,036,518.02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7,600,790.03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798,270.65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23,484,829.34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14,994,316.09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2,062,021.17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18,094,449.47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2,062,021.17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3,100,133.38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10,788,346.63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10,788,346.63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4,205,969.46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4,205,969.46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13,842,202.58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6,568,818.49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51,414,828.66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6,838,245.01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2,915,444.98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81,579,539.72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202,843,896.17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27,201,601.72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34,139,954.43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2,436,746.54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5,828,090.48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272,450,289.34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282,955,290.73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29,442,108.99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31,085,683.82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3,087,207.53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2,672,670.30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349,242,961.37</w:t>
            </w:r>
          </w:p>
        </w:tc>
      </w:tr>
    </w:tbl>
    <w:p>
      <w:pPr>
        <w:widowControl w:val="0"/>
        <w:spacing w:after="29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271"/>
      <w:bookmarkEnd w:id="1272"/>
      <w:bookmarkEnd w:id="12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275"/>
      <w:bookmarkEnd w:id="1276"/>
      <w:bookmarkEnd w:id="127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279"/>
      <w:bookmarkEnd w:id="1280"/>
      <w:bookmarkEnd w:id="128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283"/>
      <w:bookmarkEnd w:id="1284"/>
      <w:bookmarkEnd w:id="12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87"/>
      <w:bookmarkEnd w:id="1288"/>
      <w:bookmarkEnd w:id="129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57,370,992.77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57,370,992.77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r>
    </w:tbl>
    <w:p>
      <w:pPr>
        <w:widowControl w:val="0"/>
        <w:spacing w:after="299" w:line="1" w:lineRule="exact"/>
      </w:pPr>
    </w:p>
    <w:p>
      <w:pPr>
        <w:pStyle w:val="Style42"/>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91"/>
      <w:bookmarkEnd w:id="1292"/>
      <w:bookmarkEnd w:id="12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深圳湾办公区项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211,757.55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广州玉树厂房工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222,772.28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预付设备款、软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1,323,503.92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1,323,503.92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3,536,485.08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3,536,485.08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软件系统安装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449,062.87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449,062.87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631</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青岛金溢项目一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期整治工程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55,598,425.98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55,598,425.98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444,526.19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57,370,992.77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57,370,992.77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95"/>
      <w:bookmarkEnd w:id="1296"/>
      <w:bookmarkEnd w:id="12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1094"/>
        <w:gridCol w:w="346"/>
        <w:gridCol w:w="1099"/>
        <w:gridCol w:w="576"/>
        <w:gridCol w:w="1171"/>
        <w:gridCol w:w="1094"/>
        <w:gridCol w:w="907"/>
        <w:gridCol w:w="346"/>
        <w:gridCol w:w="538"/>
        <w:gridCol w:w="787"/>
        <w:gridCol w:w="499"/>
        <w:gridCol w:w="36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 初 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本期其他减少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工程累计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投入占预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算比例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 程 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期利息资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来</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软件系统 安装（</w:t>
            </w:r>
            <w:r>
              <w:rPr>
                <w:rFonts w:ascii="Times New Roman" w:eastAsia="Times New Roman" w:hAnsi="Times New Roman" w:cs="Times New Roman"/>
                <w:color w:val="000000"/>
                <w:spacing w:val="0"/>
                <w:w w:val="100"/>
                <w:position w:val="0"/>
                <w:sz w:val="18"/>
                <w:szCs w:val="18"/>
              </w:rPr>
              <w:t xml:space="preserve">631 </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15,901,714.11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14,848,170.81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14,399,107.94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449,062.87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 有 资 金</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青岛金溢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项目一期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整治工程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9,410,912.87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55,598,425.98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55,598,425.98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 有 资 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25,312,626.98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70,446,596.79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14,399,107.94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56,047,488.85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420" w:line="386" w:lineRule="exact"/>
        <w:ind w:left="0" w:right="0" w:firstLine="0"/>
        <w:jc w:val="left"/>
      </w:pPr>
      <w:r>
        <w:rPr>
          <w:color w:val="000000"/>
          <w:spacing w:val="0"/>
          <w:w w:val="100"/>
          <w:position w:val="0"/>
        </w:rPr>
        <w:t>说明：青岛金溢项目一期整治工程系子公司青岛金溢科技有限公司的房屋建筑物装修改造后出租，主要由固定资产转入在建 工程；固定资产转入金额为</w:t>
      </w:r>
      <w:r>
        <w:rPr>
          <w:rFonts w:ascii="Times New Roman" w:eastAsia="Times New Roman" w:hAnsi="Times New Roman" w:cs="Times New Roman"/>
          <w:color w:val="000000"/>
          <w:spacing w:val="0"/>
          <w:w w:val="100"/>
          <w:position w:val="0"/>
          <w:sz w:val="18"/>
          <w:szCs w:val="18"/>
        </w:rPr>
        <w:t>54,868,982.39</w:t>
      </w:r>
      <w:r>
        <w:rPr>
          <w:color w:val="000000"/>
          <w:spacing w:val="0"/>
          <w:w w:val="100"/>
          <w:position w:val="0"/>
        </w:rPr>
        <w:t>元，已发生的整修费用</w:t>
      </w:r>
      <w:r>
        <w:rPr>
          <w:rFonts w:ascii="Times New Roman" w:eastAsia="Times New Roman" w:hAnsi="Times New Roman" w:cs="Times New Roman"/>
          <w:color w:val="000000"/>
          <w:spacing w:val="0"/>
          <w:w w:val="100"/>
          <w:position w:val="0"/>
          <w:sz w:val="18"/>
          <w:szCs w:val="18"/>
        </w:rPr>
        <w:t>729,443.59</w:t>
      </w:r>
      <w:r>
        <w:rPr>
          <w:color w:val="000000"/>
          <w:spacing w:val="0"/>
          <w:w w:val="100"/>
          <w:position w:val="0"/>
        </w:rPr>
        <w:t>元；工程进度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已发生的整修费用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整修工程的 整体预算。</w:t>
      </w:r>
    </w:p>
    <w:p>
      <w:pPr>
        <w:pStyle w:val="Style42"/>
        <w:keepNext/>
        <w:keepLines/>
        <w:widowControl w:val="0"/>
        <w:shd w:val="clear" w:color="auto" w:fill="auto"/>
        <w:tabs>
          <w:tab w:pos="493" w:val="left"/>
        </w:tabs>
        <w:bidi w:val="0"/>
        <w:spacing w:before="0" w:after="20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299"/>
      <w:bookmarkEnd w:id="1300"/>
      <w:bookmarkEnd w:id="1302"/>
    </w:p>
    <w:p>
      <w:pPr>
        <w:pStyle w:val="Style28"/>
        <w:keepNext w:val="0"/>
        <w:keepLines w:val="0"/>
        <w:widowControl w:val="0"/>
        <w:shd w:val="clear" w:color="auto" w:fill="auto"/>
        <w:bidi w:val="0"/>
        <w:spacing w:before="0" w:after="380" w:line="386" w:lineRule="exact"/>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20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03"/>
      <w:bookmarkEnd w:id="1304"/>
      <w:bookmarkEnd w:id="1306"/>
    </w:p>
    <w:p>
      <w:pPr>
        <w:pStyle w:val="Style28"/>
        <w:keepNext w:val="0"/>
        <w:keepLines w:val="0"/>
        <w:widowControl w:val="0"/>
        <w:shd w:val="clear" w:color="auto" w:fill="auto"/>
        <w:bidi w:val="0"/>
        <w:spacing w:before="0" w:after="380" w:line="386"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07"/>
      <w:bookmarkEnd w:id="1308"/>
      <w:bookmarkEnd w:id="1310"/>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42,928,376.57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42,928,376.57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5,792,421.20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5,792,421.20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租赁合同变更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5,792,421.20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5,792,421.20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14,879,406.51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14,879,406.51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14,879,406.51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14,879,406.51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33,841,391.26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33,841,391.26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14,313,888.56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14,313,888.56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14,313,888.56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14,313,888.56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4,760,763.10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4,760,763.10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4,760,763.10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4,760,763.10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9,553,125.46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9,553,125.46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24,288,265.80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24,288,265.80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42,928,376.57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42,928,376.57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）之说明。</w:t>
      </w:r>
    </w:p>
    <w:p>
      <w:pPr>
        <w:pStyle w:val="Style31"/>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11"/>
      <w:bookmarkEnd w:id="1312"/>
      <w:bookmarkEnd w:id="1314"/>
    </w:p>
    <w:p>
      <w:pPr>
        <w:pStyle w:val="Style42"/>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5"/>
      <w:bookmarkEnd w:id="1316"/>
      <w:bookmarkEnd w:id="131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36,229,382.20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9,071,224.04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45,300,606.24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15,968,758.96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15,968,758.96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1,569,651.02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1,569,651.02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2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14,399,107.94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14,399,107.94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36,229,382.20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25,039,983.00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61,269,365.20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4,544,710.59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7,060,329.13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11,605,039.72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1,184,995.25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1,917,852.41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1,184,995.25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1,917,852.41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5,277,567.75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8,245,324.38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13,522,892.13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30,951,814.45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16,794,658.62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47,746,473.07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31,684,671.61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2,010,894.91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33,695,566.52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2"/>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9"/>
      <w:bookmarkEnd w:id="1320"/>
      <w:bookmarkEnd w:id="1322"/>
    </w:p>
    <w:p>
      <w:pPr>
        <w:pStyle w:val="Style28"/>
        <w:keepNext w:val="0"/>
        <w:keepLines w:val="0"/>
        <w:widowControl w:val="0"/>
        <w:shd w:val="clear" w:color="auto" w:fill="auto"/>
        <w:bidi w:val="0"/>
        <w:spacing w:before="0" w:after="42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323"/>
      <w:bookmarkEnd w:id="1324"/>
      <w:bookmarkEnd w:id="132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13,948,382.30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1,241,915.77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4,966,714.77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252,270.50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9,971,312.80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830,033.25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794,349.14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14,778,415.55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1,701,727.09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5,462,210.20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252,270.50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10,765,661.94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7"/>
      <w:bookmarkEnd w:id="1328"/>
      <w:bookmarkEnd w:id="1330"/>
    </w:p>
    <w:p>
      <w:pPr>
        <w:pStyle w:val="Style42"/>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1"/>
      <w:bookmarkEnd w:id="1332"/>
      <w:bookmarkEnd w:id="133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203,494,802.08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31,258,882.37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112,889,547.93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16,933,432.19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17,618,488.71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2,642,773.31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412,243.47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106,536,217.24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15,980,432.59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38,813,911.63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5,872,075.97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8,100,539.94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10,001,759.34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1,500,263.90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1,350,782.31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13,195,694.58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18,172,872.79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2,725,930.92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27,468,498.18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4,120,274.73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29,970,500.00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419,631,373.58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63,729,357.33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224,288,023.70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33,643,203.56</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35"/>
      <w:bookmarkEnd w:id="1336"/>
      <w:bookmarkEnd w:id="13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245,338,800.00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36,800,820.00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11,556,370.22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1,733,455.53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246,107,601.39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36,916,140.21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11,556,370.22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1,733,455.53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39"/>
      <w:bookmarkEnd w:id="1340"/>
      <w:bookmarkEnd w:id="13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63,729,357.33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33,643,203.56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36,916,140.21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1,733,455.53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43"/>
      <w:bookmarkEnd w:id="1344"/>
      <w:bookmarkEnd w:id="134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20,310,521.25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6,075,042.24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15,913,783.65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16,672,187.01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336,439.07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36,560,743.97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22,747,229.25</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47"/>
      <w:bookmarkEnd w:id="1348"/>
      <w:bookmarkEnd w:id="135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3,535,277.51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2,700,638.78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2,803,231.02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1,443,734.93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1,561,489.22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4,247,336.43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4,938,573.63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3,670,437.87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3,833,615.63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3,851,635.64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15,913,783.65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16,672,187.01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351"/>
      <w:bookmarkEnd w:id="1352"/>
      <w:bookmarkEnd w:id="135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67"/>
        <w:gridCol w:w="1262"/>
        <w:gridCol w:w="1301"/>
        <w:gridCol w:w="1229"/>
        <w:gridCol w:w="1262"/>
        <w:gridCol w:w="12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54,432,744.91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5,443,274.49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48,989,470.42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41,711,217.94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4,171,121.79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37,540,096.15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股权投资款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17,624,785.64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72,375,214.36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信联支付股权投资款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45,359,118.66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144,432,744.91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23,068,060.13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121,364,684.78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87,070,336.60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4,171,121.79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82,899,214.81</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股权投资款系支付给深圳镓华微电子有限公司的增资款。</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0</w:t>
      </w:r>
      <w:r>
        <w:rPr>
          <w:color w:val="000000"/>
          <w:spacing w:val="0"/>
          <w:w w:val="100"/>
          <w:position w:val="0"/>
        </w:rPr>
        <w:t>、</w:t>
        <w:tab/>
        <w:t>短期借款</w:t>
      </w:r>
      <w:bookmarkEnd w:id="1355"/>
      <w:bookmarkEnd w:id="1356"/>
      <w:bookmarkEnd w:id="135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359"/>
      <w:bookmarkEnd w:id="1360"/>
      <w:bookmarkEnd w:id="136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6,472,417.71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37,755,564.01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42,062,066.63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92,244,478.67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48,534,484.34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130,000,042.68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63"/>
      <w:bookmarkEnd w:id="1364"/>
      <w:bookmarkEnd w:id="1366"/>
    </w:p>
    <w:p>
      <w:pPr>
        <w:pStyle w:val="Style42"/>
        <w:keepNext/>
        <w:keepLines/>
        <w:widowControl w:val="0"/>
        <w:shd w:val="clear" w:color="auto" w:fill="auto"/>
        <w:bidi w:val="0"/>
        <w:spacing w:before="0" w:line="240" w:lineRule="auto"/>
        <w:ind w:left="0" w:right="0" w:firstLine="0"/>
        <w:jc w:val="both"/>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7"/>
      <w:bookmarkEnd w:id="1368"/>
      <w:bookmarkEnd w:id="137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71,082,641.06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127,675,951.61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11,747,845.81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17,996,943.39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82,830,486.87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145,672,895.00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1"/>
      <w:bookmarkEnd w:id="1372"/>
      <w:bookmarkEnd w:id="13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w:t>
        <w:tab/>
        <w:t>预收款项</w:t>
      </w:r>
      <w:bookmarkEnd w:id="1375"/>
      <w:bookmarkEnd w:id="1376"/>
      <w:bookmarkEnd w:id="137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1379"/>
      <w:bookmarkEnd w:id="1380"/>
      <w:bookmarkEnd w:id="138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42,463,919.26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33,350,432.85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42,463,919.26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33,350,432.85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383"/>
      <w:bookmarkEnd w:id="1384"/>
      <w:bookmarkEnd w:id="1386"/>
    </w:p>
    <w:p>
      <w:pPr>
        <w:pStyle w:val="Style42"/>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7"/>
      <w:bookmarkEnd w:id="1388"/>
      <w:bookmarkEnd w:id="1390"/>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34,219,291.19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163,389,805.80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172,872,851.78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24,736,245.21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7,114,685.30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7,114,685.30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34,219,291.19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170,504,491.10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179,987,537.08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24,736,245.21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1"/>
      <w:bookmarkEnd w:id="1392"/>
      <w:bookmarkEnd w:id="139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31,274,355.38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143,574,790.57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150,466,692.09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24,382,453.86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5,652,508.94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5,652,508.94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3,762,223.67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3,761,476.17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3,246,643.23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3,245,895.73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79,307.63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341,393.63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5,532,773.01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5,532,773.01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1,198,460.75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1,198,460.75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辞退福利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年以内支付 的部分）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2,944,935.81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3,669,048.86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6,260,940.82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353,043.85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34,219,291.19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163,389,805.80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172,872,851.78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24,736,245.21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95"/>
      <w:bookmarkEnd w:id="1396"/>
      <w:bookmarkEnd w:id="13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6,977,032.81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6,977,032.81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137,652.49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7,114,685.30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7,114,685.30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399"/>
      <w:bookmarkEnd w:id="1400"/>
      <w:bookmarkEnd w:id="140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11,445,744.39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33,958,616.45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3,242,022.20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17,448,206.32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882,861.00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813,752.50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232,448.32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1,664,329.55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713,284.09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475,522.72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228,148.90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272,441.07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16,197,259.31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55,346,152.70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403"/>
      <w:bookmarkEnd w:id="1404"/>
      <w:bookmarkEnd w:id="14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60,489,424.63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64,425,590.88</w:t>
            </w:r>
          </w:p>
        </w:tc>
      </w:tr>
    </w:tbl>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60,489,424.63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64,425,590.88</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07"/>
      <w:bookmarkEnd w:id="1408"/>
      <w:bookmarkEnd w:id="141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11"/>
      <w:bookmarkEnd w:id="1412"/>
      <w:bookmarkEnd w:id="141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415"/>
      <w:bookmarkEnd w:id="1416"/>
      <w:bookmarkEnd w:id="1418"/>
    </w:p>
    <w:p>
      <w:pPr>
        <w:pStyle w:val="Style63"/>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bookmarkEnd w:id="1421"/>
      <w:r>
        <w:rPr>
          <w:color w:val="000000"/>
          <w:spacing w:val="0"/>
          <w:w w:val="100"/>
          <w:position w:val="0"/>
        </w:rPr>
        <w:t>）按款项性质列示其他应付款</w:t>
      </w:r>
      <w:bookmarkEnd w:id="1419"/>
      <w:bookmarkEnd w:id="1420"/>
      <w:bookmarkEnd w:id="142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13,801,989.17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16,874,854.21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1,815,461.19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10,522,859.48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388,820.65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7,055,219.66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28,392,383.30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29,970,500.00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7,467,818.15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8,099,473.24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60,489,424.63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64,425,590.88</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bookmarkEnd w:id="142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3"/>
      <w:bookmarkEnd w:id="1424"/>
      <w:bookmarkEnd w:id="142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27"/>
      <w:bookmarkEnd w:id="1428"/>
      <w:bookmarkEnd w:id="143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7,990,476.68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14,149,006.97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7,990,476.68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14,149,006.97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）之说明。</w:t>
      </w:r>
    </w:p>
    <w:p>
      <w:pPr>
        <w:pStyle w:val="Style31"/>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431"/>
      <w:bookmarkEnd w:id="1432"/>
      <w:bookmarkEnd w:id="1434"/>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短期应付债券的增减变动：无。</w:t>
      </w:r>
    </w:p>
    <w:p>
      <w:pPr>
        <w:widowControl w:val="0"/>
        <w:spacing w:after="37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w:t>
        <w:tab/>
        <w:t>长期借款</w:t>
      </w:r>
      <w:bookmarkEnd w:id="1435"/>
      <w:bookmarkEnd w:id="1436"/>
      <w:bookmarkEnd w:id="143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439"/>
      <w:bookmarkEnd w:id="1440"/>
      <w:bookmarkEnd w:id="144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w:t>
        <w:tab/>
        <w:t>租赁负债</w:t>
      </w:r>
      <w:bookmarkEnd w:id="1443"/>
      <w:bookmarkEnd w:id="1444"/>
      <w:bookmarkEnd w:id="144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18,014,252.47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30,052,747.16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1,273,377.56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17,192,202.24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28,779,369.60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w:t>
        <w:tab/>
        <w:t>长期应付款</w:t>
      </w:r>
      <w:bookmarkEnd w:id="1447"/>
      <w:bookmarkEnd w:id="1448"/>
      <w:bookmarkEnd w:id="145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1451"/>
      <w:bookmarkEnd w:id="1452"/>
      <w:bookmarkEnd w:id="14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723"/>
        <w:gridCol w:w="1987"/>
        <w:gridCol w:w="348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33,188,811.63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5,538,599.61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按照处于质保期产品数量和单位产品质保 费用预计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逾期供货支付违约金、未决诉讼预计损失</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38,813,911.63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455"/>
      <w:bookmarkEnd w:id="1456"/>
      <w:bookmarkEnd w:id="14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10,001,759.34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与资产相关的补助 以及对应费用尚未 发生的与收益相关 的补助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1,550,956.08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10,001,759.34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133"/>
        <w:gridCol w:w="1133"/>
        <w:gridCol w:w="710"/>
        <w:gridCol w:w="1133"/>
        <w:gridCol w:w="710"/>
        <w:gridCol w:w="710"/>
        <w:gridCol w:w="1133"/>
        <w:gridCol w:w="88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城市综合停车收费管理与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面向城市智慧交通物联网 应用的</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设备研发及 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579,670.24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579,670.24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应用于联网收费公路的 </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多义性路径识别系统 的研发及产业化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92,613.16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电子车牌的系统 实现核心设备技术研发及 城市级应用示范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224,398.83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136,945.92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应急指挥与协调决策支持 系统开发与示范应用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515,312.54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477,825.86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新兴交通形态应用边界与 协同管控模式研究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新型车联网通信技术工程 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1,818,838.79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298,714.92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1,520,123.87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深圳市金溢科技股份有限 公司工业设计中心认定和 扶持计划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1,414,125.94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276,746.30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1,137,379.64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无人车网联关键技术研究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及应用验证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安全攸关软件系统的 构造与质量保障方法研究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的产业化应用研究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与资产相 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智能网联汽车超视距全局 感知融合方法及关键技术 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598,391.67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582,691.71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2165"/>
        <w:gridCol w:w="1133"/>
        <w:gridCol w:w="1133"/>
        <w:gridCol w:w="710"/>
        <w:gridCol w:w="1133"/>
        <w:gridCol w:w="710"/>
        <w:gridCol w:w="710"/>
        <w:gridCol w:w="1133"/>
        <w:gridCol w:w="88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复杂环境下''一带一路''城 市智能交通系统构建技术 系统集成与工程示范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智能车路协同自动化测试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关键技术研究与应用示范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应急指挥与协调决策支持 系统开发与示范应用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80,598.10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车路协同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r>
              <w:rPr>
                <w:color w:val="000000"/>
                <w:spacing w:val="0"/>
                <w:w w:val="100"/>
                <w:position w:val="0"/>
              </w:rPr>
              <w:t>标准体系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新兴交通形态应用边界与 协同管控模式研究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应急指挥与协调决策支持 系统开发与示范应用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新兴交通形态应用边界与 协同管控模式研究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应用于联网收费公路的 </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多义性路径识别系统 的研发及产业化（配套项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无人车网联关键技术研究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及应用验证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深圳市金溢科技股份有限 公司工业设计中心认定和 扶持计划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安全攸关软件系统的 构造与质量保障方法研究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的产业化应用研究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1,550,956.08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10,001,759.34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其他说明：无。</w:t>
      </w:r>
    </w:p>
    <w:p>
      <w:pPr>
        <w:widowControl w:val="0"/>
        <w:spacing w:after="37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6</w:t>
      </w:r>
      <w:r>
        <w:rPr>
          <w:color w:val="000000"/>
          <w:spacing w:val="0"/>
          <w:w w:val="100"/>
          <w:position w:val="0"/>
        </w:rPr>
        <w:t>、</w:t>
        <w:tab/>
        <w:t>其他非流动负债</w:t>
      </w:r>
      <w:bookmarkEnd w:id="1459"/>
      <w:bookmarkEnd w:id="1460"/>
      <w:bookmarkEnd w:id="146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7</w:t>
      </w:r>
      <w:r>
        <w:rPr>
          <w:color w:val="000000"/>
          <w:spacing w:val="0"/>
          <w:w w:val="100"/>
          <w:position w:val="0"/>
        </w:rPr>
        <w:t>、</w:t>
        <w:tab/>
        <w:t>股本</w:t>
      </w:r>
      <w:bookmarkEnd w:id="1463"/>
      <w:bookmarkEnd w:id="1464"/>
      <w:bookmarkEnd w:id="14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180,148,557.00</w:t>
            </w:r>
          </w:p>
        </w:tc>
      </w:tr>
    </w:tbl>
    <w:p>
      <w:pPr>
        <w:pStyle w:val="Style28"/>
        <w:keepNext w:val="0"/>
        <w:keepLines w:val="0"/>
        <w:widowControl w:val="0"/>
        <w:shd w:val="clear" w:color="auto" w:fill="auto"/>
        <w:bidi w:val="0"/>
        <w:spacing w:before="0" w:after="0" w:line="389"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420" w:line="389" w:lineRule="exact"/>
        <w:ind w:left="0" w:right="0" w:firstLine="460"/>
        <w:jc w:val="both"/>
      </w:pPr>
      <w:r>
        <w:rPr>
          <w:color w:val="000000"/>
          <w:spacing w:val="0"/>
          <w:w w:val="100"/>
          <w:position w:val="0"/>
        </w:rPr>
        <w:t>本期减少系公司回购未达到解锁条件的限制性股票</w:t>
      </w:r>
      <w:r>
        <w:rPr>
          <w:rFonts w:ascii="Times New Roman" w:eastAsia="Times New Roman" w:hAnsi="Times New Roman" w:cs="Times New Roman"/>
          <w:color w:val="000000"/>
          <w:spacing w:val="0"/>
          <w:w w:val="100"/>
          <w:position w:val="0"/>
          <w:sz w:val="18"/>
          <w:szCs w:val="18"/>
        </w:rPr>
        <w:t>487,540</w:t>
      </w:r>
      <w:r>
        <w:rPr>
          <w:color w:val="000000"/>
          <w:spacing w:val="0"/>
          <w:w w:val="100"/>
          <w:position w:val="0"/>
        </w:rPr>
        <w:t>股。公司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年限制性股票激励计划首次授予限制性股票原 激励对象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人已离职，根据公司《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年限制性股票激励计划（草案）》的相关规定，上述</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名离职人员已不符合激励条 件。根据公司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年第二次临时股东大会决议、第三届董事会第十二次会议决议和修改后章程规定，公司将上述</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名离职人 员持有的已获授但尚未解除限售的</w:t>
      </w:r>
      <w:r>
        <w:rPr>
          <w:rFonts w:ascii="Times New Roman" w:eastAsia="Times New Roman" w:hAnsi="Times New Roman" w:cs="Times New Roman"/>
          <w:color w:val="000000"/>
          <w:spacing w:val="0"/>
          <w:w w:val="100"/>
          <w:position w:val="0"/>
          <w:sz w:val="18"/>
          <w:szCs w:val="18"/>
        </w:rPr>
        <w:t>487,540</w:t>
      </w:r>
      <w:r>
        <w:rPr>
          <w:color w:val="000000"/>
          <w:spacing w:val="0"/>
          <w:w w:val="100"/>
          <w:position w:val="0"/>
        </w:rPr>
        <w:t>股限制性股票进行回购注销，对应减少股本溢价</w:t>
      </w:r>
      <w:r>
        <w:rPr>
          <w:rFonts w:ascii="Times New Roman" w:eastAsia="Times New Roman" w:hAnsi="Times New Roman" w:cs="Times New Roman"/>
          <w:color w:val="000000"/>
          <w:spacing w:val="0"/>
          <w:w w:val="100"/>
          <w:position w:val="0"/>
          <w:sz w:val="18"/>
          <w:szCs w:val="18"/>
        </w:rPr>
        <w:t>6,546,037.06</w:t>
      </w:r>
      <w:r>
        <w:rPr>
          <w:color w:val="000000"/>
          <w:spacing w:val="0"/>
          <w:w w:val="100"/>
          <w:position w:val="0"/>
        </w:rPr>
        <w:t>元，冲回限制性股票 回购义务金额</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,033,577.06</w:t>
      </w:r>
      <w:r>
        <w:rPr>
          <w:color w:val="000000"/>
          <w:spacing w:val="0"/>
          <w:w w:val="100"/>
          <w:position w:val="0"/>
        </w:rPr>
        <w:t>元。本次减资业经天健会计师事务所（特殊普通合伙）审验，并出具《验资报告》（天健验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3-56</w:t>
      </w:r>
      <w:r>
        <w:rPr>
          <w:color w:val="000000"/>
          <w:spacing w:val="0"/>
          <w:w w:val="100"/>
          <w:position w:val="0"/>
        </w:rPr>
        <w:t>号）。</w:t>
      </w:r>
    </w:p>
    <w:p>
      <w:pPr>
        <w:pStyle w:val="Style31"/>
        <w:keepNext/>
        <w:keepLines/>
        <w:widowControl w:val="0"/>
        <w:shd w:val="clear" w:color="auto" w:fill="auto"/>
        <w:tabs>
          <w:tab w:pos="483" w:val="left"/>
        </w:tabs>
        <w:bidi w:val="0"/>
        <w:spacing w:before="0" w:after="18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w:t>
      </w:r>
      <w:bookmarkEnd w:id="1467"/>
      <w:bookmarkEnd w:id="1468"/>
      <w:bookmarkEnd w:id="1470"/>
    </w:p>
    <w:p>
      <w:pPr>
        <w:pStyle w:val="Style28"/>
        <w:keepNext w:val="0"/>
        <w:keepLines w:val="0"/>
        <w:widowControl w:val="0"/>
        <w:shd w:val="clear" w:color="auto" w:fill="auto"/>
        <w:bidi w:val="0"/>
        <w:spacing w:before="0" w:after="380" w:line="389" w:lineRule="exact"/>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w:t>
        <w:tab/>
        <w:t>资本公积</w:t>
      </w:r>
      <w:bookmarkEnd w:id="1471"/>
      <w:bookmarkEnd w:id="1472"/>
      <w:bookmarkEnd w:id="14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677,626,349.94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31,090,373.16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6,546,037.06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702,170,686.04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33,547,057.05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10,692,155.57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44,239,212.62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711,173,406.99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41,782,528.73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50,785,249.68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702,170,686.04</w:t>
            </w:r>
          </w:p>
        </w:tc>
      </w:tr>
    </w:tbl>
    <w:p>
      <w:pPr>
        <w:pStyle w:val="Style28"/>
        <w:keepNext w:val="0"/>
        <w:keepLines w:val="0"/>
        <w:widowControl w:val="0"/>
        <w:shd w:val="clear" w:color="auto" w:fill="auto"/>
        <w:bidi w:val="0"/>
        <w:spacing w:before="0" w:after="180" w:line="384" w:lineRule="exact"/>
        <w:ind w:left="0" w:right="0" w:firstLine="460"/>
        <w:jc w:val="both"/>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0" w:line="446" w:lineRule="auto"/>
        <w:ind w:left="0" w:right="0" w:firstLine="540"/>
        <w:jc w:val="both"/>
      </w:pPr>
      <w:bookmarkStart w:id="1475" w:name="bookmark1475"/>
      <w:r>
        <w:rPr>
          <w:rFonts w:ascii="Times New Roman" w:eastAsia="Times New Roman" w:hAnsi="Times New Roman" w:cs="Times New Roman"/>
          <w:color w:val="000000"/>
          <w:spacing w:val="0"/>
          <w:w w:val="100"/>
          <w:position w:val="0"/>
          <w:sz w:val="18"/>
          <w:szCs w:val="18"/>
        </w:rPr>
        <w:t>1</w:t>
      </w:r>
      <w:bookmarkEnd w:id="1475"/>
      <w:r>
        <w:rPr>
          <w:color w:val="000000"/>
          <w:spacing w:val="0"/>
          <w:w w:val="100"/>
          <w:position w:val="0"/>
        </w:rPr>
        <w:t>）股本溢价</w:t>
      </w:r>
    </w:p>
    <w:p>
      <w:pPr>
        <w:pStyle w:val="Style28"/>
        <w:keepNext w:val="0"/>
        <w:keepLines w:val="0"/>
        <w:widowControl w:val="0"/>
        <w:shd w:val="clear" w:color="auto" w:fill="auto"/>
        <w:bidi w:val="0"/>
        <w:spacing w:before="0" w:after="0" w:line="384" w:lineRule="exact"/>
        <w:ind w:left="0" w:right="0" w:firstLine="460"/>
        <w:jc w:val="both"/>
      </w:pPr>
      <w:r>
        <w:rPr>
          <w:color w:val="000000"/>
          <w:spacing w:val="0"/>
          <w:w w:val="100"/>
          <w:position w:val="0"/>
        </w:rPr>
        <w:t>本期增加</w:t>
      </w:r>
      <w:r>
        <w:rPr>
          <w:rFonts w:ascii="Times New Roman" w:eastAsia="Times New Roman" w:hAnsi="Times New Roman" w:cs="Times New Roman"/>
          <w:color w:val="000000"/>
          <w:spacing w:val="0"/>
          <w:w w:val="100"/>
          <w:position w:val="0"/>
          <w:sz w:val="18"/>
          <w:szCs w:val="18"/>
        </w:rPr>
        <w:t>31,090,373.16</w:t>
      </w:r>
      <w:r>
        <w:rPr>
          <w:color w:val="000000"/>
          <w:spacing w:val="0"/>
          <w:w w:val="100"/>
          <w:position w:val="0"/>
        </w:rPr>
        <w:t>元系限制性股票解锁所致。</w:t>
      </w:r>
    </w:p>
    <w:p>
      <w:pPr>
        <w:pStyle w:val="Style28"/>
        <w:keepNext w:val="0"/>
        <w:keepLines w:val="0"/>
        <w:widowControl w:val="0"/>
        <w:shd w:val="clear" w:color="auto" w:fill="auto"/>
        <w:bidi w:val="0"/>
        <w:spacing w:before="0" w:after="180" w:line="384" w:lineRule="exact"/>
        <w:ind w:left="0" w:right="0" w:firstLine="460"/>
        <w:jc w:val="both"/>
      </w:pPr>
      <w:r>
        <w:rPr>
          <w:color w:val="000000"/>
          <w:spacing w:val="0"/>
          <w:w w:val="100"/>
          <w:position w:val="0"/>
        </w:rPr>
        <w:t>本期减少系回购注销限制性股票减少</w:t>
      </w:r>
      <w:r>
        <w:rPr>
          <w:rFonts w:ascii="Times New Roman" w:eastAsia="Times New Roman" w:hAnsi="Times New Roman" w:cs="Times New Roman"/>
          <w:color w:val="000000"/>
          <w:spacing w:val="0"/>
          <w:w w:val="100"/>
          <w:position w:val="0"/>
          <w:sz w:val="18"/>
          <w:szCs w:val="18"/>
        </w:rPr>
        <w:t>6,546,037.06</w:t>
      </w:r>
      <w:r>
        <w:rPr>
          <w:color w:val="000000"/>
          <w:spacing w:val="0"/>
          <w:w w:val="100"/>
          <w:position w:val="0"/>
        </w:rPr>
        <w:t>元。</w:t>
      </w:r>
    </w:p>
    <w:p>
      <w:pPr>
        <w:pStyle w:val="Style28"/>
        <w:keepNext w:val="0"/>
        <w:keepLines w:val="0"/>
        <w:widowControl w:val="0"/>
        <w:shd w:val="clear" w:color="auto" w:fill="auto"/>
        <w:bidi w:val="0"/>
        <w:spacing w:before="0" w:after="0" w:line="446" w:lineRule="auto"/>
        <w:ind w:left="0" w:right="0" w:firstLine="460"/>
        <w:jc w:val="both"/>
      </w:pPr>
      <w:bookmarkStart w:id="1476" w:name="bookmark1476"/>
      <w:r>
        <w:rPr>
          <w:rFonts w:ascii="Times New Roman" w:eastAsia="Times New Roman" w:hAnsi="Times New Roman" w:cs="Times New Roman"/>
          <w:color w:val="000000"/>
          <w:spacing w:val="0"/>
          <w:w w:val="100"/>
          <w:position w:val="0"/>
          <w:sz w:val="18"/>
          <w:szCs w:val="18"/>
        </w:rPr>
        <w:t>2</w:t>
      </w:r>
      <w:bookmarkEnd w:id="1476"/>
      <w:r>
        <w:rPr>
          <w:color w:val="000000"/>
          <w:spacing w:val="0"/>
          <w:w w:val="100"/>
          <w:position w:val="0"/>
        </w:rPr>
        <w:t>）其他资本公积</w:t>
      </w:r>
    </w:p>
    <w:p>
      <w:pPr>
        <w:pStyle w:val="Style28"/>
        <w:keepNext w:val="0"/>
        <w:keepLines w:val="0"/>
        <w:widowControl w:val="0"/>
        <w:shd w:val="clear" w:color="auto" w:fill="auto"/>
        <w:bidi w:val="0"/>
        <w:spacing w:before="0" w:after="0" w:line="384" w:lineRule="exact"/>
        <w:ind w:left="0" w:right="0" w:firstLine="460"/>
        <w:jc w:val="both"/>
      </w:pPr>
      <w:r>
        <w:rPr>
          <w:color w:val="000000"/>
          <w:spacing w:val="0"/>
          <w:w w:val="100"/>
          <w:position w:val="0"/>
        </w:rPr>
        <w:t>本期增加系在等待期内的每个资产负债表日</w:t>
      </w:r>
      <w:r>
        <w:rPr>
          <w:color w:val="000000"/>
          <w:spacing w:val="0"/>
          <w:w w:val="100"/>
          <w:position w:val="0"/>
          <w:sz w:val="18"/>
          <w:szCs w:val="18"/>
        </w:rPr>
        <w:t>，</w:t>
      </w:r>
      <w:r>
        <w:rPr>
          <w:color w:val="000000"/>
          <w:spacing w:val="0"/>
          <w:w w:val="100"/>
          <w:position w:val="0"/>
        </w:rPr>
        <w:t>以对可行权权益工具数量的最佳估计为基础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按照权益工具在授予日的公 允价值</w:t>
      </w:r>
      <w:r>
        <w:rPr>
          <w:color w:val="000000"/>
          <w:spacing w:val="0"/>
          <w:w w:val="100"/>
          <w:position w:val="0"/>
          <w:sz w:val="18"/>
          <w:szCs w:val="18"/>
        </w:rPr>
        <w:t>，</w:t>
      </w:r>
      <w:r>
        <w:rPr>
          <w:color w:val="000000"/>
          <w:spacing w:val="0"/>
          <w:w w:val="100"/>
          <w:position w:val="0"/>
        </w:rPr>
        <w:t>将当期取得的服务计入其他资本公积的股份支付费用为</w:t>
      </w:r>
      <w:r>
        <w:rPr>
          <w:rFonts w:ascii="Times New Roman" w:eastAsia="Times New Roman" w:hAnsi="Times New Roman" w:cs="Times New Roman"/>
          <w:color w:val="000000"/>
          <w:spacing w:val="0"/>
          <w:w w:val="100"/>
          <w:position w:val="0"/>
          <w:sz w:val="18"/>
          <w:szCs w:val="18"/>
        </w:rPr>
        <w:t>10,692,155.57</w:t>
      </w:r>
      <w:r>
        <w:rPr>
          <w:color w:val="000000"/>
          <w:spacing w:val="0"/>
          <w:w w:val="100"/>
          <w:position w:val="0"/>
        </w:rPr>
        <w:t>元。</w:t>
      </w:r>
    </w:p>
    <w:p>
      <w:pPr>
        <w:pStyle w:val="Style28"/>
        <w:keepNext w:val="0"/>
        <w:keepLines w:val="0"/>
        <w:widowControl w:val="0"/>
        <w:shd w:val="clear" w:color="auto" w:fill="auto"/>
        <w:bidi w:val="0"/>
        <w:spacing w:before="0" w:after="420" w:line="384" w:lineRule="exact"/>
        <w:ind w:left="0" w:right="0" w:firstLine="460"/>
        <w:jc w:val="both"/>
      </w:pPr>
      <w:r>
        <w:rPr>
          <w:color w:val="000000"/>
          <w:spacing w:val="0"/>
          <w:w w:val="100"/>
          <w:position w:val="0"/>
        </w:rPr>
        <w:t>本期减少</w:t>
      </w:r>
      <w:r>
        <w:rPr>
          <w:rFonts w:ascii="Times New Roman" w:eastAsia="Times New Roman" w:hAnsi="Times New Roman" w:cs="Times New Roman"/>
          <w:color w:val="000000"/>
          <w:spacing w:val="0"/>
          <w:w w:val="100"/>
          <w:position w:val="0"/>
          <w:sz w:val="18"/>
          <w:szCs w:val="18"/>
        </w:rPr>
        <w:t>44,239,212.62</w:t>
      </w:r>
      <w:r>
        <w:rPr>
          <w:color w:val="000000"/>
          <w:spacing w:val="0"/>
          <w:w w:val="100"/>
          <w:position w:val="0"/>
        </w:rPr>
        <w:t>元，其中：发行的限制性股票解除限售，结转等待期内确认的资本公积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其他资本公积 </w:t>
      </w:r>
      <w:r>
        <w:rPr>
          <w:rFonts w:ascii="Times New Roman" w:eastAsia="Times New Roman" w:hAnsi="Times New Roman" w:cs="Times New Roman"/>
          <w:color w:val="000000"/>
          <w:spacing w:val="0"/>
          <w:w w:val="100"/>
          <w:position w:val="0"/>
          <w:sz w:val="18"/>
          <w:szCs w:val="18"/>
        </w:rPr>
        <w:t>31,090,373.16</w:t>
      </w:r>
      <w:r>
        <w:rPr>
          <w:color w:val="000000"/>
          <w:spacing w:val="0"/>
          <w:w w:val="100"/>
          <w:position w:val="0"/>
        </w:rPr>
        <w:t>元；第三个解锁期未达考核业绩指标，冲减等待期成本费用</w:t>
      </w:r>
      <w:r>
        <w:rPr>
          <w:rFonts w:ascii="Times New Roman" w:eastAsia="Times New Roman" w:hAnsi="Times New Roman" w:cs="Times New Roman"/>
          <w:color w:val="000000"/>
          <w:spacing w:val="0"/>
          <w:w w:val="100"/>
          <w:position w:val="0"/>
          <w:sz w:val="18"/>
          <w:szCs w:val="18"/>
        </w:rPr>
        <w:t>13,148,839.46</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477"/>
      <w:bookmarkEnd w:id="1478"/>
      <w:bookmarkEnd w:id="1480"/>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19,848,727.43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8,543,655.87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19,848,727.43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8,543,655.87</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其他说明，包括本期增减变动情况、变动原因说明：</w:t>
      </w:r>
    </w:p>
    <w:p>
      <w:pPr>
        <w:pStyle w:val="Style55"/>
        <w:keepNext w:val="0"/>
        <w:keepLines w:val="0"/>
        <w:widowControl w:val="0"/>
        <w:shd w:val="clear" w:color="auto" w:fill="auto"/>
        <w:bidi w:val="0"/>
        <w:spacing w:before="0" w:after="180" w:line="240" w:lineRule="auto"/>
        <w:ind w:left="0" w:right="0" w:firstLine="460"/>
        <w:jc w:val="both"/>
      </w:pPr>
      <w:r>
        <w:rPr>
          <w:rFonts w:ascii="SimSun" w:eastAsia="SimSun" w:hAnsi="SimSun" w:cs="SimSun"/>
          <w:color w:val="000000"/>
          <w:spacing w:val="0"/>
          <w:w w:val="100"/>
          <w:position w:val="0"/>
          <w:sz w:val="17"/>
          <w:szCs w:val="17"/>
        </w:rPr>
        <w:t>本期减少</w:t>
      </w:r>
      <w:r>
        <w:rPr>
          <w:color w:val="000000"/>
          <w:spacing w:val="0"/>
          <w:w w:val="100"/>
          <w:position w:val="0"/>
        </w:rPr>
        <w:t>19,848,727.43</w:t>
      </w:r>
      <w:r>
        <w:rPr>
          <w:rFonts w:ascii="SimSun" w:eastAsia="SimSun" w:hAnsi="SimSun" w:cs="SimSun"/>
          <w:color w:val="000000"/>
          <w:spacing w:val="0"/>
          <w:w w:val="100"/>
          <w:position w:val="0"/>
          <w:sz w:val="17"/>
          <w:szCs w:val="17"/>
        </w:rPr>
        <w:t>元，其中回购注销离职员工的限制性股票减少</w:t>
      </w:r>
      <w:r>
        <w:rPr>
          <w:color w:val="000000"/>
          <w:spacing w:val="0"/>
          <w:w w:val="100"/>
          <w:position w:val="0"/>
        </w:rPr>
        <w:t>7,033,577.06</w:t>
      </w:r>
      <w:r>
        <w:rPr>
          <w:rFonts w:ascii="SimSun" w:eastAsia="SimSun" w:hAnsi="SimSun" w:cs="SimSun"/>
          <w:color w:val="000000"/>
          <w:spacing w:val="0"/>
          <w:w w:val="100"/>
          <w:position w:val="0"/>
          <w:sz w:val="17"/>
          <w:szCs w:val="17"/>
        </w:rPr>
        <w:t>元；限制性股票解锁减少</w:t>
      </w:r>
      <w:r>
        <w:rPr>
          <w:color w:val="000000"/>
          <w:spacing w:val="0"/>
          <w:w w:val="100"/>
          <w:position w:val="0"/>
        </w:rPr>
        <w:t>12,815,150.37</w:t>
      </w:r>
      <w:r>
        <w:br w:type="page"/>
      </w: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7</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481"/>
      <w:bookmarkEnd w:id="1482"/>
      <w:bookmarkEnd w:id="14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98"/>
        <w:gridCol w:w="1003"/>
        <w:gridCol w:w="1267"/>
        <w:gridCol w:w="926"/>
        <w:gridCol w:w="1541"/>
        <w:gridCol w:w="1133"/>
        <w:gridCol w:w="1234"/>
        <w:gridCol w:w="490"/>
        <w:gridCol w:w="11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w:t>
            </w:r>
          </w:p>
        </w:tc>
        <w:tc>
          <w:tcPr>
            <w:tcBorders>
              <w:left w:val="single" w:sz="4"/>
              <w:right w:val="single" w:sz="4"/>
            </w:tcBorders>
            <w:shd w:val="clear" w:color="auto" w:fill="D3D3D3"/>
            <w:vAlign w:val="top"/>
          </w:tcPr>
          <w:p>
            <w:pPr>
              <w:widowControl w:val="0"/>
              <w:rPr>
                <w:sz w:val="10"/>
                <w:szCs w:val="10"/>
              </w:rPr>
            </w:pPr>
          </w:p>
        </w:tc>
      </w:tr>
      <w:tr>
        <w:trPr>
          <w:trHeight w:val="38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本期所得税前</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入其他综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减：前期计入其他</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减：所得税费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税后归属于母</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合收益当</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综合收益当期转入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于少</w:t>
            </w:r>
          </w:p>
        </w:tc>
        <w:tc>
          <w:tcPr>
            <w:vMerge w:val="restart"/>
            <w:tcBorders>
              <w:left w:val="single" w:sz="4"/>
              <w:right w:val="single" w:sz="4"/>
            </w:tcBorders>
            <w:shd w:val="clear" w:color="auto" w:fill="D3D3D3"/>
            <w:vAlign w:val="top"/>
          </w:tcPr>
          <w:p>
            <w:pPr>
              <w:widowControl w:val="0"/>
              <w:rPr>
                <w:sz w:val="10"/>
                <w:szCs w:val="10"/>
              </w:rPr>
            </w:pP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期转入损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留存收益</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w:t>
            </w:r>
          </w:p>
        </w:tc>
        <w:tc>
          <w:tcPr>
            <w:tcBorders>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一、不能重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分类进损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益的其他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319,710,429.78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47,956,564.47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198,715,065.31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208,537,980.00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权益工具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投资公允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319,710,429.78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47,956,564.47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198,715,065.31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208,537,980.00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319,710,429.78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47,956,564.47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198,715,065.31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208,537,980.00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31"/>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485"/>
      <w:bookmarkEnd w:id="1486"/>
      <w:bookmarkEnd w:id="148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88,648,845.42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88,648,845.42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盈余公积说明，包括本期增减变动情况、变动原因说明：无。</w:t>
      </w:r>
    </w:p>
    <w:p>
      <w:pPr>
        <w:pStyle w:val="Style31"/>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489"/>
      <w:bookmarkEnd w:id="1490"/>
      <w:bookmarkEnd w:id="149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1,070,602,462.16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1,070,602,462.16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-192,732,391.13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630,630,950.34</w:t>
            </w: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189,388,127.70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256,804,000.00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应付限售股股利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5,720,461.70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未解锁限售股已分配股票股利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-1,569,245.38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1,100,195,915.59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1,408,649,982.80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bidi w:val="0"/>
        <w:spacing w:before="0" w:after="140" w:line="240" w:lineRule="auto"/>
        <w:ind w:left="0" w:right="0" w:firstLine="0"/>
        <w:jc w:val="left"/>
      </w:pPr>
      <w:bookmarkStart w:id="1493" w:name="bookmark1493"/>
      <w:r>
        <w:rPr>
          <w:rFonts w:ascii="Times New Roman" w:eastAsia="Times New Roman" w:hAnsi="Times New Roman" w:cs="Times New Roman"/>
          <w:color w:val="000000"/>
          <w:spacing w:val="0"/>
          <w:w w:val="100"/>
          <w:position w:val="0"/>
          <w:sz w:val="18"/>
          <w:szCs w:val="18"/>
        </w:rPr>
        <w:t>1</w:t>
      </w:r>
      <w:bookmarkEnd w:id="1493"/>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68" w:val="left"/>
        </w:tabs>
        <w:bidi w:val="0"/>
        <w:spacing w:before="0" w:after="140" w:line="240" w:lineRule="auto"/>
        <w:ind w:left="0" w:right="0" w:firstLine="0"/>
        <w:jc w:val="left"/>
      </w:pPr>
      <w:bookmarkStart w:id="1494" w:name="bookmark1494"/>
      <w:r>
        <w:rPr>
          <w:rFonts w:ascii="Times New Roman" w:eastAsia="Times New Roman" w:hAnsi="Times New Roman" w:cs="Times New Roman"/>
          <w:color w:val="000000"/>
          <w:spacing w:val="0"/>
          <w:w w:val="100"/>
          <w:position w:val="0"/>
          <w:sz w:val="18"/>
          <w:szCs w:val="18"/>
        </w:rPr>
        <w:t>2</w:t>
      </w:r>
      <w:bookmarkEnd w:id="1494"/>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bookmarkStart w:id="1495" w:name="bookmark1495"/>
      <w:r>
        <w:rPr>
          <w:rFonts w:ascii="Times New Roman" w:eastAsia="Times New Roman" w:hAnsi="Times New Roman" w:cs="Times New Roman"/>
          <w:color w:val="000000"/>
          <w:spacing w:val="0"/>
          <w:w w:val="100"/>
          <w:position w:val="0"/>
          <w:sz w:val="18"/>
          <w:szCs w:val="18"/>
        </w:rPr>
        <w:t>3</w:t>
      </w:r>
      <w:bookmarkEnd w:id="1495"/>
      <w:r>
        <w:rPr>
          <w:color w:val="000000"/>
          <w:spacing w:val="0"/>
          <w:w w:val="100"/>
          <w:position w:val="0"/>
        </w:rPr>
        <w:t>） 、由于重大会计差错更正，影响期初未分配利润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68" w:val="left"/>
        </w:tabs>
        <w:bidi w:val="0"/>
        <w:spacing w:before="0" w:after="140" w:line="240" w:lineRule="auto"/>
        <w:ind w:left="0" w:right="0" w:firstLine="0"/>
        <w:jc w:val="left"/>
      </w:pPr>
      <w:bookmarkStart w:id="1496" w:name="bookmark1496"/>
      <w:r>
        <w:rPr>
          <w:rFonts w:ascii="Times New Roman" w:eastAsia="Times New Roman" w:hAnsi="Times New Roman" w:cs="Times New Roman"/>
          <w:color w:val="000000"/>
          <w:spacing w:val="0"/>
          <w:w w:val="100"/>
          <w:position w:val="0"/>
          <w:sz w:val="18"/>
          <w:szCs w:val="18"/>
        </w:rPr>
        <w:t>4</w:t>
      </w:r>
      <w:bookmarkEnd w:id="1496"/>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380" w:line="240" w:lineRule="auto"/>
        <w:ind w:left="0" w:right="0" w:firstLine="0"/>
        <w:jc w:val="left"/>
      </w:pPr>
      <w:bookmarkStart w:id="1497" w:name="bookmark1497"/>
      <w:r>
        <w:rPr>
          <w:rFonts w:ascii="Times New Roman" w:eastAsia="Times New Roman" w:hAnsi="Times New Roman" w:cs="Times New Roman"/>
          <w:color w:val="000000"/>
          <w:spacing w:val="0"/>
          <w:w w:val="100"/>
          <w:position w:val="0"/>
          <w:sz w:val="18"/>
          <w:szCs w:val="18"/>
        </w:rPr>
        <w:t>5</w:t>
      </w:r>
      <w:bookmarkEnd w:id="1497"/>
      <w:r>
        <w:rPr>
          <w:color w:val="000000"/>
          <w:spacing w:val="0"/>
          <w:w w:val="100"/>
          <w:position w:val="0"/>
        </w:rPr>
        <w:t>） 、其他调整合计影响期初未分配利润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498"/>
      <w:bookmarkEnd w:id="1499"/>
      <w:bookmarkEnd w:id="15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282,411,633.96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170,230,325.67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1,549,912,762.99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570,089,642.58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19,143,454.57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16,420,594.65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13,733,270.42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8,498,089.66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186,650,920.32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578,587,732.24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2126"/>
        <w:gridCol w:w="1478"/>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301,555,088.53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41,382,038.64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智慧高速配件、废品、</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color w:val="000000"/>
                <w:spacing w:val="0"/>
                <w:w w:val="100"/>
                <w:position w:val="0"/>
              </w:rPr>
              <w:t>维修服务、技术服 务、租金等收入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13,733,270.42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废品、</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color w:val="000000"/>
                <w:spacing w:val="0"/>
                <w:w w:val="100"/>
                <w:position w:val="0"/>
              </w:rPr>
              <w:t>维修服 务、技术服务、租金 等收入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营业收入扣除项目合计金额占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.正常经营之外的其他业务收 入。如出租固定资产、无形资产、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19,143,454.57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废品、</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color w:val="000000"/>
                <w:spacing w:val="0"/>
                <w:w w:val="100"/>
                <w:position w:val="0"/>
              </w:rPr>
              <w:t>维修服务、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技术服务、租金等收入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13,733,270.42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废品、</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color w:val="000000"/>
                <w:spacing w:val="0"/>
                <w:w w:val="100"/>
                <w:position w:val="0"/>
              </w:rPr>
              <w:t>维修服 务、技术服务、租金</w:t>
            </w:r>
          </w:p>
        </w:tc>
      </w:tr>
    </w:tbl>
    <w:p>
      <w:pPr>
        <w:spacing w:lineRule="exact" w:line="1"/>
        <w:rPr>
          <w:sz w:val="2"/>
          <w:szCs w:val="2"/>
        </w:rPr>
      </w:pPr>
      <w:r>
        <w:br w:type="page"/>
      </w:r>
    </w:p>
    <w:tbl>
      <w:tblPr>
        <w:tblOverlap w:val="never"/>
        <w:jc w:val="center"/>
        <w:tblLayout w:type="fixed"/>
      </w:tblPr>
      <w:tblGrid>
        <w:gridCol w:w="2558"/>
        <w:gridCol w:w="1704"/>
        <w:gridCol w:w="2126"/>
        <w:gridCol w:w="1478"/>
        <w:gridCol w:w="1718"/>
      </w:tblGrid>
      <w:tr>
        <w:trPr>
          <w:trHeight w:val="16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包装物，销售材料，用材料进行 非货币性资产交换，经营受托管 理业务等实现的收入，以及虽计 入主营业务收入，但属于上市公 司正常经营之外的收入。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等收入</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不具备资质的类金融业务收 入，如拆出资金利息收入；本会 计年度以及上一会计年度新增 的类金融业务所产生的收入，如 担保、商业保理、小额贷款、融 资租赁、典当等业务形成的收 入，为销售主营产品而开展的融 资租赁业务除外。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本会计年度以及上一会计年度 新增贸易业务所产生的收入。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22,238,584.07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销售智慧高速配件等收入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与上市公司现有正常经营业务 无关的关联交易产生的收入。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同一控制下企业合并的子公司 期初至合并日的收入。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未形成或难以形成稳定业务模 式的业务所产生的收入。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与主营业务无关的业务收入小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41,382,038.64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智慧高速配件、废品、</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color w:val="000000"/>
                <w:spacing w:val="0"/>
                <w:w w:val="100"/>
                <w:position w:val="0"/>
              </w:rPr>
              <w:t>维修服务、技术服 务、租金等收入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13,733,270.42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废品、</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color w:val="000000"/>
                <w:spacing w:val="0"/>
                <w:w w:val="100"/>
                <w:position w:val="0"/>
              </w:rPr>
              <w:t>维修服 务、技术服务、租金 等收入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二、不具备商业实质的收入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未显著改变企业未来现金流量 的风险、时间分布或金额的交易 或事项产生的收入。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不具有真实业务的交易产生的 收入。如以自我交易的方式实现 的虚假收入，利用互联网技术手 段或其他方法构造交易产生的 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交易价格显失公允的业务产生 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本会计年度以显失公允的对价 或非交易方式取得的企业合并 的子公司或业务产生的收入。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审计意见中非标准审计意见涉 及的收入。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1704"/>
        <w:gridCol w:w="2126"/>
        <w:gridCol w:w="1478"/>
        <w:gridCol w:w="17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其他不具有商业合理性的交易 或事项产生的收入。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三、与主营业务无关或不具备商 业实质的其他收入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260,173,049.89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1,549,912,762.99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502"/>
      <w:bookmarkEnd w:id="1503"/>
      <w:bookmarkEnd w:id="150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1,004,496.87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-2,015,189.90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-863,745.63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2,427,040.36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1,254,458.47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301,953.58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644,658.71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-575,830.43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4,782,566.57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-1,232,913.02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506"/>
      <w:bookmarkEnd w:id="1507"/>
      <w:bookmarkEnd w:id="150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32,348,173.62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45,108,163.10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50,990,367.60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18,469,098.85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2,110,225.70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862,438.11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3,501,253.97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5,608,005.38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3,953,404.93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7,204,428.91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16,780,011.84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2,173,690.63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3,307,501.12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763,082.02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1,280,182.70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1,090,369.35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1,126,637.70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1,009,767.86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1,781,392.34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2,991,505.55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4,640,842.24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4,106,341.69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105,346,119.00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105,634,201.74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510"/>
      <w:bookmarkEnd w:id="1511"/>
      <w:bookmarkEnd w:id="151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47,607,164.29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44,252,167.26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场地服务及租金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2,897,036.64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13,964,803.07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5,867,887.40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9,004,872.01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10,358,745.38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15,296,738.05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8,918,446.15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18,225,535.57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2,477,015.40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2,722,631.53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5,208,104.54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3,968,918.65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1,850,181.49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2,206,237.86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1,247,217.70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1,081,457.12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3,346,692.66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1,429,834.00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94,067,096.61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107,128,776.59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514"/>
      <w:bookmarkEnd w:id="1515"/>
      <w:bookmarkEnd w:id="151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53,776,422.66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62,018,105.42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2,833,324.52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5,699,144.04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-1,819,623.54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27,393,643.33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5,526,708.78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6,102,550.80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1,457,797.57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2,361,837.51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4,253,061.91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2,978,807.85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7,091,396.98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8,023,885.33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1,029,409.92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新产品设计费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1,217,391.41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3,904,614.56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5,365,949.81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2,286,895.25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4,692,676.13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82,932,771.58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124,204,674.89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18"/>
      <w:bookmarkEnd w:id="1519"/>
      <w:bookmarkEnd w:id="1521"/>
    </w:p>
    <w:p>
      <w:pPr>
        <w:pStyle w:val="Style2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21,911,283.52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30,833,206.17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-878,580.02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196,926.87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-20,021,100.62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-31,525,184.53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522"/>
      <w:bookmarkEnd w:id="1523"/>
      <w:bookmarkEnd w:id="1525"/>
    </w:p>
    <w:p>
      <w:pPr>
        <w:pStyle w:val="Style2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6101"/>
        <w:gridCol w:w="1704"/>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21,451,936.02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92,674,125.00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3,968,749.16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总部企业办公用房扶持项目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3,038,700.00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深圳市南山区财政局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年三、四季度稳增长（含全年达标奖）资助项目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1,902,000.00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深圳市南山区科技创新局企业研发投入支持计划项目资助款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1,186,000.00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应用于联网收费公路的</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多义性路径识别系统的研发及产业化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529,694.55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面向城市智慧交通物联网应用的</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设备研发及产业化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579,670.24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443,850.90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深圳市南山区人力资源局停工停业的中小微企业吸纳劳动力就业并开展以 工代训项目补贴款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深圳市南山区工业和信息化局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年进一步稳增长资助项目资助款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258,645.33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安全信息资源集中式监控系统研发与产业化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深圳市南山区工业和信息化局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年上半年工业稳增长资助项目款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年深圳市第二批专利申请资助款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深圳市南山区科技创新局科技奖励支持计划拟资助项目款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6101"/>
        <w:gridCol w:w="1704"/>
        <w:gridCol w:w="178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深圳市市场监督管理局第二十届中国专利奖配套奖励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深圳市南山区人力资源局南山伯乐奖人才引进单位奖励款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新型车联网通信技术工程研究中心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298,714.92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171,294.54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829,896.15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166,671.41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基于热舒适的可度量空调节能监控系统研发及产业化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电子不停车收费技术（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标准在东南亚地区应用研究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的智能交通车联网多功能车载智能终端研发及示范应用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112,393.85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年促进经济高质量发展专项资金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深圳市人事人才公共服务中心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年度人才伯乐奖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深圳市南山区科技创新局科技奖励支持计划补贴款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电子车牌的系统实现核心设备技术研发及城市级应用示范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87,452.91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87,452.95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深圳市金溢科技股份有限公司工业设计中心认定和扶持计划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276,746.30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85,874.06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深圳市南山区科技创新局专利支持计划拟资助项目款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深圳市智慧交通车联网工程技术研究开发中心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83,023.04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深圳市南山区人力资源局援企稳岗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企业社保补贴资助款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应急指挥与协调决策支持系统开发与示范应用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19,889.36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城市综合停车收费管理与信息服务应用示范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20,866.15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13,938.18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年第二批境外商标资助款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面向智慧交通的车联网高安全性内容保障技术研究与核心产品研发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4,441.33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2,316.65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智能网联汽车超视距全局感知融合方法及关键技术研究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15,699.96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1,608.33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年度深圳市科学技术奖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深圳市南山区财政局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年工业增加值奖励项目款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付深圳市南山区科技创新局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年南山区专利支持计划项目资助款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年企业研发资助款第一批第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深圳国家知识产权局专利代办处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年国内外发明专利资助款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深圳市市场监督管理局专项奖励资金（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年度深圳标准领域）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193,332.00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年工业设计发展扶持计划第三批项目资助余款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深圳市人力资源和社会保障局博士后设站单位一次性资助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年高新企业认定奖补资金项目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深圳市工业和信息化局质量品牌双提升扶持计划专项资金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深圳市南山区科技创新局国家高新技术企业倍增支持计划项目奖励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深圳市南山区科技创新局专利支持计划补贴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深圳国家知识产权局专利代办处境外商标补助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101"/>
        <w:gridCol w:w="1704"/>
        <w:gridCol w:w="178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深圳市中小企业服务局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年民营及中小企业创新发展培育扶持专精特新 企业奖励项目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深圳市人力资源和社会保障局博士后设站单位日常经费补贴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年高新技术企业培育资助第一批拨款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佛山市禅城区经济和科技促进局关于公示佛山市禅城区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小升规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申报即奖</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万元（第二批）扶持资金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佛山市工业和信息化局关于组织开展小微工业企业上规模奖励资金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南庄镇促进小微工业企业上规模发展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深圳市社会保险基金管理局稳岗补贴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智能车路协同自动化测试关键技术研究与应用示范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39,894,302.64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110,021,868.64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26"/>
      <w:bookmarkEnd w:id="1527"/>
      <w:bookmarkEnd w:id="1529"/>
    </w:p>
    <w:p>
      <w:pPr>
        <w:pStyle w:val="Style2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9,233,191.09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1,836,943.74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1,670,800.00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5,131,540.50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-2,582,881.73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10,479,050.02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6,056,402.51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530"/>
      <w:bookmarkEnd w:id="1531"/>
      <w:bookmarkEnd w:id="1533"/>
    </w:p>
    <w:p>
      <w:pPr>
        <w:pStyle w:val="Style2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其他说明：主要系银行理财产品投资收益增加所致。</w:t>
      </w:r>
    </w:p>
    <w:p>
      <w:pPr>
        <w:pStyle w:val="Style31"/>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534"/>
      <w:bookmarkEnd w:id="1535"/>
      <w:bookmarkEnd w:id="1537"/>
    </w:p>
    <w:p>
      <w:pPr>
        <w:pStyle w:val="Style2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-13,229,889.26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90,371.43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-13,229,889.26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90,371.43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538"/>
      <w:bookmarkEnd w:id="1539"/>
      <w:bookmarkEnd w:id="154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-98,014,832.14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-22,170,405.88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5,046,187.76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-5,162,759.27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-18,896,938.34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2,501,306.58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-111,865,582.72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-24,831,858.57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542"/>
      <w:bookmarkEnd w:id="1543"/>
      <w:bookmarkEnd w:id="15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-396,694.84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其他说明：处置损失，以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31"/>
        <w:keepNext/>
        <w:keepLines/>
        <w:widowControl w:val="0"/>
        <w:shd w:val="clear" w:color="auto" w:fill="auto"/>
        <w:bidi w:val="0"/>
        <w:spacing w:before="0" w:after="38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46"/>
      <w:bookmarkEnd w:id="1547"/>
      <w:bookmarkEnd w:id="154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32,509.39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1,251,015.17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1,251,015.17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房屋购置补偿款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277,903.58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133,768.82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133,768.82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1,449,331.75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1,798,008.55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1,449,331.75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计入当期损益的政府补助：详见其他收益科目。</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其他说明：无，</w:t>
      </w:r>
      <w:r>
        <w:br w:type="page"/>
      </w:r>
    </w:p>
    <w:p>
      <w:pPr>
        <w:pStyle w:val="Style31"/>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50"/>
      <w:bookmarkEnd w:id="1551"/>
      <w:bookmarkEnd w:id="155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3,184,382.27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49,665,837.41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3,184,382.27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395,046.45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2,625,056.62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2,625,056.62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6,190,473.81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50,477,728.03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6,190,473.81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54"/>
      <w:bookmarkEnd w:id="1555"/>
      <w:bookmarkEnd w:id="1557"/>
    </w:p>
    <w:p>
      <w:pPr>
        <w:pStyle w:val="Style42"/>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8"/>
      <w:bookmarkEnd w:id="1559"/>
      <w:bookmarkEnd w:id="15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3,394,768.73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107,279,499.55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-41,956,742.50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-12,727,630.59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-38,561,973.77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94,551,868.96</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1"/>
      <w:bookmarkEnd w:id="1562"/>
      <w:bookmarkEnd w:id="15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-231,294,439.76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-34,694,165.96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460,189.12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152,746.53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1,012,684.98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-805,527.34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2,761,299.73</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-9,840,643.28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股权激励行权及转回前期确认的股权激励成本的影响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3,661,540.89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-1,270,098.44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-38,561,973.77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564"/>
      <w:bookmarkEnd w:id="1565"/>
      <w:bookmarkEnd w:id="156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之说明。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568"/>
      <w:bookmarkEnd w:id="1569"/>
      <w:bookmarkEnd w:id="1571"/>
    </w:p>
    <w:p>
      <w:pPr>
        <w:pStyle w:val="Style42"/>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2"/>
      <w:bookmarkEnd w:id="1573"/>
      <w:bookmarkEnd w:id="157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14,258,714.39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14,739,498.31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2,616,496.00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18,789,909.89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17,420,878.39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12,094,001.46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天通知存款利息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13,412,327.78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1,341,013.85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6,245,911.32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11,073,533.68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3,347,338.37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70,969,501.05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44,370,122.39</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5"/>
      <w:bookmarkEnd w:id="1576"/>
      <w:bookmarkEnd w:id="157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65,172,787.46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92,389,198.32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30,225,932.95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25,477,739.52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95,598,720.41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118,201,937.84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42"/>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8"/>
      <w:bookmarkEnd w:id="1579"/>
      <w:bookmarkEnd w:id="1581"/>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收到的其他与投资活动有关的现金说明：无。</w:t>
      </w:r>
    </w:p>
    <w:p>
      <w:pPr>
        <w:pStyle w:val="Style42"/>
        <w:keepNext/>
        <w:keepLines/>
        <w:widowControl w:val="0"/>
        <w:shd w:val="clear" w:color="auto" w:fill="auto"/>
        <w:bidi w:val="0"/>
        <w:spacing w:before="0" w:line="240" w:lineRule="auto"/>
        <w:ind w:left="0" w:right="0" w:firstLine="0"/>
        <w:jc w:val="both"/>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82"/>
      <w:bookmarkEnd w:id="1583"/>
      <w:bookmarkEnd w:id="158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1,464,753.74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191,464,753.74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支付的其他与投资活动有关的现金说明：无。</w:t>
      </w:r>
    </w:p>
    <w:p>
      <w:pPr>
        <w:pStyle w:val="Style42"/>
        <w:keepNext/>
        <w:keepLines/>
        <w:widowControl w:val="0"/>
        <w:shd w:val="clear" w:color="auto" w:fill="auto"/>
        <w:tabs>
          <w:tab w:pos="493" w:val="left"/>
        </w:tabs>
        <w:bidi w:val="0"/>
        <w:spacing w:before="0" w:line="240" w:lineRule="auto"/>
        <w:ind w:left="0" w:right="0" w:firstLine="0"/>
        <w:jc w:val="both"/>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86"/>
      <w:bookmarkEnd w:id="1587"/>
      <w:bookmarkEnd w:id="1589"/>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both"/>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590"/>
      <w:bookmarkEnd w:id="1591"/>
      <w:bookmarkEnd w:id="159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回购限售股款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7,248,178.13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2,071,871.60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新租赁准则下的租赁押金、偿还租赁负 债的本金及利息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10,562,761.68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17,810,939.81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2,071,871.60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支付的其他与筹资活动有关的现金说明：无。</w:t>
      </w:r>
    </w:p>
    <w:p>
      <w:pPr>
        <w:pStyle w:val="Style31"/>
        <w:keepNext/>
        <w:keepLines/>
        <w:widowControl w:val="0"/>
        <w:shd w:val="clear" w:color="auto" w:fill="auto"/>
        <w:bidi w:val="0"/>
        <w:spacing w:before="0" w:after="38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6</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4"/>
      <w:bookmarkEnd w:id="1595"/>
      <w:bookmarkEnd w:id="1597"/>
    </w:p>
    <w:p>
      <w:pPr>
        <w:pStyle w:val="Style42"/>
        <w:keepNext/>
        <w:keepLines/>
        <w:widowControl w:val="0"/>
        <w:shd w:val="clear" w:color="auto" w:fill="auto"/>
        <w:bidi w:val="0"/>
        <w:spacing w:before="0" w:line="240" w:lineRule="auto"/>
        <w:ind w:left="0" w:right="0" w:firstLine="0"/>
        <w:jc w:val="both"/>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8"/>
      <w:bookmarkEnd w:id="1599"/>
      <w:bookmarkEnd w:id="160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-192,732,465.99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628,953,941.07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125,095,471.98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24,741,487.14</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23,704,986.42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12,705,683.03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14,313,888.56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1,917,852.41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1,605,167.94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5,462,210.20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5,677,991.12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396,694.84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58,353.33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1,763,339.98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-10,479,050.02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-6,056,402.51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-30,086,153.77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-12,727,630.59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10,782,709.49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337,778,149.45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199,338,189.43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241,692,123.08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-169,769,585.58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-1,384,834,927.93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-15,345,883.89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66,768,833.64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-36,188,644.35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-83,647,556.44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872,066,416.20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1,439,042,943.61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1,439,042,943.61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1,874,015,546.76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-566,976,527.41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-434,972,603.15</w:t>
            </w:r>
          </w:p>
        </w:tc>
      </w:tr>
    </w:tbl>
    <w:p>
      <w:pPr>
        <w:pStyle w:val="Style42"/>
        <w:keepNext/>
        <w:keepLines/>
        <w:widowControl w:val="0"/>
        <w:shd w:val="clear" w:color="auto" w:fill="auto"/>
        <w:tabs>
          <w:tab w:pos="493" w:val="left"/>
        </w:tabs>
        <w:bidi w:val="0"/>
        <w:spacing w:before="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01"/>
      <w:bookmarkEnd w:id="1602"/>
      <w:bookmarkEnd w:id="160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05"/>
      <w:bookmarkEnd w:id="1606"/>
      <w:bookmarkEnd w:id="160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09"/>
      <w:bookmarkEnd w:id="1610"/>
      <w:bookmarkEnd w:id="16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872,066,416.20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1,439,042,943.61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872,066,416.20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1,439,042,943.61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872,066,416.20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1,439,042,943.61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2</w:t>
      </w:r>
      <w:r>
        <w:rPr>
          <w:color w:val="000000"/>
          <w:spacing w:val="0"/>
          <w:w w:val="100"/>
          <w:position w:val="0"/>
        </w:rPr>
        <w:t>、</w:t>
        <w:tab/>
        <w:t>所有者权益变动表项目注释</w:t>
      </w:r>
      <w:bookmarkEnd w:id="1613"/>
      <w:bookmarkEnd w:id="1614"/>
      <w:bookmarkEnd w:id="161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w:t>
        <w:tab/>
        <w:t>所有权或使用权受到限制的资产</w:t>
      </w:r>
      <w:bookmarkEnd w:id="1617"/>
      <w:bookmarkEnd w:id="1618"/>
      <w:bookmarkEnd w:id="16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财政资金监管户、保证金等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621"/>
      <w:bookmarkEnd w:id="1622"/>
      <w:bookmarkEnd w:id="1624"/>
    </w:p>
    <w:p>
      <w:pPr>
        <w:pStyle w:val="Style42"/>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5"/>
      <w:bookmarkEnd w:id="1626"/>
      <w:bookmarkEnd w:id="162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其他说明：无。</w:t>
      </w:r>
    </w:p>
    <w:p>
      <w:pPr>
        <w:pStyle w:val="Style42"/>
        <w:keepNext/>
        <w:keepLines/>
        <w:widowControl w:val="0"/>
        <w:shd w:val="clear" w:color="auto" w:fill="auto"/>
        <w:bidi w:val="0"/>
        <w:spacing w:before="0" w:line="331" w:lineRule="exact"/>
        <w:ind w:left="0" w:right="0" w:firstLine="0"/>
        <w:jc w:val="left"/>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8"/>
      <w:bookmarkEnd w:id="1629"/>
      <w:bookmarkEnd w:id="163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280" w:line="346"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5</w:t>
      </w:r>
      <w:r>
        <w:rPr>
          <w:color w:val="000000"/>
          <w:spacing w:val="0"/>
          <w:w w:val="100"/>
          <w:position w:val="0"/>
        </w:rPr>
        <w:t>、</w:t>
        <w:tab/>
        <w:t>套期</w:t>
      </w:r>
      <w:bookmarkEnd w:id="1631"/>
      <w:bookmarkEnd w:id="1632"/>
      <w:bookmarkEnd w:id="1634"/>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83" w:val="left"/>
        </w:tabs>
        <w:bidi w:val="0"/>
        <w:spacing w:before="0" w:after="280" w:line="331" w:lineRule="exact"/>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635"/>
      <w:bookmarkEnd w:id="1636"/>
      <w:bookmarkEnd w:id="1638"/>
    </w:p>
    <w:p>
      <w:pPr>
        <w:pStyle w:val="Style42"/>
        <w:keepNext/>
        <w:keepLines/>
        <w:widowControl w:val="0"/>
        <w:shd w:val="clear" w:color="auto" w:fill="auto"/>
        <w:bidi w:val="0"/>
        <w:spacing w:before="0" w:line="331" w:lineRule="exact"/>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39"/>
      <w:bookmarkEnd w:id="1640"/>
      <w:bookmarkEnd w:id="164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1133"/>
        <w:gridCol w:w="1843"/>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深圳市金溢科技股份有限公司工业设计中心认定和扶持计划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2,914,125.94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276,746.30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安全攸关软件系统的构造与质量保障方法研究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的产业 化应用研究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新型车联网通信技术工程研究中心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1,818,838.79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298,714.92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无人车网联关键技术研究及应用验证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应急指挥与协调决策支持系统开发与示范应用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790,910.64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智能网联汽车超视距全局感知融合方法及关键技术研究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598,391.67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面向城市智慧交通物联网应用的</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设备研发及产业化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579,670.24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579,670.24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新兴交通形态应用边界与协同管控模式研究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应用于联网收费公路的</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多义性路径识别系统的研发及产 业化（配套项目）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29"/>
        <w:gridCol w:w="1133"/>
        <w:gridCol w:w="1843"/>
        <w:gridCol w:w="178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复杂环境下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城市智能交通系统构建技术系统集成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与工程示范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车路协同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r>
              <w:rPr>
                <w:color w:val="000000"/>
                <w:spacing w:val="0"/>
                <w:w w:val="100"/>
                <w:position w:val="0"/>
              </w:rPr>
              <w:t>标准体系研究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电子车牌的系统实现核心设备技术研发及城市级 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224,398.83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智能车路协同自动化测试关键技术研究与应用示范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应用于联网收费公路的</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多义性路径识别系统的研发及产 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92,613.16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城市综合停车收费管理与信息服务应用示范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21,451,936.02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21,451,936.02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年度深圳市科学技术奖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深圳市南山区财政局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年工业增加值奖励项目款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付深圳市南山区科技创新局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年南山区专利支持计划项目 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年企业研发资助款第一批第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 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深圳国家知识产权局专利代办处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年国内外发明专利资助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深圳市市场监督管理局专项奖励资金（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年度深圳标准领 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193,332.00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年工业设计发展扶持计划第三批 项目资助余款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深圳市人力资源和社会保障局博士后设站单位一次性资助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年高新企业认定奖补资金项目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深圳市工业和信息化局质量品牌双提升扶持计划专项资金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深圳市南山区科技创新局国家高新技术企业倍增支持计划项 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深圳市南山区科技创新局专利支持计划补贴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深圳国家知识产权局专利代办处境外商标补助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深圳市中小企业服务局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年民营及中小企业创新发展培育 扶持专精特新企业奖励项目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深圳市人力资源和社会保障局博士后设站单位日常经费补贴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年高新技术企业培育资助第一批 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佛山市禅城区经济和科技促进局关于公示佛山市禅城区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年工业企业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小升规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申报即奖</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万元（第二批）扶持资金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佛山市工业和信息化局关于组织开展小微工业企业上规模奖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spacing w:lineRule="exact" w:line="1"/>
        <w:rPr>
          <w:sz w:val="2"/>
          <w:szCs w:val="2"/>
        </w:rPr>
      </w:pPr>
      <w:r>
        <w:br w:type="page"/>
      </w:r>
    </w:p>
    <w:tbl>
      <w:tblPr>
        <w:tblOverlap w:val="never"/>
        <w:jc w:val="center"/>
        <w:tblLayout w:type="fixed"/>
      </w:tblPr>
      <w:tblGrid>
        <w:gridCol w:w="4829"/>
        <w:gridCol w:w="1133"/>
        <w:gridCol w:w="1843"/>
        <w:gridCol w:w="178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南庄镇促进小微工业企业上规模发展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深圳市社会保险基金管理局稳岗补贴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37,882.39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42"/>
      <w:bookmarkEnd w:id="1643"/>
      <w:bookmarkEnd w:id="164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67</w:t>
      </w:r>
      <w:r>
        <w:rPr>
          <w:color w:val="000000"/>
          <w:spacing w:val="0"/>
          <w:w w:val="100"/>
          <w:position w:val="0"/>
        </w:rPr>
        <w:t>、其他</w:t>
      </w:r>
      <w:bookmarkEnd w:id="1645"/>
      <w:bookmarkEnd w:id="1646"/>
      <w:bookmarkEnd w:id="164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sz w:val="24"/>
          <w:szCs w:val="24"/>
        </w:rPr>
        <w:t>八</w:t>
      </w:r>
      <w:bookmarkEnd w:id="1650"/>
      <w:r>
        <w:rPr>
          <w:color w:val="000000"/>
          <w:spacing w:val="0"/>
          <w:w w:val="100"/>
          <w:position w:val="0"/>
          <w:sz w:val="24"/>
          <w:szCs w:val="24"/>
        </w:rPr>
        <w:t>、合并范围的变更</w:t>
      </w:r>
      <w:bookmarkEnd w:id="1648"/>
      <w:bookmarkEnd w:id="1649"/>
      <w:bookmarkEnd w:id="1651"/>
    </w:p>
    <w:p>
      <w:pPr>
        <w:pStyle w:val="Style31"/>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52"/>
      <w:bookmarkEnd w:id="1653"/>
      <w:bookmarkEnd w:id="1654"/>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报告期内合并范围增加情况如下: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84"/>
        <w:gridCol w:w="1603"/>
        <w:gridCol w:w="1930"/>
        <w:gridCol w:w="1286"/>
        <w:gridCol w:w="147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青岛经溢园区运营管理有限公司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422" w:right="0" w:firstLine="0"/>
        <w:jc w:val="left"/>
      </w:pPr>
      <w:r>
        <w:rPr>
          <w:color w:val="000000"/>
          <w:spacing w:val="0"/>
          <w:w w:val="100"/>
          <w:position w:val="0"/>
        </w:rPr>
        <w:t>报告期内合并范围减少情况如下:</w:t>
      </w:r>
    </w:p>
    <w:tbl>
      <w:tblPr>
        <w:tblOverlap w:val="never"/>
        <w:jc w:val="center"/>
        <w:tblLayout w:type="fixed"/>
      </w:tblPr>
      <w:tblGrid>
        <w:gridCol w:w="3062"/>
        <w:gridCol w:w="1603"/>
        <w:gridCol w:w="1608"/>
        <w:gridCol w:w="1445"/>
        <w:gridCol w:w="195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股权处置方式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股权处置时点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期初至处置日净利润</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广东华信金溢信息技术有限公司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-7,075,696.69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-258.14</w:t>
            </w:r>
          </w:p>
        </w:tc>
      </w:tr>
    </w:tbl>
    <w:p>
      <w:pPr>
        <w:widowControl w:val="0"/>
        <w:spacing w:after="619" w:line="1" w:lineRule="exact"/>
      </w:pPr>
    </w:p>
    <w:p>
      <w:pPr>
        <w:pStyle w:val="Style24"/>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sz w:val="24"/>
          <w:szCs w:val="24"/>
        </w:rPr>
        <w:t>九</w:t>
      </w:r>
      <w:bookmarkEnd w:id="1657"/>
      <w:r>
        <w:rPr>
          <w:color w:val="000000"/>
          <w:spacing w:val="0"/>
          <w:w w:val="100"/>
          <w:position w:val="0"/>
          <w:sz w:val="24"/>
          <w:szCs w:val="24"/>
        </w:rPr>
        <w:t>、在其他主体中的权益</w:t>
      </w:r>
      <w:bookmarkEnd w:id="1655"/>
      <w:bookmarkEnd w:id="1656"/>
      <w:bookmarkEnd w:id="1658"/>
    </w:p>
    <w:p>
      <w:pPr>
        <w:pStyle w:val="Style31"/>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9"/>
      <w:bookmarkEnd w:id="1660"/>
      <w:bookmarkEnd w:id="1661"/>
    </w:p>
    <w:p>
      <w:pPr>
        <w:pStyle w:val="Style42"/>
        <w:keepNext/>
        <w:keepLines/>
        <w:widowControl w:val="0"/>
        <w:shd w:val="clear" w:color="auto" w:fill="auto"/>
        <w:bidi w:val="0"/>
        <w:spacing w:before="0" w:after="32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62"/>
      <w:bookmarkEnd w:id="1663"/>
      <w:bookmarkEnd w:id="1664"/>
    </w:p>
    <w:tbl>
      <w:tblPr>
        <w:tblOverlap w:val="never"/>
        <w:jc w:val="center"/>
        <w:tblLayout w:type="fixed"/>
      </w:tblPr>
      <w:tblGrid>
        <w:gridCol w:w="3211"/>
        <w:gridCol w:w="1114"/>
        <w:gridCol w:w="691"/>
        <w:gridCol w:w="2155"/>
        <w:gridCol w:w="816"/>
        <w:gridCol w:w="816"/>
        <w:gridCol w:w="91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北京中交金溢科技有限公司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深圳市金溢智慧城市科技有限公司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211"/>
        <w:gridCol w:w="1114"/>
        <w:gridCol w:w="691"/>
        <w:gridCol w:w="2155"/>
        <w:gridCol w:w="816"/>
        <w:gridCol w:w="816"/>
        <w:gridCol w:w="91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青岛经溢园区运营管理有限公司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在子公司的持股比例不同于表决权比例的说明：无。</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持有半数或以下表决权但仍控制被投资单位、以及持有半数以上表决权但不控制被投资单位的依据：无。</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对于纳入合并范围的重要的结构化主体，控制的依据：无。</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确定公司是代理人还是委托人的依据：无。</w:t>
      </w: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65"/>
      <w:bookmarkEnd w:id="1666"/>
      <w:bookmarkEnd w:id="1667"/>
    </w:p>
    <w:p>
      <w:pPr>
        <w:pStyle w:val="Style42"/>
        <w:keepNext/>
        <w:keepLines/>
        <w:widowControl w:val="0"/>
        <w:shd w:val="clear" w:color="auto" w:fill="auto"/>
        <w:bidi w:val="0"/>
        <w:spacing w:before="0" w:after="32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8"/>
      <w:bookmarkEnd w:id="1669"/>
      <w:bookmarkEnd w:id="167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宝溢交通科技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71"/>
      <w:bookmarkEnd w:id="1672"/>
      <w:bookmarkEnd w:id="167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山东高速信威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宝溢交通科技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信联支付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山东高速信威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宝溢交通科技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信联支付</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68,319,325.05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31,163,779.89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461,982,200.98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141,368,852.86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30,293,394.57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710,769.36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34,160,499.49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69,030,094.41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31,186,629.70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496,142,700.47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141,936,741.63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30,308,342.26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42,044,327.96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383,099.30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267,893,911.96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119,331,936.69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158,353.53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7,848,837.75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42,044,327.96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383,099.30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275,742,749.71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119,331,936.69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158,353.53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归属于母公司股 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26,985,766.45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30,803,530.40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171,174,310.75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22,604,804.94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30,149,988.73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6,611,512.78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15,093,729.90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39,370,091.47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5,538,177.21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14,773,494.48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10,384,676.00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10,384,676.00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 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对联营企业权益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6,137,976.04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15,054,976.16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49,754,767.47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2,125,255.82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14,742,444.58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 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28,107,625.63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3,721,646.51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194,538,206.76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42,935,656.72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2,318,670.65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4,380,961.51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20,731,646.81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6,004,290.43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183,622.93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终止经营的净利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4,380,961.51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20,731,646.81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6,004,290.43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183,622.93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24"/>
        <w:keepNext/>
        <w:keepLines/>
        <w:widowControl w:val="0"/>
        <w:shd w:val="clear" w:color="auto" w:fill="auto"/>
        <w:bidi w:val="0"/>
        <w:spacing w:before="0" w:after="200" w:line="240" w:lineRule="auto"/>
        <w:ind w:left="0" w:right="0" w:firstLine="0"/>
        <w:jc w:val="left"/>
      </w:pPr>
      <w:bookmarkStart w:id="1674" w:name="bookmark1674"/>
      <w:bookmarkStart w:id="1675" w:name="bookmark1675"/>
      <w:bookmarkStart w:id="1676" w:name="bookmark1676"/>
      <w:r>
        <w:rPr>
          <w:color w:val="000000"/>
          <w:spacing w:val="0"/>
          <w:w w:val="100"/>
          <w:position w:val="0"/>
          <w:sz w:val="24"/>
          <w:szCs w:val="24"/>
        </w:rPr>
        <w:t>十、与金融工具相关的风险</w:t>
      </w:r>
      <w:bookmarkEnd w:id="1674"/>
      <w:bookmarkEnd w:id="1675"/>
      <w:bookmarkEnd w:id="1676"/>
    </w:p>
    <w:p>
      <w:pPr>
        <w:pStyle w:val="Style28"/>
        <w:keepNext w:val="0"/>
        <w:keepLines w:val="0"/>
        <w:widowControl w:val="0"/>
        <w:shd w:val="clear" w:color="auto" w:fill="auto"/>
        <w:bidi w:val="0"/>
        <w:spacing w:before="0" w:after="0" w:line="382" w:lineRule="exact"/>
        <w:ind w:left="0" w:right="0" w:firstLine="200"/>
        <w:jc w:val="left"/>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8"/>
        <w:keepNext w:val="0"/>
        <w:keepLines w:val="0"/>
        <w:widowControl w:val="0"/>
        <w:shd w:val="clear" w:color="auto" w:fill="auto"/>
        <w:bidi w:val="0"/>
        <w:spacing w:before="0" w:after="0" w:line="382" w:lineRule="exact"/>
        <w:ind w:left="0" w:right="0" w:firstLine="200"/>
        <w:jc w:val="left"/>
      </w:pPr>
      <w:r>
        <w:rPr>
          <w:color w:val="000000"/>
          <w:spacing w:val="0"/>
          <w:w w:val="100"/>
          <w:position w:val="0"/>
        </w:rPr>
        <w:t>本公司在日常活动中面临各种与金融工具相关的风险，主要包括信用风险、流动性风险及市场风险。管理层已审议并批 准管理这些风险的政策，概括如下。</w:t>
      </w:r>
    </w:p>
    <w:p>
      <w:pPr>
        <w:pStyle w:val="Style28"/>
        <w:keepNext w:val="0"/>
        <w:keepLines w:val="0"/>
        <w:widowControl w:val="0"/>
        <w:shd w:val="clear" w:color="auto" w:fill="auto"/>
        <w:bidi w:val="0"/>
        <w:spacing w:before="0" w:after="0" w:line="390" w:lineRule="exact"/>
        <w:ind w:left="0" w:right="0" w:firstLine="200"/>
        <w:jc w:val="left"/>
      </w:pPr>
      <w:bookmarkStart w:id="1677" w:name="bookmark1677"/>
      <w:r>
        <w:rPr>
          <w:color w:val="000000"/>
          <w:spacing w:val="0"/>
          <w:w w:val="100"/>
          <w:position w:val="0"/>
        </w:rPr>
        <w:t>（</w:t>
      </w:r>
      <w:bookmarkEnd w:id="1677"/>
      <w:r>
        <w:rPr>
          <w:color w:val="000000"/>
          <w:spacing w:val="0"/>
          <w:w w:val="100"/>
          <w:position w:val="0"/>
        </w:rPr>
        <w:t>一）信用风险</w:t>
      </w:r>
    </w:p>
    <w:p>
      <w:pPr>
        <w:pStyle w:val="Style28"/>
        <w:keepNext w:val="0"/>
        <w:keepLines w:val="0"/>
        <w:widowControl w:val="0"/>
        <w:shd w:val="clear" w:color="auto" w:fill="auto"/>
        <w:bidi w:val="0"/>
        <w:spacing w:before="0" w:after="200" w:line="390" w:lineRule="exact"/>
        <w:ind w:left="0" w:right="0" w:firstLine="200"/>
        <w:jc w:val="left"/>
      </w:pPr>
      <w:r>
        <w:rPr>
          <w:color w:val="000000"/>
          <w:spacing w:val="0"/>
          <w:w w:val="100"/>
          <w:position w:val="0"/>
        </w:rPr>
        <w:t>信用风险，是指金融工具的一方不能履行义务，造成另一方发生财务损失的风险。</w:t>
      </w:r>
    </w:p>
    <w:p>
      <w:pPr>
        <w:pStyle w:val="Style28"/>
        <w:keepNext w:val="0"/>
        <w:keepLines w:val="0"/>
        <w:widowControl w:val="0"/>
        <w:numPr>
          <w:ilvl w:val="0"/>
          <w:numId w:val="33"/>
        </w:numPr>
        <w:shd w:val="clear" w:color="auto" w:fill="auto"/>
        <w:bidi w:val="0"/>
        <w:spacing w:before="0" w:after="0" w:line="454" w:lineRule="auto"/>
        <w:ind w:left="0" w:right="0" w:firstLine="200"/>
        <w:jc w:val="both"/>
      </w:pPr>
      <w:bookmarkStart w:id="1678" w:name="bookmark1678"/>
      <w:bookmarkEnd w:id="1678"/>
      <w:r>
        <w:rPr>
          <w:color w:val="000000"/>
          <w:spacing w:val="0"/>
          <w:w w:val="100"/>
          <w:position w:val="0"/>
        </w:rPr>
        <w:t>信用风险管理实务</w:t>
      </w:r>
    </w:p>
    <w:p>
      <w:pPr>
        <w:pStyle w:val="Style28"/>
        <w:keepNext w:val="0"/>
        <w:keepLines w:val="0"/>
        <w:widowControl w:val="0"/>
        <w:shd w:val="clear" w:color="auto" w:fill="auto"/>
        <w:bidi w:val="0"/>
        <w:spacing w:before="0" w:after="0" w:line="390" w:lineRule="exact"/>
        <w:ind w:left="0" w:right="0" w:firstLine="2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）信用风险的评价方法</w:t>
      </w:r>
    </w:p>
    <w:p>
      <w:pPr>
        <w:pStyle w:val="Style28"/>
        <w:keepNext w:val="0"/>
        <w:keepLines w:val="0"/>
        <w:widowControl w:val="0"/>
        <w:shd w:val="clear" w:color="auto" w:fill="auto"/>
        <w:bidi w:val="0"/>
        <w:spacing w:before="0" w:after="200" w:line="390" w:lineRule="exact"/>
        <w:ind w:left="0" w:right="0" w:firstLine="200"/>
        <w:jc w:val="both"/>
      </w:pPr>
      <w:r>
        <w:rPr>
          <w:color w:val="000000"/>
          <w:spacing w:val="0"/>
          <w:w w:val="100"/>
          <w:position w:val="0"/>
        </w:rPr>
        <w:t>公司在每个资产负债表日评估相关金融工具的信用风险自初始确认后是否已显著增加。在确定信用风险自初始确认后是 否显著增加时，公司考虑在无须付出不必要的额外成本或努力即可获得合理且有依据的信息，包括基于历史数据的定性和定 量分析、外部信用风险评级以及前瞻性信息。公司以单项金融工具或者具有相似信用风险特征的金融工具组合为基础，通过 比较金融工具在资产负债表日发生违约的风险与在初始确认日发生违约的风险，以确定金融工具预计存续期内发生违约风险 的变化情况。</w:t>
      </w:r>
    </w:p>
    <w:p>
      <w:pPr>
        <w:pStyle w:val="Style28"/>
        <w:keepNext w:val="0"/>
        <w:keepLines w:val="0"/>
        <w:widowControl w:val="0"/>
        <w:shd w:val="clear" w:color="auto" w:fill="auto"/>
        <w:bidi w:val="0"/>
        <w:spacing w:before="0" w:after="180" w:line="392" w:lineRule="exact"/>
        <w:ind w:left="0" w:right="0" w:firstLine="200"/>
        <w:jc w:val="both"/>
      </w:pPr>
      <w:r>
        <w:rPr>
          <w:color w:val="000000"/>
          <w:spacing w:val="0"/>
          <w:w w:val="100"/>
          <w:position w:val="0"/>
        </w:rPr>
        <w:t>当触发以下一个或多个定量、定性标准时，公司认为金融工具的信用风险已发生显著增加：</w:t>
      </w:r>
    </w:p>
    <w:p>
      <w:pPr>
        <w:pStyle w:val="Style28"/>
        <w:keepNext w:val="0"/>
        <w:keepLines w:val="0"/>
        <w:widowControl w:val="0"/>
        <w:shd w:val="clear" w:color="auto" w:fill="auto"/>
        <w:tabs>
          <w:tab w:pos="549" w:val="left"/>
        </w:tabs>
        <w:bidi w:val="0"/>
        <w:spacing w:before="0" w:after="0" w:line="456" w:lineRule="auto"/>
        <w:ind w:left="0" w:right="0" w:firstLine="200"/>
        <w:jc w:val="both"/>
      </w:pPr>
      <w:bookmarkStart w:id="1679" w:name="bookmark1679"/>
      <w:r>
        <w:rPr>
          <w:rFonts w:ascii="Times New Roman" w:eastAsia="Times New Roman" w:hAnsi="Times New Roman" w:cs="Times New Roman"/>
          <w:color w:val="000000"/>
          <w:spacing w:val="0"/>
          <w:w w:val="100"/>
          <w:position w:val="0"/>
          <w:sz w:val="18"/>
          <w:szCs w:val="18"/>
        </w:rPr>
        <w:t>1</w:t>
      </w:r>
      <w:bookmarkEnd w:id="1679"/>
      <w:r>
        <w:rPr>
          <w:color w:val="000000"/>
          <w:spacing w:val="0"/>
          <w:w w:val="100"/>
          <w:position w:val="0"/>
        </w:rPr>
        <w:t>）</w:t>
        <w:tab/>
        <w:t>定量标准主要为资产负债表日剩余存续期违约概率较初始确认时上升超过一定比例；</w:t>
      </w:r>
    </w:p>
    <w:p>
      <w:pPr>
        <w:pStyle w:val="Style28"/>
        <w:keepNext w:val="0"/>
        <w:keepLines w:val="0"/>
        <w:widowControl w:val="0"/>
        <w:shd w:val="clear" w:color="auto" w:fill="auto"/>
        <w:tabs>
          <w:tab w:pos="555" w:val="left"/>
        </w:tabs>
        <w:bidi w:val="0"/>
        <w:spacing w:before="0" w:after="0" w:line="392" w:lineRule="exact"/>
        <w:ind w:left="0" w:right="0" w:firstLine="200"/>
        <w:jc w:val="both"/>
      </w:pPr>
      <w:bookmarkStart w:id="1680" w:name="bookmark1680"/>
      <w:r>
        <w:rPr>
          <w:rFonts w:ascii="Times New Roman" w:eastAsia="Times New Roman" w:hAnsi="Times New Roman" w:cs="Times New Roman"/>
          <w:color w:val="000000"/>
          <w:spacing w:val="0"/>
          <w:w w:val="100"/>
          <w:position w:val="0"/>
          <w:sz w:val="18"/>
          <w:szCs w:val="18"/>
        </w:rPr>
        <w:t>2</w:t>
      </w:r>
      <w:bookmarkEnd w:id="1680"/>
      <w:r>
        <w:rPr>
          <w:color w:val="000000"/>
          <w:spacing w:val="0"/>
          <w:w w:val="100"/>
          <w:position w:val="0"/>
        </w:rPr>
        <w:t>）</w:t>
        <w:tab/>
        <w:t>定性标准主要为债务人经营或财务情况出现重大不利变化、现存的或预期的技术、市场、经济或法律环境变化并将对 债务人对公司的还款能力产生重大不利影响等。</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）违约和已发生信用减值资产的定义</w:t>
      </w:r>
    </w:p>
    <w:p>
      <w:pPr>
        <w:pStyle w:val="Style28"/>
        <w:keepNext w:val="0"/>
        <w:keepLines w:val="0"/>
        <w:widowControl w:val="0"/>
        <w:shd w:val="clear" w:color="auto" w:fill="auto"/>
        <w:bidi w:val="0"/>
        <w:spacing w:before="0" w:after="180" w:line="392" w:lineRule="exact"/>
        <w:ind w:left="0" w:right="0" w:firstLine="200"/>
        <w:jc w:val="both"/>
      </w:pPr>
      <w:r>
        <w:rPr>
          <w:color w:val="000000"/>
          <w:spacing w:val="0"/>
          <w:w w:val="100"/>
          <w:position w:val="0"/>
        </w:rPr>
        <w:t>当金融工具符合以下一项或多项条件时，公司将该金融资产界定为已发生违约，其标准与已发生信用减值的定义一致：</w:t>
      </w:r>
    </w:p>
    <w:p>
      <w:pPr>
        <w:pStyle w:val="Style28"/>
        <w:keepNext w:val="0"/>
        <w:keepLines w:val="0"/>
        <w:widowControl w:val="0"/>
        <w:shd w:val="clear" w:color="auto" w:fill="auto"/>
        <w:tabs>
          <w:tab w:pos="549" w:val="left"/>
        </w:tabs>
        <w:bidi w:val="0"/>
        <w:spacing w:before="0" w:after="0" w:line="456" w:lineRule="auto"/>
        <w:ind w:left="0" w:right="0" w:firstLine="200"/>
        <w:jc w:val="both"/>
      </w:pPr>
      <w:bookmarkStart w:id="1681" w:name="bookmark1681"/>
      <w:r>
        <w:rPr>
          <w:rFonts w:ascii="Times New Roman" w:eastAsia="Times New Roman" w:hAnsi="Times New Roman" w:cs="Times New Roman"/>
          <w:color w:val="000000"/>
          <w:spacing w:val="0"/>
          <w:w w:val="100"/>
          <w:position w:val="0"/>
          <w:sz w:val="18"/>
          <w:szCs w:val="18"/>
        </w:rPr>
        <w:t>1</w:t>
      </w:r>
      <w:bookmarkEnd w:id="1681"/>
      <w:r>
        <w:rPr>
          <w:color w:val="000000"/>
          <w:spacing w:val="0"/>
          <w:w w:val="100"/>
          <w:position w:val="0"/>
        </w:rPr>
        <w:t>）</w:t>
        <w:tab/>
        <w:t>债务人发生重大财务困难；</w:t>
      </w:r>
    </w:p>
    <w:p>
      <w:pPr>
        <w:pStyle w:val="Style28"/>
        <w:keepNext w:val="0"/>
        <w:keepLines w:val="0"/>
        <w:widowControl w:val="0"/>
        <w:shd w:val="clear" w:color="auto" w:fill="auto"/>
        <w:tabs>
          <w:tab w:pos="568" w:val="left"/>
        </w:tabs>
        <w:bidi w:val="0"/>
        <w:spacing w:before="0" w:after="0" w:line="456" w:lineRule="auto"/>
        <w:ind w:left="0" w:right="0" w:firstLine="200"/>
        <w:jc w:val="both"/>
      </w:pPr>
      <w:bookmarkStart w:id="1682" w:name="bookmark1682"/>
      <w:r>
        <w:rPr>
          <w:rFonts w:ascii="Times New Roman" w:eastAsia="Times New Roman" w:hAnsi="Times New Roman" w:cs="Times New Roman"/>
          <w:color w:val="000000"/>
          <w:spacing w:val="0"/>
          <w:w w:val="100"/>
          <w:position w:val="0"/>
          <w:sz w:val="18"/>
          <w:szCs w:val="18"/>
        </w:rPr>
        <w:t>2</w:t>
      </w:r>
      <w:bookmarkEnd w:id="1682"/>
      <w:r>
        <w:rPr>
          <w:color w:val="000000"/>
          <w:spacing w:val="0"/>
          <w:w w:val="100"/>
          <w:position w:val="0"/>
        </w:rPr>
        <w:t>）</w:t>
        <w:tab/>
        <w:t>债务人违反合同中对债务人的约束条款；</w:t>
      </w:r>
    </w:p>
    <w:p>
      <w:pPr>
        <w:pStyle w:val="Style28"/>
        <w:keepNext w:val="0"/>
        <w:keepLines w:val="0"/>
        <w:widowControl w:val="0"/>
        <w:shd w:val="clear" w:color="auto" w:fill="auto"/>
        <w:tabs>
          <w:tab w:pos="558" w:val="left"/>
        </w:tabs>
        <w:bidi w:val="0"/>
        <w:spacing w:before="0" w:after="0" w:line="456" w:lineRule="auto"/>
        <w:ind w:left="0" w:right="0" w:firstLine="200"/>
        <w:jc w:val="both"/>
      </w:pPr>
      <w:bookmarkStart w:id="1683" w:name="bookmark1683"/>
      <w:r>
        <w:rPr>
          <w:rFonts w:ascii="Times New Roman" w:eastAsia="Times New Roman" w:hAnsi="Times New Roman" w:cs="Times New Roman"/>
          <w:color w:val="000000"/>
          <w:spacing w:val="0"/>
          <w:w w:val="100"/>
          <w:position w:val="0"/>
          <w:sz w:val="18"/>
          <w:szCs w:val="18"/>
        </w:rPr>
        <w:t>3</w:t>
      </w:r>
      <w:bookmarkEnd w:id="1683"/>
      <w:r>
        <w:rPr>
          <w:color w:val="000000"/>
          <w:spacing w:val="0"/>
          <w:w w:val="100"/>
          <w:position w:val="0"/>
        </w:rPr>
        <w:t>）</w:t>
        <w:tab/>
        <w:t>债务人很可能破产或进行其他财务重组；</w:t>
      </w:r>
    </w:p>
    <w:p>
      <w:pPr>
        <w:pStyle w:val="Style28"/>
        <w:keepNext w:val="0"/>
        <w:keepLines w:val="0"/>
        <w:widowControl w:val="0"/>
        <w:shd w:val="clear" w:color="auto" w:fill="auto"/>
        <w:tabs>
          <w:tab w:pos="568" w:val="left"/>
        </w:tabs>
        <w:bidi w:val="0"/>
        <w:spacing w:before="0" w:after="180" w:line="392" w:lineRule="exact"/>
        <w:ind w:left="0" w:right="0" w:firstLine="200"/>
        <w:jc w:val="both"/>
      </w:pPr>
      <w:bookmarkStart w:id="1684" w:name="bookmark1684"/>
      <w:r>
        <w:rPr>
          <w:rFonts w:ascii="Times New Roman" w:eastAsia="Times New Roman" w:hAnsi="Times New Roman" w:cs="Times New Roman"/>
          <w:color w:val="000000"/>
          <w:spacing w:val="0"/>
          <w:w w:val="100"/>
          <w:position w:val="0"/>
          <w:sz w:val="18"/>
          <w:szCs w:val="18"/>
        </w:rPr>
        <w:t>4</w:t>
      </w:r>
      <w:bookmarkEnd w:id="1684"/>
      <w:r>
        <w:rPr>
          <w:color w:val="000000"/>
          <w:spacing w:val="0"/>
          <w:w w:val="100"/>
          <w:position w:val="0"/>
        </w:rPr>
        <w:t>）</w:t>
        <w:tab/>
        <w:t>债权人出于与债务人财务困难有关的经济或合同考虑，给予债务人在任何其他情况下都不会做出的让步。</w:t>
      </w:r>
    </w:p>
    <w:p>
      <w:pPr>
        <w:pStyle w:val="Style28"/>
        <w:keepNext w:val="0"/>
        <w:keepLines w:val="0"/>
        <w:widowControl w:val="0"/>
        <w:numPr>
          <w:ilvl w:val="0"/>
          <w:numId w:val="33"/>
        </w:numPr>
        <w:shd w:val="clear" w:color="auto" w:fill="auto"/>
        <w:tabs>
          <w:tab w:pos="520" w:val="left"/>
        </w:tabs>
        <w:bidi w:val="0"/>
        <w:spacing w:before="0" w:after="0" w:line="456" w:lineRule="auto"/>
        <w:ind w:left="0" w:right="0" w:firstLine="200"/>
        <w:jc w:val="both"/>
      </w:pPr>
      <w:bookmarkStart w:id="1685" w:name="bookmark1685"/>
      <w:bookmarkEnd w:id="1685"/>
      <w:r>
        <w:rPr>
          <w:color w:val="000000"/>
          <w:spacing w:val="0"/>
          <w:w w:val="100"/>
          <w:position w:val="0"/>
        </w:rPr>
        <w:t>预期信用损失的计量</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预期信用损失计量的关键参数包括违约概率、违约损失率和违约风险敞口。公司考虑历史统计数据（如交易对手评级、 担保方式及抵质押物类别、还款方式等）的定量分析及前瞻性信息，建立违约概率、违约损失率及违约风险敞口模型。</w:t>
      </w:r>
    </w:p>
    <w:p>
      <w:pPr>
        <w:pStyle w:val="Style28"/>
        <w:keepNext w:val="0"/>
        <w:keepLines w:val="0"/>
        <w:widowControl w:val="0"/>
        <w:numPr>
          <w:ilvl w:val="0"/>
          <w:numId w:val="33"/>
        </w:numPr>
        <w:shd w:val="clear" w:color="auto" w:fill="auto"/>
        <w:tabs>
          <w:tab w:pos="517" w:val="left"/>
        </w:tabs>
        <w:bidi w:val="0"/>
        <w:spacing w:before="0" w:after="180" w:line="392" w:lineRule="exact"/>
        <w:ind w:left="0" w:right="0" w:firstLine="200"/>
        <w:jc w:val="both"/>
      </w:pPr>
      <w:bookmarkStart w:id="1686" w:name="bookmark1686"/>
      <w:bookmarkEnd w:id="1686"/>
      <w:r>
        <w:rPr>
          <w:color w:val="000000"/>
          <w:spacing w:val="0"/>
          <w:w w:val="100"/>
          <w:position w:val="0"/>
        </w:rPr>
        <w:t>金融工具损失准备期初余额与期末余额调节表详见本财务报表附注五（一）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、五（一）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、五（一）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、五（一）</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之 说明。</w:t>
      </w:r>
    </w:p>
    <w:p>
      <w:pPr>
        <w:pStyle w:val="Style28"/>
        <w:keepNext w:val="0"/>
        <w:keepLines w:val="0"/>
        <w:widowControl w:val="0"/>
        <w:numPr>
          <w:ilvl w:val="0"/>
          <w:numId w:val="33"/>
        </w:numPr>
        <w:shd w:val="clear" w:color="auto" w:fill="auto"/>
        <w:tabs>
          <w:tab w:pos="520" w:val="left"/>
        </w:tabs>
        <w:bidi w:val="0"/>
        <w:spacing w:before="0" w:after="0" w:line="456" w:lineRule="auto"/>
        <w:ind w:left="0" w:right="0" w:firstLine="200"/>
        <w:jc w:val="both"/>
      </w:pPr>
      <w:bookmarkStart w:id="1687" w:name="bookmark1687"/>
      <w:bookmarkEnd w:id="1687"/>
      <w:r>
        <w:rPr>
          <w:color w:val="000000"/>
          <w:spacing w:val="0"/>
          <w:w w:val="100"/>
          <w:position w:val="0"/>
        </w:rPr>
        <w:t>信用风险敞口及信用风险集中度</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本公司的信用风险主要来自货币资金和应收款项。为控制上述相关风险，本公司分别采取了以下措施。</w:t>
      </w:r>
    </w:p>
    <w:p>
      <w:pPr>
        <w:pStyle w:val="Style28"/>
        <w:keepNext w:val="0"/>
        <w:keepLines w:val="0"/>
        <w:widowControl w:val="0"/>
        <w:shd w:val="clear" w:color="auto" w:fill="auto"/>
        <w:tabs>
          <w:tab w:pos="645" w:val="left"/>
        </w:tabs>
        <w:bidi w:val="0"/>
        <w:spacing w:before="0" w:after="0" w:line="392" w:lineRule="exact"/>
        <w:ind w:left="0" w:right="0" w:firstLine="200"/>
        <w:jc w:val="both"/>
      </w:pPr>
      <w:bookmarkStart w:id="1688" w:name="bookmark1688"/>
      <w:r>
        <w:rPr>
          <w:color w:val="000000"/>
          <w:spacing w:val="0"/>
          <w:w w:val="100"/>
          <w:position w:val="0"/>
        </w:rPr>
        <w:t>（</w:t>
      </w:r>
      <w:bookmarkEnd w:id="16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货币资金</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本公司将银行存款和其他货币资金存放于信用评级较高的金融机构，故其信用风险较低。</w:t>
      </w:r>
    </w:p>
    <w:p>
      <w:pPr>
        <w:pStyle w:val="Style28"/>
        <w:keepNext w:val="0"/>
        <w:keepLines w:val="0"/>
        <w:widowControl w:val="0"/>
        <w:shd w:val="clear" w:color="auto" w:fill="auto"/>
        <w:tabs>
          <w:tab w:pos="645" w:val="left"/>
        </w:tabs>
        <w:bidi w:val="0"/>
        <w:spacing w:before="0" w:after="0" w:line="392" w:lineRule="exact"/>
        <w:ind w:left="0" w:right="0" w:firstLine="200"/>
        <w:jc w:val="both"/>
      </w:pPr>
      <w:bookmarkStart w:id="1689" w:name="bookmark1689"/>
      <w:r>
        <w:rPr>
          <w:color w:val="000000"/>
          <w:spacing w:val="0"/>
          <w:w w:val="100"/>
          <w:position w:val="0"/>
        </w:rPr>
        <w:t>（</w:t>
      </w:r>
      <w:bookmarkEnd w:id="16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应收款项</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本公司持续对采用信用方式交易的客户进行信用评估。根据信用评估结果，本公司选择与经认可的且信用良好的客户进 行交易，并对其应收款项余额进行监控，以确保本公司不会面临重大坏账风险。</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由于本公司仅与经认可的且信用良好的第三方进行交易，所以无需担保物。信用风险集中按照客户进行管理。截至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日，本公司存在一定的信用集中风险，本公司应收账款的</w:t>
      </w:r>
      <w:r>
        <w:rPr>
          <w:rFonts w:ascii="Times New Roman" w:eastAsia="Times New Roman" w:hAnsi="Times New Roman" w:cs="Times New Roman"/>
          <w:color w:val="000000"/>
          <w:spacing w:val="0"/>
          <w:w w:val="100"/>
          <w:position w:val="0"/>
          <w:sz w:val="18"/>
          <w:szCs w:val="18"/>
        </w:rPr>
        <w:t>30.74%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41.32%</w:t>
      </w:r>
      <w:r>
        <w:rPr>
          <w:color w:val="000000"/>
          <w:spacing w:val="0"/>
          <w:w w:val="100"/>
          <w:position w:val="0"/>
        </w:rPr>
        <w:t>）源于余额前五名客 户。本公司对应收账款余额未持有任何担保物或其他信用增级。</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本公司所承受的最大信用风险敞口为资产负债表中每项金融资产的账面价值。</w:t>
      </w:r>
    </w:p>
    <w:p>
      <w:pPr>
        <w:pStyle w:val="Style28"/>
        <w:keepNext w:val="0"/>
        <w:keepLines w:val="0"/>
        <w:widowControl w:val="0"/>
        <w:shd w:val="clear" w:color="auto" w:fill="auto"/>
        <w:bidi w:val="0"/>
        <w:spacing w:before="0" w:after="0" w:line="392" w:lineRule="exact"/>
        <w:ind w:left="0" w:right="0" w:firstLine="200"/>
        <w:jc w:val="both"/>
      </w:pPr>
      <w:bookmarkStart w:id="1690" w:name="bookmark1690"/>
      <w:r>
        <w:rPr>
          <w:color w:val="000000"/>
          <w:spacing w:val="0"/>
          <w:w w:val="100"/>
          <w:position w:val="0"/>
        </w:rPr>
        <w:t>（</w:t>
      </w:r>
      <w:bookmarkEnd w:id="1690"/>
      <w:r>
        <w:rPr>
          <w:color w:val="000000"/>
          <w:spacing w:val="0"/>
          <w:w w:val="100"/>
          <w:position w:val="0"/>
        </w:rPr>
        <w:t>二）流动性风险</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流动性风险，是指本公司在履行以交付现金或其他金融资产的方式结算的义务时发生资金短缺的风险。流动性风险可能 源于无法尽快以公允价值售出金融资产；或者源于对方无法偿还其合同债务；或者源于提前到期的债务；或者源于无法产生 预期的现金流量。</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为控制该项风险，本公司综合运用票据结算、银行借款等多种融资手段，并采取长、短期融资方式适当结合，优化融资 结构的方法，保持融资持续性与灵活性之间的平衡。本公司已从多家商业银行取得银行授信额度以满足营运资金需求和资本 开支。</w:t>
      </w:r>
    </w:p>
    <w:p>
      <w:pPr>
        <w:pStyle w:val="Style28"/>
        <w:keepNext w:val="0"/>
        <w:keepLines w:val="0"/>
        <w:widowControl w:val="0"/>
        <w:shd w:val="clear" w:color="auto" w:fill="auto"/>
        <w:bidi w:val="0"/>
        <w:spacing w:before="0" w:after="0" w:line="392" w:lineRule="exact"/>
        <w:ind w:left="0" w:right="0" w:firstLine="200"/>
        <w:jc w:val="both"/>
      </w:pPr>
      <w:r>
        <w:rPr>
          <w:color w:val="000000"/>
          <w:spacing w:val="0"/>
          <w:w w:val="100"/>
          <w:position w:val="0"/>
        </w:rPr>
        <w:t>金融负债按剩余到期日分类</w:t>
      </w:r>
    </w:p>
    <w:p>
      <w:pPr>
        <w:pStyle w:val="Style28"/>
        <w:keepNext w:val="0"/>
        <w:keepLines w:val="0"/>
        <w:widowControl w:val="0"/>
        <w:shd w:val="clear" w:color="auto" w:fill="auto"/>
        <w:bidi w:val="0"/>
        <w:spacing w:before="0" w:after="180" w:line="39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757"/>
        <w:gridCol w:w="1723"/>
        <w:gridCol w:w="1723"/>
        <w:gridCol w:w="1598"/>
        <w:gridCol w:w="1598"/>
        <w:gridCol w:w="1277"/>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48,534,484.34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48,534,484.34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48,534,484.34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82,830,486.87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82,830,486.87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82,830,486.87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60,489, </w:t>
            </w:r>
            <w:r>
              <w:rPr>
                <w:color w:val="000000"/>
                <w:spacing w:val="0"/>
                <w:w w:val="100"/>
                <w:position w:val="0"/>
              </w:rPr>
              <w:t xml:space="preserve">424. </w:t>
            </w: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60, 489, </w:t>
            </w:r>
            <w:r>
              <w:rPr>
                <w:color w:val="000000"/>
                <w:spacing w:val="0"/>
                <w:w w:val="100"/>
                <w:position w:val="0"/>
              </w:rPr>
              <w:t xml:space="preserve">424. </w:t>
            </w: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60, 489, </w:t>
            </w:r>
            <w:r>
              <w:rPr>
                <w:color w:val="000000"/>
                <w:spacing w:val="0"/>
                <w:w w:val="100"/>
                <w:position w:val="0"/>
              </w:rPr>
              <w:t xml:space="preserve">424.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7,990,476.68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8,998,791.25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8,998,791.25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17,192,202.24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18,014,252.47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17,742,518.94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271,733.53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217,037, </w:t>
            </w:r>
            <w:r>
              <w:rPr>
                <w:color w:val="000000"/>
                <w:spacing w:val="0"/>
                <w:w w:val="100"/>
                <w:position w:val="0"/>
              </w:rPr>
              <w:t xml:space="preserve">074.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218, 867, </w:t>
            </w:r>
            <w:r>
              <w:rPr>
                <w:color w:val="000000"/>
                <w:spacing w:val="0"/>
                <w:w w:val="100"/>
                <w:position w:val="0"/>
              </w:rPr>
              <w:t xml:space="preserve">439. </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200, 853, </w:t>
            </w:r>
            <w:r>
              <w:rPr>
                <w:color w:val="000000"/>
                <w:spacing w:val="0"/>
                <w:w w:val="100"/>
                <w:position w:val="0"/>
              </w:rPr>
              <w:t xml:space="preserve">187.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17,742,518.94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271,733.53</w:t>
            </w:r>
          </w:p>
        </w:tc>
      </w:tr>
    </w:tbl>
    <w:p>
      <w:pPr>
        <w:pStyle w:val="Style26"/>
        <w:keepNext w:val="0"/>
        <w:keepLines w:val="0"/>
        <w:widowControl w:val="0"/>
        <w:shd w:val="clear" w:color="auto" w:fill="auto"/>
        <w:bidi w:val="0"/>
        <w:spacing w:before="0" w:after="0" w:line="240" w:lineRule="auto"/>
        <w:ind w:left="442" w:right="0" w:firstLine="0"/>
        <w:jc w:val="left"/>
        <w:rPr>
          <w:sz w:val="19"/>
          <w:szCs w:val="19"/>
        </w:rPr>
      </w:pPr>
      <w:r>
        <w:rPr>
          <w:color w:val="000000"/>
          <w:spacing w:val="0"/>
          <w:w w:val="100"/>
          <w:position w:val="0"/>
          <w:sz w:val="19"/>
          <w:szCs w:val="19"/>
        </w:rPr>
        <w:t>（续上表）</w:t>
      </w:r>
    </w:p>
    <w:tbl>
      <w:tblPr>
        <w:tblOverlap w:val="never"/>
        <w:jc w:val="center"/>
        <w:tblLayout w:type="fixed"/>
      </w:tblPr>
      <w:tblGrid>
        <w:gridCol w:w="2136"/>
        <w:gridCol w:w="1368"/>
        <w:gridCol w:w="1675"/>
        <w:gridCol w:w="1675"/>
        <w:gridCol w:w="1402"/>
        <w:gridCol w:w="1421"/>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340,098,528.56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340,098,528.56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340,098,528.56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80" w:line="240" w:lineRule="auto"/>
        <w:ind w:left="0" w:right="0"/>
        <w:jc w:val="both"/>
      </w:pPr>
      <w:bookmarkStart w:id="1691" w:name="bookmark1691"/>
      <w:r>
        <w:rPr>
          <w:color w:val="000000"/>
          <w:spacing w:val="0"/>
          <w:w w:val="100"/>
          <w:position w:val="0"/>
        </w:rPr>
        <w:t>（</w:t>
      </w:r>
      <w:bookmarkEnd w:id="1691"/>
      <w:r>
        <w:rPr>
          <w:color w:val="000000"/>
          <w:spacing w:val="0"/>
          <w:w w:val="100"/>
          <w:position w:val="0"/>
        </w:rPr>
        <w:t>三）市场风险</w:t>
      </w:r>
    </w:p>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市场风险，是指金融工具的公允价值或未来现金流量因市场价格变动而发生波动的风险。市场风险主要包括利率风险和 </w:t>
      </w:r>
      <w:r>
        <w:rPr>
          <w:color w:val="000000"/>
          <w:spacing w:val="0"/>
          <w:w w:val="100"/>
          <w:position w:val="0"/>
        </w:rPr>
        <w:t>外汇风险。</w:t>
      </w:r>
    </w:p>
    <w:p>
      <w:pPr>
        <w:pStyle w:val="Style28"/>
        <w:keepNext w:val="0"/>
        <w:keepLines w:val="0"/>
        <w:widowControl w:val="0"/>
        <w:numPr>
          <w:ilvl w:val="0"/>
          <w:numId w:val="35"/>
        </w:numPr>
        <w:shd w:val="clear" w:color="auto" w:fill="auto"/>
        <w:tabs>
          <w:tab w:pos="661" w:val="left"/>
        </w:tabs>
        <w:bidi w:val="0"/>
        <w:spacing w:before="0" w:after="0" w:line="374" w:lineRule="exact"/>
        <w:ind w:left="0" w:right="0"/>
        <w:jc w:val="both"/>
      </w:pPr>
      <w:bookmarkStart w:id="1692" w:name="bookmark1692"/>
      <w:bookmarkEnd w:id="1692"/>
      <w:r>
        <w:rPr>
          <w:color w:val="000000"/>
          <w:spacing w:val="0"/>
          <w:w w:val="100"/>
          <w:position w:val="0"/>
        </w:rPr>
        <w:t>利率风险</w:t>
      </w:r>
    </w:p>
    <w:p>
      <w:pPr>
        <w:pStyle w:val="Style28"/>
        <w:keepNext w:val="0"/>
        <w:keepLines w:val="0"/>
        <w:widowControl w:val="0"/>
        <w:shd w:val="clear" w:color="auto" w:fill="auto"/>
        <w:bidi w:val="0"/>
        <w:spacing w:before="0" w:after="0" w:line="374" w:lineRule="exact"/>
        <w:ind w:left="0" w:right="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公司面临公允价值利率风险，浮动利率的带息金融工具使本公司面临现金流量利率风险。本公司根据市场环境来决定固定利 率与浮动利率金融工具的比例，并通过定期审阅与监控维持适当的金融工具组合。</w:t>
      </w:r>
    </w:p>
    <w:p>
      <w:pPr>
        <w:pStyle w:val="Style28"/>
        <w:keepNext w:val="0"/>
        <w:keepLines w:val="0"/>
        <w:widowControl w:val="0"/>
        <w:numPr>
          <w:ilvl w:val="0"/>
          <w:numId w:val="35"/>
        </w:numPr>
        <w:shd w:val="clear" w:color="auto" w:fill="auto"/>
        <w:tabs>
          <w:tab w:pos="680" w:val="left"/>
        </w:tabs>
        <w:bidi w:val="0"/>
        <w:spacing w:before="0" w:after="0" w:line="391" w:lineRule="exact"/>
        <w:ind w:left="0" w:right="0"/>
        <w:jc w:val="both"/>
      </w:pPr>
      <w:bookmarkStart w:id="1693" w:name="bookmark1693"/>
      <w:bookmarkEnd w:id="1693"/>
      <w:r>
        <w:rPr>
          <w:color w:val="000000"/>
          <w:spacing w:val="0"/>
          <w:w w:val="100"/>
          <w:position w:val="0"/>
        </w:rPr>
        <w:t>外汇风险</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外汇风险，是指金融工具的公允价值或未来现金流量因外汇汇率变动而发生波动的风险。本公司面临的汇率变动的风险 主要与本公司外币货币性资产和负债有关。本公司于中国内地经营，且主要活动以人民币计价。因此，本公司所承担的外汇 变动市场风险不重大。</w:t>
      </w:r>
    </w:p>
    <w:p>
      <w:pPr>
        <w:pStyle w:val="Style28"/>
        <w:keepNext w:val="0"/>
        <w:keepLines w:val="0"/>
        <w:widowControl w:val="0"/>
        <w:shd w:val="clear" w:color="auto" w:fill="auto"/>
        <w:bidi w:val="0"/>
        <w:spacing w:before="0" w:after="420" w:line="391" w:lineRule="exact"/>
        <w:ind w:left="0" w:right="0"/>
        <w:jc w:val="both"/>
      </w:pPr>
      <w:r>
        <w:rPr>
          <w:color w:val="000000"/>
          <w:spacing w:val="0"/>
          <w:w w:val="100"/>
          <w:position w:val="0"/>
        </w:rPr>
        <w:t>本公司期末外币货币性资产和负债情况详见本财务报告附注七</w:t>
      </w:r>
      <w:r>
        <w:rPr>
          <w:color w:val="000000"/>
          <w:spacing w:val="0"/>
          <w:w w:val="100"/>
          <w:position w:val="0"/>
        </w:rPr>
        <w:t>-64</w:t>
      </w:r>
      <w:r>
        <w:rPr>
          <w:color w:val="000000"/>
          <w:spacing w:val="0"/>
          <w:w w:val="100"/>
          <w:position w:val="0"/>
        </w:rPr>
        <w:t>之说明。</w:t>
      </w:r>
    </w:p>
    <w:p>
      <w:pPr>
        <w:pStyle w:val="Style24"/>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color w:val="000000"/>
          <w:spacing w:val="0"/>
          <w:w w:val="100"/>
          <w:position w:val="0"/>
          <w:sz w:val="24"/>
          <w:szCs w:val="24"/>
        </w:rPr>
        <w:t>十一、公允价值的披露</w:t>
      </w:r>
      <w:bookmarkEnd w:id="1694"/>
      <w:bookmarkEnd w:id="1695"/>
      <w:bookmarkEnd w:id="1696"/>
    </w:p>
    <w:p>
      <w:pPr>
        <w:pStyle w:val="Style31"/>
        <w:keepNext/>
        <w:keepLines/>
        <w:widowControl w:val="0"/>
        <w:shd w:val="clear" w:color="auto" w:fill="auto"/>
        <w:bidi w:val="0"/>
        <w:spacing w:before="0" w:after="36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97"/>
      <w:bookmarkEnd w:id="1698"/>
      <w:bookmarkEnd w:id="16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第三层次公允价值计量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300,768, </w:t>
            </w:r>
            <w:r>
              <w:rPr>
                <w:color w:val="000000"/>
                <w:spacing w:val="0"/>
                <w:w w:val="100"/>
                <w:position w:val="0"/>
              </w:rPr>
              <w:t xml:space="preserve">801. </w:t>
            </w: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300, 768, </w:t>
            </w:r>
            <w:r>
              <w:rPr>
                <w:color w:val="000000"/>
                <w:spacing w:val="0"/>
                <w:w w:val="100"/>
                <w:position w:val="0"/>
              </w:rPr>
              <w:t xml:space="preserve">801.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5,110,916.31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5,110,916.31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12" w:lineRule="exact"/>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2</w:t>
      </w:r>
      <w:bookmarkEnd w:id="1702"/>
      <w:r>
        <w:rPr>
          <w:color w:val="000000"/>
          <w:spacing w:val="0"/>
          <w:w w:val="100"/>
          <w:position w:val="0"/>
        </w:rPr>
        <w:t>、</w:t>
        <w:tab/>
        <w:t>持续和非持续第一层次公允价值计量项目市价的确定依据</w:t>
      </w:r>
      <w:bookmarkEnd w:id="1700"/>
      <w:bookmarkEnd w:id="1701"/>
      <w:bookmarkEnd w:id="1703"/>
    </w:p>
    <w:p>
      <w:pPr>
        <w:pStyle w:val="Style67"/>
        <w:keepNext w:val="0"/>
        <w:keepLines w:val="0"/>
        <w:widowControl w:val="0"/>
        <w:shd w:val="clear" w:color="auto" w:fill="auto"/>
        <w:bidi w:val="0"/>
        <w:spacing w:before="0"/>
        <w:ind w:left="0" w:right="0" w:firstLine="44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280" w:line="312" w:lineRule="exact"/>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3</w:t>
      </w:r>
      <w:bookmarkEnd w:id="1706"/>
      <w:r>
        <w:rPr>
          <w:color w:val="000000"/>
          <w:spacing w:val="0"/>
          <w:w w:val="100"/>
          <w:position w:val="0"/>
        </w:rPr>
        <w:t>、</w:t>
        <w:tab/>
        <w:t>持续和非持续第二层次公允价值计量项目，采用的估值技术和重要参数的定性及定量信息</w:t>
      </w:r>
      <w:bookmarkEnd w:id="1704"/>
      <w:bookmarkEnd w:id="1705"/>
      <w:bookmarkEnd w:id="1707"/>
    </w:p>
    <w:p>
      <w:pPr>
        <w:pStyle w:val="Style67"/>
        <w:keepNext w:val="0"/>
        <w:keepLines w:val="0"/>
        <w:widowControl w:val="0"/>
        <w:shd w:val="clear" w:color="auto" w:fill="auto"/>
        <w:bidi w:val="0"/>
        <w:spacing w:before="0"/>
        <w:ind w:left="0" w:right="0" w:firstLine="0"/>
        <w:jc w:val="left"/>
      </w:pPr>
      <w:r>
        <w:rPr>
          <w:color w:val="000000"/>
          <w:spacing w:val="0"/>
          <w:w w:val="100"/>
          <w:position w:val="0"/>
        </w:rPr>
        <w:t>公司持有的交易性金融资产的公允价值是按照资产负债表日的市场报价确定。公司持有的其他权益工具投 资是按股权交易价作为公允价值，属于非活跃市场的相同资产的报价。</w:t>
      </w:r>
    </w:p>
    <w:p>
      <w:pPr>
        <w:pStyle w:val="Style31"/>
        <w:keepNext/>
        <w:keepLines/>
        <w:widowControl w:val="0"/>
        <w:shd w:val="clear" w:color="auto" w:fill="auto"/>
        <w:tabs>
          <w:tab w:pos="378" w:val="left"/>
        </w:tabs>
        <w:bidi w:val="0"/>
        <w:spacing w:before="0" w:after="280" w:line="312" w:lineRule="exact"/>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4</w:t>
      </w:r>
      <w:bookmarkEnd w:id="1710"/>
      <w:r>
        <w:rPr>
          <w:color w:val="000000"/>
          <w:spacing w:val="0"/>
          <w:w w:val="100"/>
          <w:position w:val="0"/>
        </w:rPr>
        <w:t>、</w:t>
        <w:tab/>
        <w:t>持续和非持续第三层次公允价值计量项目，采用的估值技术和重要参数的定性及定量信息</w:t>
      </w:r>
      <w:bookmarkEnd w:id="1708"/>
      <w:bookmarkEnd w:id="1709"/>
      <w:bookmarkEnd w:id="1711"/>
    </w:p>
    <w:p>
      <w:pPr>
        <w:pStyle w:val="Style67"/>
        <w:keepNext w:val="0"/>
        <w:keepLines w:val="0"/>
        <w:widowControl w:val="0"/>
        <w:shd w:val="clear" w:color="auto" w:fill="auto"/>
        <w:bidi w:val="0"/>
        <w:spacing w:before="0" w:after="340"/>
        <w:ind w:left="0" w:right="0" w:firstLine="0"/>
        <w:jc w:val="left"/>
      </w:pPr>
      <w:r>
        <w:rPr>
          <w:color w:val="000000"/>
          <w:spacing w:val="0"/>
          <w:w w:val="100"/>
          <w:position w:val="0"/>
        </w:rPr>
        <w:t>持有的应收款项融资公允价值与账面价值差异较小，故以账面价值作为公允价值。</w:t>
      </w:r>
    </w:p>
    <w:p>
      <w:pPr>
        <w:pStyle w:val="Style24"/>
        <w:keepNext/>
        <w:keepLines/>
        <w:widowControl w:val="0"/>
        <w:shd w:val="clear" w:color="auto" w:fill="auto"/>
        <w:bidi w:val="0"/>
        <w:spacing w:before="0" w:after="280" w:line="240" w:lineRule="auto"/>
        <w:ind w:left="0" w:right="0" w:firstLine="0"/>
        <w:jc w:val="left"/>
      </w:pPr>
      <w:bookmarkStart w:id="1712" w:name="bookmark1712"/>
      <w:bookmarkStart w:id="1713" w:name="bookmark1713"/>
      <w:bookmarkStart w:id="1714" w:name="bookmark1714"/>
      <w:r>
        <w:rPr>
          <w:color w:val="000000"/>
          <w:spacing w:val="0"/>
          <w:w w:val="100"/>
          <w:position w:val="0"/>
          <w:sz w:val="24"/>
          <w:szCs w:val="24"/>
        </w:rPr>
        <w:t>十二、关联方及关联交易</w:t>
      </w:r>
      <w:bookmarkEnd w:id="1712"/>
      <w:bookmarkEnd w:id="1713"/>
      <w:bookmarkEnd w:id="1714"/>
    </w:p>
    <w:p>
      <w:pPr>
        <w:pStyle w:val="Style31"/>
        <w:keepNext/>
        <w:keepLines/>
        <w:widowControl w:val="0"/>
        <w:shd w:val="clear" w:color="auto" w:fill="auto"/>
        <w:bidi w:val="0"/>
        <w:spacing w:before="0" w:after="280" w:line="312" w:lineRule="exact"/>
        <w:ind w:left="0" w:right="0" w:firstLine="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15"/>
      <w:bookmarkEnd w:id="1716"/>
      <w:bookmarkEnd w:id="1717"/>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深圳市敏行电子有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信息传输、软件和信 息技术服务业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r>
    </w:tbl>
    <w:p>
      <w:pPr>
        <w:pStyle w:val="Style28"/>
        <w:keepNext w:val="0"/>
        <w:keepLines w:val="0"/>
        <w:widowControl w:val="0"/>
        <w:shd w:val="clear" w:color="auto" w:fill="auto"/>
        <w:bidi w:val="0"/>
        <w:spacing w:before="0" w:after="0" w:line="389" w:lineRule="exact"/>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0" w:line="389" w:lineRule="exact"/>
        <w:ind w:left="0" w:right="0" w:firstLine="0"/>
        <w:jc w:val="left"/>
      </w:pPr>
      <w:r>
        <w:rPr>
          <w:color w:val="000000"/>
          <w:spacing w:val="0"/>
          <w:w w:val="100"/>
          <w:position w:val="0"/>
        </w:rPr>
        <w:t>本企业最终控制方是罗瑞发。</w:t>
      </w:r>
    </w:p>
    <w:p>
      <w:pPr>
        <w:pStyle w:val="Style28"/>
        <w:keepNext w:val="0"/>
        <w:keepLines w:val="0"/>
        <w:widowControl w:val="0"/>
        <w:shd w:val="clear" w:color="auto" w:fill="auto"/>
        <w:bidi w:val="0"/>
        <w:spacing w:before="0" w:after="440" w:line="389" w:lineRule="exact"/>
        <w:ind w:left="0" w:right="0" w:firstLine="0"/>
        <w:jc w:val="left"/>
      </w:pPr>
      <w:r>
        <w:rPr>
          <w:color w:val="000000"/>
          <w:spacing w:val="0"/>
          <w:w w:val="100"/>
          <w:position w:val="0"/>
        </w:rPr>
        <w:t>其他说明：罗瑞发持有敏行电子</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的股权，为敏行电子的实际控制人。罗瑞发直接持有公司</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的股权，通过其控制的 敏行电子间接持有本公司</w:t>
      </w:r>
      <w:r>
        <w:rPr>
          <w:rFonts w:ascii="Times New Roman" w:eastAsia="Times New Roman" w:hAnsi="Times New Roman" w:cs="Times New Roman"/>
          <w:color w:val="000000"/>
          <w:spacing w:val="0"/>
          <w:w w:val="100"/>
          <w:position w:val="0"/>
          <w:sz w:val="18"/>
          <w:szCs w:val="18"/>
        </w:rPr>
        <w:t>16.99%</w:t>
      </w:r>
      <w:r>
        <w:rPr>
          <w:color w:val="000000"/>
          <w:spacing w:val="0"/>
          <w:w w:val="100"/>
          <w:position w:val="0"/>
        </w:rPr>
        <w:t>的股权。</w:t>
      </w:r>
    </w:p>
    <w:p>
      <w:pPr>
        <w:pStyle w:val="Style31"/>
        <w:keepNext/>
        <w:keepLines/>
        <w:widowControl w:val="0"/>
        <w:shd w:val="clear" w:color="auto" w:fill="auto"/>
        <w:tabs>
          <w:tab w:pos="378" w:val="left"/>
        </w:tabs>
        <w:bidi w:val="0"/>
        <w:spacing w:before="0" w:after="1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bookmarkEnd w:id="1720"/>
      <w:r>
        <w:rPr>
          <w:color w:val="000000"/>
          <w:spacing w:val="0"/>
          <w:w w:val="100"/>
          <w:position w:val="0"/>
        </w:rPr>
        <w:t>、</w:t>
        <w:tab/>
        <w:t>本企业的子公司情况</w:t>
      </w:r>
      <w:bookmarkEnd w:id="1718"/>
      <w:bookmarkEnd w:id="1719"/>
      <w:bookmarkEnd w:id="1721"/>
    </w:p>
    <w:p>
      <w:pPr>
        <w:pStyle w:val="Style28"/>
        <w:keepNext w:val="0"/>
        <w:keepLines w:val="0"/>
        <w:widowControl w:val="0"/>
        <w:shd w:val="clear" w:color="auto" w:fill="auto"/>
        <w:bidi w:val="0"/>
        <w:spacing w:before="0" w:after="400" w:line="389" w:lineRule="exact"/>
        <w:ind w:left="0" w:right="0" w:firstLine="0"/>
        <w:jc w:val="left"/>
      </w:pPr>
      <w:r>
        <w:rPr>
          <w:color w:val="000000"/>
          <w:spacing w:val="0"/>
          <w:w w:val="100"/>
          <w:position w:val="0"/>
        </w:rPr>
        <w:t>本企业子公司的情况详见附注九、在其他主体中的权益。</w:t>
      </w:r>
    </w:p>
    <w:p>
      <w:pPr>
        <w:pStyle w:val="Style31"/>
        <w:keepNext/>
        <w:keepLines/>
        <w:widowControl w:val="0"/>
        <w:shd w:val="clear" w:color="auto" w:fill="auto"/>
        <w:tabs>
          <w:tab w:pos="378" w:val="left"/>
        </w:tabs>
        <w:bidi w:val="0"/>
        <w:spacing w:before="0" w:after="1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3</w:t>
      </w:r>
      <w:bookmarkEnd w:id="1724"/>
      <w:r>
        <w:rPr>
          <w:color w:val="000000"/>
          <w:spacing w:val="0"/>
          <w:w w:val="100"/>
          <w:position w:val="0"/>
        </w:rPr>
        <w:t>、</w:t>
        <w:tab/>
        <w:t>本企业合营和联营企业情况</w:t>
      </w:r>
      <w:bookmarkEnd w:id="1722"/>
      <w:bookmarkEnd w:id="1723"/>
      <w:bookmarkEnd w:id="1725"/>
    </w:p>
    <w:p>
      <w:pPr>
        <w:pStyle w:val="Style28"/>
        <w:keepNext w:val="0"/>
        <w:keepLines w:val="0"/>
        <w:widowControl w:val="0"/>
        <w:shd w:val="clear" w:color="auto" w:fill="auto"/>
        <w:bidi w:val="0"/>
        <w:spacing w:before="0" w:after="280" w:line="389" w:lineRule="exact"/>
        <w:ind w:left="0" w:right="0" w:firstLine="0"/>
        <w:jc w:val="left"/>
      </w:pPr>
      <w:r>
        <w:rPr>
          <w:color w:val="000000"/>
          <w:spacing w:val="0"/>
          <w:w w:val="100"/>
          <w:position w:val="0"/>
        </w:rPr>
        <w:t>本企业重要的合营或联营企业详见附注九、在合营安排或联营企业中的权益。本期与本公司发生关联方交易，或前期与本公</w:t>
      </w:r>
      <w:r>
        <w:br w:type="page"/>
      </w:r>
    </w:p>
    <w:tbl>
      <w:tblPr>
        <w:tblOverlap w:val="never"/>
        <w:jc w:val="center"/>
        <w:tblLayout w:type="fixed"/>
      </w:tblPr>
      <w:tblGrid>
        <w:gridCol w:w="4858"/>
        <w:gridCol w:w="4862"/>
      </w:tblGrid>
      <w:tr>
        <w:trPr>
          <w:trHeight w:val="662"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司发生关联方交易形成余额的其他合营或联营企业情况如下：</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合营或联营企业名称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宝溢交通科技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679" w:line="1" w:lineRule="exact"/>
      </w:pPr>
    </w:p>
    <w:p>
      <w:pPr>
        <w:pStyle w:val="Style31"/>
        <w:keepNext/>
        <w:keepLines/>
        <w:widowControl w:val="0"/>
        <w:shd w:val="clear" w:color="auto" w:fill="auto"/>
        <w:bidi w:val="0"/>
        <w:spacing w:before="0" w:after="32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4</w:t>
      </w:r>
      <w:bookmarkEnd w:id="1728"/>
      <w:r>
        <w:rPr>
          <w:color w:val="000000"/>
          <w:spacing w:val="0"/>
          <w:w w:val="100"/>
          <w:position w:val="0"/>
        </w:rPr>
        <w:t>、其他关联方情况</w:t>
      </w:r>
      <w:bookmarkEnd w:id="1726"/>
      <w:bookmarkEnd w:id="1727"/>
      <w:bookmarkEnd w:id="17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 LONG ELECTRONICS ENGINEERING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公司股东杨成控制的企业伟龙科技之少数股东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公司股东杨成控制的企业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5</w:t>
      </w:r>
      <w:bookmarkEnd w:id="1732"/>
      <w:r>
        <w:rPr>
          <w:color w:val="000000"/>
          <w:spacing w:val="0"/>
          <w:w w:val="100"/>
          <w:position w:val="0"/>
        </w:rPr>
        <w:t>、关联交易情况</w:t>
      </w:r>
      <w:bookmarkEnd w:id="1730"/>
      <w:bookmarkEnd w:id="1731"/>
      <w:bookmarkEnd w:id="1733"/>
    </w:p>
    <w:p>
      <w:pPr>
        <w:pStyle w:val="Style42"/>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34"/>
      <w:bookmarkEnd w:id="1735"/>
      <w:bookmarkEnd w:id="173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4685"/>
        <w:gridCol w:w="1704"/>
        <w:gridCol w:w="1416"/>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 LONG ELECTRONICS ENGINEERING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2,729,233.91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67,928,483.31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宝溢交通科技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1,020,460.57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1,598,300.77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2,426,288.51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40,288,918.44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69,955.75</w:t>
            </w:r>
          </w:p>
        </w:tc>
      </w:tr>
    </w:tbl>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购销商品、提供和接受劳务的关联交易说明：公司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日处置伟龙科技股权，丧失对伟龙科技的控制权，故上年 同期数为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日销售金额。</w:t>
      </w:r>
    </w:p>
    <w:p>
      <w:pPr>
        <w:pStyle w:val="Style42"/>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）关联方资产转让、债务重组情况</w:t>
      </w:r>
      <w:bookmarkEnd w:id="1737"/>
      <w:bookmarkEnd w:id="1738"/>
      <w:bookmarkEnd w:id="1739"/>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28,496,387.62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 LONG ELECTRONICS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ENGINEERING PTE LTD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40"/>
      <w:bookmarkEnd w:id="1741"/>
      <w:bookmarkEnd w:id="174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5,573,914.09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7,446,300.00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744"/>
      <w:bookmarkEnd w:id="1745"/>
      <w:bookmarkEnd w:id="17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414"/>
        <w:gridCol w:w="2414"/>
        <w:gridCol w:w="242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违约金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42,815,000.00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color w:val="000000"/>
          <w:spacing w:val="0"/>
          <w:w w:val="100"/>
          <w:position w:val="0"/>
        </w:rPr>
        <w:t>、关联方应收应付款项</w:t>
      </w:r>
      <w:bookmarkEnd w:id="1748"/>
      <w:bookmarkEnd w:id="1749"/>
      <w:bookmarkEnd w:id="1751"/>
    </w:p>
    <w:p>
      <w:pPr>
        <w:pStyle w:val="Style42"/>
        <w:keepNext/>
        <w:keepLines/>
        <w:widowControl w:val="0"/>
        <w:shd w:val="clear" w:color="auto" w:fill="auto"/>
        <w:bidi w:val="0"/>
        <w:spacing w:before="0" w:line="240" w:lineRule="auto"/>
        <w:ind w:left="0" w:right="0" w:firstLine="0"/>
        <w:jc w:val="both"/>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52"/>
      <w:bookmarkEnd w:id="1753"/>
      <w:bookmarkEnd w:id="175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19,787,157.48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4,773,985.14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50,652,500.00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4,673,375.00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30,636.64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21,558,811.14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3,468,015.89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22,129,642.74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2,033,314.75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宝溢交通科技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12,519,781.24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1,251,978.12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41,958,701.42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8,303,274.31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85,928,656.78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7,990,004.51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8,292,577.26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829,257.73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1,950,252.73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195,025.27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12,870,026.45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1,287,002.65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9,911,077.26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991,107.73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14,841,979.18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1,484,197.92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16,205,207.92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1,620,520.79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7,753,102.90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775,310.29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16,560,777.58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1,656,077.76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20,148,102.90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2,014,810.29</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其他应收款-信联科技</w:t>
      </w:r>
      <w:r>
        <w:rPr>
          <w:color w:val="000000"/>
          <w:spacing w:val="0"/>
          <w:w w:val="100"/>
          <w:position w:val="0"/>
        </w:rPr>
        <w:t xml:space="preserve">2, 070, </w:t>
      </w:r>
      <w:r>
        <w:rPr>
          <w:color w:val="000000"/>
          <w:spacing w:val="0"/>
          <w:w w:val="100"/>
          <w:position w:val="0"/>
        </w:rPr>
        <w:t xml:space="preserve">860. </w:t>
      </w:r>
      <w:r>
        <w:rPr>
          <w:color w:val="000000"/>
          <w:spacing w:val="0"/>
          <w:w w:val="100"/>
          <w:position w:val="0"/>
        </w:rPr>
        <w:t>29</w:t>
      </w:r>
      <w:r>
        <w:rPr>
          <w:color w:val="000000"/>
          <w:spacing w:val="0"/>
          <w:w w:val="100"/>
          <w:position w:val="0"/>
        </w:rPr>
        <w:t>元为应收股利款；</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：根据信联支付、信联科技与公司签订的三方协议，原信联支付非支付业务相关的资产负债均剥离给信联科技，故信联</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支付应付公司的</w:t>
      </w:r>
      <w:r>
        <w:rPr>
          <w:rFonts w:ascii="Times New Roman" w:eastAsia="Times New Roman" w:hAnsi="Times New Roman" w:cs="Times New Roman"/>
          <w:color w:val="000000"/>
          <w:spacing w:val="0"/>
          <w:w w:val="100"/>
          <w:position w:val="0"/>
          <w:sz w:val="18"/>
          <w:szCs w:val="18"/>
        </w:rPr>
        <w:t>25,447,500.00</w:t>
      </w:r>
      <w:r>
        <w:rPr>
          <w:color w:val="000000"/>
          <w:spacing w:val="0"/>
          <w:w w:val="100"/>
          <w:position w:val="0"/>
        </w:rPr>
        <w:t>元债务由信联科技承担。</w:t>
      </w:r>
    </w:p>
    <w:p>
      <w:pPr>
        <w:pStyle w:val="Style42"/>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55"/>
      <w:bookmarkEnd w:id="1756"/>
      <w:bookmarkEnd w:id="17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377,601.96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宝溢交通科技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1,461,529.21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1,519,221.52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377,601.96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r>
        <w:rPr>
          <w:color w:val="000000"/>
          <w:spacing w:val="0"/>
          <w:w w:val="100"/>
          <w:position w:val="0"/>
          <w:sz w:val="24"/>
          <w:szCs w:val="24"/>
        </w:rPr>
        <w:t>十三、股份支付</w:t>
      </w:r>
      <w:bookmarkEnd w:id="1758"/>
      <w:bookmarkEnd w:id="1759"/>
      <w:bookmarkEnd w:id="1760"/>
    </w:p>
    <w:p>
      <w:pPr>
        <w:pStyle w:val="Style31"/>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61"/>
      <w:bookmarkEnd w:id="1762"/>
      <w:bookmarkEnd w:id="1763"/>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487, 540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公司期末发行在外的权益工具总额为</w:t>
            </w:r>
            <w:r>
              <w:rPr>
                <w:rFonts w:ascii="Times New Roman" w:eastAsia="Times New Roman" w:hAnsi="Times New Roman" w:cs="Times New Roman"/>
                <w:color w:val="000000"/>
                <w:spacing w:val="0"/>
                <w:w w:val="100"/>
                <w:position w:val="0"/>
                <w:sz w:val="18"/>
                <w:szCs w:val="18"/>
              </w:rPr>
              <w:t>592,216</w:t>
            </w:r>
            <w:r>
              <w:rPr>
                <w:color w:val="000000"/>
                <w:spacing w:val="0"/>
                <w:w w:val="100"/>
                <w:position w:val="0"/>
              </w:rPr>
              <w:t>股，限 制性股票授予价格为</w:t>
            </w:r>
            <w:r>
              <w:rPr>
                <w:rFonts w:ascii="Times New Roman" w:eastAsia="Times New Roman" w:hAnsi="Times New Roman" w:cs="Times New Roman"/>
                <w:color w:val="000000"/>
                <w:spacing w:val="0"/>
                <w:w w:val="100"/>
                <w:position w:val="0"/>
                <w:sz w:val="18"/>
                <w:szCs w:val="18"/>
              </w:rPr>
              <w:t>14.43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股，合同剩余期限最长</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年限制性股票激励计划说明:</w:t>
      </w:r>
    </w:p>
    <w:p>
      <w:pPr>
        <w:pStyle w:val="Style28"/>
        <w:keepNext w:val="0"/>
        <w:keepLines w:val="0"/>
        <w:widowControl w:val="0"/>
        <w:shd w:val="clear" w:color="auto" w:fill="auto"/>
        <w:bidi w:val="0"/>
        <w:spacing w:before="0" w:after="0" w:line="389" w:lineRule="exact"/>
        <w:ind w:left="0" w:right="0" w:firstLine="380"/>
        <w:jc w:val="both"/>
      </w:pPr>
      <w:bookmarkStart w:id="1764" w:name="bookmark1764"/>
      <w:r>
        <w:rPr>
          <w:color w:val="000000"/>
          <w:spacing w:val="0"/>
          <w:w w:val="100"/>
          <w:position w:val="0"/>
        </w:rPr>
        <w:t>（</w:t>
      </w:r>
      <w:bookmarkEnd w:id="17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）基本情况</w:t>
      </w:r>
    </w:p>
    <w:p>
      <w:pPr>
        <w:pStyle w:val="Style28"/>
        <w:keepNext w:val="0"/>
        <w:keepLines w:val="0"/>
        <w:widowControl w:val="0"/>
        <w:shd w:val="clear" w:color="auto" w:fill="auto"/>
        <w:bidi w:val="0"/>
        <w:spacing w:before="0" w:after="0" w:line="389"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w:t>
      </w:r>
      <w:r>
        <w:rPr>
          <w:color w:val="000000"/>
          <w:spacing w:val="0"/>
          <w:w w:val="100"/>
          <w:position w:val="0"/>
        </w:rPr>
        <w:t>公司第二届董事会第二十六次会议审议通过《关于公司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及摘要的 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及摘要 </w:t>
      </w:r>
      <w:r>
        <w:rPr>
          <w:color w:val="000000"/>
          <w:spacing w:val="0"/>
          <w:w w:val="100"/>
          <w:position w:val="0"/>
        </w:rPr>
        <w:t>的议案》。</w:t>
      </w:r>
    </w:p>
    <w:p>
      <w:pPr>
        <w:pStyle w:val="Style28"/>
        <w:keepNext w:val="0"/>
        <w:keepLines w:val="0"/>
        <w:widowControl w:val="0"/>
        <w:shd w:val="clear" w:color="auto" w:fill="auto"/>
        <w:bidi w:val="0"/>
        <w:spacing w:before="0" w:after="0" w:line="392"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日，公司第二届董事会第三十二次会议和第二届监事会第十六次会议审议通过《关于调整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 票激励计划首次授予限制性股票授予价格的议案》。公司本次激励计划首次授予限制性股票的授予价格从</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sz w:val="18"/>
          <w:szCs w:val="18"/>
        </w:rPr>
        <w:t xml:space="preserve">21.64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bidi w:val="0"/>
        <w:spacing w:before="0" w:after="180" w:line="392"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日，公司第二届董事会第三十三次会议和第二届监事会第十七次会议审议通过《关于调整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 票激励计划激励对象名单及授予数量的议案》和《关于向激励对象首次授予限制性股票的议案》。授予日为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本次调整后激励计划首次授予的激励对象人数由</w:t>
      </w:r>
      <w:r>
        <w:rPr>
          <w:rFonts w:ascii="Times New Roman" w:eastAsia="Times New Roman" w:hAnsi="Times New Roman" w:cs="Times New Roman"/>
          <w:color w:val="000000"/>
          <w:spacing w:val="0"/>
          <w:w w:val="100"/>
          <w:position w:val="0"/>
          <w:sz w:val="18"/>
          <w:szCs w:val="18"/>
        </w:rPr>
        <w:t>281</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人；授予限制性股票总数由</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3,156,789</w:t>
      </w:r>
      <w:r>
        <w:rPr>
          <w:color w:val="000000"/>
          <w:spacing w:val="0"/>
          <w:w w:val="100"/>
          <w:position w:val="0"/>
        </w:rPr>
        <w:t>股， 其中首次授予限制性股票数量由</w:t>
      </w:r>
      <w:r>
        <w:rPr>
          <w:rFonts w:ascii="Times New Roman" w:eastAsia="Times New Roman" w:hAnsi="Times New Roman" w:cs="Times New Roman"/>
          <w:color w:val="000000"/>
          <w:spacing w:val="0"/>
          <w:w w:val="100"/>
          <w:position w:val="0"/>
          <w:sz w:val="18"/>
          <w:szCs w:val="18"/>
        </w:rPr>
        <w:t>3,561,372</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2,718,161</w:t>
      </w:r>
      <w:r>
        <w:rPr>
          <w:color w:val="000000"/>
          <w:spacing w:val="0"/>
          <w:w w:val="100"/>
          <w:position w:val="0"/>
        </w:rPr>
        <w:t>股，预留授予限制性股票</w:t>
      </w:r>
      <w:r>
        <w:rPr>
          <w:rFonts w:ascii="Times New Roman" w:eastAsia="Times New Roman" w:hAnsi="Times New Roman" w:cs="Times New Roman"/>
          <w:color w:val="000000"/>
          <w:spacing w:val="0"/>
          <w:w w:val="100"/>
          <w:position w:val="0"/>
          <w:sz w:val="18"/>
          <w:szCs w:val="18"/>
        </w:rPr>
        <w:t>438,628</w:t>
      </w:r>
      <w:r>
        <w:rPr>
          <w:color w:val="000000"/>
          <w:spacing w:val="0"/>
          <w:w w:val="100"/>
          <w:position w:val="0"/>
        </w:rPr>
        <w:t>股数量不变。</w:t>
      </w:r>
    </w:p>
    <w:p>
      <w:pPr>
        <w:pStyle w:val="Style28"/>
        <w:keepNext w:val="0"/>
        <w:keepLines w:val="0"/>
        <w:widowControl w:val="0"/>
        <w:shd w:val="clear" w:color="auto" w:fill="auto"/>
        <w:bidi w:val="0"/>
        <w:spacing w:before="0" w:after="180" w:line="240" w:lineRule="auto"/>
        <w:ind w:left="0" w:right="0" w:firstLine="460"/>
        <w:jc w:val="both"/>
      </w:pPr>
      <w:bookmarkStart w:id="1765" w:name="bookmark1765"/>
      <w:r>
        <w:rPr>
          <w:color w:val="000000"/>
          <w:spacing w:val="0"/>
          <w:w w:val="100"/>
          <w:position w:val="0"/>
        </w:rPr>
        <w:t>（</w:t>
      </w:r>
      <w:bookmarkEnd w:id="17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）解锁期及解锁比例</w:t>
      </w:r>
    </w:p>
    <w:p>
      <w:pPr>
        <w:pStyle w:val="Style28"/>
        <w:keepNext w:val="0"/>
        <w:keepLines w:val="0"/>
        <w:widowControl w:val="0"/>
        <w:shd w:val="clear" w:color="auto" w:fill="auto"/>
        <w:bidi w:val="0"/>
        <w:spacing w:before="0" w:after="80" w:line="240" w:lineRule="auto"/>
        <w:ind w:left="0" w:right="0" w:firstLine="460"/>
        <w:jc w:val="both"/>
      </w:pPr>
      <w:r>
        <w:rPr>
          <w:color w:val="000000"/>
          <w:spacing w:val="0"/>
          <w:w w:val="100"/>
          <w:position w:val="0"/>
        </w:rPr>
        <w:t>本计划首次授予的限制性股票在有效期内按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的比例分三期解锁，具体安排如下:</w:t>
      </w:r>
    </w:p>
    <w:tbl>
      <w:tblPr>
        <w:tblOverlap w:val="never"/>
        <w:jc w:val="center"/>
        <w:tblLayout w:type="fixed"/>
      </w:tblPr>
      <w:tblGrid>
        <w:gridCol w:w="2870"/>
        <w:gridCol w:w="5880"/>
        <w:gridCol w:w="111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解锁安排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解锁比例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 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 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第三个解锁期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 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6"/>
        <w:keepNext w:val="0"/>
        <w:keepLines w:val="0"/>
        <w:widowControl w:val="0"/>
        <w:shd w:val="clear" w:color="auto" w:fill="auto"/>
        <w:bidi w:val="0"/>
        <w:spacing w:before="0" w:after="0" w:line="240" w:lineRule="auto"/>
        <w:ind w:left="456" w:right="0" w:firstLine="0"/>
        <w:jc w:val="left"/>
      </w:pPr>
      <w:r>
        <w:rPr>
          <w:color w:val="000000"/>
          <w:spacing w:val="0"/>
          <w:w w:val="100"/>
          <w:position w:val="0"/>
        </w:rPr>
        <w:t>预留授予的限制性股票在有效期内按</w:t>
      </w:r>
      <w:r>
        <w:rPr>
          <w:color w:val="000000"/>
          <w:spacing w:val="0"/>
          <w:w w:val="100"/>
          <w:position w:val="0"/>
        </w:rPr>
        <w:t>50%</w:t>
      </w:r>
      <w:r>
        <w:rPr>
          <w:color w:val="000000"/>
          <w:spacing w:val="0"/>
          <w:w w:val="100"/>
          <w:position w:val="0"/>
        </w:rPr>
        <w:t>、</w:t>
      </w:r>
      <w:r>
        <w:rPr>
          <w:color w:val="000000"/>
          <w:spacing w:val="0"/>
          <w:w w:val="100"/>
          <w:position w:val="0"/>
        </w:rPr>
        <w:t>50%</w:t>
      </w:r>
      <w:r>
        <w:rPr>
          <w:color w:val="000000"/>
          <w:spacing w:val="0"/>
          <w:w w:val="100"/>
          <w:position w:val="0"/>
        </w:rPr>
        <w:t>的比例解锁，安排如下:</w:t>
      </w:r>
    </w:p>
    <w:p>
      <w:pPr>
        <w:widowControl w:val="0"/>
        <w:spacing w:after="79" w:line="1" w:lineRule="exact"/>
      </w:pPr>
    </w:p>
    <w:tbl>
      <w:tblPr>
        <w:tblOverlap w:val="never"/>
        <w:jc w:val="center"/>
        <w:tblLayout w:type="fixed"/>
      </w:tblPr>
      <w:tblGrid>
        <w:gridCol w:w="2870"/>
        <w:gridCol w:w="5880"/>
        <w:gridCol w:w="111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解锁安排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解锁比例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自预留授予日起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个月后的首个交易日起至预留授予日起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 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第二个解锁期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自预留授予日起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个月后的首个交易日起至预留授予日起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 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460"/>
        <w:jc w:val="both"/>
      </w:pPr>
      <w:bookmarkStart w:id="1766" w:name="bookmark1766"/>
      <w:r>
        <w:rPr>
          <w:color w:val="000000"/>
          <w:spacing w:val="0"/>
          <w:w w:val="100"/>
          <w:position w:val="0"/>
        </w:rPr>
        <w:t>（</w:t>
      </w:r>
      <w:bookmarkEnd w:id="1766"/>
      <w:r>
        <w:rPr>
          <w:color w:val="000000"/>
          <w:spacing w:val="0"/>
          <w:w w:val="100"/>
          <w:position w:val="0"/>
        </w:rPr>
        <w:t>3）</w:t>
      </w:r>
      <w:r>
        <w:rPr>
          <w:color w:val="000000"/>
          <w:spacing w:val="0"/>
          <w:w w:val="100"/>
          <w:position w:val="0"/>
        </w:rPr>
        <w:t>业绩考核要求</w:t>
      </w:r>
    </w:p>
    <w:p>
      <w:pPr>
        <w:pStyle w:val="Style28"/>
        <w:keepNext w:val="0"/>
        <w:keepLines w:val="0"/>
        <w:widowControl w:val="0"/>
        <w:shd w:val="clear" w:color="auto" w:fill="auto"/>
        <w:bidi w:val="0"/>
        <w:spacing w:before="0" w:after="0" w:line="240" w:lineRule="auto"/>
        <w:ind w:left="0" w:right="0" w:firstLine="460"/>
        <w:jc w:val="both"/>
      </w:pPr>
      <w:bookmarkStart w:id="1767" w:name="bookmark1767"/>
      <w:r>
        <w:rPr>
          <w:color w:val="000000"/>
          <w:spacing w:val="0"/>
          <w:w w:val="100"/>
          <w:position w:val="0"/>
        </w:rPr>
        <w:t>1</w:t>
      </w:r>
      <w:bookmarkEnd w:id="1767"/>
      <w:r>
        <w:rPr>
          <w:color w:val="000000"/>
          <w:spacing w:val="0"/>
          <w:w w:val="100"/>
          <w:position w:val="0"/>
        </w:rPr>
        <w:t>）</w:t>
      </w:r>
      <w:r>
        <w:rPr>
          <w:color w:val="000000"/>
          <w:spacing w:val="0"/>
          <w:w w:val="100"/>
          <w:position w:val="0"/>
        </w:rPr>
        <w:t>公司业绩考核要求</w:t>
      </w:r>
    </w:p>
    <w:p>
      <w:pPr>
        <w:pStyle w:val="Style28"/>
        <w:keepNext w:val="0"/>
        <w:keepLines w:val="0"/>
        <w:widowControl w:val="0"/>
        <w:shd w:val="clear" w:color="auto" w:fill="auto"/>
        <w:bidi w:val="0"/>
        <w:spacing w:before="0" w:after="80" w:line="398" w:lineRule="exact"/>
        <w:ind w:left="0" w:right="0" w:firstLine="460"/>
        <w:jc w:val="both"/>
      </w:pPr>
      <w:r>
        <w:rPr>
          <w:color w:val="000000"/>
          <w:spacing w:val="0"/>
          <w:w w:val="100"/>
          <w:position w:val="0"/>
        </w:rPr>
        <w:t>本计划首次授予的限制性股票分三期解锁，解锁考核年度为</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w:t>
      </w:r>
      <w:r>
        <w:rPr>
          <w:color w:val="000000"/>
          <w:spacing w:val="0"/>
          <w:w w:val="100"/>
          <w:position w:val="0"/>
        </w:rPr>
        <w:t>2021</w:t>
      </w:r>
      <w:r>
        <w:rPr>
          <w:color w:val="000000"/>
          <w:spacing w:val="0"/>
          <w:w w:val="100"/>
          <w:position w:val="0"/>
        </w:rPr>
        <w:t>年，预留授予的限制性股票分两期解 锁，解锁考核年度为</w:t>
      </w:r>
      <w:r>
        <w:rPr>
          <w:color w:val="000000"/>
          <w:spacing w:val="0"/>
          <w:w w:val="100"/>
          <w:position w:val="0"/>
        </w:rPr>
        <w:t>2020</w:t>
      </w:r>
      <w:r>
        <w:rPr>
          <w:color w:val="000000"/>
          <w:spacing w:val="0"/>
          <w:w w:val="100"/>
          <w:position w:val="0"/>
        </w:rPr>
        <w:t>年、</w:t>
      </w:r>
      <w:r>
        <w:rPr>
          <w:color w:val="000000"/>
          <w:spacing w:val="0"/>
          <w:w w:val="100"/>
          <w:position w:val="0"/>
        </w:rPr>
        <w:t>2021</w:t>
      </w:r>
      <w:r>
        <w:rPr>
          <w:color w:val="000000"/>
          <w:spacing w:val="0"/>
          <w:w w:val="100"/>
          <w:position w:val="0"/>
        </w:rPr>
        <w:t>年。公司将对激励对象分年度进行绩效考核，以达到绩效考核目标作为激励对象的解锁条 件。各年度绩效考核目标如下表所示：</w:t>
      </w:r>
    </w:p>
    <w:tbl>
      <w:tblPr>
        <w:tblOverlap w:val="never"/>
        <w:jc w:val="center"/>
        <w:tblLayout w:type="fixed"/>
      </w:tblPr>
      <w:tblGrid>
        <w:gridCol w:w="4373"/>
        <w:gridCol w:w="549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业绩考核目标</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首次授予限制性股票的第一个解锁期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年公司净利润较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年增长率不低于</w:t>
            </w: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首次授予限制性股票的第二个解锁期及预留授予限制 性股票的第一个解锁期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年公司净利润较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年增长率不低于</w:t>
            </w:r>
            <w:r>
              <w:rPr>
                <w:rFonts w:ascii="Times New Roman" w:eastAsia="Times New Roman" w:hAnsi="Times New Roman" w:cs="Times New Roman"/>
                <w:color w:val="000000"/>
                <w:spacing w:val="0"/>
                <w:w w:val="100"/>
                <w:position w:val="0"/>
                <w:sz w:val="18"/>
                <w:szCs w:val="18"/>
              </w:rPr>
              <w:t>30%</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首次授予限制性股票的第三个解锁期及预留授予限制 性股票的第二个解锁期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年公司净利润较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年增长率不低于</w:t>
            </w:r>
            <w:r>
              <w:rPr>
                <w:rFonts w:ascii="Times New Roman" w:eastAsia="Times New Roman" w:hAnsi="Times New Roman" w:cs="Times New Roman"/>
                <w:color w:val="000000"/>
                <w:spacing w:val="0"/>
                <w:w w:val="100"/>
                <w:position w:val="0"/>
                <w:sz w:val="18"/>
                <w:szCs w:val="18"/>
              </w:rPr>
              <w:t>35%</w:t>
            </w:r>
          </w:p>
        </w:tc>
      </w:tr>
    </w:tbl>
    <w:p>
      <w:pPr>
        <w:pStyle w:val="Style28"/>
        <w:keepNext w:val="0"/>
        <w:keepLines w:val="0"/>
        <w:widowControl w:val="0"/>
        <w:shd w:val="clear" w:color="auto" w:fill="auto"/>
        <w:bidi w:val="0"/>
        <w:spacing w:before="0" w:after="180" w:line="398" w:lineRule="exact"/>
        <w:ind w:left="0" w:right="0" w:firstLine="460"/>
        <w:jc w:val="both"/>
      </w:pPr>
      <w:r>
        <w:rPr>
          <w:color w:val="000000"/>
          <w:spacing w:val="0"/>
          <w:w w:val="100"/>
          <w:position w:val="0"/>
        </w:rPr>
        <w:t>公司未满足上述业绩考核目标的，所有激励对象对应考核当年可解除限售的限制性股票份额不得解锁，由公司进行回购 注销。</w:t>
      </w:r>
    </w:p>
    <w:p>
      <w:pPr>
        <w:pStyle w:val="Style28"/>
        <w:keepNext w:val="0"/>
        <w:keepLines w:val="0"/>
        <w:widowControl w:val="0"/>
        <w:shd w:val="clear" w:color="auto" w:fill="auto"/>
        <w:bidi w:val="0"/>
        <w:spacing w:before="0" w:after="180" w:line="240" w:lineRule="auto"/>
        <w:ind w:left="0" w:right="0" w:firstLine="460"/>
        <w:jc w:val="both"/>
      </w:pPr>
      <w:bookmarkStart w:id="1768" w:name="bookmark1768"/>
      <w:r>
        <w:rPr>
          <w:color w:val="000000"/>
          <w:spacing w:val="0"/>
          <w:w w:val="100"/>
          <w:position w:val="0"/>
        </w:rPr>
        <w:t>2</w:t>
      </w:r>
      <w:bookmarkEnd w:id="1768"/>
      <w:r>
        <w:rPr>
          <w:color w:val="000000"/>
          <w:spacing w:val="0"/>
          <w:w w:val="100"/>
          <w:position w:val="0"/>
        </w:rPr>
        <w:t>）</w:t>
      </w:r>
      <w:r>
        <w:rPr>
          <w:color w:val="000000"/>
          <w:spacing w:val="0"/>
          <w:w w:val="100"/>
          <w:position w:val="0"/>
        </w:rPr>
        <w:t>个人业绩考核要求</w:t>
      </w:r>
    </w:p>
    <w:p>
      <w:pPr>
        <w:pStyle w:val="Style28"/>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根据公司制定的《深圳市金溢科技股份有限公司</w:t>
      </w:r>
      <w:r>
        <w:rPr>
          <w:color w:val="000000"/>
          <w:spacing w:val="0"/>
          <w:w w:val="100"/>
          <w:position w:val="0"/>
        </w:rPr>
        <w:t>2019</w:t>
      </w:r>
      <w:r>
        <w:rPr>
          <w:color w:val="000000"/>
          <w:spacing w:val="0"/>
          <w:w w:val="100"/>
          <w:position w:val="0"/>
        </w:rPr>
        <w:t>年限制性股票激励计划实施考核管理办法》（以下简称《考核管理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办法》），若激励对象上一年度个人绩效考核结果为“不合格”，则公司按照激励计划的有关规定将激励对象所获限制性股 </w:t>
      </w:r>
      <w:r>
        <w:rPr>
          <w:color w:val="000000"/>
          <w:spacing w:val="0"/>
          <w:w w:val="100"/>
          <w:position w:val="0"/>
        </w:rPr>
        <w:t>票当期可解锁份额注销。激励对象只有在上一年度绩效考核为“合格”以上，才能解锁当期激励股份，个人实际可解锁额度 与个人层面考核系数相关，具体考核内容根据《考核管理办法》执行。</w:t>
      </w:r>
    </w:p>
    <w:p>
      <w:pPr>
        <w:pStyle w:val="Style28"/>
        <w:keepNext w:val="0"/>
        <w:keepLines w:val="0"/>
        <w:widowControl w:val="0"/>
        <w:shd w:val="clear" w:color="auto" w:fill="auto"/>
        <w:tabs>
          <w:tab w:pos="777" w:val="left"/>
        </w:tabs>
        <w:bidi w:val="0"/>
        <w:spacing w:before="0" w:after="0" w:line="391" w:lineRule="exact"/>
        <w:ind w:left="0" w:right="0"/>
        <w:jc w:val="left"/>
      </w:pPr>
      <w:bookmarkStart w:id="1769" w:name="bookmark1769"/>
      <w:r>
        <w:rPr>
          <w:color w:val="000000"/>
          <w:spacing w:val="0"/>
          <w:w w:val="100"/>
          <w:position w:val="0"/>
        </w:rPr>
        <w:t>（</w:t>
      </w:r>
      <w:bookmarkEnd w:id="1769"/>
      <w:r>
        <w:rPr>
          <w:color w:val="000000"/>
          <w:spacing w:val="0"/>
          <w:w w:val="100"/>
          <w:position w:val="0"/>
        </w:rPr>
        <w:t>4）</w:t>
        <w:tab/>
      </w:r>
      <w:r>
        <w:rPr>
          <w:color w:val="000000"/>
          <w:spacing w:val="0"/>
          <w:w w:val="100"/>
          <w:position w:val="0"/>
        </w:rPr>
        <w:t>本期限制性股票的授予价格的调整</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日召开公司第三届董事会第十二次会议和第三届监事会第十次会议，审议通过《关于调整</w:t>
      </w:r>
      <w:r>
        <w:rPr>
          <w:color w:val="000000"/>
          <w:spacing w:val="0"/>
          <w:w w:val="100"/>
          <w:position w:val="0"/>
        </w:rPr>
        <w:t>2019</w:t>
      </w:r>
      <w:r>
        <w:rPr>
          <w:color w:val="000000"/>
          <w:spacing w:val="0"/>
          <w:w w:val="100"/>
          <w:position w:val="0"/>
        </w:rPr>
        <w:t>年限 制性股票激励计划首次授予限制性股票回购价格的议案》</w:t>
      </w:r>
      <w:r>
        <w:rPr>
          <w:color w:val="000000"/>
          <w:spacing w:val="0"/>
          <w:w w:val="100"/>
          <w:position w:val="0"/>
        </w:rPr>
        <w:t>，</w:t>
      </w:r>
      <w:r>
        <w:rPr>
          <w:color w:val="000000"/>
          <w:spacing w:val="0"/>
          <w:w w:val="100"/>
          <w:position w:val="0"/>
        </w:rPr>
        <w:t>同意根据公司《</w:t>
      </w:r>
      <w:r>
        <w:rPr>
          <w:color w:val="000000"/>
          <w:spacing w:val="0"/>
          <w:w w:val="100"/>
          <w:position w:val="0"/>
        </w:rPr>
        <w:t>2019</w:t>
      </w:r>
      <w:r>
        <w:rPr>
          <w:color w:val="000000"/>
          <w:spacing w:val="0"/>
          <w:w w:val="100"/>
          <w:position w:val="0"/>
        </w:rPr>
        <w:t>年限制性股票激励计划（草案）》的相关规 定和公司</w:t>
      </w:r>
      <w:r>
        <w:rPr>
          <w:color w:val="000000"/>
          <w:spacing w:val="0"/>
          <w:w w:val="100"/>
          <w:position w:val="0"/>
        </w:rPr>
        <w:t>2019</w:t>
      </w:r>
      <w:r>
        <w:rPr>
          <w:color w:val="000000"/>
          <w:spacing w:val="0"/>
          <w:w w:val="100"/>
          <w:position w:val="0"/>
        </w:rPr>
        <w:t>年第三次临时股东大会的授权，对</w:t>
      </w:r>
      <w:r>
        <w:rPr>
          <w:color w:val="000000"/>
          <w:spacing w:val="0"/>
          <w:w w:val="100"/>
          <w:position w:val="0"/>
        </w:rPr>
        <w:t>2019</w:t>
      </w:r>
      <w:r>
        <w:rPr>
          <w:color w:val="000000"/>
          <w:spacing w:val="0"/>
          <w:w w:val="100"/>
          <w:position w:val="0"/>
        </w:rPr>
        <w:t>年限制性股票激励计划首次授予激励对象已获授但尚未解除限售的限制 性股票回购价格进行调整。</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根据公司《</w:t>
      </w:r>
      <w:r>
        <w:rPr>
          <w:color w:val="000000"/>
          <w:spacing w:val="0"/>
          <w:w w:val="100"/>
          <w:position w:val="0"/>
        </w:rPr>
        <w:t>2019</w:t>
      </w:r>
      <w:r>
        <w:rPr>
          <w:color w:val="000000"/>
          <w:spacing w:val="0"/>
          <w:w w:val="100"/>
          <w:position w:val="0"/>
        </w:rPr>
        <w:t>年限制性股票激励计划（草案）》的相关规定，限制性股票的回购价格不得高于授予价格加上银行同期 存款利息之和，如激励对象获授的限制性股票完成股份登记后，若公司发生资本公积转增股本、派送股票红利、股份拆细、 配股或缩股、派息等影响公司股本总额或公司股票价格事项的，公司应对尚未解除限售的限制性股票的回购价格做相应的调 整。调整方法如下：</w:t>
      </w:r>
    </w:p>
    <w:p>
      <w:pPr>
        <w:pStyle w:val="Style28"/>
        <w:keepNext w:val="0"/>
        <w:keepLines w:val="0"/>
        <w:widowControl w:val="0"/>
        <w:numPr>
          <w:ilvl w:val="0"/>
          <w:numId w:val="37"/>
        </w:numPr>
        <w:shd w:val="clear" w:color="auto" w:fill="auto"/>
        <w:tabs>
          <w:tab w:pos="725" w:val="left"/>
        </w:tabs>
        <w:bidi w:val="0"/>
        <w:spacing w:before="0" w:after="0" w:line="391" w:lineRule="exact"/>
        <w:ind w:left="0" w:right="0"/>
        <w:jc w:val="both"/>
      </w:pPr>
      <w:bookmarkStart w:id="1770" w:name="bookmark1770"/>
      <w:bookmarkEnd w:id="1770"/>
      <w:r>
        <w:rPr>
          <w:color w:val="000000"/>
          <w:spacing w:val="0"/>
          <w:w w:val="100"/>
          <w:position w:val="0"/>
        </w:rPr>
        <w:t>若公司发生资本公积转增股本、派送股票红利、股份拆细</w:t>
      </w:r>
    </w:p>
    <w:p>
      <w:pPr>
        <w:pStyle w:val="Style28"/>
        <w:keepNext w:val="0"/>
        <w:keepLines w:val="0"/>
        <w:widowControl w:val="0"/>
        <w:shd w:val="clear" w:color="auto" w:fill="auto"/>
        <w:bidi w:val="0"/>
        <w:spacing w:before="0" w:after="0" w:line="391" w:lineRule="exact"/>
        <w:ind w:left="0" w:right="0"/>
        <w:jc w:val="left"/>
      </w:pPr>
      <w:r>
        <w:rPr>
          <w:color w:val="000000"/>
          <w:spacing w:val="0"/>
          <w:w w:val="100"/>
          <w:position w:val="0"/>
        </w:rPr>
        <w:t>P=P0：（1+N）</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其中：</w:t>
      </w:r>
      <w:r>
        <w:rPr>
          <w:color w:val="000000"/>
          <w:spacing w:val="0"/>
          <w:w w:val="100"/>
          <w:position w:val="0"/>
        </w:rPr>
        <w:t>P0</w:t>
      </w:r>
      <w:r>
        <w:rPr>
          <w:color w:val="000000"/>
          <w:spacing w:val="0"/>
          <w:w w:val="100"/>
          <w:position w:val="0"/>
        </w:rPr>
        <w:t>为调整前的授予价格；</w:t>
      </w:r>
      <w:r>
        <w:rPr>
          <w:color w:val="000000"/>
          <w:spacing w:val="0"/>
          <w:w w:val="100"/>
          <w:position w:val="0"/>
        </w:rPr>
        <w:t>N</w:t>
      </w:r>
      <w:r>
        <w:rPr>
          <w:color w:val="000000"/>
          <w:spacing w:val="0"/>
          <w:w w:val="100"/>
          <w:position w:val="0"/>
        </w:rPr>
        <w:t>为每股的资本公积转增股本、派送股票红利、股份拆细的比率；</w:t>
      </w:r>
      <w:r>
        <w:rPr>
          <w:color w:val="000000"/>
          <w:spacing w:val="0"/>
          <w:w w:val="100"/>
          <w:position w:val="0"/>
        </w:rPr>
        <w:t>P</w:t>
      </w:r>
      <w:r>
        <w:rPr>
          <w:color w:val="000000"/>
          <w:spacing w:val="0"/>
          <w:w w:val="100"/>
          <w:position w:val="0"/>
        </w:rPr>
        <w:t>为调整后的回购价格。</w:t>
      </w:r>
    </w:p>
    <w:p>
      <w:pPr>
        <w:pStyle w:val="Style28"/>
        <w:keepNext w:val="0"/>
        <w:keepLines w:val="0"/>
        <w:widowControl w:val="0"/>
        <w:numPr>
          <w:ilvl w:val="0"/>
          <w:numId w:val="37"/>
        </w:numPr>
        <w:shd w:val="clear" w:color="auto" w:fill="auto"/>
        <w:tabs>
          <w:tab w:pos="725" w:val="left"/>
        </w:tabs>
        <w:bidi w:val="0"/>
        <w:spacing w:before="0" w:after="0" w:line="391" w:lineRule="exact"/>
        <w:ind w:left="0" w:right="0"/>
        <w:jc w:val="left"/>
      </w:pPr>
      <w:bookmarkStart w:id="1771" w:name="bookmark1771"/>
      <w:bookmarkEnd w:id="1771"/>
      <w:r>
        <w:rPr>
          <w:color w:val="000000"/>
          <w:spacing w:val="0"/>
          <w:w w:val="100"/>
          <w:position w:val="0"/>
        </w:rPr>
        <w:t>若公司发生派息</w:t>
      </w:r>
    </w:p>
    <w:p>
      <w:pPr>
        <w:pStyle w:val="Style28"/>
        <w:keepNext w:val="0"/>
        <w:keepLines w:val="0"/>
        <w:widowControl w:val="0"/>
        <w:shd w:val="clear" w:color="auto" w:fill="auto"/>
        <w:bidi w:val="0"/>
        <w:spacing w:before="0" w:after="0" w:line="391" w:lineRule="exact"/>
        <w:ind w:left="0" w:right="0" w:firstLine="460"/>
        <w:jc w:val="both"/>
      </w:pPr>
      <w:r>
        <w:rPr>
          <w:color w:val="000000"/>
          <w:spacing w:val="0"/>
          <w:w w:val="100"/>
          <w:position w:val="0"/>
        </w:rPr>
        <w:t>P=P0-V</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其中：</w:t>
      </w:r>
      <w:r>
        <w:rPr>
          <w:color w:val="000000"/>
          <w:spacing w:val="0"/>
          <w:w w:val="100"/>
          <w:position w:val="0"/>
        </w:rPr>
        <w:t>P0</w:t>
      </w:r>
      <w:r>
        <w:rPr>
          <w:color w:val="000000"/>
          <w:spacing w:val="0"/>
          <w:w w:val="100"/>
          <w:position w:val="0"/>
        </w:rPr>
        <w:t>为调整前的授予价格；</w:t>
      </w:r>
      <w:r>
        <w:rPr>
          <w:color w:val="000000"/>
          <w:spacing w:val="0"/>
          <w:w w:val="100"/>
          <w:position w:val="0"/>
        </w:rPr>
        <w:t>V</w:t>
      </w:r>
      <w:r>
        <w:rPr>
          <w:color w:val="000000"/>
          <w:spacing w:val="0"/>
          <w:w w:val="100"/>
          <w:position w:val="0"/>
        </w:rPr>
        <w:t>为每股的派息额；</w:t>
      </w:r>
      <w:r>
        <w:rPr>
          <w:color w:val="000000"/>
          <w:spacing w:val="0"/>
          <w:w w:val="100"/>
          <w:position w:val="0"/>
        </w:rPr>
        <w:t>P</w:t>
      </w:r>
      <w:r>
        <w:rPr>
          <w:color w:val="000000"/>
          <w:spacing w:val="0"/>
          <w:w w:val="100"/>
          <w:position w:val="0"/>
        </w:rPr>
        <w:t>为调整后的回购价格。经派息调整后，</w:t>
      </w:r>
      <w:r>
        <w:rPr>
          <w:color w:val="000000"/>
          <w:spacing w:val="0"/>
          <w:w w:val="100"/>
          <w:position w:val="0"/>
        </w:rPr>
        <w:t>P</w:t>
      </w:r>
      <w:r>
        <w:rPr>
          <w:color w:val="000000"/>
          <w:spacing w:val="0"/>
          <w:w w:val="100"/>
          <w:position w:val="0"/>
        </w:rPr>
        <w:t>仍须大于</w:t>
      </w:r>
      <w:r>
        <w:rPr>
          <w:color w:val="000000"/>
          <w:spacing w:val="0"/>
          <w:w w:val="100"/>
          <w:position w:val="0"/>
        </w:rPr>
        <w:t>1</w:t>
      </w:r>
      <w:r>
        <w:rPr>
          <w:color w:val="000000"/>
          <w:spacing w:val="0"/>
          <w:w w:val="100"/>
          <w:position w:val="0"/>
        </w:rPr>
        <w:t>。</w:t>
      </w:r>
    </w:p>
    <w:p>
      <w:pPr>
        <w:pStyle w:val="Style28"/>
        <w:keepNext w:val="0"/>
        <w:keepLines w:val="0"/>
        <w:widowControl w:val="0"/>
        <w:shd w:val="clear" w:color="auto" w:fill="auto"/>
        <w:tabs>
          <w:tab w:pos="3849" w:val="left"/>
        </w:tabs>
        <w:bidi w:val="0"/>
        <w:spacing w:before="0" w:after="0" w:line="391" w:lineRule="exact"/>
        <w:ind w:left="0" w:right="0"/>
        <w:jc w:val="both"/>
      </w:pPr>
      <w:r>
        <w:rPr>
          <w:color w:val="000000"/>
          <w:spacing w:val="0"/>
          <w:w w:val="100"/>
          <w:position w:val="0"/>
        </w:rPr>
        <w:t>鉴于</w:t>
      </w:r>
      <w:r>
        <w:rPr>
          <w:color w:val="000000"/>
          <w:spacing w:val="0"/>
          <w:w w:val="100"/>
          <w:position w:val="0"/>
        </w:rPr>
        <w:t>2019</w:t>
      </w:r>
      <w:r>
        <w:rPr>
          <w:color w:val="000000"/>
          <w:spacing w:val="0"/>
          <w:w w:val="100"/>
          <w:position w:val="0"/>
        </w:rPr>
        <w:t>年限制性股票激励计划首次授予完成后，公司已分别于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日实施完毕</w:t>
      </w:r>
      <w:r>
        <w:rPr>
          <w:color w:val="000000"/>
          <w:spacing w:val="0"/>
          <w:w w:val="100"/>
          <w:position w:val="0"/>
        </w:rPr>
        <w:t>2019</w:t>
      </w:r>
      <w:r>
        <w:rPr>
          <w:color w:val="000000"/>
          <w:spacing w:val="0"/>
          <w:w w:val="100"/>
          <w:position w:val="0"/>
        </w:rPr>
        <w:t>年年度权益 分派和</w:t>
      </w:r>
      <w:r>
        <w:rPr>
          <w:color w:val="000000"/>
          <w:spacing w:val="0"/>
          <w:w w:val="100"/>
          <w:position w:val="0"/>
        </w:rPr>
        <w:t>2020</w:t>
      </w:r>
      <w:r>
        <w:rPr>
          <w:color w:val="000000"/>
          <w:spacing w:val="0"/>
          <w:w w:val="100"/>
          <w:position w:val="0"/>
        </w:rPr>
        <w:t>年年度权益分派，依据上述调整方法，若公司同时发生资本公积转增股本、派送股票红利、股份拆细及派息事项， 本次限制性股票价格调整方法为：</w:t>
      </w:r>
      <w:r>
        <w:rPr>
          <w:color w:val="000000"/>
          <w:spacing w:val="0"/>
          <w:w w:val="100"/>
          <w:position w:val="0"/>
        </w:rPr>
        <w:t>P= （P0-V1）</w:t>
        <w:tab/>
        <w:t>-4-（ 1+N） -V2</w:t>
      </w:r>
      <w:r>
        <w:rPr>
          <w:color w:val="000000"/>
          <w:spacing w:val="0"/>
          <w:w w:val="100"/>
          <w:position w:val="0"/>
        </w:rPr>
        <w:t>。</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综上，公司</w:t>
      </w:r>
      <w:r>
        <w:rPr>
          <w:color w:val="000000"/>
          <w:spacing w:val="0"/>
          <w:w w:val="100"/>
          <w:position w:val="0"/>
        </w:rPr>
        <w:t>2019</w:t>
      </w:r>
      <w:r>
        <w:rPr>
          <w:color w:val="000000"/>
          <w:spacing w:val="0"/>
          <w:w w:val="100"/>
          <w:position w:val="0"/>
        </w:rPr>
        <w:t>年限制性股票激励计划激励对象已获授但尚未解除限售的限制性股票的回购价格调整为不高于</w:t>
      </w:r>
      <w:r>
        <w:rPr>
          <w:color w:val="000000"/>
          <w:spacing w:val="0"/>
          <w:w w:val="100"/>
          <w:position w:val="0"/>
        </w:rPr>
        <w:t>P = （21.64</w:t>
      </w:r>
      <w:r>
        <w:rPr>
          <w:color w:val="000000"/>
          <w:spacing w:val="0"/>
          <w:w w:val="100"/>
          <w:position w:val="0"/>
        </w:rPr>
        <w:t>元/股</w:t>
      </w:r>
      <w:r>
        <w:rPr>
          <w:color w:val="000000"/>
          <w:spacing w:val="0"/>
          <w:w w:val="100"/>
          <w:position w:val="0"/>
        </w:rPr>
        <w:t xml:space="preserve">-2. </w:t>
      </w:r>
      <w:r>
        <w:rPr>
          <w:color w:val="000000"/>
          <w:spacing w:val="0"/>
          <w:w w:val="100"/>
          <w:position w:val="0"/>
        </w:rPr>
        <w:t>18</w:t>
      </w:r>
      <w:r>
        <w:rPr>
          <w:color w:val="000000"/>
          <w:spacing w:val="0"/>
          <w:w w:val="100"/>
          <w:position w:val="0"/>
        </w:rPr>
        <w:t>元/股）</w:t>
      </w:r>
      <w:r>
        <w:rPr>
          <w:color w:val="000000"/>
          <w:spacing w:val="0"/>
          <w:w w:val="100"/>
          <w:position w:val="0"/>
        </w:rPr>
        <w:t xml:space="preserve">/ </w:t>
      </w:r>
      <w:r>
        <w:rPr>
          <w:color w:val="000000"/>
          <w:spacing w:val="0"/>
          <w:w w:val="100"/>
          <w:position w:val="0"/>
        </w:rPr>
        <w:t>（1+0.5） -1.06</w:t>
      </w:r>
      <w:r>
        <w:rPr>
          <w:color w:val="000000"/>
          <w:spacing w:val="0"/>
          <w:w w:val="100"/>
          <w:position w:val="0"/>
        </w:rPr>
        <w:t>元/股</w:t>
      </w:r>
      <w:r>
        <w:rPr>
          <w:color w:val="000000"/>
          <w:spacing w:val="0"/>
          <w:w w:val="100"/>
          <w:position w:val="0"/>
        </w:rPr>
        <w:t>=11.91</w:t>
      </w:r>
      <w:r>
        <w:rPr>
          <w:color w:val="000000"/>
          <w:spacing w:val="0"/>
          <w:w w:val="100"/>
          <w:position w:val="0"/>
        </w:rPr>
        <w:t>元/股加上银行同期存款利息之和。</w:t>
      </w:r>
    </w:p>
    <w:p>
      <w:pPr>
        <w:pStyle w:val="Style28"/>
        <w:keepNext w:val="0"/>
        <w:keepLines w:val="0"/>
        <w:widowControl w:val="0"/>
        <w:shd w:val="clear" w:color="auto" w:fill="auto"/>
        <w:tabs>
          <w:tab w:pos="777" w:val="left"/>
        </w:tabs>
        <w:bidi w:val="0"/>
        <w:spacing w:before="0" w:after="0" w:line="391" w:lineRule="exact"/>
        <w:ind w:left="0" w:right="0"/>
        <w:jc w:val="both"/>
      </w:pPr>
      <w:bookmarkStart w:id="1772" w:name="bookmark1772"/>
      <w:r>
        <w:rPr>
          <w:color w:val="000000"/>
          <w:spacing w:val="0"/>
          <w:w w:val="100"/>
          <w:position w:val="0"/>
        </w:rPr>
        <w:t>（</w:t>
      </w:r>
      <w:bookmarkEnd w:id="1772"/>
      <w:r>
        <w:rPr>
          <w:color w:val="000000"/>
          <w:spacing w:val="0"/>
          <w:w w:val="100"/>
          <w:position w:val="0"/>
        </w:rPr>
        <w:t>5）</w:t>
        <w:tab/>
      </w:r>
      <w:r>
        <w:rPr>
          <w:color w:val="000000"/>
          <w:spacing w:val="0"/>
          <w:w w:val="100"/>
          <w:position w:val="0"/>
        </w:rPr>
        <w:t>本期解除限售的限制性股票</w:t>
      </w:r>
    </w:p>
    <w:p>
      <w:pPr>
        <w:pStyle w:val="Style28"/>
        <w:keepNext w:val="0"/>
        <w:keepLines w:val="0"/>
        <w:widowControl w:val="0"/>
        <w:shd w:val="clear" w:color="auto" w:fill="auto"/>
        <w:tabs>
          <w:tab w:pos="725" w:val="left"/>
        </w:tabs>
        <w:bidi w:val="0"/>
        <w:spacing w:before="0" w:after="0" w:line="391" w:lineRule="exact"/>
        <w:ind w:left="0" w:right="0"/>
        <w:jc w:val="both"/>
      </w:pPr>
      <w:bookmarkStart w:id="1773" w:name="bookmark1773"/>
      <w:r>
        <w:rPr>
          <w:color w:val="000000"/>
          <w:spacing w:val="0"/>
          <w:w w:val="100"/>
          <w:position w:val="0"/>
        </w:rPr>
        <w:t>1</w:t>
      </w:r>
      <w:bookmarkEnd w:id="1773"/>
      <w:r>
        <w:rPr>
          <w:color w:val="000000"/>
          <w:spacing w:val="0"/>
          <w:w w:val="100"/>
          <w:position w:val="0"/>
        </w:rPr>
        <w:t>）</w:t>
        <w:tab/>
      </w:r>
      <w:r>
        <w:rPr>
          <w:color w:val="000000"/>
          <w:spacing w:val="0"/>
          <w:w w:val="100"/>
          <w:position w:val="0"/>
        </w:rPr>
        <w:t>公司业绩实现情况</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w:t>
      </w:r>
      <w:r>
        <w:rPr>
          <w:color w:val="000000"/>
          <w:spacing w:val="0"/>
          <w:w w:val="100"/>
          <w:position w:val="0"/>
        </w:rPr>
        <w:t>2020</w:t>
      </w:r>
      <w:r>
        <w:rPr>
          <w:color w:val="000000"/>
          <w:spacing w:val="0"/>
          <w:w w:val="100"/>
          <w:position w:val="0"/>
        </w:rPr>
        <w:t>年归属于上市公司股东的净利润为</w:t>
      </w:r>
      <w:r>
        <w:rPr>
          <w:color w:val="000000"/>
          <w:spacing w:val="0"/>
          <w:w w:val="100"/>
          <w:position w:val="0"/>
        </w:rPr>
        <w:t xml:space="preserve">63, </w:t>
      </w:r>
      <w:r>
        <w:rPr>
          <w:color w:val="000000"/>
          <w:spacing w:val="0"/>
          <w:w w:val="100"/>
          <w:position w:val="0"/>
        </w:rPr>
        <w:t xml:space="preserve">063. </w:t>
      </w:r>
      <w:r>
        <w:rPr>
          <w:color w:val="000000"/>
          <w:spacing w:val="0"/>
          <w:w w:val="100"/>
          <w:position w:val="0"/>
        </w:rPr>
        <w:t>10</w:t>
      </w:r>
      <w:r>
        <w:rPr>
          <w:color w:val="000000"/>
          <w:spacing w:val="0"/>
          <w:w w:val="100"/>
          <w:position w:val="0"/>
        </w:rPr>
        <w:t>万元，较</w:t>
      </w:r>
      <w:r>
        <w:rPr>
          <w:color w:val="000000"/>
          <w:spacing w:val="0"/>
          <w:w w:val="100"/>
          <w:position w:val="0"/>
        </w:rPr>
        <w:t>2018</w:t>
      </w:r>
      <w:r>
        <w:rPr>
          <w:color w:val="000000"/>
          <w:spacing w:val="0"/>
          <w:w w:val="100"/>
          <w:position w:val="0"/>
        </w:rPr>
        <w:t>年增长率为</w:t>
      </w:r>
      <w:r>
        <w:rPr>
          <w:color w:val="000000"/>
          <w:spacing w:val="0"/>
          <w:w w:val="100"/>
          <w:position w:val="0"/>
        </w:rPr>
        <w:t xml:space="preserve">2, </w:t>
      </w:r>
      <w:r>
        <w:rPr>
          <w:color w:val="000000"/>
          <w:spacing w:val="0"/>
          <w:w w:val="100"/>
          <w:position w:val="0"/>
        </w:rPr>
        <w:t xml:space="preserve">812. </w:t>
      </w:r>
      <w:r>
        <w:rPr>
          <w:color w:val="000000"/>
          <w:spacing w:val="0"/>
          <w:w w:val="100"/>
          <w:position w:val="0"/>
        </w:rPr>
        <w:t>96%</w:t>
      </w:r>
      <w:r>
        <w:rPr>
          <w:color w:val="000000"/>
          <w:spacing w:val="0"/>
          <w:w w:val="100"/>
          <w:position w:val="0"/>
        </w:rPr>
        <w:t>，公司</w:t>
      </w:r>
      <w:r>
        <w:rPr>
          <w:color w:val="000000"/>
          <w:spacing w:val="0"/>
          <w:w w:val="100"/>
          <w:position w:val="0"/>
        </w:rPr>
        <w:t>2020</w:t>
      </w:r>
      <w:r>
        <w:rPr>
          <w:color w:val="000000"/>
          <w:spacing w:val="0"/>
          <w:w w:val="100"/>
          <w:position w:val="0"/>
        </w:rPr>
        <w:t>年度业绩考核达标。</w:t>
      </w:r>
    </w:p>
    <w:p>
      <w:pPr>
        <w:pStyle w:val="Style28"/>
        <w:keepNext w:val="0"/>
        <w:keepLines w:val="0"/>
        <w:widowControl w:val="0"/>
        <w:shd w:val="clear" w:color="auto" w:fill="auto"/>
        <w:tabs>
          <w:tab w:pos="725" w:val="left"/>
        </w:tabs>
        <w:bidi w:val="0"/>
        <w:spacing w:before="0" w:after="0" w:line="391" w:lineRule="exact"/>
        <w:ind w:left="0" w:right="0"/>
        <w:jc w:val="both"/>
      </w:pPr>
      <w:bookmarkStart w:id="1774" w:name="bookmark1774"/>
      <w:r>
        <w:rPr>
          <w:color w:val="000000"/>
          <w:spacing w:val="0"/>
          <w:w w:val="100"/>
          <w:position w:val="0"/>
        </w:rPr>
        <w:t>2</w:t>
      </w:r>
      <w:bookmarkEnd w:id="1774"/>
      <w:r>
        <w:rPr>
          <w:color w:val="000000"/>
          <w:spacing w:val="0"/>
          <w:w w:val="100"/>
          <w:position w:val="0"/>
        </w:rPr>
        <w:t>）</w:t>
        <w:tab/>
      </w:r>
      <w:r>
        <w:rPr>
          <w:color w:val="000000"/>
          <w:spacing w:val="0"/>
          <w:w w:val="100"/>
          <w:position w:val="0"/>
        </w:rPr>
        <w:t>本期解除限售的限制性股票数量</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公司首次授予限制性股票的第二个锁定期为自激励对象获授限制性股票完成授予登记并上市之日</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 xml:space="preserve">日）起 </w:t>
      </w:r>
      <w:r>
        <w:rPr>
          <w:color w:val="000000"/>
          <w:spacing w:val="0"/>
          <w:w w:val="100"/>
          <w:position w:val="0"/>
        </w:rPr>
        <w:t>24</w:t>
      </w:r>
      <w:r>
        <w:rPr>
          <w:color w:val="000000"/>
          <w:spacing w:val="0"/>
          <w:w w:val="100"/>
          <w:position w:val="0"/>
        </w:rPr>
        <w:t>个月内，即第二个锁定期于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日届满。根据公司于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日召开公司第三届董事会第十二次会议，审议通 过《关于</w:t>
      </w:r>
      <w:r>
        <w:rPr>
          <w:color w:val="000000"/>
          <w:spacing w:val="0"/>
          <w:w w:val="100"/>
          <w:position w:val="0"/>
        </w:rPr>
        <w:t>2019</w:t>
      </w:r>
      <w:r>
        <w:rPr>
          <w:color w:val="000000"/>
          <w:spacing w:val="0"/>
          <w:w w:val="100"/>
          <w:position w:val="0"/>
        </w:rPr>
        <w:t>年限制性股票激励计划首次授予限制性股票第二个解锁期解锁条件成就的议案》</w:t>
      </w:r>
      <w:r>
        <w:rPr>
          <w:color w:val="000000"/>
          <w:spacing w:val="0"/>
          <w:w w:val="100"/>
          <w:position w:val="0"/>
        </w:rPr>
        <w:t>，</w:t>
      </w:r>
      <w:r>
        <w:rPr>
          <w:color w:val="000000"/>
          <w:spacing w:val="0"/>
          <w:w w:val="100"/>
          <w:position w:val="0"/>
        </w:rPr>
        <w:t>公司</w:t>
      </w:r>
      <w:r>
        <w:rPr>
          <w:color w:val="000000"/>
          <w:spacing w:val="0"/>
          <w:w w:val="100"/>
          <w:position w:val="0"/>
        </w:rPr>
        <w:t>2019</w:t>
      </w:r>
      <w:r>
        <w:rPr>
          <w:color w:val="000000"/>
          <w:spacing w:val="0"/>
          <w:w w:val="100"/>
          <w:position w:val="0"/>
        </w:rPr>
        <w:t>年限制性股票激励 计划（以下简称激励计划）首次授予限制性股票第二个解锁期其他解锁条件已经成就，符合激励计划首次授予限制性股票第 二个解锁期解锁条件的激励对象共计</w:t>
      </w:r>
      <w:r>
        <w:rPr>
          <w:color w:val="000000"/>
          <w:spacing w:val="0"/>
          <w:w w:val="100"/>
          <w:position w:val="0"/>
        </w:rPr>
        <w:t>142</w:t>
      </w:r>
      <w:r>
        <w:rPr>
          <w:color w:val="000000"/>
          <w:spacing w:val="0"/>
          <w:w w:val="100"/>
          <w:position w:val="0"/>
        </w:rPr>
        <w:t>人，可解锁的限制性股票数量</w:t>
      </w:r>
      <w:r>
        <w:rPr>
          <w:color w:val="000000"/>
          <w:spacing w:val="0"/>
          <w:w w:val="100"/>
          <w:position w:val="0"/>
        </w:rPr>
        <w:t>888, 296</w:t>
      </w:r>
      <w:r>
        <w:rPr>
          <w:color w:val="000000"/>
          <w:spacing w:val="0"/>
          <w:w w:val="100"/>
          <w:position w:val="0"/>
        </w:rPr>
        <w:t>股。</w:t>
      </w:r>
    </w:p>
    <w:p>
      <w:pPr>
        <w:pStyle w:val="Style28"/>
        <w:keepNext w:val="0"/>
        <w:keepLines w:val="0"/>
        <w:widowControl w:val="0"/>
        <w:shd w:val="clear" w:color="auto" w:fill="auto"/>
        <w:tabs>
          <w:tab w:pos="725" w:val="left"/>
        </w:tabs>
        <w:bidi w:val="0"/>
        <w:spacing w:before="0" w:after="0" w:line="391" w:lineRule="exact"/>
        <w:ind w:left="0" w:right="0"/>
        <w:jc w:val="both"/>
      </w:pPr>
      <w:bookmarkStart w:id="1775" w:name="bookmark1775"/>
      <w:r>
        <w:rPr>
          <w:color w:val="000000"/>
          <w:spacing w:val="0"/>
          <w:w w:val="100"/>
          <w:position w:val="0"/>
        </w:rPr>
        <w:t>3</w:t>
      </w:r>
      <w:bookmarkEnd w:id="1775"/>
      <w:r>
        <w:rPr>
          <w:color w:val="000000"/>
          <w:spacing w:val="0"/>
          <w:w w:val="100"/>
          <w:position w:val="0"/>
        </w:rPr>
        <w:t>）</w:t>
        <w:tab/>
      </w:r>
      <w:r>
        <w:rPr>
          <w:color w:val="000000"/>
          <w:spacing w:val="0"/>
          <w:w w:val="100"/>
          <w:position w:val="0"/>
        </w:rPr>
        <w:t>回购注销</w:t>
      </w:r>
    </w:p>
    <w:p>
      <w:pPr>
        <w:pStyle w:val="Style28"/>
        <w:keepNext w:val="0"/>
        <w:keepLines w:val="0"/>
        <w:widowControl w:val="0"/>
        <w:shd w:val="clear" w:color="auto" w:fill="auto"/>
        <w:bidi w:val="0"/>
        <w:spacing w:before="0" w:after="0" w:line="391" w:lineRule="exact"/>
        <w:ind w:left="0" w:right="0"/>
        <w:jc w:val="both"/>
      </w:pPr>
      <w:r>
        <w:rPr>
          <w:color w:val="000000"/>
          <w:spacing w:val="0"/>
          <w:w w:val="100"/>
          <w:position w:val="0"/>
        </w:rPr>
        <w:t>根据公司于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日召开的第三届董事会第十二次会议审议通过《关于回购注销部分首次授予的限制性股票的议 案》，鉴于公司首次授予限制性股票原激励对象</w:t>
      </w:r>
      <w:r>
        <w:rPr>
          <w:color w:val="000000"/>
          <w:spacing w:val="0"/>
          <w:w w:val="100"/>
          <w:position w:val="0"/>
        </w:rPr>
        <w:t>45</w:t>
      </w:r>
      <w:r>
        <w:rPr>
          <w:color w:val="000000"/>
          <w:spacing w:val="0"/>
          <w:w w:val="100"/>
          <w:position w:val="0"/>
        </w:rPr>
        <w:t>人已离职，根据公司《</w:t>
      </w:r>
      <w:r>
        <w:rPr>
          <w:color w:val="000000"/>
          <w:spacing w:val="0"/>
          <w:w w:val="100"/>
          <w:position w:val="0"/>
        </w:rPr>
        <w:t>2019</w:t>
      </w:r>
      <w:r>
        <w:rPr>
          <w:color w:val="000000"/>
          <w:spacing w:val="0"/>
          <w:w w:val="100"/>
          <w:position w:val="0"/>
        </w:rPr>
        <w:t>年限制性股票激励计划（草案）》的相关规 定，上述</w:t>
      </w:r>
      <w:r>
        <w:rPr>
          <w:color w:val="000000"/>
          <w:spacing w:val="0"/>
          <w:w w:val="100"/>
          <w:position w:val="0"/>
        </w:rPr>
        <w:t>45</w:t>
      </w:r>
      <w:r>
        <w:rPr>
          <w:color w:val="000000"/>
          <w:spacing w:val="0"/>
          <w:w w:val="100"/>
          <w:position w:val="0"/>
        </w:rPr>
        <w:t>名人员已不符合激励条件，并失去本次限制性股票激励资格。公司决定回购并注销其已获授但尚未解锁的合计</w:t>
      </w:r>
    </w:p>
    <w:p>
      <w:pPr>
        <w:pStyle w:val="Style28"/>
        <w:keepNext w:val="0"/>
        <w:keepLines w:val="0"/>
        <w:widowControl w:val="0"/>
        <w:shd w:val="clear" w:color="auto" w:fill="auto"/>
        <w:bidi w:val="0"/>
        <w:spacing w:before="0" w:after="0" w:line="398" w:lineRule="exact"/>
        <w:ind w:left="0" w:right="0" w:firstLine="0"/>
        <w:jc w:val="both"/>
      </w:pPr>
      <w:r>
        <w:rPr>
          <w:color w:val="000000"/>
          <w:spacing w:val="0"/>
          <w:w w:val="100"/>
          <w:position w:val="0"/>
        </w:rPr>
        <w:t>487, 540</w:t>
      </w:r>
      <w:r>
        <w:rPr>
          <w:color w:val="000000"/>
          <w:spacing w:val="0"/>
          <w:w w:val="100"/>
          <w:position w:val="0"/>
        </w:rPr>
        <w:t>股限制性股票。</w:t>
      </w:r>
    </w:p>
    <w:p>
      <w:pPr>
        <w:pStyle w:val="Style28"/>
        <w:keepNext w:val="0"/>
        <w:keepLines w:val="0"/>
        <w:widowControl w:val="0"/>
        <w:shd w:val="clear" w:color="auto" w:fill="auto"/>
        <w:bidi w:val="0"/>
        <w:spacing w:before="0" w:after="0" w:line="398" w:lineRule="exact"/>
        <w:ind w:left="0" w:right="0" w:firstLine="380"/>
        <w:jc w:val="both"/>
      </w:pPr>
      <w:bookmarkStart w:id="1776" w:name="bookmark1776"/>
      <w:r>
        <w:rPr>
          <w:color w:val="000000"/>
          <w:spacing w:val="0"/>
          <w:w w:val="100"/>
          <w:position w:val="0"/>
        </w:rPr>
        <w:t>（</w:t>
      </w:r>
      <w:bookmarkEnd w:id="1776"/>
      <w:r>
        <w:rPr>
          <w:color w:val="000000"/>
          <w:spacing w:val="0"/>
          <w:w w:val="100"/>
          <w:position w:val="0"/>
        </w:rPr>
        <w:t>6）</w:t>
      </w:r>
      <w:r>
        <w:rPr>
          <w:color w:val="000000"/>
          <w:spacing w:val="0"/>
          <w:w w:val="100"/>
          <w:position w:val="0"/>
        </w:rPr>
        <w:t>无法解锁的限制性股票</w:t>
      </w:r>
    </w:p>
    <w:p>
      <w:pPr>
        <w:pStyle w:val="Style28"/>
        <w:keepNext w:val="0"/>
        <w:keepLines w:val="0"/>
        <w:widowControl w:val="0"/>
        <w:shd w:val="clear" w:color="auto" w:fill="auto"/>
        <w:bidi w:val="0"/>
        <w:spacing w:before="0" w:after="420" w:line="398" w:lineRule="exact"/>
        <w:ind w:left="0" w:right="0" w:firstLine="380"/>
        <w:jc w:val="both"/>
      </w:pPr>
      <w:r>
        <w:rPr>
          <w:color w:val="000000"/>
          <w:spacing w:val="0"/>
          <w:w w:val="100"/>
          <w:position w:val="0"/>
        </w:rPr>
        <w:t>公司</w:t>
      </w:r>
      <w:r>
        <w:rPr>
          <w:color w:val="000000"/>
          <w:spacing w:val="0"/>
          <w:w w:val="100"/>
          <w:position w:val="0"/>
        </w:rPr>
        <w:t>2021</w:t>
      </w:r>
      <w:r>
        <w:rPr>
          <w:color w:val="000000"/>
          <w:spacing w:val="0"/>
          <w:w w:val="100"/>
          <w:position w:val="0"/>
        </w:rPr>
        <w:t>年归属于上市公司股东的净利润为</w:t>
      </w:r>
      <w:r>
        <w:rPr>
          <w:color w:val="000000"/>
          <w:spacing w:val="0"/>
          <w:w w:val="100"/>
          <w:position w:val="0"/>
        </w:rPr>
        <w:t xml:space="preserve">-19, 273. </w:t>
      </w:r>
      <w:r>
        <w:rPr>
          <w:color w:val="000000"/>
          <w:spacing w:val="0"/>
          <w:w w:val="100"/>
          <w:position w:val="0"/>
        </w:rPr>
        <w:t>24</w:t>
      </w:r>
      <w:r>
        <w:rPr>
          <w:color w:val="000000"/>
          <w:spacing w:val="0"/>
          <w:w w:val="100"/>
          <w:position w:val="0"/>
        </w:rPr>
        <w:t>万元，较</w:t>
      </w:r>
      <w:r>
        <w:rPr>
          <w:color w:val="000000"/>
          <w:spacing w:val="0"/>
          <w:w w:val="100"/>
          <w:position w:val="0"/>
        </w:rPr>
        <w:t>2018</w:t>
      </w:r>
      <w:r>
        <w:rPr>
          <w:color w:val="000000"/>
          <w:spacing w:val="0"/>
          <w:w w:val="100"/>
          <w:position w:val="0"/>
        </w:rPr>
        <w:t>年下降</w:t>
      </w:r>
      <w:r>
        <w:rPr>
          <w:color w:val="000000"/>
          <w:spacing w:val="0"/>
          <w:w w:val="100"/>
          <w:position w:val="0"/>
        </w:rPr>
        <w:t xml:space="preserve">990. </w:t>
      </w:r>
      <w:r>
        <w:rPr>
          <w:color w:val="000000"/>
          <w:spacing w:val="0"/>
          <w:w w:val="100"/>
          <w:position w:val="0"/>
        </w:rPr>
        <w:t>26%，2021</w:t>
      </w:r>
      <w:r>
        <w:rPr>
          <w:color w:val="000000"/>
          <w:spacing w:val="0"/>
          <w:w w:val="100"/>
          <w:position w:val="0"/>
        </w:rPr>
        <w:t>年度业绩考核不达标。以</w:t>
      </w:r>
      <w:r>
        <w:rPr>
          <w:color w:val="000000"/>
          <w:spacing w:val="0"/>
          <w:w w:val="100"/>
          <w:position w:val="0"/>
        </w:rPr>
        <w:t xml:space="preserve">2021 </w:t>
      </w:r>
      <w:r>
        <w:rPr>
          <w:color w:val="000000"/>
          <w:spacing w:val="0"/>
          <w:w w:val="100"/>
          <w:position w:val="0"/>
        </w:rPr>
        <w:t>年度归属于上市公司股东的净利润为第三个解锁期限售股考核业绩指标，由于</w:t>
      </w:r>
      <w:r>
        <w:rPr>
          <w:color w:val="000000"/>
          <w:spacing w:val="0"/>
          <w:w w:val="100"/>
          <w:position w:val="0"/>
        </w:rPr>
        <w:t>2021</w:t>
      </w:r>
      <w:r>
        <w:rPr>
          <w:color w:val="000000"/>
          <w:spacing w:val="0"/>
          <w:w w:val="100"/>
          <w:position w:val="0"/>
        </w:rPr>
        <w:t>年度业绩考核不达标，故首次授予限制性 股票的第三个解锁期的限制性股票无法解锁。</w:t>
      </w:r>
    </w:p>
    <w:p>
      <w:pPr>
        <w:pStyle w:val="Style31"/>
        <w:keepNext/>
        <w:keepLines/>
        <w:widowControl w:val="0"/>
        <w:shd w:val="clear" w:color="auto" w:fill="auto"/>
        <w:bidi w:val="0"/>
        <w:spacing w:before="0" w:after="360" w:line="240" w:lineRule="auto"/>
        <w:ind w:left="0" w:right="0" w:firstLine="0"/>
        <w:jc w:val="both"/>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77"/>
      <w:bookmarkEnd w:id="1778"/>
      <w:bookmarkEnd w:id="1779"/>
    </w:p>
    <w:p>
      <w:pPr>
        <w:pStyle w:val="Style28"/>
        <w:keepNext w:val="0"/>
        <w:keepLines w:val="0"/>
        <w:widowControl w:val="0"/>
        <w:shd w:val="clear" w:color="auto" w:fill="auto"/>
        <w:bidi w:val="0"/>
        <w:spacing w:before="0" w:after="0" w:line="463"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授予日公司股票的收盘价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公司业绩考核及个人业绩考核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86,723,664.03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-2,456,683.89</w:t>
            </w:r>
          </w:p>
        </w:tc>
      </w:tr>
    </w:tbl>
    <w:p>
      <w:pPr>
        <w:pStyle w:val="Style26"/>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20" w:line="384" w:lineRule="exact"/>
        <w:ind w:left="0" w:right="0" w:firstLine="440"/>
        <w:jc w:val="both"/>
      </w:pPr>
      <w:r>
        <w:rPr>
          <w:color w:val="000000"/>
          <w:spacing w:val="0"/>
          <w:w w:val="100"/>
          <w:position w:val="0"/>
        </w:rPr>
        <w:t>根据企业会计准则及相关规定，若权益工具因未满足提前设定的可行权条件而被取消（即股权激励计划的作废），公 司无需作为加速行权处理，而应冲销前期已确认的等待期相关成本费用。由于</w:t>
      </w:r>
      <w:r>
        <w:rPr>
          <w:color w:val="000000"/>
          <w:spacing w:val="0"/>
          <w:w w:val="100"/>
          <w:position w:val="0"/>
        </w:rPr>
        <w:t>2021</w:t>
      </w:r>
      <w:r>
        <w:rPr>
          <w:color w:val="000000"/>
          <w:spacing w:val="0"/>
          <w:w w:val="100"/>
          <w:position w:val="0"/>
        </w:rPr>
        <w:t>年度业绩考核不达标，首次授予限制性股 票的第三个解锁期的限制性股票无法解锁，相应已确认的等待期成本费用</w:t>
      </w:r>
      <w:r>
        <w:rPr>
          <w:color w:val="000000"/>
          <w:spacing w:val="0"/>
          <w:w w:val="100"/>
          <w:position w:val="0"/>
        </w:rPr>
        <w:t xml:space="preserve">13,148, </w:t>
      </w:r>
      <w:r>
        <w:rPr>
          <w:color w:val="000000"/>
          <w:spacing w:val="0"/>
          <w:w w:val="100"/>
          <w:position w:val="0"/>
        </w:rPr>
        <w:t xml:space="preserve">839. </w:t>
      </w:r>
      <w:r>
        <w:rPr>
          <w:color w:val="000000"/>
          <w:spacing w:val="0"/>
          <w:w w:val="100"/>
          <w:position w:val="0"/>
        </w:rPr>
        <w:t>46</w:t>
      </w:r>
      <w:r>
        <w:rPr>
          <w:color w:val="000000"/>
          <w:spacing w:val="0"/>
          <w:w w:val="100"/>
          <w:position w:val="0"/>
        </w:rPr>
        <w:t>元冲销。</w:t>
      </w:r>
    </w:p>
    <w:p>
      <w:pPr>
        <w:pStyle w:val="Style24"/>
        <w:keepNext/>
        <w:keepLines/>
        <w:widowControl w:val="0"/>
        <w:shd w:val="clear" w:color="auto" w:fill="auto"/>
        <w:bidi w:val="0"/>
        <w:spacing w:before="0" w:line="240" w:lineRule="auto"/>
        <w:ind w:left="0" w:right="0" w:firstLine="0"/>
        <w:jc w:val="both"/>
      </w:pPr>
      <w:bookmarkStart w:id="1780" w:name="bookmark1780"/>
      <w:bookmarkStart w:id="1781" w:name="bookmark1781"/>
      <w:bookmarkStart w:id="1782" w:name="bookmark1782"/>
      <w:r>
        <w:rPr>
          <w:color w:val="000000"/>
          <w:spacing w:val="0"/>
          <w:w w:val="100"/>
          <w:position w:val="0"/>
          <w:sz w:val="24"/>
          <w:szCs w:val="24"/>
        </w:rPr>
        <w:t>十四、承诺及或有事项</w:t>
      </w:r>
      <w:bookmarkEnd w:id="1780"/>
      <w:bookmarkEnd w:id="1781"/>
      <w:bookmarkEnd w:id="1782"/>
    </w:p>
    <w:p>
      <w:pPr>
        <w:pStyle w:val="Style31"/>
        <w:keepNext/>
        <w:keepLines/>
        <w:widowControl w:val="0"/>
        <w:shd w:val="clear" w:color="auto" w:fill="auto"/>
        <w:bidi w:val="0"/>
        <w:spacing w:before="0" w:after="360" w:line="240" w:lineRule="auto"/>
        <w:ind w:left="0" w:right="0" w:firstLine="0"/>
        <w:jc w:val="both"/>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783"/>
      <w:bookmarkEnd w:id="1784"/>
      <w:bookmarkEnd w:id="1785"/>
    </w:p>
    <w:p>
      <w:pPr>
        <w:pStyle w:val="Style42"/>
        <w:keepNext/>
        <w:keepLines/>
        <w:widowControl w:val="0"/>
        <w:shd w:val="clear" w:color="auto" w:fill="auto"/>
        <w:bidi w:val="0"/>
        <w:spacing w:before="0" w:after="240" w:line="240" w:lineRule="auto"/>
        <w:ind w:left="0" w:right="0" w:firstLine="0"/>
        <w:jc w:val="both"/>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86"/>
      <w:bookmarkEnd w:id="1787"/>
      <w:bookmarkEnd w:id="1788"/>
    </w:p>
    <w:p>
      <w:pPr>
        <w:pStyle w:val="Style28"/>
        <w:keepNext w:val="0"/>
        <w:keepLines w:val="0"/>
        <w:widowControl w:val="0"/>
        <w:shd w:val="clear" w:color="auto" w:fill="auto"/>
        <w:bidi w:val="0"/>
        <w:spacing w:before="0" w:after="0" w:line="392" w:lineRule="exact"/>
        <w:ind w:left="0" w:right="0" w:firstLine="440"/>
        <w:jc w:val="both"/>
      </w:pPr>
      <w:r>
        <w:rPr>
          <w:b/>
          <w:bCs/>
          <w:color w:val="000000"/>
          <w:spacing w:val="0"/>
          <w:w w:val="100"/>
          <w:position w:val="0"/>
        </w:rPr>
        <w:t>或有事项</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未决诉讼仲裁形成的或有负债及其财务影响</w:t>
      </w:r>
    </w:p>
    <w:p>
      <w:pPr>
        <w:pStyle w:val="Style28"/>
        <w:keepNext w:val="0"/>
        <w:keepLines w:val="0"/>
        <w:widowControl w:val="0"/>
        <w:shd w:val="clear" w:color="auto" w:fill="auto"/>
        <w:bidi w:val="0"/>
        <w:spacing w:before="0" w:after="0" w:line="392" w:lineRule="exact"/>
        <w:ind w:left="0" w:right="0" w:firstLine="380"/>
        <w:jc w:val="both"/>
      </w:pPr>
      <w:r>
        <w:rPr>
          <w:color w:val="000000"/>
          <w:spacing w:val="0"/>
          <w:w w:val="100"/>
          <w:position w:val="0"/>
        </w:rPr>
        <w:t>1</w:t>
      </w:r>
      <w:r>
        <w:rPr>
          <w:color w:val="000000"/>
          <w:spacing w:val="0"/>
          <w:w w:val="100"/>
          <w:position w:val="0"/>
        </w:rPr>
        <w:t>、江西网是科技有限公司（以下简称网是公司）于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日向江西省萍乡市中级人民法院提起诉讼，请求人民法 院依法判令公司支付拖欠委托加工及采购费</w:t>
      </w:r>
      <w:r>
        <w:rPr>
          <w:color w:val="000000"/>
          <w:spacing w:val="0"/>
          <w:w w:val="100"/>
          <w:position w:val="0"/>
        </w:rPr>
        <w:t xml:space="preserve">118. </w:t>
      </w:r>
      <w:r>
        <w:rPr>
          <w:color w:val="000000"/>
          <w:spacing w:val="0"/>
          <w:w w:val="100"/>
          <w:position w:val="0"/>
        </w:rPr>
        <w:t>33</w:t>
      </w:r>
      <w:r>
        <w:rPr>
          <w:color w:val="000000"/>
          <w:spacing w:val="0"/>
          <w:w w:val="100"/>
          <w:position w:val="0"/>
        </w:rPr>
        <w:t>万元、委托加工费和采购款迟延付款期间违约金</w:t>
      </w:r>
      <w:r>
        <w:rPr>
          <w:color w:val="000000"/>
          <w:spacing w:val="0"/>
          <w:w w:val="100"/>
          <w:position w:val="0"/>
        </w:rPr>
        <w:t xml:space="preserve">587. </w:t>
      </w:r>
      <w:r>
        <w:rPr>
          <w:color w:val="000000"/>
          <w:spacing w:val="0"/>
          <w:w w:val="100"/>
          <w:position w:val="0"/>
        </w:rPr>
        <w:t>60</w:t>
      </w:r>
      <w:r>
        <w:rPr>
          <w:color w:val="000000"/>
          <w:spacing w:val="0"/>
          <w:w w:val="100"/>
          <w:position w:val="0"/>
        </w:rPr>
        <w:t>万元、终止合同所 产生的损失</w:t>
      </w:r>
      <w:r>
        <w:rPr>
          <w:color w:val="000000"/>
          <w:spacing w:val="0"/>
          <w:w w:val="100"/>
          <w:position w:val="0"/>
        </w:rPr>
        <w:t>500</w:t>
      </w:r>
      <w:r>
        <w:rPr>
          <w:color w:val="000000"/>
          <w:spacing w:val="0"/>
          <w:w w:val="100"/>
          <w:position w:val="0"/>
        </w:rPr>
        <w:t>万元（司法鉴定为</w:t>
      </w:r>
      <w:r>
        <w:rPr>
          <w:color w:val="000000"/>
          <w:spacing w:val="0"/>
          <w:w w:val="100"/>
          <w:position w:val="0"/>
        </w:rPr>
        <w:t xml:space="preserve">4, </w:t>
      </w:r>
      <w:r>
        <w:rPr>
          <w:color w:val="000000"/>
          <w:spacing w:val="0"/>
          <w:w w:val="100"/>
          <w:position w:val="0"/>
        </w:rPr>
        <w:t>855,716.37</w:t>
      </w:r>
      <w:r>
        <w:rPr>
          <w:color w:val="000000"/>
          <w:spacing w:val="0"/>
          <w:w w:val="100"/>
          <w:position w:val="0"/>
        </w:rPr>
        <w:t>元）、律师代理费损失</w:t>
      </w:r>
      <w:r>
        <w:rPr>
          <w:color w:val="000000"/>
          <w:spacing w:val="0"/>
          <w:w w:val="100"/>
          <w:position w:val="0"/>
        </w:rPr>
        <w:t>30</w:t>
      </w:r>
      <w:r>
        <w:rPr>
          <w:color w:val="000000"/>
          <w:spacing w:val="0"/>
          <w:w w:val="100"/>
          <w:position w:val="0"/>
        </w:rPr>
        <w:t>万元，以上诉讼请求金额共计</w:t>
      </w:r>
      <w:r>
        <w:rPr>
          <w:color w:val="000000"/>
          <w:spacing w:val="0"/>
          <w:w w:val="100"/>
          <w:position w:val="0"/>
        </w:rPr>
        <w:t>1,235.93</w:t>
      </w:r>
      <w:r>
        <w:rPr>
          <w:color w:val="000000"/>
          <w:spacing w:val="0"/>
          <w:w w:val="100"/>
          <w:position w:val="0"/>
        </w:rPr>
        <w:t>万元。第一 次庭审后，网是公司将上述第</w:t>
      </w:r>
      <w:r>
        <w:rPr>
          <w:color w:val="000000"/>
          <w:spacing w:val="0"/>
          <w:w w:val="100"/>
          <w:position w:val="0"/>
        </w:rPr>
        <w:t>1</w:t>
      </w:r>
      <w:r>
        <w:rPr>
          <w:color w:val="000000"/>
          <w:spacing w:val="0"/>
          <w:w w:val="100"/>
          <w:position w:val="0"/>
        </w:rPr>
        <w:t>项诉讼请求的金额</w:t>
      </w:r>
      <w:r>
        <w:rPr>
          <w:color w:val="000000"/>
          <w:spacing w:val="0"/>
          <w:w w:val="100"/>
          <w:position w:val="0"/>
        </w:rPr>
        <w:t>118.33</w:t>
      </w:r>
      <w:r>
        <w:rPr>
          <w:color w:val="000000"/>
          <w:spacing w:val="0"/>
          <w:w w:val="100"/>
          <w:position w:val="0"/>
        </w:rPr>
        <w:t>万元变更为：</w:t>
      </w:r>
      <w:r>
        <w:rPr>
          <w:color w:val="000000"/>
          <w:spacing w:val="0"/>
          <w:w w:val="100"/>
          <w:position w:val="0"/>
        </w:rPr>
        <w:t>32.22</w:t>
      </w:r>
      <w:r>
        <w:rPr>
          <w:color w:val="000000"/>
          <w:spacing w:val="0"/>
          <w:w w:val="100"/>
          <w:position w:val="0"/>
        </w:rPr>
        <w:t>万元。对于第</w:t>
      </w:r>
      <w:r>
        <w:rPr>
          <w:color w:val="000000"/>
          <w:spacing w:val="0"/>
          <w:w w:val="100"/>
          <w:position w:val="0"/>
        </w:rPr>
        <w:t>3</w:t>
      </w:r>
      <w:r>
        <w:rPr>
          <w:color w:val="000000"/>
          <w:spacing w:val="0"/>
          <w:w w:val="100"/>
          <w:position w:val="0"/>
        </w:rPr>
        <w:t>项诉讼请求，司法鉴定最终意见 为：加工设备工具用具及配件</w:t>
      </w:r>
      <w:r>
        <w:rPr>
          <w:color w:val="000000"/>
          <w:spacing w:val="0"/>
          <w:w w:val="100"/>
          <w:position w:val="0"/>
        </w:rPr>
        <w:t xml:space="preserve">146. </w:t>
      </w:r>
      <w:r>
        <w:rPr>
          <w:color w:val="000000"/>
          <w:spacing w:val="0"/>
          <w:w w:val="100"/>
          <w:position w:val="0"/>
        </w:rPr>
        <w:t>35</w:t>
      </w:r>
      <w:r>
        <w:rPr>
          <w:color w:val="000000"/>
          <w:spacing w:val="0"/>
          <w:w w:val="100"/>
          <w:position w:val="0"/>
        </w:rPr>
        <w:t>万元；制造模具及金溢科技订单产品</w:t>
      </w:r>
      <w:r>
        <w:rPr>
          <w:color w:val="000000"/>
          <w:spacing w:val="0"/>
          <w:w w:val="100"/>
          <w:position w:val="0"/>
        </w:rPr>
        <w:t xml:space="preserve">237. </w:t>
      </w:r>
      <w:r>
        <w:rPr>
          <w:color w:val="000000"/>
          <w:spacing w:val="0"/>
          <w:w w:val="100"/>
          <w:position w:val="0"/>
        </w:rPr>
        <w:t>32</w:t>
      </w:r>
      <w:r>
        <w:rPr>
          <w:color w:val="000000"/>
          <w:spacing w:val="0"/>
          <w:w w:val="100"/>
          <w:position w:val="0"/>
        </w:rPr>
        <w:t>万元；租赁设备提前退租违约金</w:t>
      </w:r>
      <w:r>
        <w:rPr>
          <w:color w:val="000000"/>
          <w:spacing w:val="0"/>
          <w:w w:val="100"/>
          <w:position w:val="0"/>
        </w:rPr>
        <w:t xml:space="preserve">20. </w:t>
      </w:r>
      <w:r>
        <w:rPr>
          <w:color w:val="000000"/>
          <w:spacing w:val="0"/>
          <w:w w:val="100"/>
          <w:position w:val="0"/>
        </w:rPr>
        <w:t>69</w:t>
      </w:r>
      <w:r>
        <w:rPr>
          <w:color w:val="000000"/>
          <w:spacing w:val="0"/>
          <w:w w:val="100"/>
          <w:position w:val="0"/>
        </w:rPr>
        <w:t>万元； 变更取消订单产品可得利润</w:t>
      </w:r>
      <w:r>
        <w:rPr>
          <w:color w:val="000000"/>
          <w:spacing w:val="0"/>
          <w:w w:val="100"/>
          <w:position w:val="0"/>
        </w:rPr>
        <w:t>485.5</w:t>
      </w:r>
      <w:r>
        <w:rPr>
          <w:color w:val="000000"/>
          <w:spacing w:val="0"/>
          <w:w w:val="100"/>
          <w:position w:val="0"/>
        </w:rPr>
        <w:t>7</w:t>
      </w:r>
      <w:r>
        <w:rPr>
          <w:color w:val="000000"/>
          <w:spacing w:val="0"/>
          <w:w w:val="100"/>
          <w:position w:val="0"/>
        </w:rPr>
        <w:t>万元，总金额合计</w:t>
      </w:r>
      <w:r>
        <w:rPr>
          <w:color w:val="000000"/>
          <w:spacing w:val="0"/>
          <w:w w:val="100"/>
          <w:position w:val="0"/>
        </w:rPr>
        <w:t xml:space="preserve">889. </w:t>
      </w:r>
      <w:r>
        <w:rPr>
          <w:color w:val="000000"/>
          <w:spacing w:val="0"/>
          <w:w w:val="100"/>
          <w:position w:val="0"/>
        </w:rPr>
        <w:t>94</w:t>
      </w:r>
      <w:r>
        <w:rPr>
          <w:color w:val="000000"/>
          <w:spacing w:val="0"/>
          <w:w w:val="100"/>
          <w:position w:val="0"/>
        </w:rPr>
        <w:t>万元。经变更后以上诉讼请求金额共计</w:t>
      </w:r>
      <w:r>
        <w:rPr>
          <w:color w:val="000000"/>
          <w:spacing w:val="0"/>
          <w:w w:val="100"/>
          <w:position w:val="0"/>
        </w:rPr>
        <w:t>1,539.76</w:t>
      </w:r>
      <w:r>
        <w:rPr>
          <w:color w:val="000000"/>
          <w:spacing w:val="0"/>
          <w:w w:val="100"/>
          <w:position w:val="0"/>
        </w:rPr>
        <w:t>万元。截至资产 负债表日，该案件尚处于一审未决阶段。</w:t>
      </w:r>
    </w:p>
    <w:p>
      <w:pPr>
        <w:pStyle w:val="Style28"/>
        <w:keepNext w:val="0"/>
        <w:keepLines w:val="0"/>
        <w:widowControl w:val="0"/>
        <w:shd w:val="clear" w:color="auto" w:fill="auto"/>
        <w:bidi w:val="0"/>
        <w:spacing w:before="0" w:after="0" w:line="398" w:lineRule="exact"/>
        <w:ind w:left="0" w:right="0" w:firstLine="440"/>
        <w:jc w:val="both"/>
      </w:pPr>
      <w:r>
        <w:rPr>
          <w:color w:val="000000"/>
          <w:spacing w:val="0"/>
          <w:w w:val="100"/>
          <w:position w:val="0"/>
        </w:rPr>
        <w:t>2</w:t>
      </w:r>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日，公司与</w:t>
      </w:r>
      <w:r>
        <w:rPr>
          <w:color w:val="000000"/>
          <w:spacing w:val="0"/>
          <w:w w:val="100"/>
          <w:position w:val="0"/>
        </w:rPr>
        <w:t>CHARLES CHUNLI LIU</w:t>
      </w:r>
      <w:r>
        <w:rPr>
          <w:color w:val="000000"/>
          <w:spacing w:val="0"/>
          <w:w w:val="100"/>
          <w:position w:val="0"/>
        </w:rPr>
        <w:t xml:space="preserve">、深圳镓赢微电子合伙企业（有限合伙）（以下简称深圳镓 赢）、深圳市松禾天使创业投资合伙企业（有限合伙）（以下简称松禾天使）、深圳市富海新材二期创业投资基金合伙企业 （有限合伙）（以下简称富海新材）以及深圳镓华微电子有限公司（以下简称镓华微电子）在深圳签署了《关于深圳镓华微 </w:t>
      </w:r>
      <w:r>
        <w:rPr>
          <w:color w:val="000000"/>
          <w:spacing w:val="0"/>
          <w:w w:val="100"/>
          <w:position w:val="0"/>
        </w:rPr>
        <w:t>电子有限公司之增资协议》及配套补充协议，约定公司对镓华微电子增资，增资总额为人民币</w:t>
      </w:r>
      <w:r>
        <w:rPr>
          <w:color w:val="000000"/>
          <w:spacing w:val="0"/>
          <w:w w:val="100"/>
          <w:position w:val="0"/>
        </w:rPr>
        <w:t>9, 000</w:t>
      </w:r>
      <w:r>
        <w:rPr>
          <w:color w:val="000000"/>
          <w:spacing w:val="0"/>
          <w:w w:val="100"/>
          <w:position w:val="0"/>
        </w:rPr>
        <w:t>万元，其中</w:t>
      </w:r>
      <w:r>
        <w:rPr>
          <w:color w:val="000000"/>
          <w:spacing w:val="0"/>
          <w:w w:val="100"/>
          <w:position w:val="0"/>
        </w:rPr>
        <w:t>14.9808</w:t>
      </w:r>
      <w:r>
        <w:rPr>
          <w:color w:val="000000"/>
          <w:spacing w:val="0"/>
          <w:w w:val="100"/>
          <w:position w:val="0"/>
        </w:rPr>
        <w:t>万元 计入镓华微电子注册资本，剩余人民币</w:t>
      </w:r>
      <w:r>
        <w:rPr>
          <w:color w:val="000000"/>
          <w:spacing w:val="0"/>
          <w:w w:val="100"/>
          <w:position w:val="0"/>
        </w:rPr>
        <w:t xml:space="preserve">8, </w:t>
      </w:r>
      <w:r>
        <w:rPr>
          <w:color w:val="000000"/>
          <w:spacing w:val="0"/>
          <w:w w:val="100"/>
          <w:position w:val="0"/>
        </w:rPr>
        <w:t>985.0192</w:t>
      </w:r>
      <w:r>
        <w:rPr>
          <w:color w:val="000000"/>
          <w:spacing w:val="0"/>
          <w:w w:val="100"/>
          <w:position w:val="0"/>
        </w:rPr>
        <w:t xml:space="preserve">万元计入镓华微电子的资本公积。完成增资后，公司将持有镓华微电子 </w:t>
      </w:r>
      <w:r>
        <w:rPr>
          <w:color w:val="000000"/>
          <w:spacing w:val="0"/>
          <w:w w:val="100"/>
          <w:position w:val="0"/>
        </w:rPr>
        <w:t>11.25%</w:t>
      </w:r>
      <w:r>
        <w:rPr>
          <w:color w:val="000000"/>
          <w:spacing w:val="0"/>
          <w:w w:val="100"/>
          <w:position w:val="0"/>
        </w:rPr>
        <w:t>的股权。</w:t>
      </w:r>
    </w:p>
    <w:p>
      <w:pPr>
        <w:pStyle w:val="Style28"/>
        <w:keepNext w:val="0"/>
        <w:keepLines w:val="0"/>
        <w:widowControl w:val="0"/>
        <w:shd w:val="clear" w:color="auto" w:fill="auto"/>
        <w:bidi w:val="0"/>
        <w:spacing w:before="0" w:after="440" w:line="389" w:lineRule="exact"/>
        <w:ind w:left="0" w:right="0" w:firstLine="38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月，公司作为申请人就协议纠纷向深圳国际仲裁院提起仲裁。仲裁请求：裁决第一被申请人</w:t>
      </w:r>
      <w:r>
        <w:rPr>
          <w:color w:val="000000"/>
          <w:spacing w:val="0"/>
          <w:w w:val="100"/>
          <w:position w:val="0"/>
        </w:rPr>
        <w:t xml:space="preserve">CHARLES CHUNLI LIU </w:t>
      </w:r>
      <w:r>
        <w:rPr>
          <w:color w:val="000000"/>
          <w:spacing w:val="0"/>
          <w:w w:val="100"/>
          <w:position w:val="0"/>
        </w:rPr>
        <w:t>向公司支付股权回购款人民币</w:t>
      </w:r>
      <w:r>
        <w:rPr>
          <w:color w:val="000000"/>
          <w:spacing w:val="0"/>
          <w:w w:val="100"/>
          <w:position w:val="0"/>
        </w:rPr>
        <w:t xml:space="preserve">9, </w:t>
      </w:r>
      <w:r>
        <w:rPr>
          <w:color w:val="000000"/>
          <w:spacing w:val="0"/>
          <w:w w:val="100"/>
          <w:position w:val="0"/>
        </w:rPr>
        <w:t xml:space="preserve">613. </w:t>
      </w:r>
      <w:r>
        <w:rPr>
          <w:color w:val="000000"/>
          <w:spacing w:val="0"/>
          <w:w w:val="100"/>
          <w:position w:val="0"/>
        </w:rPr>
        <w:t>97</w:t>
      </w:r>
      <w:r>
        <w:rPr>
          <w:color w:val="000000"/>
          <w:spacing w:val="0"/>
          <w:w w:val="100"/>
          <w:position w:val="0"/>
        </w:rPr>
        <w:t>万元；裁决第一被申请人</w:t>
      </w:r>
      <w:r>
        <w:rPr>
          <w:color w:val="000000"/>
          <w:spacing w:val="0"/>
          <w:w w:val="100"/>
          <w:position w:val="0"/>
        </w:rPr>
        <w:t>CHARLES CHUNLI LIU</w:t>
      </w:r>
      <w:r>
        <w:rPr>
          <w:color w:val="000000"/>
          <w:spacing w:val="0"/>
          <w:w w:val="100"/>
          <w:position w:val="0"/>
        </w:rPr>
        <w:t>向公司支付申请人律师费；裁定被申请 人二镓华微电子对被申请人一上述全部支付义务承担连带责任；裁定两被申请人承担本案仲裁费、保全费、鉴定费等一切费 用。深圳国际仲裁院于</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11</w:t>
      </w:r>
      <w:r>
        <w:rPr>
          <w:color w:val="000000"/>
          <w:spacing w:val="0"/>
          <w:w w:val="100"/>
          <w:position w:val="0"/>
        </w:rPr>
        <w:t>日受理了本案件［</w:t>
      </w:r>
      <w:r>
        <w:rPr>
          <w:color w:val="000000"/>
          <w:spacing w:val="0"/>
          <w:w w:val="100"/>
          <w:position w:val="0"/>
        </w:rPr>
        <w:t>（2022）</w:t>
      </w:r>
      <w:r>
        <w:rPr>
          <w:color w:val="000000"/>
          <w:spacing w:val="0"/>
          <w:w w:val="100"/>
          <w:position w:val="0"/>
        </w:rPr>
        <w:t>深国仲涉外受</w:t>
      </w:r>
      <w:r>
        <w:rPr>
          <w:color w:val="000000"/>
          <w:spacing w:val="0"/>
          <w:w w:val="100"/>
          <w:position w:val="0"/>
        </w:rPr>
        <w:t>521</w:t>
      </w:r>
      <w:r>
        <w:rPr>
          <w:color w:val="000000"/>
          <w:spacing w:val="0"/>
          <w:w w:val="100"/>
          <w:position w:val="0"/>
        </w:rPr>
        <w:t>号</w:t>
      </w:r>
      <w:r>
        <w:rPr>
          <w:color w:val="000000"/>
          <w:spacing w:val="0"/>
          <w:w w:val="100"/>
          <w:position w:val="0"/>
        </w:rPr>
        <w:t>-1］，</w:t>
      </w:r>
      <w:r>
        <w:rPr>
          <w:color w:val="000000"/>
          <w:spacing w:val="0"/>
          <w:w w:val="100"/>
          <w:position w:val="0"/>
        </w:rPr>
        <w:t>广东省深圳市中级人民法院 于</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日受理了仲裁程序中的财产保全申请［</w:t>
      </w:r>
      <w:r>
        <w:rPr>
          <w:color w:val="000000"/>
          <w:spacing w:val="0"/>
          <w:w w:val="100"/>
          <w:position w:val="0"/>
        </w:rPr>
        <w:t>（2022）</w:t>
      </w:r>
      <w:r>
        <w:rPr>
          <w:color w:val="000000"/>
          <w:spacing w:val="0"/>
          <w:w w:val="100"/>
          <w:position w:val="0"/>
        </w:rPr>
        <w:t>粤</w:t>
      </w:r>
      <w:r>
        <w:rPr>
          <w:color w:val="000000"/>
          <w:spacing w:val="0"/>
          <w:w w:val="100"/>
          <w:position w:val="0"/>
        </w:rPr>
        <w:t>03</w:t>
      </w:r>
      <w:r>
        <w:rPr>
          <w:color w:val="000000"/>
          <w:spacing w:val="0"/>
          <w:w w:val="100"/>
          <w:position w:val="0"/>
        </w:rPr>
        <w:t>财保</w:t>
      </w:r>
      <w:r>
        <w:rPr>
          <w:color w:val="000000"/>
          <w:spacing w:val="0"/>
          <w:w w:val="100"/>
          <w:position w:val="0"/>
        </w:rPr>
        <w:t>16</w:t>
      </w:r>
      <w:r>
        <w:rPr>
          <w:color w:val="000000"/>
          <w:spacing w:val="0"/>
          <w:w w:val="100"/>
          <w:position w:val="0"/>
        </w:rPr>
        <w:t>号］，截至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日，尚未开庭审 理。</w:t>
      </w:r>
    </w:p>
    <w:p>
      <w:pPr>
        <w:pStyle w:val="Style42"/>
        <w:keepNext/>
        <w:keepLines/>
        <w:widowControl w:val="0"/>
        <w:shd w:val="clear" w:color="auto" w:fill="auto"/>
        <w:bidi w:val="0"/>
        <w:spacing w:before="0" w:after="200" w:line="240" w:lineRule="auto"/>
        <w:ind w:left="0" w:right="0" w:firstLine="0"/>
        <w:jc w:val="both"/>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89"/>
      <w:bookmarkEnd w:id="1790"/>
      <w:bookmarkEnd w:id="1791"/>
    </w:p>
    <w:p>
      <w:pPr>
        <w:pStyle w:val="Style28"/>
        <w:keepNext w:val="0"/>
        <w:keepLines w:val="0"/>
        <w:widowControl w:val="0"/>
        <w:shd w:val="clear" w:color="auto" w:fill="auto"/>
        <w:bidi w:val="0"/>
        <w:spacing w:before="0" w:after="380" w:line="389" w:lineRule="exact"/>
        <w:ind w:left="0" w:right="0" w:firstLine="0"/>
        <w:jc w:val="both"/>
      </w:pPr>
      <w:r>
        <w:rPr>
          <w:color w:val="000000"/>
          <w:spacing w:val="0"/>
          <w:w w:val="100"/>
          <w:position w:val="0"/>
        </w:rPr>
        <w:t>公司不存在需要披露的重要或有事项。</w:t>
      </w:r>
    </w:p>
    <w:p>
      <w:pPr>
        <w:pStyle w:val="Style31"/>
        <w:keepNext/>
        <w:keepLines/>
        <w:widowControl w:val="0"/>
        <w:shd w:val="clear" w:color="auto" w:fill="auto"/>
        <w:bidi w:val="0"/>
        <w:spacing w:before="0" w:after="380" w:line="240" w:lineRule="auto"/>
        <w:ind w:left="0" w:right="0" w:firstLine="0"/>
        <w:jc w:val="both"/>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792"/>
      <w:bookmarkEnd w:id="1793"/>
      <w:bookmarkEnd w:id="1794"/>
    </w:p>
    <w:p>
      <w:pPr>
        <w:pStyle w:val="Style28"/>
        <w:keepNext w:val="0"/>
        <w:keepLines w:val="0"/>
        <w:widowControl w:val="0"/>
        <w:shd w:val="clear" w:color="auto" w:fill="auto"/>
        <w:bidi w:val="0"/>
        <w:spacing w:before="0" w:after="380" w:line="389" w:lineRule="exact"/>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1795" w:name="bookmark1795"/>
      <w:bookmarkStart w:id="1796" w:name="bookmark1796"/>
      <w:bookmarkStart w:id="1797" w:name="bookmark1797"/>
      <w:r>
        <w:rPr>
          <w:color w:val="000000"/>
          <w:spacing w:val="0"/>
          <w:w w:val="100"/>
          <w:position w:val="0"/>
          <w:sz w:val="24"/>
          <w:szCs w:val="24"/>
        </w:rPr>
        <w:t>十五、资产负债表日后事项</w:t>
      </w:r>
      <w:bookmarkEnd w:id="1795"/>
      <w:bookmarkEnd w:id="1796"/>
      <w:bookmarkEnd w:id="1797"/>
    </w:p>
    <w:p>
      <w:pPr>
        <w:pStyle w:val="Style31"/>
        <w:keepNext/>
        <w:keepLines/>
        <w:widowControl w:val="0"/>
        <w:shd w:val="clear" w:color="auto" w:fill="auto"/>
        <w:tabs>
          <w:tab w:pos="368" w:val="left"/>
        </w:tabs>
        <w:bidi w:val="0"/>
        <w:spacing w:before="0" w:after="200" w:line="240" w:lineRule="auto"/>
        <w:ind w:left="0" w:right="0" w:firstLine="0"/>
        <w:jc w:val="both"/>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1</w:t>
      </w:r>
      <w:bookmarkEnd w:id="1800"/>
      <w:r>
        <w:rPr>
          <w:color w:val="000000"/>
          <w:spacing w:val="0"/>
          <w:w w:val="100"/>
          <w:position w:val="0"/>
        </w:rPr>
        <w:t>、</w:t>
        <w:tab/>
        <w:t>重要的非调整事项</w:t>
      </w:r>
      <w:bookmarkEnd w:id="1798"/>
      <w:bookmarkEnd w:id="1799"/>
      <w:bookmarkEnd w:id="1801"/>
    </w:p>
    <w:p>
      <w:pPr>
        <w:pStyle w:val="Style28"/>
        <w:keepNext w:val="0"/>
        <w:keepLines w:val="0"/>
        <w:widowControl w:val="0"/>
        <w:shd w:val="clear" w:color="auto" w:fill="auto"/>
        <w:bidi w:val="0"/>
        <w:spacing w:before="0" w:after="380" w:line="389" w:lineRule="exact"/>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both"/>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2</w:t>
      </w:r>
      <w:bookmarkEnd w:id="1804"/>
      <w:r>
        <w:rPr>
          <w:color w:val="000000"/>
          <w:spacing w:val="0"/>
          <w:w w:val="100"/>
          <w:position w:val="0"/>
        </w:rPr>
        <w:t>、</w:t>
        <w:tab/>
        <w:t>利润分配情况</w:t>
      </w:r>
      <w:bookmarkEnd w:id="1802"/>
      <w:bookmarkEnd w:id="1803"/>
      <w:bookmarkEnd w:id="180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1"/>
        <w:keepNext/>
        <w:keepLines/>
        <w:widowControl w:val="0"/>
        <w:shd w:val="clear" w:color="auto" w:fill="auto"/>
        <w:tabs>
          <w:tab w:pos="378" w:val="left"/>
        </w:tabs>
        <w:bidi w:val="0"/>
        <w:spacing w:before="0" w:after="380" w:line="240" w:lineRule="auto"/>
        <w:ind w:left="0" w:right="0" w:firstLine="0"/>
        <w:jc w:val="both"/>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3</w:t>
      </w:r>
      <w:bookmarkEnd w:id="1808"/>
      <w:r>
        <w:rPr>
          <w:color w:val="000000"/>
          <w:spacing w:val="0"/>
          <w:w w:val="100"/>
          <w:position w:val="0"/>
        </w:rPr>
        <w:t>、</w:t>
        <w:tab/>
        <w:t>销售退回</w:t>
      </w:r>
      <w:bookmarkEnd w:id="1806"/>
      <w:bookmarkEnd w:id="1807"/>
      <w:bookmarkEnd w:id="1809"/>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both"/>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4</w:t>
      </w:r>
      <w:bookmarkEnd w:id="1812"/>
      <w:r>
        <w:rPr>
          <w:color w:val="000000"/>
          <w:spacing w:val="0"/>
          <w:w w:val="100"/>
          <w:position w:val="0"/>
        </w:rPr>
        <w:t>、</w:t>
        <w:tab/>
        <w:t>其他资产负债表日后事项说明</w:t>
      </w:r>
      <w:bookmarkEnd w:id="1810"/>
      <w:bookmarkEnd w:id="1811"/>
      <w:bookmarkEnd w:id="1813"/>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400"/>
        <w:jc w:val="both"/>
      </w:pPr>
      <w:bookmarkStart w:id="1814" w:name="bookmark1814"/>
      <w:bookmarkStart w:id="1815" w:name="bookmark1815"/>
      <w:bookmarkStart w:id="1816" w:name="bookmark1816"/>
      <w:r>
        <w:rPr>
          <w:color w:val="000000"/>
          <w:spacing w:val="0"/>
          <w:w w:val="100"/>
          <w:position w:val="0"/>
          <w:sz w:val="24"/>
          <w:szCs w:val="24"/>
        </w:rPr>
        <w:t>十六、其他重要事项</w:t>
      </w:r>
      <w:bookmarkEnd w:id="1814"/>
      <w:bookmarkEnd w:id="1815"/>
      <w:bookmarkEnd w:id="1816"/>
    </w:p>
    <w:p>
      <w:pPr>
        <w:pStyle w:val="Style31"/>
        <w:keepNext/>
        <w:keepLines/>
        <w:widowControl w:val="0"/>
        <w:shd w:val="clear" w:color="auto" w:fill="auto"/>
        <w:bidi w:val="0"/>
        <w:spacing w:before="0" w:after="380" w:line="240" w:lineRule="auto"/>
        <w:ind w:left="0" w:right="0" w:firstLine="400"/>
        <w:jc w:val="both"/>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、终止经营</w:t>
      </w:r>
      <w:bookmarkEnd w:id="1817"/>
      <w:bookmarkEnd w:id="1818"/>
      <w:bookmarkEnd w:id="18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所得税费用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广东华信金溢信 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94" w:lineRule="exact"/>
        <w:ind w:left="400" w:right="0" w:firstLine="380"/>
        <w:jc w:val="both"/>
      </w:pPr>
      <w:r>
        <w:rPr>
          <w:color w:val="000000"/>
          <w:spacing w:val="0"/>
          <w:w w:val="100"/>
          <w:position w:val="0"/>
        </w:rPr>
        <w:t>广东华信金溢信息技术有限公司于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日召开股东大会，鉴于严重亏损不能到期清偿债务，并且资产不足以清 偿全部债务，拟向广东省东莞市中级人民法院提出破产清算。</w:t>
      </w:r>
    </w:p>
    <w:p>
      <w:pPr>
        <w:pStyle w:val="Style28"/>
        <w:keepNext w:val="0"/>
        <w:keepLines w:val="0"/>
        <w:widowControl w:val="0"/>
        <w:shd w:val="clear" w:color="auto" w:fill="auto"/>
        <w:bidi w:val="0"/>
        <w:spacing w:before="0" w:after="440" w:line="394" w:lineRule="exact"/>
        <w:ind w:left="400" w:right="0" w:firstLine="38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日，广东省东莞市中级人民法院裁定受理广东华信金溢信息技术有限公司提出的破产清算申请，并出具了 民事裁定书</w:t>
      </w:r>
      <w:r>
        <w:rPr>
          <w:color w:val="000000"/>
          <w:spacing w:val="0"/>
          <w:w w:val="100"/>
          <w:position w:val="0"/>
        </w:rPr>
        <w:t>（（2021）</w:t>
      </w:r>
      <w:r>
        <w:rPr>
          <w:color w:val="000000"/>
          <w:spacing w:val="0"/>
          <w:w w:val="100"/>
          <w:position w:val="0"/>
        </w:rPr>
        <w:t>粤</w:t>
      </w:r>
      <w:r>
        <w:rPr>
          <w:color w:val="000000"/>
          <w:spacing w:val="0"/>
          <w:w w:val="100"/>
          <w:position w:val="0"/>
        </w:rPr>
        <w:t>19</w:t>
      </w:r>
      <w:r>
        <w:rPr>
          <w:color w:val="000000"/>
          <w:spacing w:val="0"/>
          <w:w w:val="100"/>
          <w:position w:val="0"/>
        </w:rPr>
        <w:t>破申</w:t>
      </w:r>
      <w:r>
        <w:rPr>
          <w:color w:val="000000"/>
          <w:spacing w:val="0"/>
          <w:w w:val="100"/>
          <w:position w:val="0"/>
        </w:rPr>
        <w:t>15</w:t>
      </w:r>
      <w:r>
        <w:rPr>
          <w:color w:val="000000"/>
          <w:spacing w:val="0"/>
          <w:w w:val="100"/>
          <w:position w:val="0"/>
        </w:rPr>
        <w:t>号）。</w:t>
      </w:r>
    </w:p>
    <w:p>
      <w:pPr>
        <w:pStyle w:val="Style31"/>
        <w:keepNext/>
        <w:keepLines/>
        <w:widowControl w:val="0"/>
        <w:shd w:val="clear" w:color="auto" w:fill="auto"/>
        <w:tabs>
          <w:tab w:pos="778" w:val="left"/>
        </w:tabs>
        <w:bidi w:val="0"/>
        <w:spacing w:before="0" w:after="380" w:line="240" w:lineRule="auto"/>
        <w:ind w:left="0" w:right="0" w:firstLine="40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bookmarkEnd w:id="1822"/>
      <w:r>
        <w:rPr>
          <w:color w:val="000000"/>
          <w:spacing w:val="0"/>
          <w:w w:val="100"/>
          <w:position w:val="0"/>
        </w:rPr>
        <w:t>、</w:t>
        <w:tab/>
        <w:t>分部信息</w:t>
      </w:r>
      <w:bookmarkEnd w:id="1820"/>
      <w:bookmarkEnd w:id="1821"/>
      <w:bookmarkEnd w:id="1823"/>
    </w:p>
    <w:p>
      <w:pPr>
        <w:pStyle w:val="Style42"/>
        <w:keepNext/>
        <w:keepLines/>
        <w:widowControl w:val="0"/>
        <w:shd w:val="clear" w:color="auto" w:fill="auto"/>
        <w:tabs>
          <w:tab w:pos="893" w:val="left"/>
        </w:tabs>
        <w:bidi w:val="0"/>
        <w:spacing w:before="0" w:after="240" w:line="240" w:lineRule="auto"/>
        <w:ind w:left="0" w:right="0" w:firstLine="40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24"/>
      <w:bookmarkEnd w:id="1825"/>
      <w:bookmarkEnd w:id="1827"/>
    </w:p>
    <w:p>
      <w:pPr>
        <w:pStyle w:val="Style28"/>
        <w:keepNext w:val="0"/>
        <w:keepLines w:val="0"/>
        <w:widowControl w:val="0"/>
        <w:shd w:val="clear" w:color="auto" w:fill="auto"/>
        <w:bidi w:val="0"/>
        <w:spacing w:before="0" w:after="440" w:line="374" w:lineRule="exact"/>
        <w:ind w:left="400" w:right="0" w:firstLine="380"/>
        <w:jc w:val="both"/>
      </w:pPr>
      <w:r>
        <w:rPr>
          <w:color w:val="000000"/>
          <w:spacing w:val="0"/>
          <w:w w:val="100"/>
          <w:position w:val="0"/>
        </w:rPr>
        <w:t>本公司不存在多种经营或跨地区经营，故无报告分部。本公司按产品/地区分类的营业收入及营业成本详见本财务报告 附注七</w:t>
      </w:r>
      <w:r>
        <w:rPr>
          <w:color w:val="000000"/>
          <w:spacing w:val="0"/>
          <w:w w:val="100"/>
          <w:position w:val="0"/>
        </w:rPr>
        <w:t>-44</w:t>
      </w:r>
      <w:r>
        <w:rPr>
          <w:color w:val="000000"/>
          <w:spacing w:val="0"/>
          <w:w w:val="100"/>
          <w:position w:val="0"/>
        </w:rPr>
        <w:t>之说明。</w:t>
      </w:r>
    </w:p>
    <w:p>
      <w:pPr>
        <w:pStyle w:val="Style42"/>
        <w:keepNext/>
        <w:keepLines/>
        <w:widowControl w:val="0"/>
        <w:shd w:val="clear" w:color="auto" w:fill="auto"/>
        <w:tabs>
          <w:tab w:pos="893" w:val="left"/>
        </w:tabs>
        <w:bidi w:val="0"/>
        <w:spacing w:before="0" w:after="200" w:line="240" w:lineRule="auto"/>
        <w:ind w:left="0" w:right="0" w:firstLine="40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28"/>
      <w:bookmarkEnd w:id="1829"/>
      <w:bookmarkEnd w:id="1831"/>
    </w:p>
    <w:p>
      <w:pPr>
        <w:pStyle w:val="Style28"/>
        <w:keepNext w:val="0"/>
        <w:keepLines w:val="0"/>
        <w:widowControl w:val="0"/>
        <w:shd w:val="clear" w:color="auto" w:fill="auto"/>
        <w:bidi w:val="0"/>
        <w:spacing w:before="0" w:after="380" w:line="394" w:lineRule="exact"/>
        <w:ind w:left="0" w:right="0" w:firstLine="400"/>
        <w:jc w:val="left"/>
      </w:pPr>
      <w:r>
        <w:rPr>
          <w:color w:val="000000"/>
          <w:spacing w:val="0"/>
          <w:w w:val="100"/>
          <w:position w:val="0"/>
        </w:rPr>
        <w:t>无。</w:t>
      </w:r>
    </w:p>
    <w:p>
      <w:pPr>
        <w:pStyle w:val="Style42"/>
        <w:keepNext/>
        <w:keepLines/>
        <w:widowControl w:val="0"/>
        <w:shd w:val="clear" w:color="auto" w:fill="auto"/>
        <w:tabs>
          <w:tab w:pos="893" w:val="left"/>
        </w:tabs>
        <w:bidi w:val="0"/>
        <w:spacing w:before="0" w:after="200" w:line="240" w:lineRule="auto"/>
        <w:ind w:left="0" w:right="0" w:firstLine="40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32"/>
      <w:bookmarkEnd w:id="1833"/>
      <w:bookmarkEnd w:id="1835"/>
    </w:p>
    <w:p>
      <w:pPr>
        <w:pStyle w:val="Style28"/>
        <w:keepNext w:val="0"/>
        <w:keepLines w:val="0"/>
        <w:widowControl w:val="0"/>
        <w:shd w:val="clear" w:color="auto" w:fill="auto"/>
        <w:bidi w:val="0"/>
        <w:spacing w:before="0" w:after="380" w:line="394" w:lineRule="exact"/>
        <w:ind w:left="0" w:right="0" w:firstLine="400"/>
        <w:jc w:val="left"/>
      </w:pPr>
      <w:r>
        <w:rPr>
          <w:color w:val="000000"/>
          <w:spacing w:val="0"/>
          <w:w w:val="100"/>
          <w:position w:val="0"/>
        </w:rPr>
        <w:t>无。</w:t>
      </w:r>
    </w:p>
    <w:p>
      <w:pPr>
        <w:pStyle w:val="Style42"/>
        <w:keepNext/>
        <w:keepLines/>
        <w:widowControl w:val="0"/>
        <w:shd w:val="clear" w:color="auto" w:fill="auto"/>
        <w:tabs>
          <w:tab w:pos="893" w:val="left"/>
        </w:tabs>
        <w:bidi w:val="0"/>
        <w:spacing w:before="0" w:after="200" w:line="240" w:lineRule="auto"/>
        <w:ind w:left="0" w:right="0" w:firstLine="40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36"/>
      <w:bookmarkEnd w:id="1837"/>
      <w:bookmarkEnd w:id="1839"/>
    </w:p>
    <w:p>
      <w:pPr>
        <w:pStyle w:val="Style28"/>
        <w:keepNext w:val="0"/>
        <w:keepLines w:val="0"/>
        <w:widowControl w:val="0"/>
        <w:shd w:val="clear" w:color="auto" w:fill="auto"/>
        <w:bidi w:val="0"/>
        <w:spacing w:before="0" w:after="380" w:line="394" w:lineRule="exact"/>
        <w:ind w:left="0" w:right="0" w:firstLine="400"/>
        <w:jc w:val="left"/>
      </w:pPr>
      <w:r>
        <w:rPr>
          <w:color w:val="000000"/>
          <w:spacing w:val="0"/>
          <w:w w:val="100"/>
          <w:position w:val="0"/>
        </w:rPr>
        <w:t>无。</w:t>
      </w:r>
    </w:p>
    <w:p>
      <w:pPr>
        <w:pStyle w:val="Style31"/>
        <w:keepNext/>
        <w:keepLines/>
        <w:widowControl w:val="0"/>
        <w:shd w:val="clear" w:color="auto" w:fill="auto"/>
        <w:tabs>
          <w:tab w:pos="778" w:val="left"/>
        </w:tabs>
        <w:bidi w:val="0"/>
        <w:spacing w:before="0" w:after="380" w:line="240" w:lineRule="auto"/>
        <w:ind w:left="0" w:right="0" w:firstLine="40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3</w:t>
      </w:r>
      <w:bookmarkEnd w:id="1842"/>
      <w:r>
        <w:rPr>
          <w:color w:val="000000"/>
          <w:spacing w:val="0"/>
          <w:w w:val="100"/>
          <w:position w:val="0"/>
        </w:rPr>
        <w:t>、</w:t>
        <w:tab/>
        <w:t>其他对投资者决策有影响的重要交易和事项</w:t>
      </w:r>
      <w:bookmarkEnd w:id="1840"/>
      <w:bookmarkEnd w:id="1841"/>
      <w:bookmarkEnd w:id="1843"/>
    </w:p>
    <w:p>
      <w:pPr>
        <w:pStyle w:val="Style26"/>
        <w:keepNext w:val="0"/>
        <w:keepLines w:val="0"/>
        <w:widowControl w:val="0"/>
        <w:shd w:val="clear" w:color="auto" w:fill="auto"/>
        <w:bidi w:val="0"/>
        <w:spacing w:before="0" w:after="0" w:line="240" w:lineRule="auto"/>
        <w:ind w:left="370" w:right="0" w:firstLine="0"/>
        <w:jc w:val="left"/>
      </w:pPr>
      <w:r>
        <w:rPr>
          <w:color w:val="000000"/>
          <w:spacing w:val="0"/>
          <w:w w:val="100"/>
          <w:position w:val="0"/>
        </w:rPr>
        <w:t>1</w:t>
      </w:r>
      <w:r>
        <w:rPr>
          <w:color w:val="000000"/>
          <w:spacing w:val="0"/>
          <w:w w:val="100"/>
          <w:position w:val="0"/>
        </w:rPr>
        <w:t>、基本情况</w:t>
      </w:r>
    </w:p>
    <w:tbl>
      <w:tblPr>
        <w:tblOverlap w:val="never"/>
        <w:jc w:val="center"/>
        <w:tblLayout w:type="fixed"/>
      </w:tblPr>
      <w:tblGrid>
        <w:gridCol w:w="5285"/>
        <w:gridCol w:w="439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江苏通行宝智慧交通科技股份有限公司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联营方</w:t>
            </w:r>
          </w:p>
        </w:tc>
      </w:tr>
    </w:tbl>
    <w:p>
      <w:pPr>
        <w:pStyle w:val="Style26"/>
        <w:keepNext w:val="0"/>
        <w:keepLines w:val="0"/>
        <w:widowControl w:val="0"/>
        <w:shd w:val="clear" w:color="auto" w:fill="auto"/>
        <w:bidi w:val="0"/>
        <w:spacing w:before="0" w:after="0" w:line="240" w:lineRule="auto"/>
        <w:ind w:left="360" w:right="0" w:firstLine="0"/>
        <w:jc w:val="left"/>
      </w:pPr>
      <w:r>
        <w:rPr>
          <w:color w:val="000000"/>
          <w:spacing w:val="0"/>
          <w:w w:val="100"/>
          <w:position w:val="0"/>
        </w:rPr>
        <w:t>注：本公司与江苏通行宝智慧交通科技股份有限公司于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日共同设立宝溢交通科技，本公司持股</w:t>
      </w:r>
      <w:r>
        <w:rPr>
          <w:color w:val="000000"/>
          <w:spacing w:val="0"/>
          <w:w w:val="100"/>
          <w:position w:val="0"/>
        </w:rPr>
        <w:t>49.00%</w:t>
      </w:r>
      <w:r>
        <w:rPr>
          <w:color w:val="000000"/>
          <w:spacing w:val="0"/>
          <w:w w:val="100"/>
          <w:position w:val="0"/>
        </w:rPr>
        <w:t>。</w:t>
      </w:r>
      <w:r>
        <w:br w:type="page"/>
      </w:r>
    </w:p>
    <w:p>
      <w:pPr>
        <w:pStyle w:val="Style28"/>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2</w:t>
      </w:r>
      <w:r>
        <w:rPr>
          <w:color w:val="000000"/>
          <w:spacing w:val="0"/>
          <w:w w:val="100"/>
          <w:position w:val="0"/>
        </w:rPr>
        <w:t>、购销商品、提供和接受劳务的交易</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38"/>
        <w:gridCol w:w="2304"/>
        <w:gridCol w:w="1766"/>
        <w:gridCol w:w="196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江苏通行宝智慧交通科技股份有限公司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18,599,617.78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73,168,671.07</w:t>
            </w:r>
          </w:p>
        </w:tc>
      </w:tr>
    </w:tbl>
    <w:p>
      <w:pPr>
        <w:pStyle w:val="Style26"/>
        <w:keepNext w:val="0"/>
        <w:keepLines w:val="0"/>
        <w:widowControl w:val="0"/>
        <w:shd w:val="clear" w:color="auto" w:fill="auto"/>
        <w:bidi w:val="0"/>
        <w:spacing w:before="0" w:after="0" w:line="240" w:lineRule="auto"/>
        <w:ind w:left="360" w:right="0" w:firstLine="0"/>
        <w:jc w:val="left"/>
      </w:pPr>
      <w:r>
        <w:rPr>
          <w:color w:val="000000"/>
          <w:spacing w:val="0"/>
          <w:w w:val="100"/>
          <w:position w:val="0"/>
        </w:rPr>
        <w:t>3</w:t>
      </w:r>
      <w:r>
        <w:rPr>
          <w:color w:val="000000"/>
          <w:spacing w:val="0"/>
          <w:w w:val="100"/>
          <w:position w:val="0"/>
        </w:rPr>
        <w:t>、应收款项</w:t>
      </w:r>
    </w:p>
    <w:p>
      <w:pPr>
        <w:widowControl w:val="0"/>
        <w:spacing w:after="1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2501"/>
        <w:gridCol w:w="1685"/>
        <w:gridCol w:w="1579"/>
        <w:gridCol w:w="1435"/>
        <w:gridCol w:w="1219"/>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江苏通行宝智慧交通科技股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32,185,150.80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7,201,931.84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97,304,636.49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8,974,962.85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32,185,150.80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7,201,931.84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97,304,636.49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8,974,962.85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江苏通行宝智慧交通科技股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3,325,227.78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332,522.78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26,569,301.64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2,656,930.16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3,325,227.78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332,522.78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26,569,301.64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2,656,930.16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其他非流 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江苏通行宝智慧交通科技股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16,866,853.90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1,686,685.39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2,340,970.00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234,097.00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16,866,853.90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1,686,685.39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2,340,970.00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234,097.00</w:t>
            </w:r>
          </w:p>
        </w:tc>
      </w:tr>
    </w:tbl>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4</w:t>
      </w:r>
      <w:r>
        <w:rPr>
          <w:color w:val="000000"/>
          <w:spacing w:val="0"/>
          <w:w w:val="100"/>
          <w:position w:val="0"/>
        </w:rPr>
        <w:t>、应付款项</w:t>
      </w:r>
    </w:p>
    <w:p>
      <w:pPr>
        <w:widowControl w:val="0"/>
        <w:spacing w:after="1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3662"/>
        <w:gridCol w:w="1661"/>
        <w:gridCol w:w="265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江苏通行宝智慧交通科技股份有限公司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40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4</w:t>
      </w:r>
      <w:bookmarkEnd w:id="1846"/>
      <w:r>
        <w:rPr>
          <w:color w:val="000000"/>
          <w:spacing w:val="0"/>
          <w:w w:val="100"/>
          <w:position w:val="0"/>
        </w:rPr>
        <w:t>、其他</w:t>
      </w:r>
      <w:bookmarkEnd w:id="1844"/>
      <w:bookmarkEnd w:id="1845"/>
      <w:bookmarkEnd w:id="1847"/>
    </w:p>
    <w:p>
      <w:pPr>
        <w:pStyle w:val="Style28"/>
        <w:keepNext w:val="0"/>
        <w:keepLines w:val="0"/>
        <w:widowControl w:val="0"/>
        <w:shd w:val="clear" w:color="auto" w:fill="auto"/>
        <w:bidi w:val="0"/>
        <w:spacing w:before="0" w:after="360" w:line="240" w:lineRule="auto"/>
        <w:ind w:left="0" w:right="0" w:firstLine="400"/>
        <w:jc w:val="both"/>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400"/>
        <w:jc w:val="both"/>
      </w:pPr>
      <w:bookmarkStart w:id="1848" w:name="bookmark1848"/>
      <w:bookmarkStart w:id="1849" w:name="bookmark1849"/>
      <w:bookmarkStart w:id="1850" w:name="bookmark1850"/>
      <w:r>
        <w:rPr>
          <w:color w:val="000000"/>
          <w:spacing w:val="0"/>
          <w:w w:val="100"/>
          <w:position w:val="0"/>
          <w:sz w:val="24"/>
          <w:szCs w:val="24"/>
        </w:rPr>
        <w:t>十七、母公司财务报表主要项目注释</w:t>
      </w:r>
      <w:bookmarkEnd w:id="1848"/>
      <w:bookmarkEnd w:id="1849"/>
      <w:bookmarkEnd w:id="1850"/>
    </w:p>
    <w:p>
      <w:pPr>
        <w:pStyle w:val="Style31"/>
        <w:keepNext/>
        <w:keepLines/>
        <w:widowControl w:val="0"/>
        <w:shd w:val="clear" w:color="auto" w:fill="auto"/>
        <w:bidi w:val="0"/>
        <w:spacing w:before="0" w:after="360" w:line="240" w:lineRule="auto"/>
        <w:ind w:left="0" w:right="0" w:firstLine="400"/>
        <w:jc w:val="both"/>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51"/>
      <w:bookmarkEnd w:id="1852"/>
      <w:bookmarkEnd w:id="1853"/>
    </w:p>
    <w:p>
      <w:pPr>
        <w:pStyle w:val="Style42"/>
        <w:keepNext/>
        <w:keepLines/>
        <w:widowControl w:val="0"/>
        <w:shd w:val="clear" w:color="auto" w:fill="auto"/>
        <w:bidi w:val="0"/>
        <w:spacing w:before="0" w:after="360" w:line="240" w:lineRule="auto"/>
        <w:ind w:left="0" w:right="0" w:firstLine="400"/>
        <w:jc w:val="both"/>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54"/>
      <w:bookmarkEnd w:id="1855"/>
      <w:bookmarkEnd w:id="1856"/>
    </w:p>
    <w:p>
      <w:pPr>
        <w:pStyle w:val="Style26"/>
        <w:keepNext w:val="0"/>
        <w:keepLines w:val="0"/>
        <w:widowControl w:val="0"/>
        <w:shd w:val="clear" w:color="auto" w:fill="auto"/>
        <w:bidi w:val="0"/>
        <w:spacing w:before="0" w:after="0" w:line="240" w:lineRule="auto"/>
        <w:ind w:left="9341" w:right="0" w:firstLine="0"/>
        <w:jc w:val="left"/>
      </w:pPr>
      <w:r>
        <w:rPr>
          <w:color w:val="000000"/>
          <w:spacing w:val="0"/>
          <w:w w:val="100"/>
          <w:position w:val="0"/>
        </w:rPr>
        <w:t>单位：元</w:t>
      </w:r>
    </w:p>
    <w:tbl>
      <w:tblPr>
        <w:tblOverlap w:val="never"/>
        <w:jc w:val="center"/>
        <w:tblLayout w:type="fixed"/>
      </w:tblPr>
      <w:tblGrid>
        <w:gridCol w:w="715"/>
        <w:gridCol w:w="1181"/>
        <w:gridCol w:w="706"/>
        <w:gridCol w:w="1118"/>
        <w:gridCol w:w="706"/>
        <w:gridCol w:w="1210"/>
        <w:gridCol w:w="1186"/>
        <w:gridCol w:w="706"/>
        <w:gridCol w:w="1094"/>
        <w:gridCol w:w="701"/>
        <w:gridCol w:w="119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按单项 计提坏 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10,789,935.08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9,812,059.00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977,876.08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1181"/>
        <w:gridCol w:w="706"/>
        <w:gridCol w:w="1118"/>
        <w:gridCol w:w="706"/>
        <w:gridCol w:w="1210"/>
        <w:gridCol w:w="1186"/>
        <w:gridCol w:w="706"/>
        <w:gridCol w:w="1094"/>
        <w:gridCol w:w="701"/>
        <w:gridCol w:w="1190"/>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的应收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 计提坏 账准备 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435,069,813.62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73,638,503.77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361,431,309.85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560,952,609.12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74,606,203.12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486,346,406.00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445,859,748.70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83,450,562.77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362,409,185.93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565,286,958.79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78,940,552.79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486,346,406.00</w:t>
            </w:r>
          </w:p>
        </w:tc>
      </w:tr>
    </w:tbl>
    <w:p>
      <w:pPr>
        <w:pStyle w:val="Style26"/>
        <w:keepNext w:val="0"/>
        <w:keepLines w:val="0"/>
        <w:widowControl w:val="0"/>
        <w:shd w:val="clear" w:color="auto" w:fill="auto"/>
        <w:bidi w:val="0"/>
        <w:spacing w:before="0" w:after="0" w:line="240" w:lineRule="auto"/>
        <w:ind w:left="418"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10,789,935.08</w:t>
      </w:r>
      <w:r>
        <w:rPr>
          <w:color w:val="000000"/>
          <w:spacing w:val="0"/>
          <w:w w:val="100"/>
          <w:position w:val="0"/>
        </w:rPr>
        <w:t>元</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1133"/>
        <w:gridCol w:w="1416"/>
        <w:gridCol w:w="1138"/>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1,470,500.00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经营不善无履约能力， 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2,013,089.11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2,013,089.11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5,977,876.08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1,005,666.47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1,005,666.47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10,789,935.08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9,812,059.00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0" w:right="40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214,072,758.60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152,638,032.18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58,913,544.07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20,235,413.85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8,350,313.55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4,643,075.33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7,242,024.97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445,859,748.70</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400"/>
        <w:jc w:val="left"/>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57"/>
      <w:bookmarkEnd w:id="1858"/>
      <w:bookmarkEnd w:id="1859"/>
    </w:p>
    <w:p>
      <w:pPr>
        <w:pStyle w:val="Style28"/>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8,134,755.58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2,657,046.25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9,812,059.00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74,606,203.12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5,057,268.21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6,024,967.56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73,638,503.77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78,940,552.79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13,192,023.79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2,657,046.25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6,024,967.56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83,450,562.77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内蒙古中翼泰达科技有限公司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2,621,846.25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40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60"/>
      <w:bookmarkEnd w:id="1861"/>
      <w:bookmarkEnd w:id="1863"/>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广东华信金溢信息技术有限公司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6,024,967.56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广东华信金溢信息技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6,024,967.56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应收账款核销说明：无。</w:t>
      </w:r>
    </w:p>
    <w:p>
      <w:pPr>
        <w:pStyle w:val="Style42"/>
        <w:keepNext/>
        <w:keepLines/>
        <w:widowControl w:val="0"/>
        <w:shd w:val="clear" w:color="auto" w:fill="auto"/>
        <w:bidi w:val="0"/>
        <w:spacing w:before="0" w:line="240" w:lineRule="auto"/>
        <w:ind w:left="0" w:right="0" w:firstLine="40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64"/>
      <w:bookmarkEnd w:id="1865"/>
      <w:bookmarkEnd w:id="1867"/>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85,938,002.88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32,185,150.80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7,201,931.84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23,497,645.04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2,067,863.75</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21,558,811.14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3,468,015.89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19,780,827.48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4,773,668.64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182,960,437.34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2"/>
        <w:keepNext/>
        <w:keepLines/>
        <w:widowControl w:val="0"/>
        <w:shd w:val="clear" w:color="auto" w:fill="auto"/>
        <w:tabs>
          <w:tab w:pos="913" w:val="left"/>
        </w:tabs>
        <w:bidi w:val="0"/>
        <w:spacing w:before="0" w:after="360" w:line="240" w:lineRule="auto"/>
        <w:ind w:left="0" w:right="0" w:firstLine="42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868"/>
      <w:bookmarkEnd w:id="1869"/>
      <w:bookmarkEnd w:id="1871"/>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42"/>
        <w:keepNext/>
        <w:keepLines/>
        <w:widowControl w:val="0"/>
        <w:shd w:val="clear" w:color="auto" w:fill="auto"/>
        <w:tabs>
          <w:tab w:pos="913" w:val="left"/>
        </w:tabs>
        <w:bidi w:val="0"/>
        <w:spacing w:before="0" w:after="400" w:line="240" w:lineRule="auto"/>
        <w:ind w:left="0" w:right="0" w:firstLine="42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872"/>
      <w:bookmarkEnd w:id="1873"/>
      <w:bookmarkEnd w:id="1875"/>
    </w:p>
    <w:p>
      <w:pPr>
        <w:pStyle w:val="Style28"/>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42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76"/>
      <w:bookmarkEnd w:id="1877"/>
      <w:bookmarkEnd w:id="1878"/>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85,518,530.22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80,661,591.60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87,589,390.51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80,661,591.60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420"/>
        <w:jc w:val="left"/>
      </w:pPr>
      <w:bookmarkStart w:id="1879" w:name="bookmark1879"/>
      <w:bookmarkStart w:id="1880" w:name="bookmark1880"/>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879"/>
      <w:bookmarkEnd w:id="1880"/>
      <w:bookmarkEnd w:id="1881"/>
    </w:p>
    <w:p>
      <w:pPr>
        <w:pStyle w:val="Style63"/>
        <w:keepNext/>
        <w:keepLines/>
        <w:widowControl w:val="0"/>
        <w:shd w:val="clear" w:color="auto" w:fill="auto"/>
        <w:bidi w:val="0"/>
        <w:spacing w:before="0" w:after="360" w:line="240" w:lineRule="auto"/>
        <w:ind w:left="0" w:right="0" w:firstLine="420"/>
        <w:jc w:val="left"/>
      </w:pPr>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882"/>
      <w:bookmarkEnd w:id="1883"/>
      <w:bookmarkEnd w:id="1884"/>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3"/>
        <w:keepNext/>
        <w:keepLines/>
        <w:widowControl w:val="0"/>
        <w:shd w:val="clear" w:color="auto" w:fill="auto"/>
        <w:bidi w:val="0"/>
        <w:spacing w:before="0" w:after="360" w:line="240" w:lineRule="auto"/>
        <w:ind w:left="0" w:right="0" w:firstLine="420"/>
        <w:jc w:val="left"/>
      </w:pPr>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85"/>
      <w:bookmarkEnd w:id="1886"/>
      <w:bookmarkEnd w:id="1887"/>
    </w:p>
    <w:p>
      <w:pPr>
        <w:pStyle w:val="Style28"/>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其他说明：无。</w:t>
      </w:r>
    </w:p>
    <w:p>
      <w:pPr>
        <w:pStyle w:val="Style42"/>
        <w:keepNext/>
        <w:keepLines/>
        <w:widowControl w:val="0"/>
        <w:shd w:val="clear" w:color="auto" w:fill="auto"/>
        <w:bidi w:val="0"/>
        <w:spacing w:before="0" w:after="360" w:line="240" w:lineRule="auto"/>
        <w:ind w:left="0" w:right="0" w:firstLine="420"/>
        <w:jc w:val="left"/>
      </w:pPr>
      <w:bookmarkStart w:id="1888" w:name="bookmark1888"/>
      <w:bookmarkStart w:id="1889" w:name="bookmark1889"/>
      <w:bookmarkStart w:id="1890" w:name="bookmark18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88"/>
      <w:bookmarkEnd w:id="1889"/>
      <w:bookmarkEnd w:id="1890"/>
    </w:p>
    <w:p>
      <w:pPr>
        <w:pStyle w:val="Style63"/>
        <w:keepNext/>
        <w:keepLines/>
        <w:widowControl w:val="0"/>
        <w:shd w:val="clear" w:color="auto" w:fill="auto"/>
        <w:bidi w:val="0"/>
        <w:spacing w:before="0" w:after="360" w:line="240" w:lineRule="auto"/>
        <w:ind w:left="0" w:right="0" w:firstLine="420"/>
        <w:jc w:val="left"/>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91"/>
      <w:bookmarkEnd w:id="1892"/>
      <w:bookmarkEnd w:id="1893"/>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合并范围内的关联方往来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81,912,465.43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65,626,218.96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应收债务重组款项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6,503,013.73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7,254,687.24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代缴社保及公积金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613,170.00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1,919,249.03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1,863,019.01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90,949,148.19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84,907,048.37</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420"/>
        <w:jc w:val="both"/>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94"/>
      <w:bookmarkEnd w:id="1895"/>
      <w:bookmarkEnd w:id="1896"/>
    </w:p>
    <w:p>
      <w:pPr>
        <w:pStyle w:val="Style28"/>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226,139.59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3,421,685.09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4,245,456.77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2,534,087.44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1,912,230.72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727,069.52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5,236,160.50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5,430,617.97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19,974,361.84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2,341,296.33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9,289,611.23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59,343,878.79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13,059,079.16</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14,230,046.97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32,054,752.66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90,949,148.19</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42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3</w:t>
      </w:r>
      <w:bookmarkEnd w:id="1899"/>
      <w:r>
        <w:rPr>
          <w:color w:val="000000"/>
          <w:spacing w:val="0"/>
          <w:w w:val="100"/>
          <w:position w:val="0"/>
        </w:rPr>
        <w:t>）本期计提、收回或转回的坏账准备情况</w:t>
      </w:r>
      <w:bookmarkEnd w:id="1897"/>
      <w:bookmarkEnd w:id="1898"/>
      <w:bookmarkEnd w:id="1900"/>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4,245,456.77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1,912,230.72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727,069.52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5,430,617.97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4,245,456.77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1,912,230.72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727,069.52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5,430,617.97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其中本期坏账准备转回或收回金额重要的：无。</w:t>
      </w:r>
    </w:p>
    <w:p>
      <w:pPr>
        <w:pStyle w:val="Style63"/>
        <w:keepNext/>
        <w:keepLines/>
        <w:widowControl w:val="0"/>
        <w:shd w:val="clear" w:color="auto" w:fill="auto"/>
        <w:bidi w:val="0"/>
        <w:spacing w:before="0" w:line="240" w:lineRule="auto"/>
        <w:ind w:left="0" w:right="0" w:firstLine="42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4</w:t>
      </w:r>
      <w:bookmarkEnd w:id="1903"/>
      <w:r>
        <w:rPr>
          <w:color w:val="000000"/>
          <w:spacing w:val="0"/>
          <w:w w:val="100"/>
          <w:position w:val="0"/>
        </w:rPr>
        <w:t>）本期实际核销的其他应收款情况</w:t>
      </w:r>
      <w:bookmarkEnd w:id="1901"/>
      <w:bookmarkEnd w:id="1902"/>
      <w:bookmarkEnd w:id="1904"/>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广东华信金溢信息技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727,069.52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727,069.52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其他应收款核销说明：无。</w:t>
      </w:r>
    </w:p>
    <w:p>
      <w:pPr>
        <w:pStyle w:val="Style63"/>
        <w:keepNext/>
        <w:keepLines/>
        <w:widowControl w:val="0"/>
        <w:shd w:val="clear" w:color="auto" w:fill="auto"/>
        <w:bidi w:val="0"/>
        <w:spacing w:before="0" w:line="240" w:lineRule="auto"/>
        <w:ind w:left="0" w:right="0" w:firstLine="42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5</w:t>
      </w:r>
      <w:bookmarkEnd w:id="1907"/>
      <w:r>
        <w:rPr>
          <w:color w:val="000000"/>
          <w:spacing w:val="0"/>
          <w:w w:val="100"/>
          <w:position w:val="0"/>
        </w:rPr>
        <w:t>）按欠款方归集的期末余额前五名的其他应收款情况</w:t>
      </w:r>
      <w:bookmarkEnd w:id="1905"/>
      <w:bookmarkEnd w:id="1906"/>
      <w:bookmarkEnd w:id="1908"/>
    </w:p>
    <w:p>
      <w:pPr>
        <w:pStyle w:val="Style28"/>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2482"/>
        <w:gridCol w:w="1229"/>
        <w:gridCol w:w="1680"/>
        <w:gridCol w:w="1114"/>
        <w:gridCol w:w="1373"/>
        <w:gridCol w:w="17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占其他应收款</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期末余额合计</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68,381,480.09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6,790,905.34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深圳市金溢智慧城市科技有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6,740,080.00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2,504,344.18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1,840,495.07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深圳市国贸科技园服务有限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804,944.89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643,955.91</w:t>
            </w:r>
          </w:p>
        </w:tc>
      </w:tr>
    </w:tbl>
    <w:p>
      <w:pPr>
        <w:spacing w:lineRule="exact" w:line="1"/>
        <w:rPr>
          <w:sz w:val="2"/>
          <w:szCs w:val="2"/>
        </w:rPr>
      </w:pPr>
      <w:r>
        <w:br w:type="page"/>
      </w:r>
    </w:p>
    <w:tbl>
      <w:tblPr>
        <w:tblOverlap w:val="never"/>
        <w:jc w:val="center"/>
        <w:tblLayout w:type="fixed"/>
      </w:tblPr>
      <w:tblGrid>
        <w:gridCol w:w="2482"/>
        <w:gridCol w:w="1229"/>
        <w:gridCol w:w="1680"/>
        <w:gridCol w:w="1114"/>
        <w:gridCol w:w="1373"/>
        <w:gridCol w:w="17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公司产业园分公司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85,221,754.50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2,484,450.98</w:t>
            </w:r>
          </w:p>
        </w:tc>
      </w:tr>
    </w:tbl>
    <w:p>
      <w:pPr>
        <w:widowControl w:val="0"/>
        <w:spacing w:after="339" w:line="1" w:lineRule="exact"/>
      </w:pPr>
    </w:p>
    <w:p>
      <w:pPr>
        <w:pStyle w:val="Style63"/>
        <w:keepNext/>
        <w:keepLines/>
        <w:widowControl w:val="0"/>
        <w:shd w:val="clear" w:color="auto" w:fill="auto"/>
        <w:tabs>
          <w:tab w:pos="812" w:val="left"/>
        </w:tabs>
        <w:bidi w:val="0"/>
        <w:spacing w:before="0" w:after="440" w:line="240" w:lineRule="auto"/>
        <w:ind w:left="0" w:right="0" w:firstLine="42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6</w:t>
      </w:r>
      <w:bookmarkEnd w:id="1911"/>
      <w:r>
        <w:rPr>
          <w:color w:val="000000"/>
          <w:spacing w:val="0"/>
          <w:w w:val="100"/>
          <w:position w:val="0"/>
        </w:rPr>
        <w:t>）</w:t>
        <w:tab/>
        <w:t>涉及政府补助的应收款项</w:t>
      </w:r>
      <w:bookmarkEnd w:id="1909"/>
      <w:bookmarkEnd w:id="1910"/>
      <w:bookmarkEnd w:id="1912"/>
    </w:p>
    <w:p>
      <w:pPr>
        <w:pStyle w:val="Style28"/>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63"/>
        <w:keepNext/>
        <w:keepLines/>
        <w:widowControl w:val="0"/>
        <w:shd w:val="clear" w:color="auto" w:fill="auto"/>
        <w:tabs>
          <w:tab w:pos="807" w:val="left"/>
        </w:tabs>
        <w:bidi w:val="0"/>
        <w:spacing w:before="0" w:after="400" w:line="240" w:lineRule="auto"/>
        <w:ind w:left="0" w:right="0" w:firstLine="42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7</w:t>
      </w:r>
      <w:bookmarkEnd w:id="1915"/>
      <w:r>
        <w:rPr>
          <w:color w:val="000000"/>
          <w:spacing w:val="0"/>
          <w:w w:val="100"/>
          <w:position w:val="0"/>
        </w:rPr>
        <w:t>）</w:t>
        <w:tab/>
        <w:t>因金融资产转移而终止确认的其他应收款</w:t>
      </w:r>
      <w:bookmarkEnd w:id="1913"/>
      <w:bookmarkEnd w:id="1914"/>
      <w:bookmarkEnd w:id="1916"/>
    </w:p>
    <w:p>
      <w:pPr>
        <w:pStyle w:val="Style28"/>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63"/>
        <w:keepNext/>
        <w:keepLines/>
        <w:widowControl w:val="0"/>
        <w:shd w:val="clear" w:color="auto" w:fill="auto"/>
        <w:tabs>
          <w:tab w:pos="812" w:val="left"/>
        </w:tabs>
        <w:bidi w:val="0"/>
        <w:spacing w:before="0" w:after="400" w:line="240" w:lineRule="auto"/>
        <w:ind w:left="0" w:right="0" w:firstLine="42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8</w:t>
      </w:r>
      <w:bookmarkEnd w:id="1919"/>
      <w:r>
        <w:rPr>
          <w:color w:val="000000"/>
          <w:spacing w:val="0"/>
          <w:w w:val="100"/>
          <w:position w:val="0"/>
        </w:rPr>
        <w:t>）</w:t>
        <w:tab/>
        <w:t>转移其他应收款且继续涉入形成的资产、负债金额</w:t>
      </w:r>
      <w:bookmarkEnd w:id="1917"/>
      <w:bookmarkEnd w:id="1918"/>
      <w:bookmarkEnd w:id="1920"/>
    </w:p>
    <w:p>
      <w:pPr>
        <w:pStyle w:val="Style28"/>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42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3</w:t>
      </w:r>
      <w:bookmarkEnd w:id="1923"/>
      <w:r>
        <w:rPr>
          <w:color w:val="000000"/>
          <w:spacing w:val="0"/>
          <w:w w:val="100"/>
          <w:position w:val="0"/>
        </w:rPr>
        <w:t>、长期股权投资</w:t>
      </w:r>
      <w:bookmarkEnd w:id="1921"/>
      <w:bookmarkEnd w:id="1922"/>
      <w:bookmarkEnd w:id="19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381,278,140.72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4,210,262.06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377,067,878.66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358,240,684.47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351,140,684.47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70,947,719.57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70,947,719.57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16,867,700.40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452,225,860.29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4,210,262.06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448,015,598.23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375,108,384.87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368,008,384.87</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420"/>
        <w:jc w:val="left"/>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25"/>
      <w:bookmarkEnd w:id="1926"/>
      <w:bookmarkEnd w:id="19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86"/>
        <w:gridCol w:w="1090"/>
        <w:gridCol w:w="1003"/>
        <w:gridCol w:w="624"/>
        <w:gridCol w:w="1109"/>
        <w:gridCol w:w="1354"/>
        <w:gridCol w:w="122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期初余额（账面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期末余额（账面</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价值）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30,567,000.00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广东华信金溢信息技术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北京中交金溢科技有限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1,389,737.94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2,210,262.06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311,973,684.47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312,111,140.72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福建金溢科技有限公司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深圳市金溢智慧城市科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86"/>
        <w:gridCol w:w="1090"/>
        <w:gridCol w:w="1003"/>
        <w:gridCol w:w="624"/>
        <w:gridCol w:w="1109"/>
        <w:gridCol w:w="1354"/>
        <w:gridCol w:w="122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青岛经溢园区运营管理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351,140,684.47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30,137,456.25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377,067,878.66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4,210,262.06</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420"/>
        <w:jc w:val="left"/>
      </w:pPr>
      <w:bookmarkStart w:id="1928" w:name="bookmark1928"/>
      <w:bookmarkStart w:id="1929" w:name="bookmark1929"/>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28"/>
      <w:bookmarkEnd w:id="1929"/>
      <w:bookmarkEnd w:id="19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090"/>
        <w:gridCol w:w="1133"/>
        <w:gridCol w:w="427"/>
        <w:gridCol w:w="1133"/>
        <w:gridCol w:w="710"/>
        <w:gridCol w:w="566"/>
        <w:gridCol w:w="850"/>
        <w:gridCol w:w="566"/>
        <w:gridCol w:w="389"/>
        <w:gridCol w:w="1099"/>
        <w:gridCol w:w="43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 面价值）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期末余额（账 面价值）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2,125,255.82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4,012,720.22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6,137,976.04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宝溢交通科技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14,742,444.58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312,531.48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15,054,976.06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4,395,648.81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49,754,767.47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8,720,900.51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70,947,719.57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42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931"/>
      <w:bookmarkEnd w:id="1932"/>
      <w:bookmarkEnd w:id="1934"/>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42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4</w:t>
      </w:r>
      <w:bookmarkEnd w:id="1937"/>
      <w:r>
        <w:rPr>
          <w:color w:val="000000"/>
          <w:spacing w:val="0"/>
          <w:w w:val="100"/>
          <w:position w:val="0"/>
        </w:rPr>
        <w:t>、营业收入和营业成本</w:t>
      </w:r>
      <w:bookmarkEnd w:id="1935"/>
      <w:bookmarkEnd w:id="1936"/>
      <w:bookmarkEnd w:id="19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258,294,377.96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177, </w:t>
            </w:r>
            <w:r>
              <w:rPr>
                <w:color w:val="000000"/>
                <w:spacing w:val="0"/>
                <w:w w:val="100"/>
                <w:position w:val="0"/>
              </w:rPr>
              <w:t xml:space="preserve">979,235. </w:t>
            </w: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1,574,396,568.58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599,769,053.84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110, 854, </w:t>
            </w:r>
            <w:r>
              <w:rPr>
                <w:color w:val="000000"/>
                <w:spacing w:val="0"/>
                <w:w w:val="100"/>
                <w:position w:val="0"/>
              </w:rPr>
              <w:t xml:space="preserve">289. </w:t>
            </w: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89, 960, </w:t>
            </w:r>
            <w:r>
              <w:rPr>
                <w:color w:val="000000"/>
                <w:spacing w:val="0"/>
                <w:w w:val="100"/>
                <w:position w:val="0"/>
              </w:rPr>
              <w:t xml:space="preserve">776. </w:t>
            </w: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12,847,663.73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8,156,661.72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369,148,667.68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267,940,011.89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1,587,244,232.31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607,925,715.56</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420"/>
        <w:jc w:val="both"/>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5</w:t>
      </w:r>
      <w:bookmarkEnd w:id="1941"/>
      <w:r>
        <w:rPr>
          <w:color w:val="000000"/>
          <w:spacing w:val="0"/>
          <w:w w:val="100"/>
          <w:position w:val="0"/>
        </w:rPr>
        <w:t>、投资收益</w:t>
      </w:r>
      <w:bookmarkEnd w:id="1939"/>
      <w:bookmarkEnd w:id="1940"/>
      <w:bookmarkEnd w:id="1942"/>
    </w:p>
    <w:p>
      <w:pPr>
        <w:pStyle w:val="Style28"/>
        <w:keepNext w:val="0"/>
        <w:keepLines w:val="0"/>
        <w:widowControl w:val="0"/>
        <w:shd w:val="clear" w:color="auto" w:fill="auto"/>
        <w:bidi w:val="0"/>
        <w:spacing w:before="0" w:after="100" w:line="240" w:lineRule="auto"/>
        <w:ind w:left="0" w:right="38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8,720,900.51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-1,607,027.56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-17,896,386.62</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2,070,860.29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5,131,540.50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10,791,760.80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-14,371,873.68</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42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6</w:t>
      </w:r>
      <w:bookmarkEnd w:id="1945"/>
      <w:r>
        <w:rPr>
          <w:color w:val="000000"/>
          <w:spacing w:val="0"/>
          <w:w w:val="100"/>
          <w:position w:val="0"/>
        </w:rPr>
        <w:t>、其他</w:t>
      </w:r>
      <w:bookmarkEnd w:id="1943"/>
      <w:bookmarkEnd w:id="1944"/>
      <w:bookmarkEnd w:id="1946"/>
    </w:p>
    <w:p>
      <w:pPr>
        <w:pStyle w:val="Style28"/>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420"/>
        <w:jc w:val="left"/>
      </w:pPr>
      <w:bookmarkStart w:id="1947" w:name="bookmark1947"/>
      <w:bookmarkStart w:id="1948" w:name="bookmark1948"/>
      <w:bookmarkStart w:id="1949" w:name="bookmark1949"/>
      <w:r>
        <w:rPr>
          <w:color w:val="000000"/>
          <w:spacing w:val="0"/>
          <w:w w:val="100"/>
          <w:position w:val="0"/>
          <w:sz w:val="24"/>
          <w:szCs w:val="24"/>
        </w:rPr>
        <w:t>十八、补充资料</w:t>
      </w:r>
      <w:bookmarkEnd w:id="1947"/>
      <w:bookmarkEnd w:id="1948"/>
      <w:bookmarkEnd w:id="1949"/>
    </w:p>
    <w:p>
      <w:pPr>
        <w:pStyle w:val="Style31"/>
        <w:keepNext/>
        <w:keepLines/>
        <w:widowControl w:val="0"/>
        <w:shd w:val="clear" w:color="auto" w:fill="auto"/>
        <w:bidi w:val="0"/>
        <w:spacing w:before="0" w:after="360" w:line="240" w:lineRule="auto"/>
        <w:ind w:left="0" w:right="0" w:firstLine="420"/>
        <w:jc w:val="left"/>
      </w:pPr>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50"/>
      <w:bookmarkEnd w:id="1951"/>
      <w:bookmarkEnd w:id="1952"/>
    </w:p>
    <w:p>
      <w:pPr>
        <w:pStyle w:val="Style28"/>
        <w:keepNext w:val="0"/>
        <w:keepLines w:val="0"/>
        <w:widowControl w:val="0"/>
        <w:shd w:val="clear" w:color="auto" w:fill="auto"/>
        <w:bidi w:val="0"/>
        <w:spacing w:before="0" w:after="16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-1,324,328.97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固定资产处置损益及原控股子公司长期 股权投资处置损益</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13,262,170.47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工业增加值奖励、研发项目补助及其他 补助</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公司购买理财产品产生的浮动收益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2,674,686.25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-4,638,509.29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税务自查补缴的滞纳金、诉讼赔偿等</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5,180,196.15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房租补贴等</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2,424,777.00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13,498,239.00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427"/>
        <w:gridCol w:w="1819"/>
        <w:gridCol w:w="307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房租减免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bl>
    <w:p>
      <w:pPr>
        <w:pStyle w:val="Style28"/>
        <w:keepNext w:val="0"/>
        <w:keepLines w:val="0"/>
        <w:widowControl w:val="0"/>
        <w:shd w:val="clear" w:color="auto" w:fill="auto"/>
        <w:bidi w:val="0"/>
        <w:spacing w:before="0" w:after="160" w:line="398" w:lineRule="exact"/>
        <w:ind w:left="42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8"/>
        <w:keepNext w:val="0"/>
        <w:keepLines w:val="0"/>
        <w:widowControl w:val="0"/>
        <w:shd w:val="clear" w:color="auto" w:fill="auto"/>
        <w:bidi w:val="0"/>
        <w:spacing w:before="0" w:after="260" w:line="463"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1953" w:name="bookmark195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1953"/>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bl>
    <w:p>
      <w:pPr>
        <w:widowControl w:val="0"/>
        <w:spacing w:after="239" w:line="1" w:lineRule="exact"/>
      </w:pPr>
    </w:p>
    <w:p>
      <w:pPr>
        <w:pStyle w:val="Style31"/>
        <w:keepNext/>
        <w:keepLines/>
        <w:widowControl w:val="0"/>
        <w:shd w:val="clear" w:color="auto" w:fill="auto"/>
        <w:tabs>
          <w:tab w:pos="778" w:val="left"/>
        </w:tabs>
        <w:bidi w:val="0"/>
        <w:spacing w:before="0" w:after="300" w:line="326" w:lineRule="exact"/>
        <w:ind w:left="0" w:right="0" w:firstLine="400"/>
        <w:jc w:val="both"/>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3</w:t>
      </w:r>
      <w:bookmarkEnd w:id="1956"/>
      <w:r>
        <w:rPr>
          <w:color w:val="000000"/>
          <w:spacing w:val="0"/>
          <w:w w:val="100"/>
          <w:position w:val="0"/>
        </w:rPr>
        <w:t>、</w:t>
        <w:tab/>
        <w:t>境内外会计准则下会计数据差异</w:t>
      </w:r>
      <w:bookmarkEnd w:id="1954"/>
      <w:bookmarkEnd w:id="1955"/>
      <w:bookmarkEnd w:id="1957"/>
    </w:p>
    <w:p>
      <w:pPr>
        <w:pStyle w:val="Style42"/>
        <w:keepNext/>
        <w:keepLines/>
        <w:widowControl w:val="0"/>
        <w:shd w:val="clear" w:color="auto" w:fill="auto"/>
        <w:tabs>
          <w:tab w:pos="893" w:val="left"/>
        </w:tabs>
        <w:bidi w:val="0"/>
        <w:spacing w:before="0" w:line="326" w:lineRule="exact"/>
        <w:ind w:left="0" w:right="0" w:firstLine="400"/>
        <w:jc w:val="both"/>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58"/>
      <w:bookmarkEnd w:id="1959"/>
      <w:bookmarkEnd w:id="1961"/>
    </w:p>
    <w:p>
      <w:pPr>
        <w:pStyle w:val="Style28"/>
        <w:keepNext w:val="0"/>
        <w:keepLines w:val="0"/>
        <w:widowControl w:val="0"/>
        <w:shd w:val="clear" w:color="auto" w:fill="auto"/>
        <w:bidi w:val="0"/>
        <w:spacing w:before="0" w:after="30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893" w:val="left"/>
        </w:tabs>
        <w:bidi w:val="0"/>
        <w:spacing w:before="0" w:line="326" w:lineRule="exact"/>
        <w:ind w:left="0" w:right="0" w:firstLine="400"/>
        <w:jc w:val="both"/>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62"/>
      <w:bookmarkEnd w:id="1963"/>
      <w:bookmarkEnd w:id="1965"/>
    </w:p>
    <w:p>
      <w:pPr>
        <w:pStyle w:val="Style28"/>
        <w:keepNext w:val="0"/>
        <w:keepLines w:val="0"/>
        <w:widowControl w:val="0"/>
        <w:shd w:val="clear" w:color="auto" w:fill="auto"/>
        <w:bidi w:val="0"/>
        <w:spacing w:before="0" w:after="30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326" w:lineRule="exact"/>
        <w:ind w:left="400" w:right="0" w:firstLine="2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66"/>
      <w:bookmarkEnd w:id="1967"/>
      <w:bookmarkEnd w:id="1969"/>
    </w:p>
    <w:p>
      <w:pPr>
        <w:pStyle w:val="Style28"/>
        <w:keepNext w:val="0"/>
        <w:keepLines w:val="0"/>
        <w:widowControl w:val="0"/>
        <w:shd w:val="clear" w:color="auto" w:fill="auto"/>
        <w:bidi w:val="0"/>
        <w:spacing w:before="0" w:after="300" w:line="240" w:lineRule="auto"/>
        <w:ind w:left="0" w:right="0" w:firstLine="400"/>
        <w:jc w:val="both"/>
      </w:pPr>
      <w:r>
        <w:rPr>
          <w:color w:val="000000"/>
          <w:spacing w:val="0"/>
          <w:w w:val="100"/>
          <w:position w:val="0"/>
        </w:rPr>
        <w:t>无</w:t>
      </w:r>
    </w:p>
    <w:p>
      <w:pPr>
        <w:pStyle w:val="Style31"/>
        <w:keepNext/>
        <w:keepLines/>
        <w:widowControl w:val="0"/>
        <w:shd w:val="clear" w:color="auto" w:fill="auto"/>
        <w:tabs>
          <w:tab w:pos="778" w:val="left"/>
        </w:tabs>
        <w:bidi w:val="0"/>
        <w:spacing w:before="0" w:after="380" w:line="326" w:lineRule="exact"/>
        <w:ind w:left="0" w:right="0" w:firstLine="40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4</w:t>
      </w:r>
      <w:bookmarkEnd w:id="1972"/>
      <w:r>
        <w:rPr>
          <w:color w:val="000000"/>
          <w:spacing w:val="0"/>
          <w:w w:val="100"/>
          <w:position w:val="0"/>
        </w:rPr>
        <w:t>、</w:t>
        <w:tab/>
        <w:t>其他</w:t>
      </w:r>
      <w:bookmarkEnd w:id="1970"/>
      <w:bookmarkEnd w:id="1971"/>
      <w:bookmarkEnd w:id="1973"/>
    </w:p>
    <w:p>
      <w:pPr>
        <w:pStyle w:val="Style28"/>
        <w:keepNext w:val="0"/>
        <w:keepLines w:val="0"/>
        <w:widowControl w:val="0"/>
        <w:shd w:val="clear" w:color="auto" w:fill="auto"/>
        <w:bidi w:val="0"/>
        <w:spacing w:before="0" w:after="340" w:line="240" w:lineRule="auto"/>
        <w:ind w:left="0" w:right="0" w:firstLine="400"/>
        <w:jc w:val="both"/>
      </w:pPr>
      <w:r>
        <w:rPr>
          <w:color w:val="000000"/>
          <w:spacing w:val="0"/>
          <w:w w:val="100"/>
          <w:position w:val="0"/>
        </w:rPr>
        <w:t>无。</w:t>
      </w:r>
    </w:p>
    <w:sectPr>
      <w:footnotePr>
        <w:pos w:val="pageBottom"/>
        <w:numFmt w:val="decimal"/>
        <w:numRestart w:val="continuous"/>
      </w:footnotePr>
      <w:pgSz w:w="11900" w:h="16840"/>
      <w:pgMar w:top="1321" w:right="709" w:bottom="1417" w:left="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Body text (2)_"/>
    <w:basedOn w:val="DefaultParagraphFont"/>
    <w:link w:val="Style5"/>
    <w:rPr>
      <w:rFonts w:ascii="SimSun" w:eastAsia="SimSun" w:hAnsi="SimSun" w:cs="SimSun"/>
      <w:b/>
      <w:bCs/>
      <w:i w:val="0"/>
      <w:iCs w:val="0"/>
      <w:smallCaps w:val="0"/>
      <w:strike w:val="0"/>
      <w:sz w:val="28"/>
      <w:szCs w:val="28"/>
      <w:u w:val="none"/>
      <w:shd w:val="clear" w:color="auto" w:fill="auto"/>
    </w:rPr>
  </w:style>
  <w:style w:type="character" w:customStyle="1" w:styleId="CharStyle9">
    <w:name w:val="Body text (3)_"/>
    <w:basedOn w:val="DefaultParagraphFont"/>
    <w:link w:val="Style8"/>
    <w:rPr>
      <w:rFonts w:ascii="SimSun" w:eastAsia="SimSun" w:hAnsi="SimSun" w:cs="SimSun"/>
      <w:b w:val="0"/>
      <w:bCs w:val="0"/>
      <w:i w:val="0"/>
      <w:iCs w:val="0"/>
      <w:smallCaps w:val="0"/>
      <w:strike w:val="0"/>
      <w:sz w:val="22"/>
      <w:szCs w:val="22"/>
      <w:u w:val="none"/>
      <w:shd w:val="clear" w:color="auto" w:fill="auto"/>
    </w:rPr>
  </w:style>
  <w:style w:type="character" w:customStyle="1" w:styleId="CharStyle15">
    <w:name w:val="Heading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Body text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8">
    <w:name w:val="Picture caption_"/>
    <w:basedOn w:val="DefaultParagraphFont"/>
    <w:link w:val="Style37"/>
    <w:rPr>
      <w:rFonts w:ascii="SimSun" w:eastAsia="SimSun" w:hAnsi="SimSun" w:cs="SimSun"/>
      <w:b/>
      <w:bCs/>
      <w:i w:val="0"/>
      <w:iCs w:val="0"/>
      <w:smallCaps w:val="0"/>
      <w:strike w:val="0"/>
      <w:color w:val="4A4A4A"/>
      <w:sz w:val="14"/>
      <w:szCs w:val="14"/>
      <w:u w:val="none"/>
      <w:shd w:val="clear" w:color="auto" w:fill="auto"/>
    </w:rPr>
  </w:style>
  <w:style w:type="character" w:customStyle="1" w:styleId="CharStyle43">
    <w:name w:val="Heading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6">
    <w:name w:val="Body text (6)_"/>
    <w:basedOn w:val="DefaultParagraphFont"/>
    <w:link w:val="Style5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Heading #5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68">
    <w:name w:val="Body text (7)_"/>
    <w:basedOn w:val="DefaultParagraphFont"/>
    <w:link w:val="Style67"/>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Body text (2)"/>
    <w:basedOn w:val="Normal"/>
    <w:link w:val="CharStyle6"/>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8">
    <w:name w:val="Body text (3)"/>
    <w:basedOn w:val="Normal"/>
    <w:link w:val="CharStyle9"/>
    <w:pPr>
      <w:widowControl w:val="0"/>
      <w:shd w:val="clear" w:color="auto" w:fill="auto"/>
      <w:spacing w:line="466" w:lineRule="exact"/>
      <w:ind w:firstLine="480"/>
    </w:pPr>
    <w:rPr>
      <w:rFonts w:ascii="SimSun" w:eastAsia="SimSun" w:hAnsi="SimSun" w:cs="SimSun"/>
      <w:b w:val="0"/>
      <w:bCs w:val="0"/>
      <w:i w:val="0"/>
      <w:iCs w:val="0"/>
      <w:smallCaps w:val="0"/>
      <w:strike w:val="0"/>
      <w:sz w:val="22"/>
      <w:szCs w:val="22"/>
      <w:u w:val="none"/>
      <w:shd w:val="clear" w:color="auto" w:fill="auto"/>
    </w:rPr>
  </w:style>
  <w:style w:type="paragraph" w:customStyle="1" w:styleId="Style14">
    <w:name w:val="Heading #1"/>
    <w:basedOn w:val="Normal"/>
    <w:link w:val="CharStyle15"/>
    <w:pPr>
      <w:widowControl w:val="0"/>
      <w:shd w:val="clear" w:color="auto" w:fill="auto"/>
      <w:spacing w:before="2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Table of contents"/>
    <w:basedOn w:val="Normal"/>
    <w:link w:val="CharStyle19"/>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4">
    <w:name w:val="Heading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8">
    <w:name w:val="Body text"/>
    <w:basedOn w:val="Normal"/>
    <w:link w:val="CharStyle29"/>
    <w:qFormat/>
    <w:pPr>
      <w:widowControl w:val="0"/>
      <w:shd w:val="clear" w:color="auto" w:fill="auto"/>
      <w:spacing w:line="470"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Heading #3"/>
    <w:basedOn w:val="Normal"/>
    <w:link w:val="CharStyle32"/>
    <w:pPr>
      <w:widowControl w:val="0"/>
      <w:shd w:val="clear" w:color="auto" w:fill="auto"/>
      <w:spacing w:after="4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Picture caption"/>
    <w:basedOn w:val="Normal"/>
    <w:link w:val="CharStyle38"/>
    <w:pPr>
      <w:widowControl w:val="0"/>
      <w:shd w:val="clear" w:color="auto" w:fill="auto"/>
    </w:pPr>
    <w:rPr>
      <w:rFonts w:ascii="SimSun" w:eastAsia="SimSun" w:hAnsi="SimSun" w:cs="SimSun"/>
      <w:b/>
      <w:bCs/>
      <w:i w:val="0"/>
      <w:iCs w:val="0"/>
      <w:smallCaps w:val="0"/>
      <w:strike w:val="0"/>
      <w:color w:val="4A4A4A"/>
      <w:sz w:val="14"/>
      <w:szCs w:val="14"/>
      <w:u w:val="none"/>
      <w:shd w:val="clear" w:color="auto" w:fill="auto"/>
    </w:rPr>
  </w:style>
  <w:style w:type="paragraph" w:customStyle="1" w:styleId="Style42">
    <w:name w:val="Heading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Body text (6)"/>
    <w:basedOn w:val="Normal"/>
    <w:link w:val="CharStyle56"/>
    <w:pPr>
      <w:widowControl w:val="0"/>
      <w:shd w:val="clear" w:color="auto" w:fill="auto"/>
      <w:spacing w:line="395"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Heading #5"/>
    <w:basedOn w:val="Normal"/>
    <w:link w:val="CharStyle6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7">
    <w:name w:val="Body text (7)"/>
    <w:basedOn w:val="Normal"/>
    <w:link w:val="CharStyle68"/>
    <w:pPr>
      <w:widowControl w:val="0"/>
      <w:shd w:val="clear" w:color="auto" w:fill="auto"/>
      <w:spacing w:after="280" w:line="312" w:lineRule="exact"/>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深圳市金溢科技股份有限公司2021年年度报告全文</dc:title>
  <dc:subject/>
  <dc:creator>深圳市金溢科技股份有限公司</dc:creator>
  <cp:keywords/>
</cp:coreProperties>
</file>