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720" w:after="240" w:line="240" w:lineRule="auto"/>
        <w:ind w:left="0" w:right="0" w:firstLine="0"/>
        <w:jc w:val="center"/>
      </w:pPr>
      <w:r>
        <w:rPr>
          <w:color w:val="000000"/>
          <w:spacing w:val="0"/>
          <w:w w:val="100"/>
          <w:position w:val="0"/>
        </w:rPr>
        <w:t>深圳市金溢科技股份有限公司</w:t>
      </w:r>
    </w:p>
    <w:p>
      <w:pPr>
        <w:pStyle w:val="Style8"/>
        <w:keepNext w:val="0"/>
        <w:keepLines w:val="0"/>
        <w:widowControl w:val="0"/>
        <w:shd w:val="clear" w:color="auto" w:fill="auto"/>
        <w:bidi w:val="0"/>
        <w:spacing w:before="0" w:after="340" w:line="240" w:lineRule="auto"/>
        <w:ind w:left="0" w:right="0" w:firstLine="0"/>
        <w:jc w:val="center"/>
        <w:rPr>
          <w:sz w:val="30"/>
          <w:szCs w:val="30"/>
        </w:rPr>
      </w:pPr>
      <w:r>
        <w:rPr>
          <w:color w:val="000000"/>
          <w:spacing w:val="0"/>
          <w:w w:val="100"/>
          <w:position w:val="0"/>
          <w:sz w:val="30"/>
          <w:szCs w:val="30"/>
        </w:rPr>
        <w:t>Shenzhen Genvict Technologies Co., Ltd.</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（深圳市南山区粤海街道科技南路</w:t>
      </w:r>
      <w:r>
        <w:rPr>
          <w:color w:val="000000"/>
          <w:spacing w:val="0"/>
          <w:w w:val="100"/>
          <w:position w:val="0"/>
          <w:sz w:val="22"/>
          <w:szCs w:val="22"/>
        </w:rPr>
        <w:t>16</w:t>
      </w:r>
      <w:r>
        <w:rPr>
          <w:color w:val="000000"/>
          <w:spacing w:val="0"/>
          <w:w w:val="100"/>
          <w:position w:val="0"/>
          <w:sz w:val="24"/>
          <w:szCs w:val="24"/>
        </w:rPr>
        <w:t>号深圳湾科技生态园</w:t>
      </w:r>
      <w:r>
        <w:rPr>
          <w:color w:val="000000"/>
          <w:spacing w:val="0"/>
          <w:w w:val="100"/>
          <w:position w:val="0"/>
          <w:sz w:val="22"/>
          <w:szCs w:val="22"/>
        </w:rPr>
        <w:t>11</w:t>
      </w:r>
      <w:r>
        <w:rPr>
          <w:color w:val="000000"/>
          <w:spacing w:val="0"/>
          <w:w w:val="100"/>
          <w:position w:val="0"/>
          <w:sz w:val="24"/>
          <w:szCs w:val="24"/>
        </w:rPr>
        <w:t>栋</w:t>
      </w:r>
      <w:r>
        <w:rPr>
          <w:color w:val="000000"/>
          <w:spacing w:val="0"/>
          <w:w w:val="100"/>
          <w:position w:val="0"/>
          <w:sz w:val="22"/>
          <w:szCs w:val="22"/>
        </w:rPr>
        <w:t>A</w:t>
      </w:r>
      <w:r>
        <w:rPr>
          <w:color w:val="000000"/>
          <w:spacing w:val="0"/>
          <w:w w:val="100"/>
          <w:position w:val="0"/>
          <w:sz w:val="24"/>
          <w:szCs w:val="24"/>
        </w:rPr>
        <w:t>座</w:t>
      </w:r>
      <w:r>
        <w:rPr>
          <w:color w:val="000000"/>
          <w:spacing w:val="0"/>
          <w:w w:val="100"/>
          <w:position w:val="0"/>
          <w:sz w:val="22"/>
          <w:szCs w:val="22"/>
        </w:rPr>
        <w:t>18-2</w:t>
      </w:r>
      <w:r>
        <w:rPr>
          <w:color w:val="000000"/>
          <w:spacing w:val="0"/>
          <w:w w:val="100"/>
          <w:position w:val="0"/>
          <w:sz w:val="24"/>
          <w:szCs w:val="24"/>
        </w:rPr>
        <w:t>。层</w:t>
      </w:r>
      <w:r>
        <w:rPr>
          <w:color w:val="000000"/>
          <w:spacing w:val="0"/>
          <w:w w:val="100"/>
          <w:position w:val="0"/>
          <w:sz w:val="22"/>
          <w:szCs w:val="22"/>
        </w:rPr>
        <w:t>01-08</w:t>
      </w:r>
      <w:r>
        <w:rPr>
          <w:color w:val="000000"/>
          <w:spacing w:val="0"/>
          <w:w w:val="100"/>
          <w:position w:val="0"/>
          <w:sz w:val="24"/>
          <w:szCs w:val="24"/>
        </w:rPr>
        <w:t>号）</w:t>
      </w:r>
    </w:p>
    <w:p>
      <w:pPr>
        <w:widowControl w:val="0"/>
        <w:jc w:val="center"/>
        <w:rPr>
          <w:sz w:val="2"/>
          <w:szCs w:val="2"/>
        </w:rPr>
      </w:pPr>
      <w:r>
        <w:drawing>
          <wp:inline>
            <wp:extent cx="4529455" cy="7924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29455" cy="792480"/>
                    </a:xfrm>
                    <a:prstGeom prst="rect"/>
                  </pic:spPr>
                </pic:pic>
              </a:graphicData>
            </a:graphic>
          </wp:inline>
        </w:drawing>
      </w:r>
    </w:p>
    <w:p>
      <w:pPr>
        <w:widowControl w:val="0"/>
        <w:spacing w:after="599" w:line="1" w:lineRule="exact"/>
      </w:pPr>
    </w:p>
    <w:p>
      <w:pPr>
        <w:pStyle w:val="Style2"/>
        <w:keepNext w:val="0"/>
        <w:keepLines w:val="0"/>
        <w:widowControl w:val="0"/>
        <w:shd w:val="clear" w:color="auto" w:fill="auto"/>
        <w:bidi w:val="0"/>
        <w:spacing w:before="0" w:after="4260" w:line="240" w:lineRule="auto"/>
        <w:ind w:left="0" w:right="0" w:firstLine="0"/>
        <w:jc w:val="center"/>
        <w:rPr>
          <w:sz w:val="44"/>
          <w:szCs w:val="44"/>
        </w:rPr>
      </w:pPr>
      <w:r>
        <w:rPr>
          <w:rFonts w:ascii="Times New Roman" w:eastAsia="Times New Roman" w:hAnsi="Times New Roman" w:cs="Times New Roman"/>
          <w:color w:val="000000"/>
          <w:spacing w:val="0"/>
          <w:w w:val="100"/>
          <w:position w:val="0"/>
          <w:sz w:val="44"/>
          <w:szCs w:val="44"/>
        </w:rPr>
        <w:t>2020</w:t>
      </w:r>
      <w:r>
        <w:rPr>
          <w:color w:val="000000"/>
          <w:spacing w:val="0"/>
          <w:w w:val="100"/>
          <w:position w:val="0"/>
          <w:sz w:val="44"/>
          <w:szCs w:val="44"/>
        </w:rPr>
        <w:t>年年度报告</w:t>
      </w:r>
    </w:p>
    <w:p>
      <w:pPr>
        <w:pStyle w:val="Style8"/>
        <w:keepNext w:val="0"/>
        <w:keepLines w:val="0"/>
        <w:widowControl w:val="0"/>
        <w:shd w:val="clear" w:color="auto" w:fill="auto"/>
        <w:bidi w:val="0"/>
        <w:spacing w:before="0" w:after="600" w:line="240" w:lineRule="auto"/>
        <w:ind w:left="0" w:right="0" w:firstLine="0"/>
        <w:jc w:val="center"/>
        <w:rPr>
          <w:sz w:val="30"/>
          <w:szCs w:val="30"/>
        </w:rPr>
      </w:pPr>
      <w:r>
        <w:rPr>
          <w:color w:val="000000"/>
          <w:spacing w:val="0"/>
          <w:w w:val="100"/>
          <w:position w:val="0"/>
          <w:sz w:val="30"/>
          <w:szCs w:val="30"/>
        </w:rPr>
        <w:t>二。二一年四月</w:t>
      </w:r>
    </w:p>
    <w:p>
      <w:pPr>
        <w:pStyle w:val="Style17"/>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8"/>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8"/>
        <w:keepNext w:val="0"/>
        <w:keepLines w:val="0"/>
        <w:widowControl w:val="0"/>
        <w:shd w:val="clear" w:color="auto" w:fill="auto"/>
        <w:bidi w:val="0"/>
        <w:spacing w:before="0" w:line="634" w:lineRule="exact"/>
        <w:ind w:left="0" w:right="0"/>
        <w:jc w:val="both"/>
      </w:pPr>
      <w:r>
        <w:rPr>
          <w:color w:val="000000"/>
          <w:spacing w:val="0"/>
          <w:w w:val="100"/>
          <w:position w:val="0"/>
        </w:rPr>
        <w:t>公司负责人罗瑞发、主管会计工作负责人聂磊及会计机构负责人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蔡伟明声明：保证本年度报告中财务报告的真实、准确、完整。</w:t>
      </w:r>
    </w:p>
    <w:p>
      <w:pPr>
        <w:pStyle w:val="Style8"/>
        <w:keepNext w:val="0"/>
        <w:keepLines w:val="0"/>
        <w:widowControl w:val="0"/>
        <w:shd w:val="clear" w:color="auto" w:fill="auto"/>
        <w:bidi w:val="0"/>
        <w:spacing w:before="0" w:line="631" w:lineRule="exact"/>
        <w:ind w:left="0" w:right="0"/>
        <w:jc w:val="both"/>
      </w:pPr>
      <w:r>
        <w:rPr>
          <w:color w:val="000000"/>
          <w:spacing w:val="0"/>
          <w:w w:val="100"/>
          <w:position w:val="0"/>
        </w:rPr>
        <w:t>所有董事均已出席了审议本报告的董事会会议。</w:t>
      </w:r>
    </w:p>
    <w:p>
      <w:pPr>
        <w:pStyle w:val="Style8"/>
        <w:keepNext w:val="0"/>
        <w:keepLines w:val="0"/>
        <w:widowControl w:val="0"/>
        <w:shd w:val="clear" w:color="auto" w:fill="auto"/>
        <w:bidi w:val="0"/>
        <w:spacing w:before="0" w:line="624" w:lineRule="exact"/>
        <w:ind w:left="0" w:right="0"/>
        <w:jc w:val="both"/>
      </w:pPr>
      <w:r>
        <w:rPr>
          <w:color w:val="000000"/>
          <w:spacing w:val="0"/>
          <w:w w:val="100"/>
          <w:position w:val="0"/>
        </w:rPr>
        <w:t>本报告中所涉及的发展战略、经营计划等前瞻性陈述属于计划性事项，该 计划不构成公司对投资者的实质承诺，投资者及相关人士均应当对此保持足够 的风险认识，并且应当理解计划、预测与承诺之间的差异，敬请投资者注意投 资风险。</w:t>
      </w:r>
    </w:p>
    <w:p>
      <w:pPr>
        <w:pStyle w:val="Style8"/>
        <w:keepNext w:val="0"/>
        <w:keepLines w:val="0"/>
        <w:widowControl w:val="0"/>
        <w:shd w:val="clear" w:color="auto" w:fill="auto"/>
        <w:bidi w:val="0"/>
        <w:spacing w:before="0" w:line="636" w:lineRule="exact"/>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rPr>
        <w:t>“</w:t>
      </w:r>
      <w:r>
        <w:rPr>
          <w:color w:val="000000"/>
          <w:spacing w:val="0"/>
          <w:w w:val="100"/>
          <w:position w:val="0"/>
        </w:rPr>
        <w:t>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中详细描述了公司未来经营中可能存在的风险和应对措施，敬请投资者关注相 关内容。</w:t>
      </w:r>
    </w:p>
    <w:p>
      <w:pPr>
        <w:pStyle w:val="Style8"/>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180,636,097</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10.6</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94"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30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48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54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55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55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602"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106</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691"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695"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2285"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236</w:t>
        </w:r>
      </w:hyperlink>
      <w:r>
        <w:br w:type="page"/>
      </w:r>
      <w:r>
        <w:fldChar w:fldCharType="end"/>
      </w:r>
    </w:p>
    <w:p>
      <w:pPr>
        <w:pStyle w:val="Style25"/>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金溢科技、公司、本公司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金溢有限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深圳市金溢科技有限公司，公司前身</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青岛金溢科技有限公司，子公司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佛山金溢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佛山金溢科技有限公司，子公司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中交金溢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北京中交金溢科技有限公司，子公司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华信金溢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广东华信金溢信息技术有限公司，子公司</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伟龙金溢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伟龙金溢科技（深圳）有限公司，原控股子公司，现更名为“伟龙科 技（广东）有限公司”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无锡金溢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无锡金溢科技有限公司，子公司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福建金溢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福建金溢科技有限公司，子公司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敏行电子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深圳市敏行电子有限公司，公司第一大股东</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至为投资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深圳至为投资企业（有限合伙）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致璞投资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深圳致璞投资企业（有限合伙）</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新加坡伟龙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WeiLong Electronics Engineering Pte Ltd.</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中华人民共和国交通运输部</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中华人民共和国公安部</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RFID</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无线射频识别（</w:t>
            </w:r>
            <w:r>
              <w:rPr>
                <w:rFonts w:ascii="Times New Roman" w:eastAsia="Times New Roman" w:hAnsi="Times New Roman" w:cs="Times New Roman"/>
                <w:color w:val="000000"/>
                <w:spacing w:val="0"/>
                <w:w w:val="100"/>
                <w:position w:val="0"/>
                <w:sz w:val="18"/>
                <w:szCs w:val="18"/>
              </w:rPr>
              <w:t>Radio Frequency Identification</w:t>
            </w:r>
            <w:r>
              <w:rPr>
                <w:color w:val="000000"/>
                <w:spacing w:val="0"/>
                <w:w w:val="100"/>
                <w:position w:val="0"/>
              </w:rPr>
              <w:t>）</w:t>
            </w:r>
            <w:r>
              <w:rPr>
                <w:color w:val="000000"/>
                <w:spacing w:val="0"/>
                <w:w w:val="100"/>
                <w:position w:val="0"/>
              </w:rPr>
              <w:t>技术，一种通信技术， 可通过无线电讯号识别特定目标并读写相关数据，而无需识别系统与 特定目标之间建立机械或光学接触。</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技术属于射频技术的范畴。</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DSRC</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专用短程通信技术（</w:t>
            </w:r>
            <w:r>
              <w:rPr>
                <w:rFonts w:ascii="Times New Roman" w:eastAsia="Times New Roman" w:hAnsi="Times New Roman" w:cs="Times New Roman"/>
                <w:color w:val="000000"/>
                <w:spacing w:val="0"/>
                <w:w w:val="100"/>
                <w:position w:val="0"/>
                <w:sz w:val="18"/>
                <w:szCs w:val="18"/>
              </w:rPr>
              <w:t>Dedicated Short Range Communications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一种高 效的无线通信技术，它可以实现在特定小区域内（通常为数十米）对 高速运动下的移动目标的识别和双向通信。主要应用在不停车收费、 出入控制、信息服务等领域。</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技术属于射频技术的范畴。</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ETC</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电子不停车收费系统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Electronic Toll Collection</w:t>
            </w:r>
            <w:r>
              <w:rPr>
                <w:color w:val="000000"/>
                <w:spacing w:val="0"/>
                <w:w w:val="100"/>
                <w:position w:val="0"/>
              </w:rPr>
              <w:t>），</w:t>
            </w:r>
            <w:r>
              <w:rPr>
                <w:color w:val="000000"/>
                <w:spacing w:val="0"/>
                <w:w w:val="100"/>
                <w:position w:val="0"/>
              </w:rPr>
              <w:t>实现了车辆在通过 收费节点时，通过专用短程通信技术实现车辆识别、信息写入并自动 从预先绑定的</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卡或银行账户上扣除相应资金。这一技术使得道路 的通行能力与收费效率大幅度提高。</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RSU</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路侧单元（</w:t>
            </w:r>
            <w:r>
              <w:rPr>
                <w:rFonts w:ascii="Times New Roman" w:eastAsia="Times New Roman" w:hAnsi="Times New Roman" w:cs="Times New Roman"/>
                <w:color w:val="000000"/>
                <w:spacing w:val="0"/>
                <w:w w:val="100"/>
                <w:position w:val="0"/>
                <w:sz w:val="18"/>
                <w:szCs w:val="18"/>
              </w:rPr>
              <w:t>Road Side Unit</w:t>
            </w:r>
            <w:r>
              <w:rPr>
                <w:color w:val="000000"/>
                <w:spacing w:val="0"/>
                <w:w w:val="100"/>
                <w:position w:val="0"/>
              </w:rPr>
              <w:t>），</w:t>
            </w:r>
            <w:r>
              <w:rPr>
                <w:color w:val="000000"/>
                <w:spacing w:val="0"/>
                <w:w w:val="100"/>
                <w:position w:val="0"/>
              </w:rPr>
              <w:t>又称路侧天线，电子不停车收费系统中</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的路侧组成部分，由微波天线和读写控制器组成，实时采集和更新标 签和</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卡中的收费信息，并与计算机和网络连通。</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OBU</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车载单元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On Board Unit</w:t>
            </w:r>
            <w:r>
              <w:rPr>
                <w:color w:val="000000"/>
                <w:spacing w:val="0"/>
                <w:w w:val="100"/>
                <w:position w:val="0"/>
              </w:rPr>
              <w:t>)，</w:t>
            </w:r>
            <w:r>
              <w:rPr>
                <w:color w:val="000000"/>
                <w:spacing w:val="0"/>
                <w:w w:val="100"/>
                <w:position w:val="0"/>
              </w:rPr>
              <w:t>又称电子标签，安装于车辆前挡风玻璃 内侧、后视镜内、控制台上下等位置，通过</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之间的通信， 实现不停车收费功能，可分为单片式和双片式。</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多义性路径识别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车辆从高速公路网络中的某一入口进入，至某一出口离开，中间可能 有多种行驶路径。多义性路径识别是利用技术手段对车辆的行驶路径 进行识别，记录车辆的实际行驶路径信息。可用于收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计费清算及拆分、 车流量调节。</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自由流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多车道自由流系统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Multi-lane Free Flow</w:t>
            </w:r>
            <w:r>
              <w:rPr>
                <w:color w:val="000000"/>
                <w:spacing w:val="0"/>
                <w:w w:val="100"/>
                <w:position w:val="0"/>
              </w:rPr>
              <w:t>，车道上不设置物理隔离物，不影响车流的正常 通行的电子不停车收费系统；收费过程不对车辆行驶状态提出过多的 限制，如车速、并驰、跨线和并线等。</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智慧停车场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智慧停车场管理系统，是融合了物联网、电子支付及云计算新技术， 能够实现全自动停车联网服务与收费管理的高科技机电一体化产品。 它以车载电子标签和车牌等特征为识别介质，通过物联网识别设备获 取车辆及持卡人的相关信息，通过车辆感知、传输以及集中监控的停 车联网远程服务，辅助以移动终端和监控人机界面，实现全自动无人 值守、不停车通行、非现金收费、集中化联网车辆管理服务。具有管 理高效、运作环保，以及更高服务质量，更好服务体验的特点。</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利用先进传感技术、网络技术、计算技术、控制技术、智能技术，对 道路和交通进行全面感知，实现多个系统间大范围、大容量数据的交 互，对每一辆汽车进行交通全程控制，对每一条道路进行交通全时空 控制，以提高交通效率和交通安全为主的网络与应用。</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指产品已经交付并经业主或系统集成商验收合格后，自验收合格之日 起约定时间段内的产品质量保证期。</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联网收费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也称为收费联网，在一定的收费路网范围内，将分属不同收费公路经 营单位管理的若干条高速公路纳入一个统一的封闭式收费系统，对各 收费公路经营管理单位实行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统一收费、按比例分成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的收费运营和管 理方式。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射频技术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采用无线电波来传送控制信号的通信技术，信号传播不具方向性，有 效传播距离可达数十米，较常见的应用有无线射频识别。</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V2X</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Vehicle to Everything)</w:t>
            </w:r>
            <w:r>
              <w:rPr>
                <w:color w:val="000000"/>
                <w:spacing w:val="0"/>
                <w:w w:val="100"/>
                <w:position w:val="0"/>
              </w:rPr>
              <w:t>，</w:t>
            </w:r>
            <w:r>
              <w:rPr>
                <w:color w:val="000000"/>
                <w:spacing w:val="0"/>
                <w:w w:val="100"/>
                <w:position w:val="0"/>
              </w:rPr>
              <w:t>即汽车之间、汽车与其它交通要素之间 的直接通信，是未来智能交通运输系统的关键技术。它使得车与车、 车与基站、基站与基站之间能够通信。从而获得实时路况、道路信息、 行人信息等一系列交通信息，从而提高驾驶安全性、减少拥堵、提高 交通效率、提供车载娱乐信息等。</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Internet of things</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)是新一代信息技术的重要组成 部分，是物物相连的互联网。物联网通过智能感知、识别技术与普适 计算等通信感知技术，广泛应用于网络的融合中。</w:t>
            </w:r>
          </w:p>
        </w:tc>
      </w:tr>
      <w:tr>
        <w:trPr>
          <w:trHeight w:val="6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汽车电子标识</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汽车电子标识(</w:t>
            </w:r>
            <w:r>
              <w:rPr>
                <w:rFonts w:ascii="Times New Roman" w:eastAsia="Times New Roman" w:hAnsi="Times New Roman" w:cs="Times New Roman"/>
                <w:color w:val="000000"/>
                <w:spacing w:val="0"/>
                <w:w w:val="100"/>
                <w:position w:val="0"/>
                <w:sz w:val="18"/>
                <w:szCs w:val="18"/>
              </w:rPr>
              <w:t>electronic registration identification of the motor vehicle</w:t>
            </w:r>
            <w:r>
              <w:rPr>
                <w:color w:val="000000"/>
                <w:spacing w:val="0"/>
                <w:w w:val="100"/>
                <w:position w:val="0"/>
              </w:rPr>
              <w:t xml:space="preserve">， </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ERI</w:t>
            </w:r>
            <w:r>
              <w:rPr>
                <w:color w:val="000000"/>
                <w:spacing w:val="0"/>
                <w:w w:val="100"/>
                <w:position w:val="0"/>
              </w:rPr>
              <w:t>)</w:t>
            </w:r>
            <w:r>
              <w:rPr>
                <w:color w:val="000000"/>
                <w:spacing w:val="0"/>
                <w:w w:val="100"/>
                <w:position w:val="0"/>
              </w:rPr>
              <w:t>也叫汽车电子身份证、汽车数字化标准信源、俗称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电子车</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将车牌号码等信息存储在射频标签中，能够自动、非接触、不 停车地完成车辆的识别和监控，是基于物联网无源射频识别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 xml:space="preserve">） </w:t>
            </w:r>
            <w:r>
              <w:rPr>
                <w:color w:val="000000"/>
                <w:spacing w:val="0"/>
                <w:w w:val="100"/>
                <w:position w:val="0"/>
              </w:rPr>
              <w:t>在智慧交通领域的延伸。</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车路协同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车路协同是采用先进的无线通信和新一代互联网等技术，全方位实施 车车、车路动态实时信息交互，并在全时空动态交通信息采集与融合 的基础上开展车辆主动安全控制和道路协同管理，充分实现人车路的 有效协同，保证交通安全，提高通行效率，从而形成的安全、高效和 环保的道路交通系统。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LTE-V2X</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Vehicle to Everything</w:t>
            </w:r>
            <w:r>
              <w:rPr>
                <w:color w:val="000000"/>
                <w:spacing w:val="0"/>
                <w:w w:val="100"/>
                <w:position w:val="0"/>
              </w:rPr>
              <w:t>）</w:t>
            </w:r>
            <w:r>
              <w:rPr>
                <w:color w:val="000000"/>
                <w:spacing w:val="0"/>
                <w:w w:val="100"/>
                <w:position w:val="0"/>
              </w:rPr>
              <w:t>的两大技术阵营之一，是基于</w:t>
            </w:r>
            <w:r>
              <w:rPr>
                <w:rFonts w:ascii="Times New Roman" w:eastAsia="Times New Roman" w:hAnsi="Times New Roman" w:cs="Times New Roman"/>
                <w:color w:val="000000"/>
                <w:spacing w:val="0"/>
                <w:w w:val="100"/>
                <w:position w:val="0"/>
                <w:sz w:val="18"/>
                <w:szCs w:val="18"/>
              </w:rPr>
              <w:t xml:space="preserve">4.5G </w:t>
            </w:r>
            <w:r>
              <w:rPr>
                <w:color w:val="000000"/>
                <w:spacing w:val="0"/>
                <w:w w:val="100"/>
                <w:position w:val="0"/>
              </w:rPr>
              <w:t>网络，以</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通信技术作为</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的基础，专门针对车间通讯的协议。</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智慧公路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也叫智能公路，可通过交通资讯信息的收集和传递，实现对车流在时 间和空间上的引导、分流，避免公路堵塞，加强公路用户的安全，以 减少交通事故的发生。并改善了高速公路交通运输环境，使车辆和司 乘人员在高速公路上安全、快速、畅通、舒适地运行。</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Tierl</w:t>
            </w:r>
            <w:r>
              <w:rPr>
                <w:color w:val="000000"/>
                <w:spacing w:val="0"/>
                <w:w w:val="100"/>
                <w:position w:val="0"/>
              </w:rPr>
              <w:t>厂商</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意为一级供应商，给设备厂商供货，也就是产品直接供应整车厂的汽 车零部件供应商。</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ETC-X</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的车路协同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ETC-X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代表所有交通参与要素），即以</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专用短程通信技术为基础的车路协同应用拓展。基于已有</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网络、 门架系统和基础设施，通过适度的技术升级，以较小代价和更快的速 度实现对提升交通安全和效率有重大意义的车路协同应用。</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C-V2X</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Cellular V2X</w:t>
            </w:r>
            <w:r>
              <w:rPr>
                <w:color w:val="000000"/>
                <w:spacing w:val="0"/>
                <w:w w:val="100"/>
                <w:position w:val="0"/>
              </w:rPr>
              <w:t>,</w:t>
            </w:r>
            <w:r>
              <w:rPr>
                <w:color w:val="000000"/>
                <w:spacing w:val="0"/>
                <w:w w:val="100"/>
                <w:position w:val="0"/>
              </w:rPr>
              <w:t>是基于</w:t>
            </w:r>
            <w:r>
              <w:rPr>
                <w:rFonts w:ascii="Times New Roman" w:eastAsia="Times New Roman" w:hAnsi="Times New Roman" w:cs="Times New Roman"/>
                <w:color w:val="000000"/>
                <w:spacing w:val="0"/>
                <w:w w:val="100"/>
                <w:position w:val="0"/>
                <w:sz w:val="18"/>
                <w:szCs w:val="18"/>
              </w:rPr>
              <w:t>3G/4G</w:t>
            </w:r>
            <w:r>
              <w:rPr>
                <w:color w:val="000000"/>
                <w:spacing w:val="0"/>
                <w:w w:val="100"/>
                <w:position w:val="0"/>
              </w:rPr>
              <w:t>等蜂窝网通信技术演进形成的、主要基 于</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全球统一标准的通信技术，有</w:t>
            </w:r>
            <w:r>
              <w:rPr>
                <w:rFonts w:ascii="Times New Roman" w:eastAsia="Times New Roman" w:hAnsi="Times New Roman" w:cs="Times New Roman"/>
                <w:color w:val="000000"/>
                <w:spacing w:val="0"/>
                <w:w w:val="100"/>
                <w:position w:val="0"/>
                <w:sz w:val="18"/>
                <w:szCs w:val="18"/>
              </w:rPr>
              <w:t>PC5</w:t>
            </w:r>
            <w:r>
              <w:rPr>
                <w:color w:val="000000"/>
                <w:spacing w:val="0"/>
                <w:w w:val="100"/>
                <w:position w:val="0"/>
              </w:rPr>
              <w:t>和和</w:t>
            </w:r>
            <w:r>
              <w:rPr>
                <w:rFonts w:ascii="Times New Roman" w:eastAsia="Times New Roman" w:hAnsi="Times New Roman" w:cs="Times New Roman"/>
                <w:color w:val="000000"/>
                <w:spacing w:val="0"/>
                <w:w w:val="100"/>
                <w:position w:val="0"/>
                <w:sz w:val="18"/>
                <w:szCs w:val="18"/>
              </w:rPr>
              <w:t>Uu</w:t>
            </w:r>
            <w:r>
              <w:rPr>
                <w:color w:val="000000"/>
                <w:spacing w:val="0"/>
                <w:w w:val="100"/>
                <w:position w:val="0"/>
              </w:rPr>
              <w:t xml:space="preserve">两种通信模式， 包含 </w:t>
            </w:r>
            <w:r>
              <w:rPr>
                <w:rFonts w:ascii="Times New Roman" w:eastAsia="Times New Roman" w:hAnsi="Times New Roman" w:cs="Times New Roman"/>
                <w:color w:val="000000"/>
                <w:spacing w:val="0"/>
                <w:w w:val="100"/>
                <w:position w:val="0"/>
                <w:sz w:val="18"/>
                <w:szCs w:val="18"/>
              </w:rPr>
              <w:t>LTE-V2X（Long Term Evolution</w:t>
            </w:r>
            <w:r>
              <w:rPr>
                <w:color w:val="000000"/>
                <w:spacing w:val="0"/>
                <w:w w:val="100"/>
                <w:position w:val="0"/>
              </w:rPr>
              <w:t>，</w:t>
            </w:r>
            <w:r>
              <w:rPr>
                <w:color w:val="000000"/>
                <w:spacing w:val="0"/>
                <w:w w:val="100"/>
                <w:position w:val="0"/>
              </w:rPr>
              <w:t xml:space="preserve">长期演进）和 </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LTE-V2X </w:t>
            </w:r>
            <w:r>
              <w:rPr>
                <w:color w:val="000000"/>
                <w:spacing w:val="0"/>
                <w:w w:val="100"/>
                <w:position w:val="0"/>
              </w:rPr>
              <w:t>支持向</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平滑演进。</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MaaS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MaaS </w:t>
            </w:r>
            <w:r>
              <w:rPr>
                <w:color w:val="000000"/>
                <w:spacing w:val="0"/>
                <w:w w:val="100"/>
                <w:position w:val="0"/>
              </w:rPr>
              <w:t>（出行即服务）是基于现状已有的交通方式，利用技术综合匹 配乘客出行的时间成本、金钱成本和对环境影响的基础上，采用一种 或多种交通方式服务乘客空间位置移动的一站式出行服务方式。</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Robotaxi</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Apollo Robotaxi</w:t>
            </w:r>
            <w:r>
              <w:rPr>
                <w:color w:val="000000"/>
                <w:spacing w:val="0"/>
                <w:w w:val="100"/>
                <w:position w:val="0"/>
              </w:rPr>
              <w:t>是百度自动驾驶出租车队。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日，百度 </w:t>
            </w:r>
            <w:r>
              <w:rPr>
                <w:rFonts w:ascii="Times New Roman" w:eastAsia="Times New Roman" w:hAnsi="Times New Roman" w:cs="Times New Roman"/>
                <w:color w:val="000000"/>
                <w:spacing w:val="0"/>
                <w:w w:val="100"/>
                <w:position w:val="0"/>
                <w:sz w:val="18"/>
                <w:szCs w:val="18"/>
              </w:rPr>
              <w:t>Apollo Robotaxi</w:t>
            </w:r>
            <w:r>
              <w:rPr>
                <w:color w:val="000000"/>
                <w:spacing w:val="0"/>
                <w:w w:val="100"/>
                <w:position w:val="0"/>
              </w:rPr>
              <w:t>服务上线百度地图及百度</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智能小程序，成为国内 首个通过国民级应用向公众开放的自动驾驶出租车服务。</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 TC204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国际标准化组织（</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 xml:space="preserve">年相继成立了一些新技术委员会， </w:t>
            </w:r>
            <w:r>
              <w:rPr>
                <w:rFonts w:ascii="Times New Roman" w:eastAsia="Times New Roman" w:hAnsi="Times New Roman" w:cs="Times New Roman"/>
                <w:color w:val="000000"/>
                <w:spacing w:val="0"/>
                <w:w w:val="100"/>
                <w:position w:val="0"/>
                <w:sz w:val="18"/>
                <w:szCs w:val="18"/>
              </w:rPr>
              <w:t>TC204</w:t>
            </w:r>
            <w:r>
              <w:rPr>
                <w:color w:val="000000"/>
                <w:spacing w:val="0"/>
                <w:w w:val="100"/>
                <w:position w:val="0"/>
              </w:rPr>
              <w:t>便是其中之一。它主要职责在于交通信息和控制系统状况的总 体目标和结构的标准化工作，以及与</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整体计划的协调工作。</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3GPP</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月，多个电信标准组织伙伴共同签署了《第 三代伙伴计划协议》。</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最初的工作范围是为第三代移动通信系统 制定全球适用的技术规范和技术报告。第三代移动通信系统基于的是 发展的</w:t>
            </w:r>
            <w:r>
              <w:rPr>
                <w:rFonts w:ascii="Times New Roman" w:eastAsia="Times New Roman" w:hAnsi="Times New Roman" w:cs="Times New Roman"/>
                <w:color w:val="000000"/>
                <w:spacing w:val="0"/>
                <w:w w:val="100"/>
                <w:position w:val="0"/>
                <w:sz w:val="18"/>
                <w:szCs w:val="18"/>
              </w:rPr>
              <w:t>GSM</w:t>
            </w:r>
            <w:r>
              <w:rPr>
                <w:color w:val="000000"/>
                <w:spacing w:val="0"/>
                <w:w w:val="100"/>
                <w:position w:val="0"/>
              </w:rPr>
              <w:t>核心网络和它们所支持的无线接入技术，主要是</w:t>
            </w:r>
            <w:r>
              <w:rPr>
                <w:rFonts w:ascii="Times New Roman" w:eastAsia="Times New Roman" w:hAnsi="Times New Roman" w:cs="Times New Roman"/>
                <w:color w:val="000000"/>
                <w:spacing w:val="0"/>
                <w:w w:val="100"/>
                <w:position w:val="0"/>
                <w:sz w:val="18"/>
                <w:szCs w:val="18"/>
              </w:rPr>
              <w:t>UMTS</w:t>
            </w:r>
            <w:r>
              <w:rPr>
                <w:color w:val="000000"/>
                <w:spacing w:val="0"/>
                <w:w w:val="100"/>
                <w:position w:val="0"/>
              </w:rPr>
              <w:t xml:space="preserve">。 </w:t>
            </w:r>
            <w:r>
              <w:rPr>
                <w:color w:val="000000"/>
                <w:spacing w:val="0"/>
                <w:w w:val="100"/>
                <w:position w:val="0"/>
              </w:rPr>
              <w:t>随后</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的工作范围得到了改进，增加了对</w:t>
            </w:r>
            <w:r>
              <w:rPr>
                <w:rFonts w:ascii="Times New Roman" w:eastAsia="Times New Roman" w:hAnsi="Times New Roman" w:cs="Times New Roman"/>
                <w:color w:val="000000"/>
                <w:spacing w:val="0"/>
                <w:w w:val="100"/>
                <w:position w:val="0"/>
                <w:sz w:val="18"/>
                <w:szCs w:val="18"/>
              </w:rPr>
              <w:t>UTRA</w:t>
            </w:r>
            <w:r>
              <w:rPr>
                <w:color w:val="000000"/>
                <w:spacing w:val="0"/>
                <w:w w:val="100"/>
                <w:position w:val="0"/>
              </w:rPr>
              <w:t>长期演进系统的 研究和标准制定。</w:t>
            </w:r>
          </w:p>
        </w:tc>
      </w:tr>
      <w:tr>
        <w:trPr>
          <w:trHeight w:val="6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POC</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POC</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Proof of Concept</w:t>
            </w:r>
            <w:r>
              <w:rPr>
                <w:color w:val="000000"/>
                <w:spacing w:val="0"/>
                <w:w w:val="100"/>
                <w:position w:val="0"/>
              </w:rPr>
              <w:t>的缩写，意思是概念证明，是一套建议的电 子模型，可用于论证团队和客户的设计，允许评估和确定概念设计方</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r>
      <w:tr>
        <w:trPr>
          <w:trHeight w:val="29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R16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R17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R16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R17</w:t>
            </w:r>
            <w:r>
              <w:rPr>
                <w:color w:val="000000"/>
                <w:spacing w:val="0"/>
                <w:w w:val="100"/>
                <w:position w:val="0"/>
              </w:rPr>
              <w:t>是国际标准化组织</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制定发布的，面向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 xml:space="preserve">） </w:t>
            </w:r>
            <w:r>
              <w:rPr>
                <w:color w:val="000000"/>
                <w:spacing w:val="0"/>
                <w:w w:val="100"/>
                <w:position w:val="0"/>
              </w:rPr>
              <w:t>车路协同的一个技术标准版本编号，主要满足</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增强业务需求， 是未来国际上公认的车路协同通信技术发展方向。在国际上，为了推 进车辆通信，</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进行了针对</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的标准研究和开发，其主要分 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个阶段：第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阶段基于</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技术满足</w:t>
            </w:r>
            <w:r>
              <w:rPr>
                <w:rFonts w:ascii="Times New Roman" w:eastAsia="Times New Roman" w:hAnsi="Times New Roman" w:cs="Times New Roman"/>
                <w:color w:val="000000"/>
                <w:spacing w:val="0"/>
                <w:w w:val="100"/>
                <w:position w:val="0"/>
                <w:sz w:val="18"/>
                <w:szCs w:val="18"/>
              </w:rPr>
              <w:t>LTE-V2X</w:t>
            </w:r>
            <w:r>
              <w:rPr>
                <w:color w:val="000000"/>
                <w:spacing w:val="0"/>
                <w:w w:val="100"/>
                <w:position w:val="0"/>
              </w:rPr>
              <w:t>基本业务需求， 对应</w:t>
            </w:r>
            <w:r>
              <w:rPr>
                <w:rFonts w:ascii="Times New Roman" w:eastAsia="Times New Roman" w:hAnsi="Times New Roman" w:cs="Times New Roman"/>
                <w:color w:val="000000"/>
                <w:spacing w:val="0"/>
                <w:w w:val="100"/>
                <w:position w:val="0"/>
                <w:sz w:val="18"/>
                <w:szCs w:val="18"/>
              </w:rPr>
              <w:t>LTE R14</w:t>
            </w:r>
            <w:r>
              <w:rPr>
                <w:color w:val="000000"/>
                <w:spacing w:val="0"/>
                <w:w w:val="100"/>
                <w:position w:val="0"/>
              </w:rPr>
              <w:t>版本；第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阶段基于</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技术满足部分</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增强 业务需求（</w:t>
            </w:r>
            <w:r>
              <w:rPr>
                <w:rFonts w:ascii="Times New Roman" w:eastAsia="Times New Roman" w:hAnsi="Times New Roman" w:cs="Times New Roman"/>
                <w:color w:val="000000"/>
                <w:spacing w:val="0"/>
                <w:w w:val="100"/>
                <w:position w:val="0"/>
                <w:sz w:val="18"/>
                <w:szCs w:val="18"/>
              </w:rPr>
              <w:t>LTE-eV2X</w:t>
            </w:r>
            <w:r>
              <w:rPr>
                <w:color w:val="000000"/>
                <w:spacing w:val="0"/>
                <w:w w:val="100"/>
                <w:position w:val="0"/>
              </w:rPr>
              <w:t>），</w:t>
            </w:r>
            <w:r>
              <w:rPr>
                <w:color w:val="000000"/>
                <w:spacing w:val="0"/>
                <w:w w:val="100"/>
                <w:position w:val="0"/>
              </w:rPr>
              <w:t>对应</w:t>
            </w:r>
            <w:r>
              <w:rPr>
                <w:rFonts w:ascii="Times New Roman" w:eastAsia="Times New Roman" w:hAnsi="Times New Roman" w:cs="Times New Roman"/>
                <w:color w:val="000000"/>
                <w:spacing w:val="0"/>
                <w:w w:val="100"/>
                <w:position w:val="0"/>
                <w:sz w:val="18"/>
                <w:szCs w:val="18"/>
              </w:rPr>
              <w:t>LTE R15</w:t>
            </w:r>
            <w:r>
              <w:rPr>
                <w:color w:val="000000"/>
                <w:spacing w:val="0"/>
                <w:w w:val="100"/>
                <w:position w:val="0"/>
              </w:rPr>
              <w:t>版本；第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阶段基于</w:t>
            </w:r>
            <w:r>
              <w:rPr>
                <w:rFonts w:ascii="Times New Roman" w:eastAsia="Times New Roman" w:hAnsi="Times New Roman" w:cs="Times New Roman"/>
                <w:color w:val="000000"/>
                <w:spacing w:val="0"/>
                <w:w w:val="100"/>
                <w:position w:val="0"/>
                <w:sz w:val="18"/>
                <w:szCs w:val="18"/>
              </w:rPr>
              <w:t xml:space="preserve">5G NR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新空口）技术实现全部或大部分</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 xml:space="preserve">增强业务需求，对应 </w:t>
            </w:r>
            <w:r>
              <w:rPr>
                <w:rFonts w:ascii="Times New Roman" w:eastAsia="Times New Roman" w:hAnsi="Times New Roman" w:cs="Times New Roman"/>
                <w:color w:val="000000"/>
                <w:spacing w:val="0"/>
                <w:w w:val="100"/>
                <w:position w:val="0"/>
                <w:sz w:val="18"/>
                <w:szCs w:val="18"/>
              </w:rPr>
              <w:t>5G NR R16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R17 </w:t>
            </w:r>
            <w:r>
              <w:rPr>
                <w:color w:val="000000"/>
                <w:spacing w:val="0"/>
                <w:w w:val="100"/>
                <w:position w:val="0"/>
              </w:rPr>
              <w:t>版本。</w:t>
            </w:r>
          </w:p>
        </w:tc>
      </w:tr>
    </w:tbl>
    <w:p>
      <w:pPr>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392" w:right="1096" w:bottom="1537" w:left="1064" w:header="0" w:footer="3" w:gutter="0"/>
          <w:pgNumType w:start="1"/>
          <w:cols w:space="720"/>
          <w:noEndnote/>
          <w:titlePg/>
          <w:rtlGutter w:val="0"/>
          <w:docGrid w:linePitch="360"/>
        </w:sectPr>
      </w:pPr>
    </w:p>
    <w:p>
      <w:pPr>
        <w:pStyle w:val="Style17"/>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30"/>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002869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金溢科技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Genvict Technologies Co., 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GENVICT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深圳市南山区粤海街道科技南路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号深圳湾科技生态园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18-20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深圳市南山区粤海街道科技南路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号深圳湾科技生态园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18-20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"http://www.genvict.com" </w:instrText>
            </w:r>
            <w:r>
              <w:fldChar w:fldCharType="separate"/>
            </w:r>
            <w:r>
              <w:rPr>
                <w:rFonts w:ascii="Times New Roman" w:eastAsia="Times New Roman" w:hAnsi="Times New Roman" w:cs="Times New Roman"/>
                <w:color w:val="000000"/>
                <w:spacing w:val="0"/>
                <w:w w:val="100"/>
                <w:position w:val="0"/>
                <w:sz w:val="18"/>
                <w:szCs w:val="18"/>
              </w:rPr>
              <w:t>www.genvict.com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"mailto:ir@genvict.com" </w:instrText>
            </w:r>
            <w:r>
              <w:fldChar w:fldCharType="separate"/>
            </w:r>
            <w:r>
              <w:rPr>
                <w:rFonts w:ascii="Times New Roman" w:eastAsia="Times New Roman" w:hAnsi="Times New Roman" w:cs="Times New Roman"/>
                <w:color w:val="000000"/>
                <w:spacing w:val="0"/>
                <w:w w:val="100"/>
                <w:position w:val="0"/>
                <w:sz w:val="18"/>
                <w:szCs w:val="18"/>
              </w:rPr>
              <w:t>ir@genvict.com</w:t>
            </w:r>
            <w:r>
              <w:fldChar w:fldCharType="end"/>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罗瑞发（董事长代行）</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深圳市南山区粤海街道科技南路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号深 圳湾科技生态园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18-20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01-08 </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0755-26624127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0755-86936239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"mailto:ir@genvict.com" </w:instrText>
            </w:r>
            <w:r>
              <w:fldChar w:fldCharType="separate"/>
            </w:r>
            <w:r>
              <w:rPr>
                <w:rFonts w:ascii="Times New Roman" w:eastAsia="Times New Roman" w:hAnsi="Times New Roman" w:cs="Times New Roman"/>
                <w:color w:val="000000"/>
                <w:spacing w:val="0"/>
                <w:w w:val="100"/>
                <w:position w:val="0"/>
                <w:sz w:val="18"/>
                <w:szCs w:val="18"/>
              </w:rPr>
              <w:t>ir@genvict.com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91440300761987321E</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290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公司原无控股股东，第一大股东为深圳市敏行电子有限公司（简称“敏行电子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原实际控制人为罗瑞发、刘咏平、杨成、王明宽、李娜和李朝莉。上述原实际控 制人于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日签署《关于不续签一致行动协议相关事宜的声明》（以下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《声明尸</w:t>
            </w:r>
            <w:r>
              <w:rPr>
                <w:color w:val="000000"/>
                <w:spacing w:val="0"/>
                <w:w w:val="100"/>
                <w:position w:val="0"/>
              </w:rPr>
              <w:t>'），</w:t>
            </w:r>
            <w:r>
              <w:rPr>
                <w:color w:val="000000"/>
                <w:spacing w:val="0"/>
                <w:w w:val="100"/>
                <w:position w:val="0"/>
              </w:rPr>
              <w:t>声明各方在《深圳市金溢科技有限公司股东一致行动协议》（以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《一致行动协议》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日到期后不会续签，一致行动关系 在《一致行动协议》到期后解除。前述股东解除一致行动关系后，公司实际控制 人变更为罗瑞发先生，深圳市敏行电子有限公司为公司第一大股东（控股股东）， 详见巨潮资讯网《关于股东权益变动暨公司实际控制人变更的公告》（公告编号： </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朱中伟、龙海燕</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3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公司是否需追溯调整或重述以前年度会计数据</w:t>
      </w:r>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追溯调整或重述原因</w:t>
      </w:r>
    </w:p>
    <w:p>
      <w:pPr>
        <w:pStyle w:val="Style3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其他原因</w:t>
      </w:r>
    </w:p>
    <w:tbl>
      <w:tblPr>
        <w:tblOverlap w:val="never"/>
        <w:jc w:val="center"/>
        <w:tblLayout w:type="fixed"/>
      </w:tblPr>
      <w:tblGrid>
        <w:gridCol w:w="2366"/>
        <w:gridCol w:w="1200"/>
        <w:gridCol w:w="1205"/>
        <w:gridCol w:w="1200"/>
        <w:gridCol w:w="1200"/>
        <w:gridCol w:w="1200"/>
        <w:gridCol w:w="1214"/>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1,563,646,033.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2,860,155,936.</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2,860,155,936.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604,058,067.84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604,058,067.84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630,630,950.34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875,264,934.64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875,264,934.64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21,649,120.59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21,649,120.59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659,945,447.16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856,209,544.16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856,209,544.16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3,258,441.42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3,258,441.42</w:t>
            </w:r>
          </w:p>
        </w:tc>
      </w:tr>
    </w:tbl>
    <w:tbl>
      <w:tblPr>
        <w:tblOverlap w:val="never"/>
        <w:jc w:val="center"/>
        <w:tblLayout w:type="fixed"/>
      </w:tblPr>
      <w:tblGrid>
        <w:gridCol w:w="2366"/>
        <w:gridCol w:w="1200"/>
        <w:gridCol w:w="1205"/>
        <w:gridCol w:w="1200"/>
        <w:gridCol w:w="1200"/>
        <w:gridCol w:w="1200"/>
        <w:gridCol w:w="1214"/>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非经常性损益的净利润（元）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-83,647,556.44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1,372,033,945.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1,372,033,945.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-28,074,145.14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-28,074,145.14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 末增减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2,896,549,718.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3,936,724,335.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3,936,724,335.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1,383,753,800.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1,383,753,800.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2,370,538,863.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1,902,654,233.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1,902,654,233.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1,008,949,287.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1,008,949,287.</w:t>
            </w:r>
          </w:p>
        </w:tc>
      </w:tr>
      <w:tr>
        <w:trPr>
          <w:trHeight w:val="355" w:hRule="exact"/>
        </w:trPr>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产（元）</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bl>
    <w:p>
      <w:pPr>
        <w:pStyle w:val="Style34"/>
        <w:keepNext w:val="0"/>
        <w:keepLines w:val="0"/>
        <w:widowControl w:val="0"/>
        <w:shd w:val="clear" w:color="auto" w:fill="auto"/>
        <w:bidi w:val="0"/>
        <w:spacing w:before="0" w:after="0" w:line="319" w:lineRule="exact"/>
        <w:ind w:left="0" w:right="0" w:firstLine="0"/>
        <w:jc w:val="both"/>
      </w:pPr>
      <w:r>
        <w:rPr>
          <w:color w:val="000000"/>
          <w:spacing w:val="0"/>
          <w:w w:val="100"/>
          <w:position w:val="0"/>
        </w:rPr>
        <w:t>其他原因的具体内容</w:t>
      </w:r>
    </w:p>
    <w:p>
      <w:pPr>
        <w:pStyle w:val="Style3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年度权益分派实施完 毕，公司以资本公积金向全体股东每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股。上年同期的基本每股收益以及稀释每股收益按资本公积转增股本后的 股份数量重新计算。</w:t>
      </w:r>
    </w:p>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扣除非经常损益前后的净利润孰低者为负值</w:t>
      </w:r>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522" w:val="left"/>
        </w:tabs>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7"/>
        <w:keepNext/>
        <w:keepLines/>
        <w:widowControl w:val="0"/>
        <w:shd w:val="clear" w:color="auto" w:fill="auto"/>
        <w:tabs>
          <w:tab w:pos="410"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10"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332,725,351.65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463,630,748.10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375,776,739.53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391,513,194.13</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109,164,017.94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253,853,095.19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147,207,086.23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120,406,750.98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106,197,744.03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247,868,778.81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144,252,538.22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161,626,386.10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-204,275,666.36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217,238,007.13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-241,691,445.46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145,081,548.25</w:t>
            </w:r>
          </w:p>
        </w:tc>
      </w:tr>
    </w:tbl>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15,255,152.56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固定资产处置损益及 原控股子公司长期股 权投资处置损益</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13,212,323.07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13,899,421.07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15,106,516.30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研发项目补助及其他 补助</w:t>
            </w: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对联营企业的投资成 本小于取得投资时应 享有被投资单位可辨 认净资产公允价值产 生的收益</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7,086,666.67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4,472,054.80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公司购买理财产品产 生的收益</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-17,896,387.62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公司对原控股子公司 进行债务重组产生的 收益</w:t>
            </w:r>
          </w:p>
        </w:tc>
      </w:tr>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1,670,800.00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1,543,808.23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公司购买理财产品产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生的收益</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-48,621,366.15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-1,495,847.67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367,766.42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主要系交货延期产生 的违约金</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1,388,308.50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417,861.88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-34,658,569.64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21,421,737.22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19,963,399.99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-5,438,288.00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2,055,481.20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1,568,868.97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310,865.54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-29,314,496.82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19,055,390.48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18,390,679.17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0" w:bottom="1590" w:left="107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7"/>
        <w:keepNext/>
        <w:keepLines/>
        <w:widowControl w:val="0"/>
        <w:shd w:val="clear" w:color="auto" w:fill="auto"/>
        <w:bidi w:val="0"/>
        <w:spacing w:before="54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30"/>
        <w:keepNext/>
        <w:keepLines/>
        <w:widowControl w:val="0"/>
        <w:shd w:val="clear" w:color="auto" w:fill="auto"/>
        <w:bidi w:val="0"/>
        <w:spacing w:before="0" w:after="24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4"/>
        <w:keepNext w:val="0"/>
        <w:keepLines w:val="0"/>
        <w:widowControl w:val="0"/>
        <w:shd w:val="clear" w:color="auto" w:fill="auto"/>
        <w:tabs>
          <w:tab w:pos="897" w:val="left"/>
        </w:tabs>
        <w:bidi w:val="0"/>
        <w:spacing w:before="0" w:after="40" w:line="312" w:lineRule="exact"/>
        <w:ind w:left="0" w:right="0"/>
        <w:jc w:val="left"/>
      </w:pPr>
      <w:bookmarkStart w:id="60" w:name="bookmark60"/>
      <w:r>
        <w:rPr>
          <w:b/>
          <w:bCs/>
          <w:color w:val="000000"/>
          <w:spacing w:val="0"/>
          <w:w w:val="100"/>
          <w:position w:val="0"/>
        </w:rPr>
        <w:t>（</w:t>
      </w:r>
      <w:bookmarkEnd w:id="60"/>
      <w:r>
        <w:rPr>
          <w:b/>
          <w:bCs/>
          <w:color w:val="000000"/>
          <w:spacing w:val="0"/>
          <w:w w:val="100"/>
          <w:position w:val="0"/>
        </w:rPr>
        <w:t>一）</w:t>
        <w:tab/>
        <w:t>公司从事的主要业务</w:t>
      </w:r>
    </w:p>
    <w:p>
      <w:pPr>
        <w:pStyle w:val="Style34"/>
        <w:keepNext w:val="0"/>
        <w:keepLines w:val="0"/>
        <w:widowControl w:val="0"/>
        <w:shd w:val="clear" w:color="auto" w:fill="auto"/>
        <w:bidi w:val="0"/>
        <w:spacing w:before="0" w:after="40" w:line="312" w:lineRule="exact"/>
        <w:ind w:left="0" w:right="0"/>
        <w:jc w:val="left"/>
      </w:pPr>
      <w:r>
        <w:rPr>
          <w:color w:val="000000"/>
          <w:spacing w:val="0"/>
          <w:w w:val="100"/>
          <w:position w:val="0"/>
        </w:rPr>
        <w:t>公司专注于智慧交通和物联网领域的应用开发、产品创新与推广，是国内领先的智慧交通产品及解决方案提供商。</w:t>
      </w:r>
    </w:p>
    <w:p>
      <w:pPr>
        <w:pStyle w:val="Style34"/>
        <w:keepNext w:val="0"/>
        <w:keepLines w:val="0"/>
        <w:widowControl w:val="0"/>
        <w:shd w:val="clear" w:color="auto" w:fill="auto"/>
        <w:tabs>
          <w:tab w:pos="897" w:val="left"/>
        </w:tabs>
        <w:bidi w:val="0"/>
        <w:spacing w:before="0" w:after="40" w:line="312" w:lineRule="exact"/>
        <w:ind w:left="0" w:right="0"/>
        <w:jc w:val="left"/>
      </w:pPr>
      <w:bookmarkStart w:id="61" w:name="bookmark61"/>
      <w:r>
        <w:rPr>
          <w:b/>
          <w:bCs/>
          <w:color w:val="000000"/>
          <w:spacing w:val="0"/>
          <w:w w:val="100"/>
          <w:position w:val="0"/>
        </w:rPr>
        <w:t>（</w:t>
      </w:r>
      <w:bookmarkEnd w:id="61"/>
      <w:r>
        <w:rPr>
          <w:b/>
          <w:bCs/>
          <w:color w:val="000000"/>
          <w:spacing w:val="0"/>
          <w:w w:val="100"/>
          <w:position w:val="0"/>
        </w:rPr>
        <w:t>二）</w:t>
        <w:tab/>
        <w:t>公司主要产品及其用途</w:t>
      </w:r>
    </w:p>
    <w:p>
      <w:pPr>
        <w:pStyle w:val="Style34"/>
        <w:keepNext w:val="0"/>
        <w:keepLines w:val="0"/>
        <w:widowControl w:val="0"/>
        <w:shd w:val="clear" w:color="auto" w:fill="auto"/>
        <w:bidi w:val="0"/>
        <w:spacing w:before="0" w:after="240" w:line="312" w:lineRule="exact"/>
        <w:ind w:left="0" w:right="0"/>
        <w:jc w:val="left"/>
      </w:pPr>
      <w:r>
        <w:rPr>
          <w:color w:val="000000"/>
          <w:spacing w:val="0"/>
          <w:w w:val="100"/>
          <w:position w:val="0"/>
        </w:rPr>
        <w:t>公司致力于成为中国领先的智慧交通产品及解决方案提供商，肩负让交通更智慧、让生活更简单的使命，依托在</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和智慧交通的技术积累和长期耕耘，公司产品和服务已深入覆盖以下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类交通应用场景和客群。</w:t>
      </w:r>
    </w:p>
    <w:tbl>
      <w:tblPr>
        <w:tblOverlap w:val="never"/>
        <w:jc w:val="left"/>
        <w:tblLayout w:type="fixed"/>
      </w:tblPr>
      <w:tblGrid>
        <w:gridCol w:w="192"/>
        <w:gridCol w:w="1786"/>
        <w:gridCol w:w="192"/>
        <w:gridCol w:w="1867"/>
        <w:gridCol w:w="2069"/>
        <w:gridCol w:w="2083"/>
      </w:tblGrid>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32"/>
                <w:szCs w:val="32"/>
              </w:rPr>
            </w:pPr>
            <w:r>
              <w:rPr>
                <w:rFonts w:ascii="Arial" w:eastAsia="Arial" w:hAnsi="Arial" w:cs="Arial"/>
                <w:color w:val="4C4E5C"/>
                <w:spacing w:val="0"/>
                <w:w w:val="100"/>
                <w:position w:val="0"/>
                <w:sz w:val="32"/>
                <w:szCs w:val="32"/>
              </w:rPr>
              <w:t>G</w:t>
            </w:r>
          </w:p>
        </w:tc>
        <w:tc>
          <w:tcPr>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660"/>
              <w:jc w:val="left"/>
              <w:rPr>
                <w:sz w:val="12"/>
                <w:szCs w:val="12"/>
              </w:rPr>
            </w:pPr>
            <w:r>
              <w:rPr>
                <w:rFonts w:ascii="SimHei" w:eastAsia="SimHei" w:hAnsi="SimHei" w:cs="SimHei"/>
                <w:color w:val="211D26"/>
                <w:spacing w:val="0"/>
                <w:w w:val="100"/>
                <w:position w:val="0"/>
                <w:sz w:val="12"/>
                <w:szCs w:val="12"/>
              </w:rPr>
              <w:t>车域</w:t>
            </w:r>
          </w:p>
          <w:p>
            <w:pPr>
              <w:pStyle w:val="Style2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211D26"/>
                <w:spacing w:val="0"/>
                <w:w w:val="100"/>
                <w:position w:val="0"/>
                <w:sz w:val="11"/>
                <w:szCs w:val="11"/>
              </w:rPr>
              <w:t>产品类型</w:t>
            </w:r>
          </w:p>
        </w:tc>
        <w:tc>
          <w:tcPr>
            <w:vMerge w:val="restart"/>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Arial" w:eastAsia="Arial" w:hAnsi="Arial" w:cs="Arial"/>
                <w:color w:val="4C4E5C"/>
                <w:spacing w:val="0"/>
                <w:w w:val="100"/>
                <w:position w:val="0"/>
                <w:sz w:val="30"/>
                <w:szCs w:val="30"/>
              </w:rPr>
              <w:t>1</w:t>
            </w:r>
          </w:p>
        </w:tc>
        <w:tc>
          <w:tcPr>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740"/>
              <w:jc w:val="left"/>
              <w:rPr>
                <w:sz w:val="12"/>
                <w:szCs w:val="12"/>
              </w:rPr>
            </w:pPr>
            <w:r>
              <w:rPr>
                <w:rFonts w:ascii="SimHei" w:eastAsia="SimHei" w:hAnsi="SimHei" w:cs="SimHei"/>
                <w:color w:val="211D26"/>
                <w:spacing w:val="0"/>
                <w:w w:val="100"/>
                <w:position w:val="0"/>
                <w:sz w:val="12"/>
                <w:szCs w:val="12"/>
              </w:rPr>
              <w:t>暗域</w:t>
            </w:r>
          </w:p>
          <w:p>
            <w:pPr>
              <w:pStyle w:val="Style2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211D26"/>
                <w:spacing w:val="0"/>
                <w:w w:val="100"/>
                <w:position w:val="0"/>
                <w:sz w:val="11"/>
                <w:szCs w:val="11"/>
              </w:rPr>
              <w:t>＞产品类型</w:t>
            </w:r>
          </w:p>
        </w:tc>
        <w:tc>
          <w:tcPr>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920"/>
              <w:jc w:val="left"/>
              <w:rPr>
                <w:sz w:val="12"/>
                <w:szCs w:val="12"/>
              </w:rPr>
            </w:pPr>
            <w:r>
              <w:rPr>
                <w:rFonts w:ascii="SimHei" w:eastAsia="SimHei" w:hAnsi="SimHei" w:cs="SimHei"/>
                <w:color w:val="211D26"/>
                <w:spacing w:val="0"/>
                <w:w w:val="100"/>
                <w:position w:val="0"/>
                <w:sz w:val="12"/>
                <w:szCs w:val="12"/>
              </w:rPr>
              <w:t>场域</w:t>
            </w:r>
          </w:p>
          <w:p>
            <w:pPr>
              <w:pStyle w:val="Style27"/>
              <w:keepNext w:val="0"/>
              <w:keepLines w:val="0"/>
              <w:widowControl w:val="0"/>
              <w:shd w:val="clear" w:color="auto" w:fill="auto"/>
              <w:bidi w:val="0"/>
              <w:spacing w:before="0" w:after="0" w:line="240" w:lineRule="auto"/>
              <w:ind w:left="0" w:right="0" w:firstLine="160"/>
              <w:jc w:val="left"/>
              <w:rPr>
                <w:sz w:val="11"/>
                <w:szCs w:val="11"/>
              </w:rPr>
            </w:pPr>
            <w:r>
              <w:rPr>
                <w:rFonts w:ascii="Arial" w:eastAsia="Arial" w:hAnsi="Arial" w:cs="Arial"/>
                <w:color w:val="000000"/>
                <w:spacing w:val="0"/>
                <w:w w:val="100"/>
                <w:position w:val="0"/>
                <w:sz w:val="9"/>
                <w:szCs w:val="9"/>
              </w:rPr>
              <w:t>・</w:t>
            </w:r>
            <w:r>
              <w:rPr>
                <w:rFonts w:ascii="SimHei" w:eastAsia="SimHei" w:hAnsi="SimHei" w:cs="SimHei"/>
                <w:color w:val="211D26"/>
                <w:spacing w:val="0"/>
                <w:w w:val="100"/>
                <w:position w:val="0"/>
                <w:sz w:val="11"/>
                <w:szCs w:val="11"/>
              </w:rPr>
              <w:t>产品类型</w:t>
            </w:r>
          </w:p>
        </w:tc>
        <w:tc>
          <w:tcPr>
            <w:vMerge w:val="restart"/>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2"/>
                <w:szCs w:val="12"/>
              </w:rPr>
            </w:pPr>
            <w:r>
              <w:rPr>
                <w:rFonts w:ascii="SimHei" w:eastAsia="SimHei" w:hAnsi="SimHei" w:cs="SimHei"/>
                <w:color w:val="211D26"/>
                <w:spacing w:val="0"/>
                <w:w w:val="100"/>
                <w:position w:val="0"/>
                <w:sz w:val="12"/>
                <w:szCs w:val="12"/>
              </w:rPr>
              <w:t>城域</w:t>
            </w:r>
          </w:p>
          <w:p>
            <w:pPr>
              <w:pStyle w:val="Style27"/>
              <w:keepNext w:val="0"/>
              <w:keepLines w:val="0"/>
              <w:widowControl w:val="0"/>
              <w:shd w:val="clear" w:color="auto" w:fill="auto"/>
              <w:tabs>
                <w:tab w:leader="underscore" w:pos="1840" w:val="left"/>
              </w:tabs>
              <w:bidi w:val="0"/>
              <w:spacing w:before="0" w:after="0" w:line="180" w:lineRule="auto"/>
              <w:ind w:left="0" w:right="0" w:firstLine="760"/>
              <w:jc w:val="left"/>
              <w:rPr>
                <w:sz w:val="32"/>
                <w:szCs w:val="32"/>
              </w:rPr>
            </w:pPr>
            <w:r>
              <w:rPr>
                <w:rFonts w:ascii="Arial" w:eastAsia="Arial" w:hAnsi="Arial" w:cs="Arial"/>
                <w:color w:val="000000"/>
                <w:spacing w:val="0"/>
                <w:w w:val="100"/>
                <w:position w:val="0"/>
                <w:sz w:val="32"/>
                <w:szCs w:val="32"/>
              </w:rPr>
              <w:tab/>
            </w:r>
          </w:p>
          <w:p>
            <w:pPr>
              <w:pStyle w:val="Style27"/>
              <w:keepNext w:val="0"/>
              <w:keepLines w:val="0"/>
              <w:widowControl w:val="0"/>
              <w:shd w:val="clear" w:color="auto" w:fill="auto"/>
              <w:tabs>
                <w:tab w:pos="678" w:val="left"/>
                <w:tab w:pos="1796" w:val="left"/>
              </w:tabs>
              <w:bidi w:val="0"/>
              <w:spacing w:before="0" w:after="0" w:line="240" w:lineRule="auto"/>
              <w:ind w:left="0" w:right="0" w:firstLine="140"/>
              <w:jc w:val="left"/>
              <w:rPr>
                <w:sz w:val="11"/>
                <w:szCs w:val="11"/>
              </w:rPr>
            </w:pPr>
            <w:r>
              <w:rPr>
                <w:rFonts w:ascii="SimHei" w:eastAsia="SimHei" w:hAnsi="SimHei" w:cs="SimHei"/>
                <w:color w:val="4C4E5C"/>
                <w:spacing w:val="0"/>
                <w:w w:val="100"/>
                <w:position w:val="0"/>
                <w:sz w:val="11"/>
                <w:szCs w:val="11"/>
                <w:u w:val="single"/>
              </w:rPr>
              <w:t>[</w:t>
              <w:tab/>
            </w:r>
            <w:r>
              <w:rPr>
                <w:rFonts w:ascii="SimHei" w:eastAsia="SimHei" w:hAnsi="SimHei" w:cs="SimHei"/>
                <w:color w:val="4C4E5C"/>
                <w:spacing w:val="0"/>
                <w:w w:val="100"/>
                <w:position w:val="0"/>
                <w:sz w:val="11"/>
                <w:szCs w:val="11"/>
                <w:u w:val="single"/>
              </w:rPr>
              <w:t>封闭测试场</w:t>
              <w:tab/>
            </w:r>
            <w:r>
              <w:rPr>
                <w:rFonts w:ascii="SimHei" w:eastAsia="SimHei" w:hAnsi="SimHei" w:cs="SimHei"/>
                <w:color w:val="4C4E5C"/>
                <w:spacing w:val="0"/>
                <w:w w:val="100"/>
                <w:position w:val="0"/>
                <w:sz w:val="11"/>
                <w:szCs w:val="11"/>
                <w:u w:val="single"/>
              </w:rPr>
              <w:t>]</w:t>
            </w:r>
          </w:p>
        </w:tc>
      </w:tr>
      <w:tr>
        <w:trPr>
          <w:trHeight w:val="168" w:hRule="exact"/>
        </w:trPr>
        <w:tc>
          <w:tcPr>
            <w:vMerge w:val="restart"/>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1"/>
                <w:szCs w:val="11"/>
              </w:rPr>
            </w:pPr>
            <w:r>
              <w:rPr>
                <w:rFonts w:ascii="SimHei" w:eastAsia="SimHei" w:hAnsi="SimHei" w:cs="SimHei"/>
                <w:color w:val="211D26"/>
                <w:spacing w:val="0"/>
                <w:w w:val="100"/>
                <w:position w:val="0"/>
                <w:sz w:val="11"/>
                <w:szCs w:val="11"/>
              </w:rPr>
              <w:t>前芸</w:t>
            </w:r>
            <w:r>
              <w:rPr>
                <w:rFonts w:ascii="Arial" w:eastAsia="Arial" w:hAnsi="Arial" w:cs="Arial"/>
                <w:color w:val="211D26"/>
                <w:spacing w:val="0"/>
                <w:w w:val="100"/>
                <w:position w:val="0"/>
                <w:sz w:val="11"/>
                <w:szCs w:val="11"/>
              </w:rPr>
              <w:t xml:space="preserve">ETC </w:t>
            </w:r>
            <w:r>
              <w:rPr>
                <w:rFonts w:ascii="Arial" w:eastAsia="Arial" w:hAnsi="Arial" w:cs="Arial"/>
                <w:color w:val="685F6D"/>
                <w:spacing w:val="0"/>
                <w:w w:val="100"/>
                <w:position w:val="0"/>
                <w:sz w:val="11"/>
                <w:szCs w:val="11"/>
              </w:rPr>
              <w:t>OBU</w:t>
            </w:r>
          </w:p>
        </w:tc>
        <w:tc>
          <w:tcPr>
            <w:vMerge/>
            <w:tcBorders/>
            <w:shd w:val="clear" w:color="auto" w:fill="FFFFFF"/>
            <w:vAlign w:val="top"/>
          </w:tcPr>
          <w:p>
            <w:pP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1"/>
                <w:szCs w:val="11"/>
              </w:rPr>
            </w:pPr>
            <w:r>
              <w:rPr>
                <w:rFonts w:ascii="SimHei" w:eastAsia="SimHei" w:hAnsi="SimHei" w:cs="SimHei"/>
                <w:color w:val="211D26"/>
                <w:spacing w:val="0"/>
                <w:w w:val="100"/>
                <w:position w:val="0"/>
                <w:sz w:val="11"/>
                <w:szCs w:val="11"/>
              </w:rPr>
              <w:t>传统</w:t>
            </w:r>
            <w:r>
              <w:rPr>
                <w:rFonts w:ascii="Arial" w:eastAsia="Arial" w:hAnsi="Arial" w:cs="Arial"/>
                <w:color w:val="211D26"/>
                <w:spacing w:val="0"/>
                <w:w w:val="100"/>
                <w:position w:val="0"/>
                <w:sz w:val="11"/>
                <w:szCs w:val="11"/>
              </w:rPr>
              <w:t>OBU</w:t>
            </w:r>
          </w:p>
        </w:tc>
        <w:tc>
          <w:tcPr>
            <w:tcBorders>
              <w:top w:val="single" w:sz="4"/>
            </w:tcBorders>
            <w:shd w:val="clear" w:color="auto" w:fill="FFFFFF"/>
            <w:vAlign w:val="top"/>
          </w:tcPr>
          <w:p>
            <w:pPr>
              <w:pStyle w:val="Style27"/>
              <w:keepNext w:val="0"/>
              <w:keepLines w:val="0"/>
              <w:widowControl w:val="0"/>
              <w:shd w:val="clear" w:color="auto" w:fill="auto"/>
              <w:tabs>
                <w:tab w:pos="542" w:val="left"/>
                <w:tab w:pos="1852" w:val="left"/>
              </w:tabs>
              <w:bidi w:val="0"/>
              <w:spacing w:before="0" w:after="0" w:line="240" w:lineRule="auto"/>
              <w:ind w:left="0" w:right="0" w:firstLine="220"/>
              <w:jc w:val="left"/>
              <w:rPr>
                <w:sz w:val="11"/>
                <w:szCs w:val="11"/>
              </w:rPr>
            </w:pPr>
            <w:r>
              <w:rPr>
                <w:rFonts w:ascii="Arial" w:eastAsia="Arial" w:hAnsi="Arial" w:cs="Arial"/>
                <w:color w:val="000000"/>
                <w:spacing w:val="0"/>
                <w:w w:val="100"/>
                <w:position w:val="0"/>
                <w:sz w:val="11"/>
                <w:szCs w:val="11"/>
              </w:rPr>
              <w:t>[</w:t>
              <w:tab/>
              <w:t>ETC</w:t>
            </w:r>
            <w:r>
              <w:rPr>
                <w:rFonts w:ascii="SimHei" w:eastAsia="SimHei" w:hAnsi="SimHei" w:cs="SimHei"/>
                <w:color w:val="000000"/>
                <w:spacing w:val="0"/>
                <w:w w:val="100"/>
                <w:position w:val="0"/>
                <w:sz w:val="11"/>
                <w:szCs w:val="11"/>
              </w:rPr>
              <w:t>恁姣付方案</w:t>
              <w:tab/>
              <w:t>|</w:t>
            </w:r>
          </w:p>
        </w:tc>
        <w:tc>
          <w:tcPr>
            <w:vMerge/>
            <w:tcBorders/>
            <w:shd w:val="clear" w:color="auto" w:fill="FFFFFF"/>
            <w:vAlign w:val="center"/>
          </w:tcPr>
          <w:p>
            <w:pPr/>
          </w:p>
        </w:tc>
      </w:tr>
      <w:tr>
        <w:trPr>
          <w:trHeight w:val="202" w:hRule="exact"/>
        </w:trPr>
        <w:tc>
          <w:tcPr>
            <w:vMerge/>
            <w:tcBorders/>
            <w:shd w:val="clear" w:color="auto" w:fill="FFFFFF"/>
            <w:vAlign w:val="top"/>
          </w:tcPr>
          <w:p>
            <w:pP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1"/>
                <w:szCs w:val="11"/>
              </w:rPr>
            </w:pPr>
            <w:r>
              <w:rPr>
                <w:rFonts w:ascii="SimHei" w:eastAsia="SimHei" w:hAnsi="SimHei" w:cs="SimHei"/>
                <w:color w:val="433642"/>
                <w:spacing w:val="0"/>
                <w:w w:val="100"/>
                <w:position w:val="0"/>
                <w:sz w:val="11"/>
                <w:szCs w:val="11"/>
              </w:rPr>
              <w:t>前我</w:t>
            </w:r>
            <w:r>
              <w:rPr>
                <w:rFonts w:ascii="Arial" w:eastAsia="Arial" w:hAnsi="Arial" w:cs="Arial"/>
                <w:color w:val="433642"/>
                <w:spacing w:val="0"/>
                <w:w w:val="100"/>
                <w:position w:val="0"/>
                <w:sz w:val="11"/>
                <w:szCs w:val="11"/>
              </w:rPr>
              <w:t>ETC</w:t>
            </w:r>
            <w:r>
              <w:rPr>
                <w:rFonts w:ascii="SimHei" w:eastAsia="SimHei" w:hAnsi="SimHei" w:cs="SimHei"/>
                <w:color w:val="433642"/>
                <w:spacing w:val="0"/>
                <w:w w:val="100"/>
                <w:position w:val="0"/>
                <w:sz w:val="11"/>
                <w:szCs w:val="11"/>
              </w:rPr>
              <w:t>融合</w:t>
            </w:r>
            <w:r>
              <w:rPr>
                <w:rFonts w:ascii="Arial" w:eastAsia="Arial" w:hAnsi="Arial" w:cs="Arial"/>
                <w:color w:val="000000"/>
                <w:spacing w:val="0"/>
                <w:w w:val="100"/>
                <w:position w:val="0"/>
                <w:sz w:val="9"/>
                <w:szCs w:val="9"/>
              </w:rPr>
              <w:t>•</w:t>
            </w:r>
            <w:r>
              <w:rPr>
                <w:rFonts w:ascii="SimHei" w:eastAsia="SimHei" w:hAnsi="SimHei" w:cs="SimHei"/>
                <w:color w:val="000000"/>
                <w:spacing w:val="0"/>
                <w:w w:val="100"/>
                <w:position w:val="0"/>
                <w:sz w:val="11"/>
                <w:szCs w:val="11"/>
              </w:rPr>
              <w:t>其他</w:t>
            </w:r>
            <w:r>
              <w:rPr>
                <w:rFonts w:ascii="SimHei" w:eastAsia="SimHei" w:hAnsi="SimHei" w:cs="SimHei"/>
                <w:color w:val="433642"/>
                <w:spacing w:val="0"/>
                <w:w w:val="100"/>
                <w:position w:val="0"/>
                <w:sz w:val="11"/>
                <w:szCs w:val="11"/>
              </w:rPr>
              <w:t>技术/产晶</w:t>
            </w:r>
            <w:r>
              <w:rPr>
                <w:rFonts w:ascii="Arial" w:eastAsia="Arial" w:hAnsi="Arial" w:cs="Arial"/>
                <w:color w:val="433642"/>
                <w:spacing w:val="0"/>
                <w:w w:val="100"/>
                <w:position w:val="0"/>
                <w:sz w:val="11"/>
                <w:szCs w:val="11"/>
              </w:rPr>
              <w:t>i</w:t>
            </w:r>
          </w:p>
        </w:tc>
        <w:tc>
          <w:tcPr>
            <w:vMerge/>
            <w:tcBorders/>
            <w:shd w:val="clear" w:color="auto" w:fill="FFFFFF"/>
            <w:vAlign w:val="top"/>
          </w:tcPr>
          <w:p>
            <w:pPr/>
          </w:p>
        </w:tc>
        <w:tc>
          <w:tcPr>
            <w:tcBorders>
              <w:top w:val="single" w:sz="4"/>
            </w:tcBorders>
            <w:shd w:val="clear" w:color="auto" w:fill="FFFFFF"/>
            <w:vAlign w:val="top"/>
          </w:tcPr>
          <w:p>
            <w:pPr>
              <w:pStyle w:val="Style27"/>
              <w:keepNext w:val="0"/>
              <w:keepLines w:val="0"/>
              <w:widowControl w:val="0"/>
              <w:shd w:val="clear" w:color="auto" w:fill="auto"/>
              <w:tabs>
                <w:tab w:pos="1593" w:val="left"/>
              </w:tabs>
              <w:bidi w:val="0"/>
              <w:spacing w:before="0" w:after="0" w:line="240" w:lineRule="auto"/>
              <w:ind w:left="0" w:right="0" w:firstLine="460"/>
              <w:jc w:val="left"/>
              <w:rPr>
                <w:sz w:val="24"/>
                <w:szCs w:val="24"/>
              </w:rPr>
            </w:pPr>
            <w:r>
              <w:rPr>
                <w:rFonts w:ascii="SimHei" w:eastAsia="SimHei" w:hAnsi="SimHei" w:cs="SimHei"/>
                <w:color w:val="433642"/>
                <w:spacing w:val="0"/>
                <w:w w:val="100"/>
                <w:position w:val="0"/>
                <w:sz w:val="11"/>
                <w:szCs w:val="11"/>
                <w:u w:val="single"/>
              </w:rPr>
              <w:t>车站</w:t>
            </w:r>
            <w:r>
              <w:rPr>
                <w:rFonts w:ascii="SimHei" w:eastAsia="SimHei" w:hAnsi="SimHei" w:cs="SimHei"/>
                <w:color w:val="211D26"/>
                <w:spacing w:val="0"/>
                <w:w w:val="100"/>
                <w:position w:val="0"/>
                <w:sz w:val="11"/>
                <w:szCs w:val="11"/>
                <w:u w:val="single"/>
              </w:rPr>
              <w:t>协向路</w:t>
            </w:r>
            <w:r>
              <w:rPr>
                <w:rFonts w:ascii="SimHei" w:eastAsia="SimHei" w:hAnsi="SimHei" w:cs="SimHei"/>
                <w:color w:val="48517F"/>
                <w:spacing w:val="0"/>
                <w:w w:val="100"/>
                <w:position w:val="0"/>
                <w:sz w:val="11"/>
                <w:szCs w:val="11"/>
                <w:u w:val="single"/>
              </w:rPr>
              <w:t>侧产品</w:t>
              <w:tab/>
            </w:r>
            <w:r>
              <w:rPr>
                <w:rFonts w:ascii="Arial" w:eastAsia="Arial" w:hAnsi="Arial" w:cs="Arial"/>
                <w:color w:val="808080"/>
                <w:spacing w:val="0"/>
                <w:w w:val="100"/>
                <w:position w:val="0"/>
                <w:sz w:val="24"/>
                <w:szCs w:val="24"/>
                <w:u w:val="single"/>
              </w:rPr>
              <w:t>1</w:t>
            </w:r>
            <w:r>
              <w:rPr>
                <w:rFonts w:ascii="Arial" w:eastAsia="Arial" w:hAnsi="Arial" w:cs="Arial"/>
                <w:color w:val="808080"/>
                <w:spacing w:val="0"/>
                <w:w w:val="100"/>
                <w:position w:val="0"/>
                <w:sz w:val="24"/>
                <w:szCs w:val="24"/>
              </w:rPr>
              <w:t xml:space="preserve"> </w:t>
            </w:r>
            <w:r>
              <w:rPr>
                <w:rFonts w:ascii="Arial" w:eastAsia="Arial" w:hAnsi="Arial" w:cs="Arial"/>
                <w:color w:val="A3A3A3"/>
                <w:spacing w:val="0"/>
                <w:w w:val="100"/>
                <w:position w:val="0"/>
                <w:sz w:val="24"/>
                <w:szCs w:val="24"/>
              </w:rPr>
              <w:t>I</w:t>
            </w:r>
          </w:p>
        </w:tc>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1"/>
                <w:szCs w:val="11"/>
              </w:rPr>
            </w:pPr>
            <w:r>
              <w:rPr>
                <w:rFonts w:ascii="SimHei" w:eastAsia="SimHei" w:hAnsi="SimHei" w:cs="SimHei"/>
                <w:color w:val="000000"/>
                <w:spacing w:val="0"/>
                <w:w w:val="100"/>
                <w:position w:val="0"/>
                <w:sz w:val="11"/>
                <w:szCs w:val="11"/>
              </w:rPr>
              <w:t>-客户类型</w:t>
            </w:r>
          </w:p>
        </w:tc>
        <w:tc>
          <w:tcPr>
            <w:vMerge w:val="restart"/>
            <w:tcBorders>
              <w:top w:val="single" w:sz="4"/>
            </w:tcBorders>
            <w:shd w:val="clear" w:color="auto" w:fill="FFFFFF"/>
            <w:vAlign w:val="top"/>
          </w:tcPr>
          <w:p>
            <w:pPr>
              <w:pStyle w:val="Style27"/>
              <w:keepNext w:val="0"/>
              <w:keepLines w:val="0"/>
              <w:widowControl w:val="0"/>
              <w:shd w:val="clear" w:color="auto" w:fill="auto"/>
              <w:tabs>
                <w:tab w:pos="716" w:val="left"/>
                <w:tab w:pos="1772" w:val="left"/>
              </w:tabs>
              <w:bidi w:val="0"/>
              <w:spacing w:before="0" w:after="0" w:line="240" w:lineRule="auto"/>
              <w:ind w:left="0" w:right="0" w:firstLine="140"/>
              <w:jc w:val="left"/>
              <w:rPr>
                <w:sz w:val="11"/>
                <w:szCs w:val="11"/>
              </w:rPr>
            </w:pPr>
            <w:r>
              <w:rPr>
                <w:rFonts w:ascii="SimHei" w:eastAsia="SimHei" w:hAnsi="SimHei" w:cs="SimHei"/>
                <w:color w:val="685F6D"/>
                <w:spacing w:val="0"/>
                <w:w w:val="100"/>
                <w:position w:val="0"/>
                <w:sz w:val="11"/>
                <w:szCs w:val="11"/>
                <w:u w:val="single"/>
              </w:rPr>
              <w:t>[</w:t>
              <w:tab/>
            </w:r>
            <w:r>
              <w:rPr>
                <w:rFonts w:ascii="SimHei" w:eastAsia="SimHei" w:hAnsi="SimHei" w:cs="SimHei"/>
                <w:color w:val="685F6D"/>
                <w:spacing w:val="0"/>
                <w:w w:val="100"/>
                <w:position w:val="0"/>
                <w:sz w:val="11"/>
                <w:szCs w:val="11"/>
                <w:u w:val="single"/>
              </w:rPr>
              <w:t>浏试道路</w:t>
              <w:tab/>
            </w:r>
            <w:r>
              <w:rPr>
                <w:rFonts w:ascii="SimHei" w:eastAsia="SimHei" w:hAnsi="SimHei" w:cs="SimHei"/>
                <w:color w:val="685F6D"/>
                <w:spacing w:val="0"/>
                <w:w w:val="100"/>
                <w:position w:val="0"/>
                <w:sz w:val="11"/>
                <w:szCs w:val="11"/>
                <w:u w:val="single"/>
              </w:rPr>
              <w:t>]</w:t>
            </w:r>
          </w:p>
          <w:p>
            <w:pPr>
              <w:pStyle w:val="Style27"/>
              <w:keepNext w:val="0"/>
              <w:keepLines w:val="0"/>
              <w:widowControl w:val="0"/>
              <w:shd w:val="clear" w:color="auto" w:fill="auto"/>
              <w:tabs>
                <w:tab w:pos="716" w:val="left"/>
                <w:tab w:pos="1772" w:val="left"/>
              </w:tabs>
              <w:bidi w:val="0"/>
              <w:spacing w:before="0" w:after="0" w:line="240" w:lineRule="auto"/>
              <w:ind w:left="0" w:right="0" w:firstLine="140"/>
              <w:jc w:val="left"/>
              <w:rPr>
                <w:sz w:val="11"/>
                <w:szCs w:val="11"/>
              </w:rPr>
            </w:pPr>
            <w:r>
              <w:rPr>
                <w:rFonts w:ascii="SimHei" w:eastAsia="SimHei" w:hAnsi="SimHei" w:cs="SimHei"/>
                <w:color w:val="000000"/>
                <w:spacing w:val="0"/>
                <w:w w:val="100"/>
                <w:position w:val="0"/>
                <w:sz w:val="11"/>
                <w:szCs w:val="11"/>
                <w:u w:val="single"/>
              </w:rPr>
              <w:t>[</w:t>
              <w:tab/>
            </w:r>
            <w:r>
              <w:rPr>
                <w:rFonts w:ascii="SimHei" w:eastAsia="SimHei" w:hAnsi="SimHei" w:cs="SimHei"/>
                <w:color w:val="000000"/>
                <w:spacing w:val="0"/>
                <w:w w:val="100"/>
                <w:position w:val="0"/>
                <w:sz w:val="11"/>
                <w:szCs w:val="11"/>
                <w:u w:val="single"/>
              </w:rPr>
              <w:t>智意道路</w:t>
              <w:tab/>
            </w:r>
            <w:r>
              <w:rPr>
                <w:rFonts w:ascii="SimHei" w:eastAsia="SimHei" w:hAnsi="SimHei" w:cs="SimHei"/>
                <w:color w:val="000000"/>
                <w:spacing w:val="0"/>
                <w:w w:val="100"/>
                <w:position w:val="0"/>
                <w:sz w:val="11"/>
                <w:szCs w:val="11"/>
                <w:u w:val="single"/>
              </w:rPr>
              <w:t>]</w:t>
            </w:r>
            <w:r>
              <w:rPr>
                <w:rFonts w:ascii="SimHei" w:eastAsia="SimHei" w:hAnsi="SimHei" w:cs="SimHei"/>
                <w:color w:val="000000"/>
                <w:spacing w:val="0"/>
                <w:w w:val="100"/>
                <w:position w:val="0"/>
                <w:sz w:val="11"/>
                <w:szCs w:val="11"/>
              </w:rPr>
              <w:t>|</w:t>
            </w:r>
          </w:p>
        </w:tc>
      </w:tr>
      <w:tr>
        <w:trPr>
          <w:trHeight w:val="134" w:hRule="exact"/>
        </w:trPr>
        <w:tc>
          <w:tcPr>
            <w:vMerge/>
            <w:tcBorders/>
            <w:shd w:val="clear" w:color="auto" w:fill="FFFFFF"/>
            <w:vAlign w:val="top"/>
          </w:tcPr>
          <w:p>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433642"/>
                <w:spacing w:val="0"/>
                <w:w w:val="100"/>
                <w:position w:val="0"/>
                <w:sz w:val="11"/>
                <w:szCs w:val="11"/>
              </w:rPr>
              <w:t>车路协同车</w:t>
            </w:r>
            <w:r>
              <w:rPr>
                <w:rFonts w:ascii="SimHei" w:eastAsia="SimHei" w:hAnsi="SimHei" w:cs="SimHei"/>
                <w:color w:val="4C4E5C"/>
                <w:spacing w:val="0"/>
                <w:w w:val="100"/>
                <w:position w:val="0"/>
                <w:sz w:val="11"/>
                <w:szCs w:val="11"/>
              </w:rPr>
              <w:t>侧产品</w:t>
            </w:r>
          </w:p>
        </w:tc>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top"/>
          </w:tcPr>
          <w:p>
            <w:pPr/>
          </w:p>
        </w:tc>
      </w:tr>
      <w:tr>
        <w:trPr>
          <w:trHeight w:val="514" w:hRule="exact"/>
        </w:trPr>
        <w:tc>
          <w:tcPr>
            <w:vMerge/>
            <w:tcBorders/>
            <w:shd w:val="clear" w:color="auto" w:fill="FFFFFF"/>
            <w:vAlign w:val="top"/>
          </w:tcPr>
          <w:p>
            <w:pP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211D26"/>
                <w:spacing w:val="0"/>
                <w:w w:val="100"/>
                <w:position w:val="0"/>
                <w:sz w:val="11"/>
                <w:szCs w:val="11"/>
              </w:rPr>
              <w:t xml:space="preserve">| </w:t>
            </w:r>
            <w:r>
              <w:rPr>
                <w:rFonts w:ascii="Arial" w:eastAsia="Arial" w:hAnsi="Arial" w:cs="Arial"/>
                <w:color w:val="211D26"/>
                <w:spacing w:val="0"/>
                <w:w w:val="100"/>
                <w:position w:val="0"/>
                <w:sz w:val="11"/>
                <w:szCs w:val="11"/>
                <w:u w:val="single"/>
              </w:rPr>
              <w:t>ETC+</w:t>
            </w:r>
            <w:r>
              <w:rPr>
                <w:rFonts w:ascii="SimHei" w:eastAsia="SimHei" w:hAnsi="SimHei" w:cs="SimHei"/>
                <w:color w:val="211D26"/>
                <w:spacing w:val="0"/>
                <w:w w:val="100"/>
                <w:position w:val="0"/>
                <w:sz w:val="11"/>
                <w:szCs w:val="11"/>
                <w:u w:val="single"/>
              </w:rPr>
              <w:t>后决镜、行车记录仪</w:t>
            </w:r>
            <w:r>
              <w:rPr>
                <w:rFonts w:ascii="SimHei" w:eastAsia="SimHei" w:hAnsi="SimHei" w:cs="SimHei"/>
                <w:color w:val="211D26"/>
                <w:spacing w:val="0"/>
                <w:w w:val="100"/>
                <w:position w:val="0"/>
                <w:sz w:val="11"/>
                <w:szCs w:val="11"/>
              </w:rPr>
              <w:t>|</w:t>
            </w:r>
          </w:p>
        </w:tc>
        <w:tc>
          <w:tcPr>
            <w:vMerge w:val="restart"/>
            <w:tcBorders/>
            <w:shd w:val="clear" w:color="auto" w:fill="FFFFFF"/>
            <w:vAlign w:val="top"/>
          </w:tcPr>
          <w:p>
            <w:pPr>
              <w:pStyle w:val="Style27"/>
              <w:keepNext w:val="0"/>
              <w:keepLines w:val="0"/>
              <w:widowControl w:val="0"/>
              <w:shd w:val="clear" w:color="auto" w:fill="auto"/>
              <w:bidi w:val="0"/>
              <w:spacing w:before="200" w:after="0" w:line="240" w:lineRule="auto"/>
              <w:ind w:left="0" w:right="0" w:firstLine="0"/>
              <w:jc w:val="right"/>
            </w:pPr>
            <w:r>
              <w:rPr>
                <w:color w:val="000000"/>
                <w:spacing w:val="0"/>
                <w:w w:val="100"/>
                <w:position w:val="0"/>
              </w:rPr>
              <w:t>,</w:t>
            </w:r>
          </w:p>
        </w:tc>
        <w:tc>
          <w:tcPr>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rPr>
                <w:sz w:val="11"/>
                <w:szCs w:val="11"/>
              </w:rPr>
            </w:pPr>
            <w:r>
              <w:rPr>
                <w:rFonts w:ascii="SimHei" w:eastAsia="SimHei" w:hAnsi="SimHei" w:cs="SimHei"/>
                <w:color w:val="211D26"/>
                <w:spacing w:val="0"/>
                <w:w w:val="100"/>
                <w:position w:val="0"/>
                <w:sz w:val="11"/>
                <w:szCs w:val="11"/>
              </w:rPr>
              <w:t>＞客户类型</w:t>
            </w:r>
          </w:p>
          <w:p>
            <w:pPr>
              <w:pStyle w:val="Style27"/>
              <w:keepNext w:val="0"/>
              <w:keepLines w:val="0"/>
              <w:widowControl w:val="0"/>
              <w:shd w:val="clear" w:color="auto" w:fill="auto"/>
              <w:bidi w:val="0"/>
              <w:spacing w:before="0" w:after="0" w:line="240" w:lineRule="auto"/>
              <w:ind w:left="0" w:right="0" w:firstLine="460"/>
              <w:jc w:val="left"/>
              <w:rPr>
                <w:sz w:val="11"/>
                <w:szCs w:val="11"/>
              </w:rPr>
            </w:pPr>
            <w:r>
              <w:rPr>
                <w:rFonts w:ascii="SimHei" w:eastAsia="SimHei" w:hAnsi="SimHei" w:cs="SimHei"/>
                <w:color w:val="433642"/>
                <w:spacing w:val="0"/>
                <w:w w:val="100"/>
                <w:position w:val="0"/>
                <w:sz w:val="11"/>
                <w:szCs w:val="11"/>
              </w:rPr>
              <w:t>传统</w:t>
            </w:r>
            <w:r>
              <w:rPr>
                <w:rFonts w:ascii="Arial" w:eastAsia="Arial" w:hAnsi="Arial" w:cs="Arial"/>
                <w:color w:val="211D26"/>
                <w:spacing w:val="0"/>
                <w:w w:val="100"/>
                <w:position w:val="0"/>
                <w:sz w:val="11"/>
                <w:szCs w:val="11"/>
              </w:rPr>
              <w:t>ETC</w:t>
            </w:r>
            <w:r>
              <w:rPr>
                <w:rFonts w:ascii="SimHei" w:eastAsia="SimHei" w:hAnsi="SimHei" w:cs="SimHei"/>
                <w:color w:val="685F6D"/>
                <w:spacing w:val="0"/>
                <w:w w:val="100"/>
                <w:position w:val="0"/>
                <w:sz w:val="11"/>
                <w:szCs w:val="11"/>
              </w:rPr>
              <w:t>发行方</w:t>
            </w:r>
          </w:p>
        </w:tc>
        <w:tc>
          <w:tcPr>
            <w:vMerge/>
            <w:tcBorders/>
            <w:shd w:val="clear" w:color="auto" w:fill="FFFFFF"/>
            <w:vAlign w:val="center"/>
          </w:tcPr>
          <w:p>
            <w:pPr/>
          </w:p>
        </w:tc>
        <w:tc>
          <w:tcPr>
            <w:tcBorders>
              <w:top w:val="single" w:sz="4"/>
            </w:tcBorders>
            <w:shd w:val="clear" w:color="auto" w:fill="FFFFFF"/>
            <w:vAlign w:val="top"/>
          </w:tcPr>
          <w:p>
            <w:pPr>
              <w:pStyle w:val="Style27"/>
              <w:keepNext w:val="0"/>
              <w:keepLines w:val="0"/>
              <w:widowControl w:val="0"/>
              <w:shd w:val="clear" w:color="auto" w:fill="auto"/>
              <w:tabs>
                <w:tab w:pos="702" w:val="left"/>
                <w:tab w:pos="1767" w:val="left"/>
              </w:tabs>
              <w:bidi w:val="0"/>
              <w:spacing w:before="0" w:after="160" w:line="240" w:lineRule="auto"/>
              <w:ind w:left="0" w:right="0" w:firstLine="140"/>
              <w:jc w:val="left"/>
              <w:rPr>
                <w:sz w:val="11"/>
                <w:szCs w:val="11"/>
              </w:rPr>
            </w:pPr>
            <w:r>
              <w:rPr>
                <w:rFonts w:ascii="SimHei" w:eastAsia="SimHei" w:hAnsi="SimHei" w:cs="SimHei"/>
                <w:color w:val="211D26"/>
                <w:spacing w:val="0"/>
                <w:w w:val="100"/>
                <w:position w:val="0"/>
                <w:sz w:val="11"/>
                <w:szCs w:val="11"/>
                <w:u w:val="single"/>
              </w:rPr>
              <w:t>[</w:t>
              <w:tab/>
            </w:r>
            <w:r>
              <w:rPr>
                <w:rFonts w:ascii="SimHei" w:eastAsia="SimHei" w:hAnsi="SimHei" w:cs="SimHei"/>
                <w:color w:val="211D26"/>
                <w:spacing w:val="0"/>
                <w:w w:val="100"/>
                <w:position w:val="0"/>
                <w:sz w:val="11"/>
                <w:szCs w:val="11"/>
                <w:u w:val="single"/>
              </w:rPr>
              <w:t>智意公交</w:t>
              <w:tab/>
            </w:r>
            <w:r>
              <w:rPr>
                <w:rFonts w:ascii="SimHei" w:eastAsia="SimHei" w:hAnsi="SimHei" w:cs="SimHei"/>
                <w:color w:val="211D26"/>
                <w:spacing w:val="0"/>
                <w:w w:val="100"/>
                <w:position w:val="0"/>
                <w:sz w:val="11"/>
                <w:szCs w:val="11"/>
                <w:u w:val="single"/>
              </w:rPr>
              <w:t>]</w:t>
            </w:r>
          </w:p>
          <w:p>
            <w:pPr>
              <w:pStyle w:val="Style27"/>
              <w:keepNext w:val="0"/>
              <w:keepLines w:val="0"/>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000000"/>
                <w:spacing w:val="0"/>
                <w:w w:val="100"/>
                <w:position w:val="0"/>
                <w:sz w:val="11"/>
                <w:szCs w:val="11"/>
              </w:rPr>
              <w:t>-</w:t>
            </w:r>
            <w:r>
              <w:rPr>
                <w:rFonts w:ascii="SimHei" w:eastAsia="SimHei" w:hAnsi="SimHei" w:cs="SimHei"/>
                <w:color w:val="211D26"/>
                <w:spacing w:val="0"/>
                <w:w w:val="100"/>
                <w:position w:val="0"/>
                <w:sz w:val="11"/>
                <w:szCs w:val="11"/>
              </w:rPr>
              <w:t>客户类型</w:t>
            </w:r>
          </w:p>
        </w:tc>
      </w:tr>
      <w:tr>
        <w:trPr>
          <w:trHeight w:val="144" w:hRule="exact"/>
        </w:trPr>
        <w:tc>
          <w:tcPr>
            <w:gridSpan w:val="2"/>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车</w:t>
            </w:r>
            <w:r>
              <w:rPr>
                <w:rFonts w:ascii="SimHei" w:eastAsia="SimHei" w:hAnsi="SimHei" w:cs="SimHei"/>
                <w:color w:val="211D26"/>
                <w:spacing w:val="0"/>
                <w:w w:val="100"/>
                <w:position w:val="0"/>
                <w:sz w:val="11"/>
                <w:szCs w:val="11"/>
              </w:rPr>
              <w:t>企客户</w:t>
            </w:r>
          </w:p>
        </w:tc>
        <w:tc>
          <w:tcPr>
            <w:vMerge/>
            <w:tcBorders/>
            <w:shd w:val="clear" w:color="auto" w:fill="FFFFFF"/>
            <w:vAlign w:val="top"/>
          </w:tcPr>
          <w:p>
            <w:pP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211D26"/>
                <w:spacing w:val="0"/>
                <w:w w:val="100"/>
                <w:position w:val="0"/>
                <w:sz w:val="11"/>
                <w:szCs w:val="11"/>
              </w:rPr>
              <w:t>电隹运营与、金融类（银</w:t>
            </w:r>
            <w:r>
              <w:rPr>
                <w:rFonts w:ascii="SimHei" w:eastAsia="SimHei" w:hAnsi="SimHei" w:cs="SimHei"/>
                <w:color w:val="433642"/>
                <w:spacing w:val="0"/>
                <w:w w:val="100"/>
                <w:position w:val="0"/>
                <w:sz w:val="11"/>
                <w:szCs w:val="11"/>
              </w:rPr>
              <w:t>行、保险）</w:t>
            </w:r>
            <w:r>
              <w:rPr>
                <w:rFonts w:ascii="Arial" w:eastAsia="Arial" w:hAnsi="Arial" w:cs="Arial"/>
                <w:color w:val="808080"/>
                <w:spacing w:val="0"/>
                <w:w w:val="100"/>
                <w:position w:val="0"/>
                <w:sz w:val="11"/>
                <w:szCs w:val="11"/>
              </w:rPr>
              <w:t>1</w:t>
            </w: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1"/>
                <w:szCs w:val="11"/>
              </w:rPr>
            </w:pPr>
            <w:r>
              <w:rPr>
                <w:rFonts w:ascii="SimHei" w:eastAsia="SimHei" w:hAnsi="SimHei" w:cs="SimHei"/>
                <w:color w:val="433642"/>
                <w:spacing w:val="0"/>
                <w:w w:val="100"/>
                <w:position w:val="0"/>
                <w:sz w:val="11"/>
                <w:szCs w:val="11"/>
              </w:rPr>
              <w:t>停</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211D26"/>
                <w:spacing w:val="0"/>
                <w:w w:val="100"/>
                <w:position w:val="0"/>
                <w:sz w:val="11"/>
                <w:szCs w:val="11"/>
              </w:rPr>
              <w:t>|域由道路、公安交通主管第门</w:t>
            </w:r>
            <w:r>
              <w:rPr>
                <w:rFonts w:ascii="SimHei" w:eastAsia="SimHei" w:hAnsi="SimHei" w:cs="SimHei"/>
                <w:color w:val="211D26"/>
                <w:spacing w:val="0"/>
                <w:w w:val="100"/>
                <w:position w:val="0"/>
                <w:sz w:val="11"/>
                <w:szCs w:val="11"/>
              </w:rPr>
              <w:t>]</w:t>
            </w:r>
          </w:p>
        </w:tc>
      </w:tr>
      <w:tr>
        <w:trPr>
          <w:trHeight w:val="34" w:hRule="exact"/>
        </w:trPr>
        <w:tc>
          <w:tcPr>
            <w:gridSpan w:val="2"/>
            <w:tcBorders>
              <w:top w:val="single" w:sz="4"/>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top"/>
          </w:tcPr>
          <w:p>
            <w:pPr>
              <w:widowControl w:val="0"/>
              <w:rPr>
                <w:sz w:val="10"/>
                <w:szCs w:val="10"/>
              </w:rPr>
            </w:pPr>
          </w:p>
        </w:tc>
      </w:tr>
      <w:tr>
        <w:trPr>
          <w:trHeight w:val="182" w:hRule="exact"/>
        </w:trPr>
        <w:tc>
          <w:tcPr>
            <w:gridSpan w:val="2"/>
            <w:tcBorders>
              <w:top w:val="single" w:sz="4"/>
            </w:tcBorders>
            <w:shd w:val="clear" w:color="auto" w:fill="FFFFFF"/>
            <w:vAlign w:val="top"/>
          </w:tcPr>
          <w:p>
            <w:pPr>
              <w:pStyle w:val="Style27"/>
              <w:keepNext w:val="0"/>
              <w:keepLines w:val="0"/>
              <w:widowControl w:val="0"/>
              <w:shd w:val="clear" w:color="auto" w:fill="auto"/>
              <w:tabs>
                <w:tab w:pos="475" w:val="left"/>
                <w:tab w:leader="underscore" w:pos="1646" w:val="left"/>
              </w:tabs>
              <w:bidi w:val="0"/>
              <w:spacing w:before="0" w:after="0" w:line="240" w:lineRule="auto"/>
              <w:ind w:left="0" w:right="0" w:firstLine="0"/>
              <w:jc w:val="left"/>
              <w:rPr>
                <w:sz w:val="11"/>
                <w:szCs w:val="11"/>
              </w:rPr>
            </w:pPr>
            <w:r>
              <w:rPr>
                <w:rFonts w:ascii="Arial" w:eastAsia="Arial" w:hAnsi="Arial" w:cs="Arial"/>
                <w:color w:val="433642"/>
                <w:spacing w:val="0"/>
                <w:w w:val="100"/>
                <w:position w:val="0"/>
                <w:sz w:val="11"/>
                <w:szCs w:val="11"/>
                <w:u w:val="single"/>
              </w:rPr>
              <w:t>|</w:t>
              <w:tab/>
            </w:r>
            <w:r>
              <w:rPr>
                <w:rFonts w:ascii="Arial" w:eastAsia="Arial" w:hAnsi="Arial" w:cs="Arial"/>
                <w:color w:val="433642"/>
                <w:spacing w:val="0"/>
                <w:w w:val="100"/>
                <w:position w:val="0"/>
                <w:sz w:val="11"/>
                <w:szCs w:val="11"/>
                <w:u w:val="single"/>
              </w:rPr>
              <w:t>Tier ］</w:t>
            </w:r>
            <w:r>
              <w:rPr>
                <w:rFonts w:ascii="SimHei" w:eastAsia="SimHei" w:hAnsi="SimHei" w:cs="SimHei"/>
                <w:color w:val="433642"/>
                <w:spacing w:val="0"/>
                <w:w w:val="100"/>
                <w:position w:val="0"/>
                <w:sz w:val="11"/>
                <w:szCs w:val="11"/>
                <w:u w:val="single"/>
              </w:rPr>
              <w:t>鼬商</w:t>
            </w:r>
            <w:r>
              <w:rPr>
                <w:rFonts w:ascii="SimHei" w:eastAsia="SimHei" w:hAnsi="SimHei" w:cs="SimHei"/>
                <w:color w:val="433642"/>
                <w:spacing w:val="0"/>
                <w:w w:val="100"/>
                <w:position w:val="0"/>
                <w:sz w:val="11"/>
                <w:szCs w:val="11"/>
              </w:rPr>
              <w:tab/>
              <w:t>|</w:t>
            </w:r>
          </w:p>
        </w:tc>
        <w:tc>
          <w:tcPr>
            <w:vMerge/>
            <w:tcBorders/>
            <w:shd w:val="clear" w:color="auto" w:fill="FFFFFF"/>
            <w:vAlign w:val="top"/>
          </w:tcPr>
          <w:p>
            <w:pP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1"/>
                <w:szCs w:val="11"/>
              </w:rPr>
            </w:pPr>
            <w:r>
              <w:rPr>
                <w:rFonts w:ascii="SimHei" w:eastAsia="SimHei" w:hAnsi="SimHei" w:cs="SimHei"/>
                <w:color w:val="000000"/>
                <w:spacing w:val="0"/>
                <w:w w:val="100"/>
                <w:position w:val="0"/>
                <w:sz w:val="11"/>
                <w:szCs w:val="11"/>
              </w:rPr>
              <w:t>萄</w:t>
            </w:r>
            <w:r>
              <w:rPr>
                <w:rFonts w:ascii="SimHei" w:eastAsia="SimHei" w:hAnsi="SimHei" w:cs="SimHei"/>
                <w:color w:val="211D26"/>
                <w:spacing w:val="0"/>
                <w:w w:val="100"/>
                <w:position w:val="0"/>
                <w:sz w:val="11"/>
                <w:szCs w:val="11"/>
              </w:rPr>
              <w:t>速公路爻主</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1"/>
                <w:szCs w:val="11"/>
              </w:rPr>
            </w:pPr>
            <w:r>
              <w:rPr>
                <w:rFonts w:ascii="SimHei" w:eastAsia="SimHei" w:hAnsi="SimHei" w:cs="SimHei"/>
                <w:color w:val="433642"/>
                <w:spacing w:val="0"/>
                <w:w w:val="100"/>
                <w:position w:val="0"/>
                <w:sz w:val="11"/>
                <w:szCs w:val="11"/>
              </w:rPr>
              <w:t>加就运营商</w:t>
            </w:r>
          </w:p>
        </w:tc>
        <w:tc>
          <w:tcPr>
            <w:tcBorders>
              <w:top w:val="single" w:sz="4"/>
            </w:tcBorders>
            <w:shd w:val="clear" w:color="auto" w:fill="FFFFFF"/>
            <w:vAlign w:val="top"/>
          </w:tcPr>
          <w:p>
            <w:pPr>
              <w:pStyle w:val="Style27"/>
              <w:keepNext w:val="0"/>
              <w:keepLines w:val="0"/>
              <w:widowControl w:val="0"/>
              <w:shd w:val="clear" w:color="auto" w:fill="auto"/>
              <w:tabs>
                <w:tab w:pos="476" w:val="left"/>
              </w:tabs>
              <w:bidi w:val="0"/>
              <w:spacing w:before="0" w:after="0" w:line="240" w:lineRule="auto"/>
              <w:ind w:left="0" w:right="0" w:firstLine="140"/>
              <w:jc w:val="left"/>
              <w:rPr>
                <w:sz w:val="11"/>
                <w:szCs w:val="11"/>
              </w:rPr>
            </w:pPr>
            <w:r>
              <w:rPr>
                <w:rFonts w:ascii="SimHei" w:eastAsia="SimHei" w:hAnsi="SimHei" w:cs="SimHei"/>
                <w:color w:val="6D6C83"/>
                <w:spacing w:val="0"/>
                <w:w w:val="100"/>
                <w:position w:val="0"/>
                <w:sz w:val="11"/>
                <w:szCs w:val="11"/>
              </w:rPr>
              <w:t>|</w:t>
              <w:tab/>
              <w:t>工业园区主管部门</w:t>
            </w:r>
          </w:p>
        </w:tc>
      </w:tr>
      <w:tr>
        <w:trPr>
          <w:trHeight w:val="173" w:hRule="exact"/>
        </w:trPr>
        <w:tc>
          <w:tcPr>
            <w:gridSpan w:val="2"/>
            <w:tcBorders>
              <w:top w:val="single" w:sz="4"/>
            </w:tcBorders>
            <w:shd w:val="clear" w:color="auto" w:fill="FFFFFF"/>
            <w:vAlign w:val="top"/>
          </w:tcPr>
          <w:p>
            <w:pPr>
              <w:pStyle w:val="Style27"/>
              <w:keepNext w:val="0"/>
              <w:keepLines w:val="0"/>
              <w:widowControl w:val="0"/>
              <w:shd w:val="clear" w:color="auto" w:fill="auto"/>
              <w:tabs>
                <w:tab w:pos="1622" w:val="left"/>
              </w:tabs>
              <w:bidi w:val="0"/>
              <w:spacing w:before="0" w:after="0" w:line="240" w:lineRule="auto"/>
              <w:ind w:left="0" w:right="0" w:firstLine="0"/>
              <w:jc w:val="left"/>
              <w:rPr>
                <w:sz w:val="11"/>
                <w:szCs w:val="11"/>
              </w:rPr>
            </w:pPr>
            <w:r>
              <w:rPr>
                <w:rFonts w:ascii="SimHei" w:eastAsia="SimHei" w:hAnsi="SimHei" w:cs="SimHei"/>
                <w:color w:val="433642"/>
                <w:spacing w:val="0"/>
                <w:w w:val="100"/>
                <w:position w:val="0"/>
                <w:sz w:val="11"/>
                <w:szCs w:val="11"/>
              </w:rPr>
              <w:t>[</w:t>
            </w:r>
            <w:r>
              <w:rPr>
                <w:rFonts w:ascii="SimHei" w:eastAsia="SimHei" w:hAnsi="SimHei" w:cs="SimHei"/>
                <w:color w:val="433642"/>
                <w:spacing w:val="0"/>
                <w:w w:val="100"/>
                <w:position w:val="0"/>
                <w:sz w:val="11"/>
                <w:szCs w:val="11"/>
              </w:rPr>
              <w:t>汽车编道（销曾公司等）</w:t>
              <w:tab/>
            </w:r>
            <w:r>
              <w:rPr>
                <w:rFonts w:ascii="SimHei" w:eastAsia="SimHei" w:hAnsi="SimHei" w:cs="SimHei"/>
                <w:color w:val="433642"/>
                <w:spacing w:val="0"/>
                <w:w w:val="100"/>
                <w:position w:val="0"/>
                <w:sz w:val="11"/>
                <w:szCs w:val="11"/>
              </w:rPr>
              <w:t>]</w:t>
            </w:r>
          </w:p>
        </w:tc>
        <w:tc>
          <w:tcPr>
            <w:vMerge/>
            <w:tcBorders/>
            <w:shd w:val="clear" w:color="auto" w:fill="FFFFFF"/>
            <w:vAlign w:val="top"/>
          </w:tcPr>
          <w:p>
            <w:pP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1"/>
                <w:szCs w:val="11"/>
              </w:rPr>
            </w:pPr>
            <w:r>
              <w:rPr>
                <w:rFonts w:ascii="Arial" w:eastAsia="Arial" w:hAnsi="Arial" w:cs="Arial"/>
                <w:color w:val="211D26"/>
                <w:spacing w:val="0"/>
                <w:w w:val="100"/>
                <w:position w:val="0"/>
                <w:sz w:val="11"/>
                <w:szCs w:val="11"/>
              </w:rPr>
              <w:t>ETC</w:t>
            </w:r>
            <w:r>
              <w:rPr>
                <w:rFonts w:ascii="SimHei" w:eastAsia="SimHei" w:hAnsi="SimHei" w:cs="SimHei"/>
                <w:color w:val="211D26"/>
                <w:spacing w:val="0"/>
                <w:w w:val="100"/>
                <w:position w:val="0"/>
                <w:sz w:val="11"/>
                <w:szCs w:val="11"/>
              </w:rPr>
              <w:t>湿卜巾岛客</w:t>
            </w:r>
            <w:r>
              <w:rPr>
                <w:rFonts w:ascii="SimHei" w:eastAsia="SimHei" w:hAnsi="SimHei" w:cs="SimHei"/>
                <w:color w:val="4C4E5C"/>
                <w:spacing w:val="0"/>
                <w:w w:val="100"/>
                <w:position w:val="0"/>
                <w:sz w:val="11"/>
                <w:szCs w:val="11"/>
              </w:rPr>
              <w:t>户</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1"/>
                <w:szCs w:val="11"/>
              </w:rPr>
            </w:pPr>
            <w:r>
              <w:rPr>
                <w:rFonts w:ascii="SimHei" w:eastAsia="SimHei" w:hAnsi="SimHei" w:cs="SimHei"/>
                <w:color w:val="211D26"/>
                <w:spacing w:val="0"/>
                <w:w w:val="100"/>
                <w:position w:val="0"/>
                <w:sz w:val="11"/>
                <w:szCs w:val="11"/>
              </w:rPr>
              <w:t>充电运弟</w:t>
            </w:r>
          </w:p>
        </w:tc>
        <w:tc>
          <w:tcPr>
            <w:vMerge w:val="restart"/>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4C4E5C"/>
                <w:spacing w:val="0"/>
                <w:w w:val="100"/>
                <w:position w:val="0"/>
                <w:sz w:val="11"/>
                <w:szCs w:val="11"/>
              </w:rPr>
              <w:t>1</w:t>
            </w:r>
            <w:r>
              <w:rPr>
                <w:rFonts w:ascii="SimHei" w:eastAsia="SimHei" w:hAnsi="SimHei" w:cs="SimHei"/>
                <w:color w:val="4C4E5C"/>
                <w:spacing w:val="0"/>
                <w:w w:val="100"/>
                <w:position w:val="0"/>
                <w:sz w:val="11"/>
                <w:szCs w:val="11"/>
                <w:u w:val="single"/>
              </w:rPr>
              <w:t>机场港口等交通枢纽主管部门</w:t>
            </w:r>
            <w:r>
              <w:rPr>
                <w:rFonts w:ascii="SimHei" w:eastAsia="SimHei" w:hAnsi="SimHei" w:cs="SimHei"/>
                <w:color w:val="4C4E5C"/>
                <w:spacing w:val="0"/>
                <w:w w:val="100"/>
                <w:position w:val="0"/>
                <w:sz w:val="11"/>
                <w:szCs w:val="11"/>
                <w:u w:val="single"/>
              </w:rPr>
              <w:t>]</w:t>
            </w:r>
          </w:p>
          <w:p>
            <w:pPr>
              <w:pStyle w:val="Style27"/>
              <w:keepNext w:val="0"/>
              <w:keepLines w:val="0"/>
              <w:widowControl w:val="0"/>
              <w:shd w:val="clear" w:color="auto" w:fill="auto"/>
              <w:tabs>
                <w:tab w:pos="591" w:val="left"/>
                <w:tab w:pos="1767" w:val="left"/>
              </w:tabs>
              <w:bidi w:val="0"/>
              <w:spacing w:before="0" w:after="0" w:line="240" w:lineRule="auto"/>
              <w:ind w:left="0" w:right="0" w:firstLine="140"/>
              <w:jc w:val="left"/>
              <w:rPr>
                <w:sz w:val="11"/>
                <w:szCs w:val="11"/>
              </w:rPr>
            </w:pPr>
            <w:r>
              <w:rPr>
                <w:rFonts w:ascii="Arial" w:eastAsia="Arial" w:hAnsi="Arial" w:cs="Arial"/>
                <w:color w:val="211D26"/>
                <w:spacing w:val="0"/>
                <w:w w:val="100"/>
                <w:position w:val="0"/>
                <w:sz w:val="11"/>
                <w:szCs w:val="11"/>
              </w:rPr>
              <w:t>1</w:t>
              <w:tab/>
            </w:r>
            <w:r>
              <w:rPr>
                <w:rFonts w:ascii="SimHei" w:eastAsia="SimHei" w:hAnsi="SimHei" w:cs="SimHei"/>
                <w:color w:val="211D26"/>
                <w:spacing w:val="0"/>
                <w:w w:val="100"/>
                <w:position w:val="0"/>
                <w:sz w:val="11"/>
                <w:szCs w:val="11"/>
                <w:u w:val="single"/>
              </w:rPr>
              <w:t>车联网服务商</w:t>
            </w:r>
            <w:r>
              <w:rPr>
                <w:rFonts w:ascii="SimHei" w:eastAsia="SimHei" w:hAnsi="SimHei" w:cs="SimHei"/>
                <w:color w:val="211D26"/>
                <w:spacing w:val="0"/>
                <w:w w:val="100"/>
                <w:position w:val="0"/>
                <w:sz w:val="11"/>
                <w:szCs w:val="11"/>
              </w:rPr>
              <w:tab/>
            </w:r>
            <w:r>
              <w:rPr>
                <w:rFonts w:ascii="Arial" w:eastAsia="Arial" w:hAnsi="Arial" w:cs="Arial"/>
                <w:color w:val="211D26"/>
                <w:spacing w:val="0"/>
                <w:w w:val="100"/>
                <w:position w:val="0"/>
                <w:sz w:val="11"/>
                <w:szCs w:val="11"/>
              </w:rPr>
              <w:t>I</w:t>
            </w:r>
          </w:p>
        </w:tc>
      </w:tr>
      <w:tr>
        <w:trPr>
          <w:trHeight w:val="221" w:hRule="exact"/>
        </w:trPr>
        <w:tc>
          <w:tcPr>
            <w:gridSpan w:val="2"/>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r>
    </w:tbl>
    <w:p>
      <w:pPr>
        <w:widowControl w:val="0"/>
        <w:spacing w:after="99" w:line="1" w:lineRule="exact"/>
      </w:pPr>
    </w:p>
    <w:p>
      <w:pPr>
        <w:pStyle w:val="Style34"/>
        <w:keepNext w:val="0"/>
        <w:keepLines w:val="0"/>
        <w:widowControl w:val="0"/>
        <w:shd w:val="clear" w:color="auto" w:fill="auto"/>
        <w:tabs>
          <w:tab w:pos="897" w:val="left"/>
        </w:tabs>
        <w:bidi w:val="0"/>
        <w:spacing w:before="0" w:after="40" w:line="314" w:lineRule="exact"/>
        <w:ind w:left="0" w:right="0"/>
        <w:jc w:val="left"/>
      </w:pPr>
      <w:bookmarkStart w:id="62" w:name="bookmark62"/>
      <w:r>
        <w:rPr>
          <w:b/>
          <w:bCs/>
          <w:color w:val="000000"/>
          <w:spacing w:val="0"/>
          <w:w w:val="100"/>
          <w:position w:val="0"/>
        </w:rPr>
        <w:t>（</w:t>
      </w:r>
      <w:bookmarkEnd w:id="62"/>
      <w:r>
        <w:rPr>
          <w:b/>
          <w:bCs/>
          <w:color w:val="000000"/>
          <w:spacing w:val="0"/>
          <w:w w:val="100"/>
          <w:position w:val="0"/>
        </w:rPr>
        <w:t>三）</w:t>
        <w:tab/>
        <w:t>经营模式</w:t>
      </w:r>
    </w:p>
    <w:p>
      <w:pPr>
        <w:pStyle w:val="Style34"/>
        <w:keepNext w:val="0"/>
        <w:keepLines w:val="0"/>
        <w:widowControl w:val="0"/>
        <w:shd w:val="clear" w:color="auto" w:fill="auto"/>
        <w:bidi w:val="0"/>
        <w:spacing w:before="0" w:after="40" w:line="312" w:lineRule="exact"/>
        <w:ind w:left="0" w:right="0"/>
        <w:jc w:val="left"/>
      </w:pPr>
      <w:r>
        <w:rPr>
          <w:color w:val="000000"/>
          <w:spacing w:val="0"/>
          <w:w w:val="100"/>
          <w:position w:val="0"/>
        </w:rPr>
        <w:t>公司主要以提供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的方式获取收入及利润，主要销售的产品是智慧交通的路侧设备和车载设备，以及设备配 套的软件和系统，并向客户提供产品安装调试、用户培训、售后维保等服务。报告期内，公司的主要客户包括高速公路的运 营商、系统集成商、银行，以及移动通信运营商、物业运营商、汽车厂商等。</w:t>
      </w:r>
    </w:p>
    <w:p>
      <w:pPr>
        <w:pStyle w:val="Style34"/>
        <w:keepNext w:val="0"/>
        <w:keepLines w:val="0"/>
        <w:widowControl w:val="0"/>
        <w:shd w:val="clear" w:color="auto" w:fill="auto"/>
        <w:bidi w:val="0"/>
        <w:spacing w:before="0" w:after="40" w:line="312" w:lineRule="exact"/>
        <w:ind w:left="0" w:right="0"/>
        <w:jc w:val="left"/>
      </w:pPr>
      <w:r>
        <w:rPr>
          <w:color w:val="000000"/>
          <w:spacing w:val="0"/>
          <w:w w:val="100"/>
          <w:position w:val="0"/>
        </w:rPr>
        <w:t>公司的销售模式可分为直接销售和通过招投标方式销售，并通过覆盖全国的售后和服务网络,为客户提供本地化的服务。 公司立足自主研发，拥有产品自主知识产权，生产以自有工厂为主，外协方式为辅。公司具备产品生产、销售、服务的必要 资质，并已通过企业管理、质量控制等方面的体系认证。公司通过领先的产品性能，高标准的产品质量，适当的产品价格和 高效的售后服务获得用户的认可，并奠定了在行业内的领先地位。</w:t>
      </w:r>
    </w:p>
    <w:p>
      <w:pPr>
        <w:pStyle w:val="Style34"/>
        <w:keepNext w:val="0"/>
        <w:keepLines w:val="0"/>
        <w:widowControl w:val="0"/>
        <w:shd w:val="clear" w:color="auto" w:fill="auto"/>
        <w:tabs>
          <w:tab w:pos="897" w:val="left"/>
        </w:tabs>
        <w:bidi w:val="0"/>
        <w:spacing w:before="0" w:after="40" w:line="314" w:lineRule="exact"/>
        <w:ind w:left="0" w:right="0"/>
        <w:jc w:val="both"/>
      </w:pPr>
      <w:bookmarkStart w:id="63" w:name="bookmark63"/>
      <w:r>
        <w:rPr>
          <w:b/>
          <w:bCs/>
          <w:color w:val="000000"/>
          <w:spacing w:val="0"/>
          <w:w w:val="100"/>
          <w:position w:val="0"/>
        </w:rPr>
        <w:t>（</w:t>
      </w:r>
      <w:bookmarkEnd w:id="63"/>
      <w:r>
        <w:rPr>
          <w:b/>
          <w:bCs/>
          <w:color w:val="000000"/>
          <w:spacing w:val="0"/>
          <w:w w:val="100"/>
          <w:position w:val="0"/>
        </w:rPr>
        <w:t>四）</w:t>
        <w:tab/>
        <w:t>主要业绩驱动因素</w:t>
      </w:r>
    </w:p>
    <w:p>
      <w:pPr>
        <w:pStyle w:val="Style34"/>
        <w:keepNext w:val="0"/>
        <w:keepLines w:val="0"/>
        <w:widowControl w:val="0"/>
        <w:shd w:val="clear" w:color="auto" w:fill="auto"/>
        <w:bidi w:val="0"/>
        <w:spacing w:before="0" w:after="40" w:line="314" w:lineRule="exact"/>
        <w:ind w:left="0" w:right="0"/>
        <w:jc w:val="both"/>
      </w:pPr>
      <w:r>
        <w:rPr>
          <w:color w:val="000000"/>
          <w:spacing w:val="0"/>
          <w:w w:val="100"/>
          <w:position w:val="0"/>
        </w:rPr>
        <w:t>受国家取消高速公路省界收费站的政策刺激，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年第四季度公司业绩出现超常规增长，导致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年全年业绩同比大规 模增长，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年后高速公路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行业发展逐渐进入常态，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业务贡献的业绩同比减少。此外，受 疫情等外部不利因素影响，公司城市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等新业务的市场需求释放有所滞后。报告期内，公司高速公路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设备营业 收入同比下滑，导致归属于上市公司股东的净利润同比下滑。</w:t>
      </w:r>
    </w:p>
    <w:p>
      <w:pPr>
        <w:pStyle w:val="Style34"/>
        <w:keepNext w:val="0"/>
        <w:keepLines w:val="0"/>
        <w:widowControl w:val="0"/>
        <w:shd w:val="clear" w:color="auto" w:fill="auto"/>
        <w:tabs>
          <w:tab w:pos="897" w:val="left"/>
        </w:tabs>
        <w:bidi w:val="0"/>
        <w:spacing w:before="0" w:after="40" w:line="314" w:lineRule="exact"/>
        <w:ind w:left="0" w:right="0"/>
        <w:jc w:val="left"/>
      </w:pPr>
      <w:bookmarkStart w:id="64" w:name="bookmark64"/>
      <w:r>
        <w:rPr>
          <w:b/>
          <w:bCs/>
          <w:color w:val="000000"/>
          <w:spacing w:val="0"/>
          <w:w w:val="100"/>
          <w:position w:val="0"/>
        </w:rPr>
        <w:t>（</w:t>
      </w:r>
      <w:bookmarkEnd w:id="64"/>
      <w:r>
        <w:rPr>
          <w:b/>
          <w:bCs/>
          <w:color w:val="000000"/>
          <w:spacing w:val="0"/>
          <w:w w:val="100"/>
          <w:position w:val="0"/>
        </w:rPr>
        <w:t>五）</w:t>
        <w:tab/>
        <w:t>公司所处行业发展阶段、周期性特点以及公司所处的行业地位</w:t>
      </w:r>
    </w:p>
    <w:p>
      <w:pPr>
        <w:pStyle w:val="Style34"/>
        <w:keepNext w:val="0"/>
        <w:keepLines w:val="0"/>
        <w:widowControl w:val="0"/>
        <w:shd w:val="clear" w:color="auto" w:fill="auto"/>
        <w:bidi w:val="0"/>
        <w:spacing w:before="0" w:after="40" w:line="314" w:lineRule="exact"/>
        <w:ind w:left="0" w:right="0"/>
        <w:jc w:val="both"/>
      </w:pPr>
      <w:bookmarkStart w:id="65" w:name="bookmark65"/>
      <w:r>
        <w:rPr>
          <w:rFonts w:ascii="Times New Roman" w:eastAsia="Times New Roman" w:hAnsi="Times New Roman" w:cs="Times New Roman"/>
          <w:b/>
          <w:bCs/>
          <w:color w:val="000000"/>
          <w:spacing w:val="0"/>
          <w:w w:val="100"/>
          <w:position w:val="0"/>
          <w:sz w:val="18"/>
          <w:szCs w:val="18"/>
        </w:rPr>
        <w:t>1</w:t>
      </w:r>
      <w:bookmarkEnd w:id="65"/>
      <w:r>
        <w:rPr>
          <w:b/>
          <w:bCs/>
          <w:color w:val="000000"/>
          <w:spacing w:val="0"/>
          <w:w w:val="100"/>
          <w:position w:val="0"/>
        </w:rPr>
        <w:t>、公司所处的行业发展阶段</w:t>
      </w:r>
    </w:p>
    <w:p>
      <w:pPr>
        <w:pStyle w:val="Style34"/>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的发展取得举世瞩目的成就，随着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年取消省界收费站工程的成功实施，</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在中国得到了大规模 普及，中国</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万公里联网的一张大网和超过</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亿的用户，成为全球第一大公路收费网络，但</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收费网络从建成到 完善预计仍将持续一段时间，新的收费系统和网络对设备提出了更高的要求，从车载标签到路侧天线仍需不断升级迭代， </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设备厂商需要不断提高产品的识别准确率、抗干扰能力和使用寿命，以支持</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收费系统运营效率和客户体验的进一步 提升，随着未来新一代设备的推出，</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标签和天线可能将迎来新一轮的升级和更换需求，为</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企业提供持续的市场空间。 此外虽然</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用户已经超过</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亿，但未安装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标签的存量汽车尤其是货车仍有相当的数量，</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的普及率的持续提高仍将 得到政策的长期支持。</w:t>
      </w:r>
    </w:p>
    <w:p>
      <w:pPr>
        <w:pStyle w:val="Style34"/>
        <w:keepNext w:val="0"/>
        <w:keepLines w:val="0"/>
        <w:widowControl w:val="0"/>
        <w:shd w:val="clear" w:color="auto" w:fill="auto"/>
        <w:bidi w:val="0"/>
        <w:spacing w:before="0" w:after="40" w:line="314"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的大规模普及，未来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在智慧交通领域将发挥更大的作用，</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的发展将进入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阶段，在这个时期，</w:t>
      </w:r>
      <w:r>
        <w:rPr>
          <w:rFonts w:ascii="Times New Roman" w:eastAsia="Times New Roman" w:hAnsi="Times New Roman" w:cs="Times New Roman"/>
          <w:color w:val="000000"/>
          <w:spacing w:val="0"/>
          <w:w w:val="100"/>
          <w:position w:val="0"/>
          <w:sz w:val="18"/>
          <w:szCs w:val="18"/>
        </w:rPr>
        <w:t>ETC+</w:t>
        <w:br w:type="page"/>
      </w:r>
      <w:r>
        <w:rPr>
          <w:color w:val="000000"/>
          <w:spacing w:val="0"/>
          <w:w w:val="100"/>
          <w:position w:val="0"/>
        </w:rPr>
        <w:t>功能、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服务是行业发展的主要方向。在城市领域，全国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车辆的庞大用户群，为</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向高速以外的场景拓展 应用奠定了坚实的基础，</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将从高速公路不停车收费走向城市更广泛的应用场景，包括城市智慧停车、城市交通管理、汽 车后消费市场等方向延伸，对</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相关设备的需求将持续增长。城市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领域的广阔市场为产业链各方包括</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支付运营商， 停车场和加油站等的系统集成商、运营商以及</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设备厂商，提供了巨大的机遇。目前产业链各方已展开应用试点，开始建 立合作关系、引导用户需求、建立商业模式，随着产业链各方协同的加强，市场将迎来较快增长。</w:t>
      </w:r>
    </w:p>
    <w:p>
      <w:pPr>
        <w:pStyle w:val="Style34"/>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作为智能交通及智能网联汽车的发展方向，经过这几年的探索，已成为国家、社会资本以及交通行业、汽车行业的 普遍共识。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日，国家发改委、工信部、科技部等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个部委联合发布《智能汽车创新发展战略》</w:t>
      </w:r>
      <w:r>
        <w:rPr>
          <w:color w:val="000000"/>
          <w:spacing w:val="0"/>
          <w:w w:val="100"/>
          <w:position w:val="0"/>
          <w:sz w:val="18"/>
          <w:szCs w:val="18"/>
        </w:rPr>
        <w:t>，</w:t>
      </w:r>
      <w:r>
        <w:rPr>
          <w:color w:val="000000"/>
          <w:spacing w:val="0"/>
          <w:w w:val="100"/>
          <w:position w:val="0"/>
        </w:rPr>
        <w:t>战略的出台明确 了中国</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产业的发展路径和时间节点，</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产业正式列入新基建的范畴，目前</w:t>
      </w:r>
      <w:r>
        <w:rPr>
          <w:rFonts w:ascii="Times New Roman" w:eastAsia="Times New Roman" w:hAnsi="Times New Roman" w:cs="Times New Roman"/>
          <w:color w:val="000000"/>
          <w:spacing w:val="0"/>
          <w:w w:val="100"/>
          <w:position w:val="0"/>
          <w:sz w:val="18"/>
          <w:szCs w:val="18"/>
        </w:rPr>
        <w:t>LTE-V2X</w:t>
      </w:r>
      <w:r>
        <w:rPr>
          <w:color w:val="000000"/>
          <w:spacing w:val="0"/>
          <w:w w:val="100"/>
          <w:position w:val="0"/>
        </w:rPr>
        <w:t>标准体系基本建成，产业链中的芯 片、终端、平台、应用基本成熟</w:t>
      </w:r>
      <w:r>
        <w:rPr>
          <w:color w:val="000000"/>
          <w:spacing w:val="0"/>
          <w:w w:val="100"/>
          <w:position w:val="0"/>
          <w:sz w:val="18"/>
          <w:szCs w:val="18"/>
        </w:rPr>
        <w:t>，</w:t>
      </w:r>
      <w:r>
        <w:rPr>
          <w:color w:val="000000"/>
          <w:spacing w:val="0"/>
          <w:w w:val="100"/>
          <w:position w:val="0"/>
        </w:rPr>
        <w:t>在政策的大力度推动及社会资本的积极参与下，已经有越来越多的</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试点示范项目落 地，越来越多的示范区向先导区转型，示范应用的规模大幅提升，此外已经有越来越多的车企制定了支持</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的汽车量产 计划，但目前</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的发展仍处于早期阶段</w:t>
      </w:r>
      <w:r>
        <w:rPr>
          <w:color w:val="000000"/>
          <w:spacing w:val="0"/>
          <w:w w:val="100"/>
          <w:position w:val="0"/>
          <w:sz w:val="18"/>
          <w:szCs w:val="18"/>
        </w:rPr>
        <w:t>，</w:t>
      </w:r>
      <w:r>
        <w:rPr>
          <w:color w:val="000000"/>
          <w:spacing w:val="0"/>
          <w:w w:val="100"/>
          <w:position w:val="0"/>
        </w:rPr>
        <w:t>大部分试点示范项目目前仍处于项目的方案编制及前期准备阶段，未进入大规模 实施阶段，随着各地项目实施的深入，市场将迎来较快增长。</w:t>
      </w:r>
    </w:p>
    <w:p>
      <w:pPr>
        <w:pStyle w:val="Style34"/>
        <w:keepNext w:val="0"/>
        <w:keepLines w:val="0"/>
        <w:widowControl w:val="0"/>
        <w:shd w:val="clear" w:color="auto" w:fill="auto"/>
        <w:tabs>
          <w:tab w:pos="686" w:val="left"/>
        </w:tabs>
        <w:bidi w:val="0"/>
        <w:spacing w:before="0" w:after="40" w:line="312" w:lineRule="exact"/>
        <w:ind w:left="0" w:right="0"/>
        <w:jc w:val="both"/>
      </w:pPr>
      <w:bookmarkStart w:id="66" w:name="bookmark66"/>
      <w:r>
        <w:rPr>
          <w:rFonts w:ascii="Times New Roman" w:eastAsia="Times New Roman" w:hAnsi="Times New Roman" w:cs="Times New Roman"/>
          <w:b/>
          <w:bCs/>
          <w:color w:val="000000"/>
          <w:spacing w:val="0"/>
          <w:w w:val="100"/>
          <w:position w:val="0"/>
          <w:sz w:val="18"/>
          <w:szCs w:val="18"/>
        </w:rPr>
        <w:t>2</w:t>
      </w:r>
      <w:bookmarkEnd w:id="66"/>
      <w:r>
        <w:rPr>
          <w:b/>
          <w:bCs/>
          <w:color w:val="000000"/>
          <w:spacing w:val="0"/>
          <w:w w:val="100"/>
          <w:position w:val="0"/>
        </w:rPr>
        <w:t>、</w:t>
        <w:tab/>
        <w:t>行业的周期性、季节性特征</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智慧交通行业属于技术密集型产业，行业受政府对交通基础设施建设的影响，随着宏观经济周期波动而呈现一定的周期 性变化。我国城市智慧交通行业正处于成长期，政府正加大投资力度建设交通基础设施，其市场规模正呈现较快增长趋势， 行业将处于较长的景气周期中。</w:t>
      </w:r>
    </w:p>
    <w:p>
      <w:pPr>
        <w:pStyle w:val="Style34"/>
        <w:keepNext w:val="0"/>
        <w:keepLines w:val="0"/>
        <w:widowControl w:val="0"/>
        <w:shd w:val="clear" w:color="auto" w:fill="auto"/>
        <w:bidi w:val="0"/>
        <w:spacing w:before="0" w:after="40" w:line="324" w:lineRule="exact"/>
        <w:ind w:left="0" w:right="0"/>
        <w:jc w:val="both"/>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业务、城市智能网联项目的主要客户为交通部门、高速公路管理局等类政府机构，该类客户通常有着严格 的投资计划、资金安排、工期安排等管理流程，因此订单在年内分布不均衡，本行业存在一定的季节性特征。</w:t>
      </w:r>
    </w:p>
    <w:p>
      <w:pPr>
        <w:pStyle w:val="Style34"/>
        <w:keepNext w:val="0"/>
        <w:keepLines w:val="0"/>
        <w:widowControl w:val="0"/>
        <w:shd w:val="clear" w:color="auto" w:fill="auto"/>
        <w:bidi w:val="0"/>
        <w:spacing w:before="0" w:after="40" w:line="324" w:lineRule="exact"/>
        <w:ind w:left="0" w:right="0"/>
        <w:jc w:val="both"/>
      </w:pPr>
      <w:r>
        <w:rPr>
          <w:color w:val="000000"/>
          <w:spacing w:val="0"/>
          <w:w w:val="100"/>
          <w:position w:val="0"/>
        </w:rPr>
        <w:t>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车载设备市场处于大规模应用的初级阶段，未来长期处于增长阶段，目前没有显著的周期性和季节 性特征。</w:t>
      </w:r>
    </w:p>
    <w:p>
      <w:pPr>
        <w:pStyle w:val="Style34"/>
        <w:keepNext w:val="0"/>
        <w:keepLines w:val="0"/>
        <w:widowControl w:val="0"/>
        <w:shd w:val="clear" w:color="auto" w:fill="auto"/>
        <w:tabs>
          <w:tab w:pos="686" w:val="left"/>
        </w:tabs>
        <w:bidi w:val="0"/>
        <w:spacing w:before="0" w:after="40" w:line="312" w:lineRule="exact"/>
        <w:ind w:left="0" w:right="0"/>
        <w:jc w:val="both"/>
      </w:pPr>
      <w:bookmarkStart w:id="67" w:name="bookmark67"/>
      <w:r>
        <w:rPr>
          <w:rFonts w:ascii="Times New Roman" w:eastAsia="Times New Roman" w:hAnsi="Times New Roman" w:cs="Times New Roman"/>
          <w:b/>
          <w:bCs/>
          <w:color w:val="000000"/>
          <w:spacing w:val="0"/>
          <w:w w:val="100"/>
          <w:position w:val="0"/>
          <w:sz w:val="18"/>
          <w:szCs w:val="18"/>
        </w:rPr>
        <w:t>3</w:t>
      </w:r>
      <w:bookmarkEnd w:id="67"/>
      <w:r>
        <w:rPr>
          <w:b/>
          <w:bCs/>
          <w:color w:val="000000"/>
          <w:spacing w:val="0"/>
          <w:w w:val="100"/>
          <w:position w:val="0"/>
        </w:rPr>
        <w:t>、</w:t>
        <w:tab/>
        <w:t>公司的行业地位</w:t>
      </w:r>
    </w:p>
    <w:p>
      <w:pPr>
        <w:pStyle w:val="Style34"/>
        <w:keepNext w:val="0"/>
        <w:keepLines w:val="0"/>
        <w:widowControl w:val="0"/>
        <w:shd w:val="clear" w:color="auto" w:fill="auto"/>
        <w:bidi w:val="0"/>
        <w:spacing w:before="0" w:after="40" w:line="310" w:lineRule="exact"/>
        <w:ind w:left="0" w:right="0"/>
        <w:jc w:val="both"/>
      </w:pPr>
      <w:r>
        <w:rPr>
          <w:color w:val="000000"/>
          <w:spacing w:val="0"/>
          <w:w w:val="100"/>
          <w:position w:val="0"/>
        </w:rPr>
        <w:t>国内智慧交通行业的竞争格局主要呈现出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市场集中度较高，少数几家优势企业占据行业内绝大部分市场份额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的特点。 公司在高速公路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产品市场具有优势。目前在细分市场的占有率较高，业务遍布全国。公司依托自身的品牌优势、技术优 势与营销服务优势，已经走在了细分行业的前列。未来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将走向更多样化的市场需求，公司作为拥有完善的销售渠道和服 务渠道、完整研发和生产线的大型厂商将占有更有利的市场地位。</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在城市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领域，公司已经有成熟的</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停车产品并实现了多年的规模化销售，公司的</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加油产品在多个省市完成开 发并试点应用，公司一直走在</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拓展应用的市场前端。</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车路协同领域，产业链较长，参与企业较多，目前市场竞争格局还未确定。公司系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交通运输部智能车路协同关 键技术及装备行业研发中心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成员单位，公司在高速</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的领先地位对公司拓展智慧公路和</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路侧产品有积极帮助，公司 在</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前装产品与众多汽车厂商、车厂供应商的合作有助于公司</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车载产品的拓展。</w:t>
      </w:r>
    </w:p>
    <w:p>
      <w:pPr>
        <w:pStyle w:val="Style34"/>
        <w:keepNext w:val="0"/>
        <w:keepLines w:val="0"/>
        <w:widowControl w:val="0"/>
        <w:shd w:val="clear" w:color="auto" w:fill="auto"/>
        <w:tabs>
          <w:tab w:pos="686" w:val="left"/>
        </w:tabs>
        <w:bidi w:val="0"/>
        <w:spacing w:before="0" w:after="40" w:line="312" w:lineRule="exact"/>
        <w:ind w:left="0" w:right="0"/>
        <w:jc w:val="both"/>
      </w:pPr>
      <w:bookmarkStart w:id="68" w:name="bookmark68"/>
      <w:r>
        <w:rPr>
          <w:rFonts w:ascii="Times New Roman" w:eastAsia="Times New Roman" w:hAnsi="Times New Roman" w:cs="Times New Roman"/>
          <w:b/>
          <w:bCs/>
          <w:color w:val="000000"/>
          <w:spacing w:val="0"/>
          <w:w w:val="100"/>
          <w:position w:val="0"/>
          <w:sz w:val="18"/>
          <w:szCs w:val="18"/>
        </w:rPr>
        <w:t>4</w:t>
      </w:r>
      <w:bookmarkEnd w:id="68"/>
      <w:r>
        <w:rPr>
          <w:b/>
          <w:bCs/>
          <w:color w:val="000000"/>
          <w:spacing w:val="0"/>
          <w:w w:val="100"/>
          <w:position w:val="0"/>
        </w:rPr>
        <w:t>、</w:t>
        <w:tab/>
        <w:t>公司所处行业的产业链分析</w:t>
      </w:r>
    </w:p>
    <w:p>
      <w:pPr>
        <w:pStyle w:val="Style34"/>
        <w:keepNext w:val="0"/>
        <w:keepLines w:val="0"/>
        <w:widowControl w:val="0"/>
        <w:shd w:val="clear" w:color="auto" w:fill="auto"/>
        <w:bidi w:val="0"/>
        <w:spacing w:before="0" w:after="40" w:line="307" w:lineRule="exact"/>
        <w:ind w:left="0" w:right="0"/>
        <w:jc w:val="both"/>
      </w:pPr>
      <w:r>
        <w:rPr>
          <w:color w:val="000000"/>
          <w:spacing w:val="0"/>
          <w:w w:val="100"/>
          <w:position w:val="0"/>
        </w:rPr>
        <w:t>智慧交通行业的上游行业主要为电子元器件、集成电路、电池、塑胶、五金压铸件等行业；下游行业为高速公路运营、 交通管理、汽车及后服务以及物业管理运营等。</w:t>
      </w:r>
    </w:p>
    <w:p>
      <w:pPr>
        <w:pStyle w:val="Style34"/>
        <w:keepNext w:val="0"/>
        <w:keepLines w:val="0"/>
        <w:widowControl w:val="0"/>
        <w:numPr>
          <w:ilvl w:val="0"/>
          <w:numId w:val="1"/>
        </w:numPr>
        <w:shd w:val="clear" w:color="auto" w:fill="auto"/>
        <w:tabs>
          <w:tab w:pos="774" w:val="left"/>
        </w:tabs>
        <w:bidi w:val="0"/>
        <w:spacing w:before="0" w:after="40" w:line="312" w:lineRule="exact"/>
        <w:ind w:left="0" w:right="0"/>
        <w:jc w:val="both"/>
      </w:pPr>
      <w:bookmarkStart w:id="69" w:name="bookmark69"/>
      <w:bookmarkEnd w:id="69"/>
      <w:r>
        <w:rPr>
          <w:b/>
          <w:bCs/>
          <w:color w:val="000000"/>
          <w:spacing w:val="0"/>
          <w:w w:val="100"/>
          <w:position w:val="0"/>
        </w:rPr>
        <w:t>上游行业的发展状况及对本行业的影响</w:t>
      </w:r>
    </w:p>
    <w:p>
      <w:pPr>
        <w:pStyle w:val="Style34"/>
        <w:keepNext w:val="0"/>
        <w:keepLines w:val="0"/>
        <w:widowControl w:val="0"/>
        <w:shd w:val="clear" w:color="auto" w:fill="auto"/>
        <w:bidi w:val="0"/>
        <w:spacing w:before="0" w:after="40" w:line="307" w:lineRule="exact"/>
        <w:ind w:left="0" w:right="0"/>
        <w:jc w:val="both"/>
      </w:pPr>
      <w:r>
        <w:rPr>
          <w:color w:val="000000"/>
          <w:spacing w:val="0"/>
          <w:w w:val="100"/>
          <w:position w:val="0"/>
        </w:rPr>
        <w:t>电子元器件、集成电路以及电池等电子设备制造行业由于厂商众多，竞争激烈，产品总体上供大于求，大部分产品价格 呈现稳中有降的趋势，同时，具有行业优势地位的企业可以利用自身采购的规模优势与上游企业进行谈判，进而获得低于同 行业的产品价格、稳定的货源和可靠的产品质量。当前经济回暖，市场对电子元器件需求增加，导致部分芯片、贵重金属相 关的</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等金属件以及阻容件价格略有上涨。</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塑胶、五金压铸件等原材料会受到原材料价格波动的影响，行业产品毛利率水平会有一定的波动。智慧交通产品中塑胶、 五金压铸件等原材料所占设备成本的比例较小。</w:t>
      </w:r>
    </w:p>
    <w:p>
      <w:pPr>
        <w:pStyle w:val="Style34"/>
        <w:keepNext w:val="0"/>
        <w:keepLines w:val="0"/>
        <w:widowControl w:val="0"/>
        <w:numPr>
          <w:ilvl w:val="0"/>
          <w:numId w:val="1"/>
        </w:numPr>
        <w:shd w:val="clear" w:color="auto" w:fill="auto"/>
        <w:tabs>
          <w:tab w:pos="774" w:val="left"/>
        </w:tabs>
        <w:bidi w:val="0"/>
        <w:spacing w:before="0" w:after="40" w:line="312" w:lineRule="exact"/>
        <w:ind w:left="0" w:right="0"/>
        <w:jc w:val="both"/>
      </w:pPr>
      <w:bookmarkStart w:id="70" w:name="bookmark70"/>
      <w:bookmarkEnd w:id="70"/>
      <w:r>
        <w:rPr>
          <w:b/>
          <w:bCs/>
          <w:color w:val="000000"/>
          <w:spacing w:val="0"/>
          <w:w w:val="100"/>
          <w:position w:val="0"/>
        </w:rPr>
        <w:t>下游行业的发展状况及对本行业的影响</w:t>
      </w:r>
    </w:p>
    <w:p>
      <w:pPr>
        <w:pStyle w:val="Style34"/>
        <w:keepNext w:val="0"/>
        <w:keepLines w:val="0"/>
        <w:widowControl w:val="0"/>
        <w:shd w:val="clear" w:color="auto" w:fill="auto"/>
        <w:bidi w:val="0"/>
        <w:spacing w:before="0" w:after="720" w:line="312" w:lineRule="exact"/>
        <w:ind w:left="0" w:right="0"/>
        <w:jc w:val="both"/>
      </w:pPr>
      <w:r>
        <w:rPr>
          <w:color w:val="000000"/>
          <w:spacing w:val="0"/>
          <w:w w:val="100"/>
          <w:position w:val="0"/>
        </w:rPr>
        <w:t>高速公路运营、交通管理、汽车及后服务以及物业运营管理等对智慧交通产品的需求主要受到交通基础设施投资额、汽</w:t>
        <w:br w:type="page"/>
      </w:r>
      <w:r>
        <w:rPr>
          <w:color w:val="000000"/>
          <w:spacing w:val="0"/>
          <w:w w:val="100"/>
          <w:position w:val="0"/>
        </w:rPr>
        <w:t>车保有量以及物业管理行业发展等因素的影响。随着本细分行业技术水平的不断进步，智慧交通行业的应用领域也在不断的 拓展，包括智能停车、加油充电无感支付、治理交通拥堵、</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无人驾驶等领域，其下游行业的数量将随着智慧交通产品新 的应用领域的拓展而不断的增加。</w:t>
      </w:r>
    </w:p>
    <w:p>
      <w:pPr>
        <w:pStyle w:val="Style30"/>
        <w:keepNext/>
        <w:keepLines/>
        <w:widowControl w:val="0"/>
        <w:shd w:val="clear" w:color="auto" w:fill="auto"/>
        <w:bidi w:val="0"/>
        <w:spacing w:before="0" w:after="36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sz w:val="24"/>
          <w:szCs w:val="24"/>
        </w:rPr>
        <w:t>二</w:t>
      </w:r>
      <w:bookmarkEnd w:id="73"/>
      <w:r>
        <w:rPr>
          <w:color w:val="000000"/>
          <w:spacing w:val="0"/>
          <w:w w:val="100"/>
          <w:position w:val="0"/>
          <w:sz w:val="24"/>
          <w:szCs w:val="24"/>
        </w:rPr>
        <w:t>、主要资产重大变化情况</w:t>
      </w:r>
      <w:bookmarkEnd w:id="71"/>
      <w:bookmarkEnd w:id="72"/>
      <w:bookmarkEnd w:id="74"/>
    </w:p>
    <w:p>
      <w:pPr>
        <w:pStyle w:val="Style37"/>
        <w:keepNext/>
        <w:keepLines/>
        <w:widowControl w:val="0"/>
        <w:shd w:val="clear" w:color="auto" w:fill="auto"/>
        <w:bidi w:val="0"/>
        <w:spacing w:before="0" w:after="320" w:line="240" w:lineRule="auto"/>
        <w:ind w:left="0" w:right="0" w:firstLine="0"/>
        <w:jc w:val="both"/>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1</w:t>
      </w:r>
      <w:bookmarkEnd w:id="77"/>
      <w:r>
        <w:rPr>
          <w:color w:val="000000"/>
          <w:spacing w:val="0"/>
          <w:w w:val="100"/>
          <w:position w:val="0"/>
        </w:rPr>
        <w:t>、主要资产重大变化情况</w:t>
      </w:r>
      <w:bookmarkEnd w:id="75"/>
      <w:bookmarkEnd w:id="76"/>
      <w:bookmarkEnd w:id="78"/>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报告期内固定资产同比增加</w:t>
            </w:r>
            <w:r>
              <w:rPr>
                <w:rFonts w:ascii="Times New Roman" w:eastAsia="Times New Roman" w:hAnsi="Times New Roman" w:cs="Times New Roman"/>
                <w:color w:val="000000"/>
                <w:spacing w:val="0"/>
                <w:w w:val="100"/>
                <w:position w:val="0"/>
                <w:sz w:val="18"/>
                <w:szCs w:val="18"/>
              </w:rPr>
              <w:t>76.55%</w:t>
            </w:r>
            <w:r>
              <w:rPr>
                <w:color w:val="000000"/>
                <w:spacing w:val="0"/>
                <w:w w:val="100"/>
                <w:position w:val="0"/>
              </w:rPr>
              <w:t>，主要系本报告期佛山基地项目建设完工转固定 资产所致。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报告期内在建工程同比减少</w:t>
            </w:r>
            <w:r>
              <w:rPr>
                <w:rFonts w:ascii="Times New Roman" w:eastAsia="Times New Roman" w:hAnsi="Times New Roman" w:cs="Times New Roman"/>
                <w:color w:val="000000"/>
                <w:spacing w:val="0"/>
                <w:w w:val="100"/>
                <w:position w:val="0"/>
                <w:sz w:val="18"/>
                <w:szCs w:val="18"/>
              </w:rPr>
              <w:t>95.54%</w:t>
            </w:r>
            <w:r>
              <w:rPr>
                <w:color w:val="000000"/>
                <w:spacing w:val="0"/>
                <w:w w:val="100"/>
                <w:position w:val="0"/>
              </w:rPr>
              <w:t>，主要系本报告期佛山基地项目建设完工转固定 资产所致。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报告期内应收票据同比减少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，主要系本报告期商业汇票到期进账所致。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报告期内应收账款同比减少</w:t>
            </w:r>
            <w:r>
              <w:rPr>
                <w:rFonts w:ascii="Times New Roman" w:eastAsia="Times New Roman" w:hAnsi="Times New Roman" w:cs="Times New Roman"/>
                <w:color w:val="000000"/>
                <w:spacing w:val="0"/>
                <w:w w:val="100"/>
                <w:position w:val="0"/>
                <w:sz w:val="18"/>
                <w:szCs w:val="18"/>
              </w:rPr>
              <w:t>40.46%</w:t>
            </w:r>
            <w:r>
              <w:rPr>
                <w:color w:val="000000"/>
                <w:spacing w:val="0"/>
                <w:w w:val="100"/>
                <w:position w:val="0"/>
              </w:rPr>
              <w:t>，主要系本报告期营业收入同比减少所致。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报告期内应收款项融资同比减少</w:t>
            </w:r>
            <w:r>
              <w:rPr>
                <w:rFonts w:ascii="Times New Roman" w:eastAsia="Times New Roman" w:hAnsi="Times New Roman" w:cs="Times New Roman"/>
                <w:color w:val="000000"/>
                <w:spacing w:val="0"/>
                <w:w w:val="100"/>
                <w:position w:val="0"/>
                <w:sz w:val="18"/>
                <w:szCs w:val="18"/>
              </w:rPr>
              <w:t>76.55%</w:t>
            </w:r>
            <w:r>
              <w:rPr>
                <w:color w:val="000000"/>
                <w:spacing w:val="0"/>
                <w:w w:val="100"/>
                <w:position w:val="0"/>
              </w:rPr>
              <w:t>，主要系本报告期银行承兑汇票到期进账所 致。</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报告期内预付款项同比减少</w:t>
            </w:r>
            <w:r>
              <w:rPr>
                <w:rFonts w:ascii="Times New Roman" w:eastAsia="Times New Roman" w:hAnsi="Times New Roman" w:cs="Times New Roman"/>
                <w:color w:val="000000"/>
                <w:spacing w:val="0"/>
                <w:w w:val="100"/>
                <w:position w:val="0"/>
                <w:sz w:val="18"/>
                <w:szCs w:val="18"/>
              </w:rPr>
              <w:t>40.91%</w:t>
            </w:r>
            <w:r>
              <w:rPr>
                <w:color w:val="000000"/>
                <w:spacing w:val="0"/>
                <w:w w:val="100"/>
                <w:position w:val="0"/>
              </w:rPr>
              <w:t>，主要系本报告期预付采购款减少所致。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报告期内其他应收款同比减少</w:t>
            </w:r>
            <w:r>
              <w:rPr>
                <w:rFonts w:ascii="Times New Roman" w:eastAsia="Times New Roman" w:hAnsi="Times New Roman" w:cs="Times New Roman"/>
                <w:color w:val="000000"/>
                <w:spacing w:val="0"/>
                <w:w w:val="100"/>
                <w:position w:val="0"/>
                <w:sz w:val="18"/>
                <w:szCs w:val="18"/>
              </w:rPr>
              <w:t>54.21%</w:t>
            </w:r>
            <w:r>
              <w:rPr>
                <w:color w:val="000000"/>
                <w:spacing w:val="0"/>
                <w:w w:val="100"/>
                <w:position w:val="0"/>
              </w:rPr>
              <w:t>，主要系本报告期末应收的软件退税款同比减 少所致。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报告期内存货同比减少</w:t>
            </w:r>
            <w:r>
              <w:rPr>
                <w:rFonts w:ascii="Times New Roman" w:eastAsia="Times New Roman" w:hAnsi="Times New Roman" w:cs="Times New Roman"/>
                <w:color w:val="000000"/>
                <w:spacing w:val="0"/>
                <w:w w:val="100"/>
                <w:position w:val="0"/>
                <w:sz w:val="18"/>
                <w:szCs w:val="18"/>
              </w:rPr>
              <w:t>58.58%</w:t>
            </w:r>
            <w:r>
              <w:rPr>
                <w:color w:val="000000"/>
                <w:spacing w:val="0"/>
                <w:w w:val="100"/>
                <w:position w:val="0"/>
              </w:rPr>
              <w:t>，主要系本报告期公司为应对市场需求减少备货所 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报告期内合同资产同比增加</w:t>
            </w:r>
            <w:r>
              <w:rPr>
                <w:rFonts w:ascii="Times New Roman" w:eastAsia="Times New Roman" w:hAnsi="Times New Roman" w:cs="Times New Roman"/>
                <w:color w:val="000000"/>
                <w:spacing w:val="0"/>
                <w:w w:val="100"/>
                <w:position w:val="0"/>
                <w:sz w:val="18"/>
                <w:szCs w:val="18"/>
              </w:rPr>
              <w:t>7,576.70</w:t>
            </w:r>
            <w:r>
              <w:rPr>
                <w:color w:val="000000"/>
                <w:spacing w:val="0"/>
                <w:w w:val="100"/>
                <w:position w:val="0"/>
              </w:rPr>
              <w:t>万元，主要系本报告期根据新收入准则规定将 未到期的且在一年以内的应收质保金货款重分类至合同资产所致。</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报告期内其他流动资产同比减少</w:t>
            </w:r>
            <w:r>
              <w:rPr>
                <w:rFonts w:ascii="Times New Roman" w:eastAsia="Times New Roman" w:hAnsi="Times New Roman" w:cs="Times New Roman"/>
                <w:color w:val="000000"/>
                <w:spacing w:val="0"/>
                <w:w w:val="100"/>
                <w:position w:val="0"/>
                <w:sz w:val="18"/>
                <w:szCs w:val="18"/>
              </w:rPr>
              <w:t>71.71%</w:t>
            </w:r>
            <w:r>
              <w:rPr>
                <w:color w:val="000000"/>
                <w:spacing w:val="0"/>
                <w:w w:val="100"/>
                <w:position w:val="0"/>
              </w:rPr>
              <w:t>，主要系本报告期末可抵扣进项税额同比减 少所致。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报告期内递延所得税资产同比增加</w:t>
            </w:r>
            <w:r>
              <w:rPr>
                <w:rFonts w:ascii="Times New Roman" w:eastAsia="Times New Roman" w:hAnsi="Times New Roman" w:cs="Times New Roman"/>
                <w:color w:val="000000"/>
                <w:spacing w:val="0"/>
                <w:w w:val="100"/>
                <w:position w:val="0"/>
                <w:sz w:val="18"/>
                <w:szCs w:val="18"/>
              </w:rPr>
              <w:t>60.85%</w:t>
            </w:r>
            <w:r>
              <w:rPr>
                <w:color w:val="000000"/>
                <w:spacing w:val="0"/>
                <w:w w:val="100"/>
                <w:position w:val="0"/>
              </w:rPr>
              <w:t>，主要系本报告期计提的预计负债形成的 可抵扣暂时性差异增加所致。</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报告期内其他非流动资产同比增加</w:t>
            </w:r>
            <w:r>
              <w:rPr>
                <w:rFonts w:ascii="Times New Roman" w:eastAsia="Times New Roman" w:hAnsi="Times New Roman" w:cs="Times New Roman"/>
                <w:color w:val="000000"/>
                <w:spacing w:val="0"/>
                <w:w w:val="100"/>
                <w:position w:val="0"/>
                <w:sz w:val="18"/>
                <w:szCs w:val="18"/>
              </w:rPr>
              <w:t>82.76%</w:t>
            </w:r>
            <w:r>
              <w:rPr>
                <w:color w:val="000000"/>
                <w:spacing w:val="0"/>
                <w:w w:val="100"/>
                <w:position w:val="0"/>
              </w:rPr>
              <w:t>，主要系本报告期根据新收入准则规定将 未到期的且在一年以上的应收质保金货款重分类至其他非流动资产所致。</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、主要境外资产情况</w:t>
      </w:r>
      <w:bookmarkEnd w:id="79"/>
      <w:bookmarkEnd w:id="80"/>
      <w:bookmarkEnd w:id="82"/>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三</w:t>
      </w:r>
      <w:bookmarkEnd w:id="85"/>
      <w:r>
        <w:rPr>
          <w:color w:val="000000"/>
          <w:spacing w:val="0"/>
          <w:w w:val="100"/>
          <w:position w:val="0"/>
          <w:sz w:val="24"/>
          <w:szCs w:val="24"/>
        </w:rPr>
        <w:t>、核心竞争力分析</w:t>
      </w:r>
      <w:bookmarkEnd w:id="83"/>
      <w:bookmarkEnd w:id="84"/>
      <w:bookmarkEnd w:id="86"/>
    </w:p>
    <w:p>
      <w:pPr>
        <w:pStyle w:val="Style34"/>
        <w:keepNext w:val="0"/>
        <w:keepLines w:val="0"/>
        <w:widowControl w:val="0"/>
        <w:shd w:val="clear" w:color="auto" w:fill="auto"/>
        <w:tabs>
          <w:tab w:pos="672" w:val="left"/>
        </w:tabs>
        <w:bidi w:val="0"/>
        <w:spacing w:before="0" w:after="0" w:line="313" w:lineRule="exact"/>
        <w:ind w:left="0" w:right="0"/>
        <w:jc w:val="both"/>
      </w:pPr>
      <w:bookmarkStart w:id="87" w:name="bookmark87"/>
      <w:r>
        <w:rPr>
          <w:rFonts w:ascii="Times New Roman" w:eastAsia="Times New Roman" w:hAnsi="Times New Roman" w:cs="Times New Roman"/>
          <w:b/>
          <w:bCs/>
          <w:color w:val="000000"/>
          <w:spacing w:val="0"/>
          <w:w w:val="100"/>
          <w:position w:val="0"/>
          <w:sz w:val="18"/>
          <w:szCs w:val="18"/>
        </w:rPr>
        <w:t>1</w:t>
      </w:r>
      <w:bookmarkEnd w:id="87"/>
      <w:r>
        <w:rPr>
          <w:b/>
          <w:bCs/>
          <w:color w:val="000000"/>
          <w:spacing w:val="0"/>
          <w:w w:val="100"/>
          <w:position w:val="0"/>
        </w:rPr>
        <w:t>、</w:t>
        <w:tab/>
        <w:t>研发和自主创新形成的技术优势</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公司重视创新，凭借良好的自主创新能力和研发实力，公司承担了《电子收费专用短程通信》、《机动车电子标识安全 技术要求》系列国家标准的编写，参与了 </w:t>
      </w:r>
      <w:r>
        <w:rPr>
          <w:rFonts w:ascii="Times New Roman" w:eastAsia="Times New Roman" w:hAnsi="Times New Roman" w:cs="Times New Roman"/>
          <w:color w:val="000000"/>
          <w:spacing w:val="0"/>
          <w:w w:val="100"/>
          <w:position w:val="0"/>
          <w:sz w:val="18"/>
          <w:szCs w:val="18"/>
        </w:rPr>
        <w:t>ISO 17515-3:2019</w:t>
      </w:r>
      <w:r>
        <w:rPr>
          <w:color w:val="000000"/>
          <w:spacing w:val="0"/>
          <w:w w:val="100"/>
          <w:position w:val="0"/>
        </w:rPr>
        <w:t xml:space="preserve">《智能运输系统陆地移动通信接入演进通用陆地无线接入网络第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部分：车联网》、《车联网网络安全防护要求》、《自动驾驶商用汽车测试场建设及自动测试规范》、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LTE-V2X</w:t>
      </w:r>
      <w:r>
        <w:rPr>
          <w:color w:val="000000"/>
          <w:spacing w:val="0"/>
          <w:w w:val="100"/>
          <w:position w:val="0"/>
        </w:rPr>
        <w:t>安全技 术白皮书》、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产业化路径和时间表研究白皮书》、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业务演进白皮书》等标准和白皮书的编写，并不断推出 创新产品。</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公司作为国家级高新技术企业，具备较强的技术研发实力，近年来每年研发投入都保持在较高水平，截至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日，公司拥有近</w:t>
      </w:r>
      <w:r>
        <w:rPr>
          <w:rFonts w:ascii="Times New Roman" w:eastAsia="Times New Roman" w:hAnsi="Times New Roman" w:cs="Times New Roman"/>
          <w:color w:val="000000"/>
          <w:spacing w:val="0"/>
          <w:w w:val="100"/>
          <w:position w:val="0"/>
          <w:sz w:val="18"/>
          <w:szCs w:val="18"/>
        </w:rPr>
        <w:t>470</w:t>
      </w:r>
      <w:r>
        <w:rPr>
          <w:color w:val="000000"/>
          <w:spacing w:val="0"/>
          <w:w w:val="100"/>
          <w:position w:val="0"/>
        </w:rPr>
        <w:t>项专利权，其中发明专利</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年，公司新增专利权</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项；公司拥有射频、微波、天线、数字电 路、嵌入式系统和软件等多专业领域的技术人才，掌握了从基础芯片到终端产品的相关技术。</w:t>
      </w:r>
    </w:p>
    <w:p>
      <w:pPr>
        <w:pStyle w:val="Style34"/>
        <w:keepNext w:val="0"/>
        <w:keepLines w:val="0"/>
        <w:widowControl w:val="0"/>
        <w:shd w:val="clear" w:color="auto" w:fill="auto"/>
        <w:tabs>
          <w:tab w:pos="687" w:val="left"/>
        </w:tabs>
        <w:bidi w:val="0"/>
        <w:spacing w:before="0" w:after="0" w:line="313" w:lineRule="exact"/>
        <w:ind w:left="0" w:right="0"/>
        <w:jc w:val="both"/>
      </w:pPr>
      <w:bookmarkStart w:id="88" w:name="bookmark88"/>
      <w:r>
        <w:rPr>
          <w:rFonts w:ascii="Times New Roman" w:eastAsia="Times New Roman" w:hAnsi="Times New Roman" w:cs="Times New Roman"/>
          <w:b/>
          <w:bCs/>
          <w:color w:val="000000"/>
          <w:spacing w:val="0"/>
          <w:w w:val="100"/>
          <w:position w:val="0"/>
          <w:sz w:val="18"/>
          <w:szCs w:val="18"/>
        </w:rPr>
        <w:t>2</w:t>
      </w:r>
      <w:bookmarkEnd w:id="88"/>
      <w:r>
        <w:rPr>
          <w:b/>
          <w:bCs/>
          <w:color w:val="000000"/>
          <w:spacing w:val="0"/>
          <w:w w:val="100"/>
          <w:position w:val="0"/>
        </w:rPr>
        <w:t>、</w:t>
        <w:tab/>
        <w:t>专业的产品制造生产基地</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公司拥有专业的产品制造生产基地，自主设计并研发了</w:t>
      </w:r>
      <w:r>
        <w:rPr>
          <w:rFonts w:ascii="Times New Roman" w:eastAsia="Times New Roman" w:hAnsi="Times New Roman" w:cs="Times New Roman"/>
          <w:color w:val="000000"/>
          <w:spacing w:val="0"/>
          <w:w w:val="100"/>
          <w:position w:val="0"/>
          <w:sz w:val="18"/>
          <w:szCs w:val="18"/>
        </w:rPr>
        <w:t>TIA</w:t>
      </w:r>
      <w:r>
        <w:rPr>
          <w:color w:val="000000"/>
          <w:spacing w:val="0"/>
          <w:w w:val="100"/>
          <w:position w:val="0"/>
        </w:rPr>
        <w:t>全面集成的自动化装配生产线，拥有行业内领先的生产技术, 实现了</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从贴片到组装全过程自动化生产。生产基地配备</w:t>
      </w:r>
      <w:r>
        <w:rPr>
          <w:rFonts w:ascii="Times New Roman" w:eastAsia="Times New Roman" w:hAnsi="Times New Roman" w:cs="Times New Roman"/>
          <w:color w:val="000000"/>
          <w:spacing w:val="0"/>
          <w:w w:val="100"/>
          <w:position w:val="0"/>
          <w:sz w:val="18"/>
          <w:szCs w:val="18"/>
        </w:rPr>
        <w:t xml:space="preserve">SMT </w:t>
      </w:r>
      <w:r>
        <w:rPr>
          <w:color w:val="000000"/>
          <w:spacing w:val="0"/>
          <w:w w:val="100"/>
          <w:position w:val="0"/>
        </w:rPr>
        <w:t>（表面贴装技术）生产线和装配生产线具有批量生产能力。 公司自动化生产线的引入在提升生产效率的同时为进一步提升公司产品的质量提供了强有力的保障。</w:t>
      </w:r>
    </w:p>
    <w:p>
      <w:pPr>
        <w:pStyle w:val="Style34"/>
        <w:keepNext w:val="0"/>
        <w:keepLines w:val="0"/>
        <w:widowControl w:val="0"/>
        <w:shd w:val="clear" w:color="auto" w:fill="auto"/>
        <w:tabs>
          <w:tab w:pos="687" w:val="left"/>
        </w:tabs>
        <w:bidi w:val="0"/>
        <w:spacing w:before="0" w:after="0" w:line="313" w:lineRule="exact"/>
        <w:ind w:left="0" w:right="0"/>
        <w:jc w:val="both"/>
      </w:pPr>
      <w:bookmarkStart w:id="89" w:name="bookmark89"/>
      <w:r>
        <w:rPr>
          <w:rFonts w:ascii="Times New Roman" w:eastAsia="Times New Roman" w:hAnsi="Times New Roman" w:cs="Times New Roman"/>
          <w:b/>
          <w:bCs/>
          <w:color w:val="000000"/>
          <w:spacing w:val="0"/>
          <w:w w:val="100"/>
          <w:position w:val="0"/>
          <w:sz w:val="18"/>
          <w:szCs w:val="18"/>
        </w:rPr>
        <w:t>3</w:t>
      </w:r>
      <w:bookmarkEnd w:id="89"/>
      <w:r>
        <w:rPr>
          <w:b/>
          <w:bCs/>
          <w:color w:val="000000"/>
          <w:spacing w:val="0"/>
          <w:w w:val="100"/>
          <w:position w:val="0"/>
        </w:rPr>
        <w:t>、</w:t>
        <w:tab/>
        <w:t>严格的质量控制体系</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为确保向客户提供稳定可靠的产品，公司投资建成研发自动化测试平台，建设了多个研发实验室，并通过了</w:t>
      </w:r>
      <w:r>
        <w:rPr>
          <w:rFonts w:ascii="Times New Roman" w:eastAsia="Times New Roman" w:hAnsi="Times New Roman" w:cs="Times New Roman"/>
          <w:color w:val="000000"/>
          <w:spacing w:val="0"/>
          <w:w w:val="100"/>
          <w:position w:val="0"/>
          <w:sz w:val="18"/>
          <w:szCs w:val="18"/>
        </w:rPr>
        <w:t xml:space="preserve">CNAS </w:t>
      </w:r>
      <w:r>
        <w:rPr>
          <w:color w:val="000000"/>
          <w:spacing w:val="0"/>
          <w:w w:val="100"/>
          <w:position w:val="0"/>
        </w:rPr>
        <w:t>（中 国合格评定国家认可委员会）的实验室认证，可完成机械可靠性、模拟应用环境、电磁兼容可靠性、环境可靠性、射频电路、 跑车交易等多项工艺测试。</w:t>
      </w:r>
    </w:p>
    <w:p>
      <w:pPr>
        <w:pStyle w:val="Style34"/>
        <w:keepNext w:val="0"/>
        <w:keepLines w:val="0"/>
        <w:widowControl w:val="0"/>
        <w:shd w:val="clear" w:color="auto" w:fill="auto"/>
        <w:tabs>
          <w:tab w:pos="1940" w:val="left"/>
        </w:tabs>
        <w:bidi w:val="0"/>
        <w:spacing w:before="0" w:after="0" w:line="313" w:lineRule="exact"/>
        <w:ind w:left="0" w:right="0"/>
        <w:jc w:val="both"/>
      </w:pPr>
      <w:r>
        <w:rPr>
          <w:color w:val="000000"/>
          <w:spacing w:val="0"/>
          <w:w w:val="100"/>
          <w:position w:val="0"/>
        </w:rPr>
        <w:t>公司基于</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标准建立质量管理体系，用于规范和提升设计、研发、生产、采购、服务等各个业务环节的管</w:t>
      </w:r>
    </w:p>
    <w:p>
      <w:pPr>
        <w:pStyle w:val="Style34"/>
        <w:keepNext w:val="0"/>
        <w:keepLines w:val="0"/>
        <w:widowControl w:val="0"/>
        <w:shd w:val="clear" w:color="auto" w:fill="auto"/>
        <w:tabs>
          <w:tab w:pos="5611" w:val="left"/>
        </w:tabs>
        <w:bidi w:val="0"/>
        <w:spacing w:before="0" w:after="0" w:line="313" w:lineRule="exact"/>
        <w:ind w:left="0" w:right="0" w:firstLine="0"/>
        <w:jc w:val="left"/>
        <w:rPr>
          <w:sz w:val="18"/>
          <w:szCs w:val="18"/>
        </w:rPr>
      </w:pPr>
      <w:r>
        <w:rPr>
          <w:color w:val="000000"/>
          <w:spacing w:val="0"/>
          <w:w w:val="100"/>
          <w:position w:val="0"/>
          <w:sz w:val="17"/>
          <w:szCs w:val="17"/>
        </w:rPr>
        <w:t>理工作，有效保障产品与服务的质量。同时，公司还导入</w:t>
      </w:r>
      <w:r>
        <w:rPr>
          <w:rFonts w:ascii="Times New Roman" w:eastAsia="Times New Roman" w:hAnsi="Times New Roman" w:cs="Times New Roman"/>
          <w:color w:val="000000"/>
          <w:spacing w:val="0"/>
          <w:w w:val="100"/>
          <w:position w:val="0"/>
          <w:sz w:val="18"/>
          <w:szCs w:val="18"/>
        </w:rPr>
        <w:t>IATF16949</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汽车行业质量管理体系、</w:t>
      </w:r>
      <w:r>
        <w:rPr>
          <w:rFonts w:ascii="Times New Roman" w:eastAsia="Times New Roman" w:hAnsi="Times New Roman" w:cs="Times New Roman"/>
          <w:color w:val="000000"/>
          <w:spacing w:val="0"/>
          <w:w w:val="100"/>
          <w:position w:val="0"/>
          <w:sz w:val="18"/>
          <w:szCs w:val="18"/>
        </w:rPr>
        <w:t>IECQ QC080000:2017</w:t>
      </w:r>
    </w:p>
    <w:p>
      <w:pPr>
        <w:pStyle w:val="Style34"/>
        <w:keepNext w:val="0"/>
        <w:keepLines w:val="0"/>
        <w:widowControl w:val="0"/>
        <w:shd w:val="clear" w:color="auto" w:fill="auto"/>
        <w:tabs>
          <w:tab w:pos="1128" w:val="left"/>
          <w:tab w:pos="4440" w:val="left"/>
        </w:tabs>
        <w:bidi w:val="0"/>
        <w:spacing w:before="0" w:after="0" w:line="313" w:lineRule="exact"/>
        <w:ind w:left="0" w:right="0" w:firstLine="0"/>
        <w:jc w:val="left"/>
      </w:pPr>
      <w:r>
        <w:rPr>
          <w:color w:val="000000"/>
          <w:spacing w:val="0"/>
          <w:w w:val="100"/>
          <w:position w:val="0"/>
        </w:rPr>
        <w:t>电气电子元器件和产品有害物质过程管理体系、</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环境管理体系、</w:t>
      </w:r>
      <w:r>
        <w:rPr>
          <w:rFonts w:ascii="Times New Roman" w:eastAsia="Times New Roman" w:hAnsi="Times New Roman" w:cs="Times New Roman"/>
          <w:color w:val="000000"/>
          <w:spacing w:val="0"/>
          <w:w w:val="100"/>
          <w:position w:val="0"/>
          <w:sz w:val="18"/>
          <w:szCs w:val="18"/>
        </w:rPr>
        <w:t>OHSAS18001:2007</w:t>
      </w:r>
      <w:r>
        <w:rPr>
          <w:color w:val="000000"/>
          <w:spacing w:val="0"/>
          <w:w w:val="100"/>
          <w:position w:val="0"/>
        </w:rPr>
        <w:t xml:space="preserve">职业健康安全管理体系、 </w:t>
      </w:r>
      <w:r>
        <w:rPr>
          <w:rFonts w:ascii="Times New Roman" w:eastAsia="Times New Roman" w:hAnsi="Times New Roman" w:cs="Times New Roman"/>
          <w:color w:val="000000"/>
          <w:spacing w:val="0"/>
          <w:w w:val="100"/>
          <w:position w:val="0"/>
          <w:sz w:val="18"/>
          <w:szCs w:val="18"/>
        </w:rPr>
        <w:t xml:space="preserve">GB/T </w:t>
      </w:r>
      <w:r>
        <w:rPr>
          <w:rFonts w:ascii="Times New Roman" w:eastAsia="Times New Roman" w:hAnsi="Times New Roman" w:cs="Times New Roman"/>
          <w:color w:val="000000"/>
          <w:spacing w:val="0"/>
          <w:w w:val="100"/>
          <w:position w:val="0"/>
          <w:sz w:val="18"/>
          <w:szCs w:val="18"/>
        </w:rPr>
        <w:t>29490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知识产权管理体系和</w:t>
      </w:r>
      <w:r>
        <w:rPr>
          <w:rFonts w:ascii="Times New Roman" w:eastAsia="Times New Roman" w:hAnsi="Times New Roman" w:cs="Times New Roman"/>
          <w:color w:val="000000"/>
          <w:spacing w:val="0"/>
          <w:w w:val="100"/>
          <w:position w:val="0"/>
          <w:sz w:val="18"/>
          <w:szCs w:val="18"/>
        </w:rPr>
        <w:t xml:space="preserve">ISO/IEC </w:t>
      </w:r>
      <w:r>
        <w:rPr>
          <w:rFonts w:ascii="Times New Roman" w:eastAsia="Times New Roman" w:hAnsi="Times New Roman" w:cs="Times New Roman"/>
          <w:color w:val="000000"/>
          <w:spacing w:val="0"/>
          <w:w w:val="100"/>
          <w:position w:val="0"/>
          <w:sz w:val="18"/>
          <w:szCs w:val="18"/>
        </w:rPr>
        <w:t>27001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信息安全管理体系，从而以多层面，多方位的质量控制体系生</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产产品。</w:t>
      </w:r>
    </w:p>
    <w:p>
      <w:pPr>
        <w:pStyle w:val="Style34"/>
        <w:keepNext w:val="0"/>
        <w:keepLines w:val="0"/>
        <w:widowControl w:val="0"/>
        <w:shd w:val="clear" w:color="auto" w:fill="auto"/>
        <w:tabs>
          <w:tab w:pos="687" w:val="left"/>
        </w:tabs>
        <w:bidi w:val="0"/>
        <w:spacing w:before="0" w:after="0" w:line="313" w:lineRule="exact"/>
        <w:ind w:left="0" w:right="0"/>
        <w:jc w:val="both"/>
      </w:pPr>
      <w:bookmarkStart w:id="90" w:name="bookmark90"/>
      <w:r>
        <w:rPr>
          <w:rFonts w:ascii="Times New Roman" w:eastAsia="Times New Roman" w:hAnsi="Times New Roman" w:cs="Times New Roman"/>
          <w:b/>
          <w:bCs/>
          <w:color w:val="000000"/>
          <w:spacing w:val="0"/>
          <w:w w:val="100"/>
          <w:position w:val="0"/>
          <w:sz w:val="18"/>
          <w:szCs w:val="18"/>
        </w:rPr>
        <w:t>4</w:t>
      </w:r>
      <w:bookmarkEnd w:id="90"/>
      <w:r>
        <w:rPr>
          <w:b/>
          <w:bCs/>
          <w:color w:val="000000"/>
          <w:spacing w:val="0"/>
          <w:w w:val="100"/>
          <w:position w:val="0"/>
        </w:rPr>
        <w:t>、</w:t>
        <w:tab/>
        <w:t>产学研合作优势</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公司与北京航空航天大学、电子科技大学、华中师范大学、华南理工大学、北京邮电大学、同济大学、清华大学深圳研 究院、交通部公路科学研究院等著名科研院校所建立了良好的互信机制和长期的合作关系，在前沿探索、科技攻关、产品研 究、工程试验和应用示范等方面开展了广泛的产学研合作。公司通过与科研院校的强强联合，形成优势互补，相互促进和共 同发展的良好局面。</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年获批了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交通运输部智能车路协同关键技术及装备行业研发中心匚该中心集合了交通部公路科学研究院、广 东省交通集团、同济大学、清华大学深圳研究院、北汽研究总院等五家一流科研机构和企业。公司将充分发挥在这一平台的 主导作用，与其他五家联合单位一起，共同打造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政产学研用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合作创新平台，推进我国</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车路协同领域的技术进展和创新 应用。</w:t>
      </w:r>
    </w:p>
    <w:p>
      <w:pPr>
        <w:pStyle w:val="Style34"/>
        <w:keepNext w:val="0"/>
        <w:keepLines w:val="0"/>
        <w:widowControl w:val="0"/>
        <w:shd w:val="clear" w:color="auto" w:fill="auto"/>
        <w:tabs>
          <w:tab w:pos="687" w:val="left"/>
        </w:tabs>
        <w:bidi w:val="0"/>
        <w:spacing w:before="0" w:after="0" w:line="360" w:lineRule="auto"/>
        <w:ind w:left="0" w:right="0"/>
        <w:jc w:val="both"/>
      </w:pPr>
      <w:bookmarkStart w:id="91" w:name="bookmark91"/>
      <w:r>
        <w:rPr>
          <w:rFonts w:ascii="Times New Roman" w:eastAsia="Times New Roman" w:hAnsi="Times New Roman" w:cs="Times New Roman"/>
          <w:b/>
          <w:bCs/>
          <w:color w:val="000000"/>
          <w:spacing w:val="0"/>
          <w:w w:val="100"/>
          <w:position w:val="0"/>
          <w:sz w:val="18"/>
          <w:szCs w:val="18"/>
        </w:rPr>
        <w:t>5</w:t>
      </w:r>
      <w:bookmarkEnd w:id="91"/>
      <w:r>
        <w:rPr>
          <w:b/>
          <w:bCs/>
          <w:color w:val="000000"/>
          <w:spacing w:val="0"/>
          <w:w w:val="100"/>
          <w:position w:val="0"/>
        </w:rPr>
        <w:t>、</w:t>
        <w:tab/>
        <w:t>服务优势</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聚焦客户、追求卓越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的服务理念，通过多种方式为客户提供全面、高效的售后服务。同时，公司的服务网络 在深圳、广州、北京、杭州、无锡、成都、武汉、青岛、昆明、南京、沈阳、西安等多个城市设有本土化的服务队伍，能够 快速响应客户需求，高效为客户提供服务支持。公司的服务包含从产品交付、设备安装、培训管理、售后维护、客户投诉管 理以及产品使用跟踪管理的完整过程。</w:t>
      </w:r>
    </w:p>
    <w:p>
      <w:pPr>
        <w:pStyle w:val="Style34"/>
        <w:keepNext w:val="0"/>
        <w:keepLines w:val="0"/>
        <w:widowControl w:val="0"/>
        <w:shd w:val="clear" w:color="auto" w:fill="auto"/>
        <w:tabs>
          <w:tab w:pos="687" w:val="left"/>
        </w:tabs>
        <w:bidi w:val="0"/>
        <w:spacing w:before="0" w:after="0" w:line="313" w:lineRule="exact"/>
        <w:ind w:left="0" w:right="0"/>
        <w:jc w:val="both"/>
      </w:pPr>
      <w:bookmarkStart w:id="92" w:name="bookmark92"/>
      <w:r>
        <w:rPr>
          <w:rFonts w:ascii="Times New Roman" w:eastAsia="Times New Roman" w:hAnsi="Times New Roman" w:cs="Times New Roman"/>
          <w:b/>
          <w:bCs/>
          <w:color w:val="000000"/>
          <w:spacing w:val="0"/>
          <w:w w:val="100"/>
          <w:position w:val="0"/>
          <w:sz w:val="18"/>
          <w:szCs w:val="18"/>
        </w:rPr>
        <w:t>6</w:t>
      </w:r>
      <w:bookmarkEnd w:id="92"/>
      <w:r>
        <w:rPr>
          <w:b/>
          <w:bCs/>
          <w:color w:val="000000"/>
          <w:spacing w:val="0"/>
          <w:w w:val="100"/>
          <w:position w:val="0"/>
        </w:rPr>
        <w:t>、</w:t>
        <w:tab/>
        <w:t>丰富的项目经验</w:t>
      </w:r>
    </w:p>
    <w:p>
      <w:pPr>
        <w:pStyle w:val="Style34"/>
        <w:keepNext w:val="0"/>
        <w:keepLines w:val="0"/>
        <w:widowControl w:val="0"/>
        <w:shd w:val="clear" w:color="auto" w:fill="auto"/>
        <w:bidi w:val="0"/>
        <w:spacing w:before="0" w:after="0" w:line="313" w:lineRule="exact"/>
        <w:ind w:left="0" w:right="0" w:firstLine="300"/>
        <w:jc w:val="both"/>
        <w:sectPr>
          <w:footnotePr>
            <w:pos w:val="pageBottom"/>
            <w:numFmt w:val="decimal"/>
            <w:numRestart w:val="continuous"/>
          </w:footnotePr>
          <w:pgSz w:w="11900" w:h="16840"/>
          <w:pgMar w:top="1369" w:right="1037" w:bottom="1676" w:left="1086" w:header="0" w:footer="3" w:gutter="0"/>
          <w:cols w:space="720"/>
          <w:noEndnote/>
          <w:rtlGutter w:val="0"/>
          <w:docGrid w:linePitch="360"/>
        </w:sectPr>
      </w:pPr>
      <w:r>
        <w:rPr>
          <w:color w:val="000000"/>
          <w:spacing w:val="0"/>
          <w:w w:val="100"/>
          <w:position w:val="0"/>
        </w:rPr>
        <w:t>公司开发了以车辆身份识别和电子支付为核心技术的系列产品，公司高速公路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产品已在北京、河北、河南、广东、 江苏、江西、四川、辽宁、新疆等全国</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个省市广泛应用，满足各个地区的差异化需求；公司</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技术及产品亦应用于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鸟 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水立方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、云南昆明长水机场、湖南韶山旅游风景区、中山大学、北京大兴国际机场、浙江大学车辆等停车场管理系 统项目；公司</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加油产品已经在山东、河北、深圳、江阴、佛山等省市加油站应用；公司亦主导或参与了浙江省高速公路 多义性路径识别系统项目、武汉市路桥多车道自由流电子不停车收费系统项目；公司</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 xml:space="preserve">技术及产品参与了深圳福田保税区 </w:t>
      </w:r>
      <w:r>
        <w:rPr>
          <w:color w:val="000000"/>
          <w:spacing w:val="0"/>
          <w:w w:val="100"/>
          <w:position w:val="0"/>
        </w:rPr>
        <w:t>智能驾驶巴士示范基地项目、全国首次自动驾驶汽车列队跟驰标准公开验证试验、深圳宝安会展中心项目等，在行业内树立 了良好的品牌形象。</w:t>
      </w:r>
    </w:p>
    <w:p>
      <w:pPr>
        <w:pStyle w:val="Style17"/>
        <w:keepNext/>
        <w:keepLines/>
        <w:widowControl w:val="0"/>
        <w:shd w:val="clear" w:color="auto" w:fill="auto"/>
        <w:bidi w:val="0"/>
        <w:spacing w:before="580" w:line="240" w:lineRule="auto"/>
        <w:ind w:left="0" w:right="0" w:firstLine="0"/>
        <w:jc w:val="center"/>
      </w:pPr>
      <w:bookmarkStart w:id="93" w:name="bookmark93"/>
      <w:bookmarkStart w:id="94" w:name="bookmark94"/>
      <w:bookmarkStart w:id="95" w:name="bookmark95"/>
      <w:r>
        <w:rPr>
          <w:color w:val="000000"/>
          <w:spacing w:val="0"/>
          <w:w w:val="100"/>
          <w:position w:val="0"/>
        </w:rPr>
        <w:t>第四节经营情况讨论与分析</w:t>
      </w:r>
      <w:bookmarkEnd w:id="93"/>
      <w:bookmarkEnd w:id="94"/>
      <w:bookmarkEnd w:id="95"/>
    </w:p>
    <w:p>
      <w:pPr>
        <w:pStyle w:val="Style30"/>
        <w:keepNext/>
        <w:keepLines/>
        <w:widowControl w:val="0"/>
        <w:shd w:val="clear" w:color="auto" w:fill="auto"/>
        <w:bidi w:val="0"/>
        <w:spacing w:before="0" w:after="260" w:line="240" w:lineRule="auto"/>
        <w:ind w:left="0" w:right="0" w:firstLine="0"/>
        <w:jc w:val="left"/>
      </w:pPr>
      <w:bookmarkStart w:id="100" w:name="bookmark100"/>
      <w:bookmarkStart w:id="96" w:name="bookmark96"/>
      <w:bookmarkStart w:id="97" w:name="bookmark97"/>
      <w:bookmarkStart w:id="98" w:name="bookmark98"/>
      <w:bookmarkStart w:id="99" w:name="bookmark99"/>
      <w:r>
        <w:rPr>
          <w:color w:val="000000"/>
          <w:spacing w:val="0"/>
          <w:w w:val="100"/>
          <w:position w:val="0"/>
          <w:sz w:val="24"/>
          <w:szCs w:val="24"/>
        </w:rPr>
        <w:t>一</w:t>
      </w:r>
      <w:bookmarkEnd w:id="99"/>
      <w:r>
        <w:rPr>
          <w:color w:val="000000"/>
          <w:spacing w:val="0"/>
          <w:w w:val="100"/>
          <w:position w:val="0"/>
          <w:sz w:val="24"/>
          <w:szCs w:val="24"/>
        </w:rPr>
        <w:t>、概述</w:t>
      </w:r>
      <w:bookmarkEnd w:id="100"/>
      <w:bookmarkEnd w:id="97"/>
      <w:bookmarkEnd w:id="98"/>
      <w:bookmarkEnd w:id="96"/>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行业发展逐渐进入常态，同时受疫情等外部不利因素影响，公司高速公路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业务的业绩贡献有 所下滑，城市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等新业务的市场需求释放有所滞后。报告期内，公司实现营业收入</w:t>
      </w:r>
      <w:r>
        <w:rPr>
          <w:rFonts w:ascii="Times New Roman" w:eastAsia="Times New Roman" w:hAnsi="Times New Roman" w:cs="Times New Roman"/>
          <w:color w:val="000000"/>
          <w:spacing w:val="0"/>
          <w:w w:val="100"/>
          <w:position w:val="0"/>
          <w:sz w:val="18"/>
          <w:szCs w:val="18"/>
        </w:rPr>
        <w:t>15.64</w:t>
      </w:r>
      <w:r>
        <w:rPr>
          <w:color w:val="000000"/>
          <w:spacing w:val="0"/>
          <w:w w:val="100"/>
          <w:position w:val="0"/>
        </w:rPr>
        <w:t>亿元，较上年同期下降</w:t>
      </w:r>
      <w:r>
        <w:rPr>
          <w:rFonts w:ascii="Times New Roman" w:eastAsia="Times New Roman" w:hAnsi="Times New Roman" w:cs="Times New Roman"/>
          <w:color w:val="000000"/>
          <w:spacing w:val="0"/>
          <w:w w:val="100"/>
          <w:position w:val="0"/>
          <w:sz w:val="18"/>
          <w:szCs w:val="18"/>
        </w:rPr>
        <w:t>45.33%</w:t>
      </w:r>
      <w:r>
        <w:rPr>
          <w:color w:val="000000"/>
          <w:spacing w:val="0"/>
          <w:w w:val="100"/>
          <w:position w:val="0"/>
        </w:rPr>
        <w:t>, 实现归属于上市公司股东的净利润</w:t>
      </w:r>
      <w:r>
        <w:rPr>
          <w:rFonts w:ascii="Times New Roman" w:eastAsia="Times New Roman" w:hAnsi="Times New Roman" w:cs="Times New Roman"/>
          <w:color w:val="000000"/>
          <w:spacing w:val="0"/>
          <w:w w:val="100"/>
          <w:position w:val="0"/>
          <w:sz w:val="18"/>
          <w:szCs w:val="18"/>
        </w:rPr>
        <w:t>6.3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亿元，较上年同期下降</w:t>
      </w:r>
      <w:r>
        <w:rPr>
          <w:rFonts w:ascii="Times New Roman" w:eastAsia="Times New Roman" w:hAnsi="Times New Roman" w:cs="Times New Roman"/>
          <w:color w:val="000000"/>
          <w:spacing w:val="0"/>
          <w:w w:val="100"/>
          <w:position w:val="0"/>
          <w:sz w:val="18"/>
          <w:szCs w:val="18"/>
        </w:rPr>
        <w:t>27.95%</w:t>
      </w:r>
      <w:r>
        <w:rPr>
          <w:color w:val="000000"/>
          <w:spacing w:val="0"/>
          <w:w w:val="100"/>
          <w:position w:val="0"/>
        </w:rPr>
        <w:t>。</w:t>
      </w:r>
    </w:p>
    <w:p>
      <w:pPr>
        <w:pStyle w:val="Style34"/>
        <w:keepNext w:val="0"/>
        <w:keepLines w:val="0"/>
        <w:widowControl w:val="0"/>
        <w:shd w:val="clear" w:color="auto" w:fill="auto"/>
        <w:bidi w:val="0"/>
        <w:spacing w:before="0" w:after="100" w:line="314" w:lineRule="exact"/>
        <w:ind w:left="0" w:right="0"/>
        <w:jc w:val="both"/>
      </w:pPr>
      <w:bookmarkStart w:id="101" w:name="bookmark101"/>
      <w:r>
        <w:rPr>
          <w:b/>
          <w:bCs/>
          <w:color w:val="000000"/>
          <w:spacing w:val="0"/>
          <w:w w:val="100"/>
          <w:position w:val="0"/>
        </w:rPr>
        <w:t>（</w:t>
      </w:r>
      <w:bookmarkEnd w:id="101"/>
      <w:r>
        <w:rPr>
          <w:b/>
          <w:bCs/>
          <w:color w:val="000000"/>
          <w:spacing w:val="0"/>
          <w:w w:val="100"/>
          <w:position w:val="0"/>
        </w:rPr>
        <w:t>一）</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年市场、业务总结</w:t>
      </w:r>
    </w:p>
    <w:p>
      <w:pPr>
        <w:pStyle w:val="Style34"/>
        <w:keepNext w:val="0"/>
        <w:keepLines w:val="0"/>
        <w:widowControl w:val="0"/>
        <w:shd w:val="clear" w:color="auto" w:fill="auto"/>
        <w:tabs>
          <w:tab w:pos="664" w:val="left"/>
        </w:tabs>
        <w:bidi w:val="0"/>
        <w:spacing w:before="0" w:after="0" w:line="360" w:lineRule="auto"/>
        <w:ind w:left="0" w:right="0"/>
        <w:jc w:val="both"/>
      </w:pPr>
      <w:bookmarkStart w:id="102" w:name="bookmark102"/>
      <w:r>
        <w:rPr>
          <w:rFonts w:ascii="Times New Roman" w:eastAsia="Times New Roman" w:hAnsi="Times New Roman" w:cs="Times New Roman"/>
          <w:b/>
          <w:bCs/>
          <w:color w:val="000000"/>
          <w:spacing w:val="0"/>
          <w:w w:val="100"/>
          <w:position w:val="0"/>
          <w:sz w:val="18"/>
          <w:szCs w:val="18"/>
        </w:rPr>
        <w:t>1</w:t>
      </w:r>
      <w:bookmarkEnd w:id="102"/>
      <w:r>
        <w:rPr>
          <w:b/>
          <w:bCs/>
          <w:color w:val="000000"/>
          <w:spacing w:val="0"/>
          <w:w w:val="100"/>
          <w:position w:val="0"/>
        </w:rPr>
        <w:t>、</w:t>
        <w:tab/>
        <w:t>路域</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路侧设备市场需求仍维持在较好水平。虽然</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年末取消省界收费站工程基本完成，但</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收费系统仍需 不断完善，市场需求主要来自于对老旧设备、识别率不足的设备进行更换，门架天线的备份需求，以及新建高速公路带来的 </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路侧设备需求。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年，凭借产品在行业领先的识别率和质量，公司的天线产品被普遍用于更换老旧设备、识别率不足 的设备。针对项目设备检测需求，公司率先研发推出了高速公路收费智能监测设备，并在江苏、广东等省份试点。</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智慧高速的推进力度加大。据不完全统计，已有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多个省市公布了智慧高速建设计划，总投资规模上百亿元，实施项目 包括京沪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号高速、江苏沪宁高速、浙江沪杭甬智慧高速二期项目、山东京台高速、福建福泉高速、云南昆明机场高速、广 西沙吴路、京雄高速、四川成宜高速等数十个项目。智慧高速建设内容包含云、网、边、端四个部分，尤其路侧端因精准感 知、精确分析、精细管理和精心服务的需要，需密集布设融合型路侧基础设施和边缘计算节点。智慧高速的项目较为复杂， 前期准备工作较多，项目从提出到实施需要一定时间。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年，大多数试点示范项目普遍处于建设项目方案编制和项目实施 的前期阶段，在总结各地智慧高速试点情况的基础上，制定了建设规划及修订工程技术规范，为启动大规模建设做好准备。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年，公司牵头主持了《基于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专用短程通信的车路协同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应用集及应用数据交互需求》、《基于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专用短 程通信技术的车路协同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部分：应用层数据交互格式》、《基于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专用短程通信技术的车路协同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部分：技术 要求》等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项团体标准的编制。公司依托在</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等领域的深厚积累，积极参与各省市的智慧公路和智慧城市试点示 范项目，为部分项目提供了整体方案和技术支持，积极推动行业合作与项目落地。</w:t>
      </w:r>
    </w:p>
    <w:p>
      <w:pPr>
        <w:pStyle w:val="Style34"/>
        <w:keepNext w:val="0"/>
        <w:keepLines w:val="0"/>
        <w:widowControl w:val="0"/>
        <w:shd w:val="clear" w:color="auto" w:fill="auto"/>
        <w:tabs>
          <w:tab w:pos="678" w:val="left"/>
        </w:tabs>
        <w:bidi w:val="0"/>
        <w:spacing w:before="0" w:after="0" w:line="360" w:lineRule="auto"/>
        <w:ind w:left="0" w:right="0"/>
        <w:jc w:val="both"/>
      </w:pPr>
      <w:bookmarkStart w:id="103" w:name="bookmark103"/>
      <w:r>
        <w:rPr>
          <w:rFonts w:ascii="Times New Roman" w:eastAsia="Times New Roman" w:hAnsi="Times New Roman" w:cs="Times New Roman"/>
          <w:b/>
          <w:bCs/>
          <w:color w:val="000000"/>
          <w:spacing w:val="0"/>
          <w:w w:val="100"/>
          <w:position w:val="0"/>
          <w:sz w:val="18"/>
          <w:szCs w:val="18"/>
        </w:rPr>
        <w:t>2</w:t>
      </w:r>
      <w:bookmarkEnd w:id="103"/>
      <w:r>
        <w:rPr>
          <w:b/>
          <w:bCs/>
          <w:color w:val="000000"/>
          <w:spacing w:val="0"/>
          <w:w w:val="100"/>
          <w:position w:val="0"/>
        </w:rPr>
        <w:t>、</w:t>
        <w:tab/>
        <w:t>车域</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标签后装市场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年需求明显下滑。疫情的发生和长期持续严重影响了</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标签的发行，银行网点、高速运营商服 务网点等线下推广工作大幅减少；疫情防控要求减少人员聚集，也降低了车主前往银行、服务网点安装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标签的意愿。公 司凭借自身品牌及质量优势在后装市场依然保持行业领先地位。</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前装市场启动前的各项准备工作基本就绪。根据政策要求，自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日起，新申请产品准入的车型应选装采用 直接供电方式的</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车载装置。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年国内主流车厂都已完成</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的准备。</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前装产品作为带有金融属性 的车载产品，依然会以银行补贴的方式进入市场。</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前装是行业趋势，因前装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标签需达到车规级，主机厂对供应商的 质量、资质有很高的要求，市场将更有利于头部厂商。截至目前，公司已经与国内大多数主流车厂完成了供应商选定工作和 备货采购合同的签署工作，公司在产品设计上制定了两套方案，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）公司积极推进与主机厂的产品开发、测试工作，凭借在 </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行业内的品牌知名度，以及生产制造能力及完善的质量保证体系，公司已获得众多主流大型主机厂的定点；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）公司联 合福耀玻璃、云砥等其他公司打造的集</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生产、安装、发行及售后服务为一体的一站式整体解决方案得到了国内各大主机 厂的认可。其中福耀玻璃定制的产品已经通过交通部及工信部的相关认证及拿到认证报告，达到可上市的状态。未来公司还 会跟其他</w:t>
      </w:r>
      <w:r>
        <w:rPr>
          <w:rFonts w:ascii="Times New Roman" w:eastAsia="Times New Roman" w:hAnsi="Times New Roman" w:cs="Times New Roman"/>
          <w:color w:val="000000"/>
          <w:spacing w:val="0"/>
          <w:w w:val="100"/>
          <w:position w:val="0"/>
          <w:sz w:val="18"/>
          <w:szCs w:val="18"/>
        </w:rPr>
        <w:t xml:space="preserve">Tier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Tier2</w:t>
      </w:r>
      <w:r>
        <w:rPr>
          <w:color w:val="000000"/>
          <w:spacing w:val="0"/>
          <w:w w:val="100"/>
          <w:position w:val="0"/>
        </w:rPr>
        <w:t>合作进入前装市场。目前部分车厂对外展示的部分新车型已经具备</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前装的功能，</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前装将很快 进入消费市场。</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车联网产业加速落地。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年，国家出台的《智能汽车创新发展战略》、《新能源汽车产业发展规划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2021-2035 </w:t>
      </w:r>
      <w:r>
        <w:rPr>
          <w:color w:val="000000"/>
          <w:spacing w:val="0"/>
          <w:w w:val="100"/>
          <w:position w:val="0"/>
        </w:rPr>
        <w:t>年）》等重要文件要求加快车联网产业的发展。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宣布</w:t>
      </w:r>
      <w:r>
        <w:rPr>
          <w:rFonts w:ascii="Times New Roman" w:eastAsia="Times New Roman" w:hAnsi="Times New Roman" w:cs="Times New Roman"/>
          <w:color w:val="000000"/>
          <w:spacing w:val="0"/>
          <w:w w:val="100"/>
          <w:position w:val="0"/>
          <w:sz w:val="18"/>
          <w:szCs w:val="18"/>
        </w:rPr>
        <w:t>R16 NR-V2X</w:t>
      </w:r>
      <w:r>
        <w:rPr>
          <w:color w:val="000000"/>
          <w:spacing w:val="0"/>
          <w:w w:val="100"/>
          <w:position w:val="0"/>
        </w:rPr>
        <w:t>版本冻结，第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季度启动</w:t>
      </w:r>
      <w:r>
        <w:rPr>
          <w:rFonts w:ascii="Times New Roman" w:eastAsia="Times New Roman" w:hAnsi="Times New Roman" w:cs="Times New Roman"/>
          <w:color w:val="000000"/>
          <w:spacing w:val="0"/>
          <w:w w:val="100"/>
          <w:position w:val="0"/>
          <w:sz w:val="18"/>
          <w:szCs w:val="18"/>
        </w:rPr>
        <w:t>R17</w:t>
      </w:r>
      <w:r>
        <w:rPr>
          <w:color w:val="000000"/>
          <w:spacing w:val="0"/>
          <w:w w:val="100"/>
          <w:position w:val="0"/>
        </w:rPr>
        <w:t>相关的标 准化工作，为车联网产业链注入动力。汽标委、</w:t>
      </w:r>
      <w:r>
        <w:rPr>
          <w:rFonts w:ascii="Times New Roman" w:eastAsia="Times New Roman" w:hAnsi="Times New Roman" w:cs="Times New Roman"/>
          <w:color w:val="000000"/>
          <w:spacing w:val="0"/>
          <w:w w:val="100"/>
          <w:position w:val="0"/>
          <w:sz w:val="18"/>
          <w:szCs w:val="18"/>
        </w:rPr>
        <w:t>ITS</w:t>
      </w:r>
      <w:r>
        <w:rPr>
          <w:color w:val="000000"/>
          <w:spacing w:val="0"/>
          <w:w w:val="100"/>
          <w:position w:val="0"/>
        </w:rPr>
        <w:t>标委会和交标委正在分别制定</w:t>
      </w:r>
      <w:r>
        <w:rPr>
          <w:rFonts w:ascii="Times New Roman" w:eastAsia="Times New Roman" w:hAnsi="Times New Roman" w:cs="Times New Roman"/>
          <w:color w:val="000000"/>
          <w:spacing w:val="0"/>
          <w:w w:val="100"/>
          <w:position w:val="0"/>
          <w:sz w:val="18"/>
          <w:szCs w:val="18"/>
        </w:rPr>
        <w:t>LTE-V2X</w:t>
      </w:r>
      <w:r>
        <w:rPr>
          <w:color w:val="000000"/>
          <w:spacing w:val="0"/>
          <w:w w:val="100"/>
          <w:position w:val="0"/>
        </w:rPr>
        <w:t>相关应用标准，促进</w:t>
      </w:r>
      <w:r>
        <w:rPr>
          <w:rFonts w:ascii="Times New Roman" w:eastAsia="Times New Roman" w:hAnsi="Times New Roman" w:cs="Times New Roman"/>
          <w:color w:val="000000"/>
          <w:spacing w:val="0"/>
          <w:w w:val="100"/>
          <w:position w:val="0"/>
          <w:sz w:val="18"/>
          <w:szCs w:val="18"/>
        </w:rPr>
        <w:t>LTE-V2X</w:t>
      </w:r>
      <w:r>
        <w:rPr>
          <w:color w:val="000000"/>
          <w:spacing w:val="0"/>
          <w:w w:val="100"/>
          <w:position w:val="0"/>
        </w:rPr>
        <w:t>技 术在汽车驾驶服务、交通基础设施以及交通管理方面的实际应用。如今</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在技术上已经具备了大规模商用的能力，包括 广汽、上汽、比亚迪、奇瑞、福特等在内的多家车企纷纷宣布量产支持</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能力的车型。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年公司携手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余家车企开展 </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5G-V2X POC</w:t>
      </w:r>
      <w:r>
        <w:rPr>
          <w:color w:val="000000"/>
          <w:spacing w:val="0"/>
          <w:w w:val="100"/>
          <w:position w:val="0"/>
        </w:rPr>
        <w:t>项目，部分已结项。公司基于</w:t>
      </w:r>
      <w:r>
        <w:rPr>
          <w:rFonts w:ascii="Times New Roman" w:eastAsia="Times New Roman" w:hAnsi="Times New Roman" w:cs="Times New Roman"/>
          <w:color w:val="000000"/>
          <w:spacing w:val="0"/>
          <w:w w:val="100"/>
          <w:position w:val="0"/>
          <w:sz w:val="18"/>
          <w:szCs w:val="18"/>
        </w:rPr>
        <w:t>LTE-V</w:t>
      </w:r>
      <w:r>
        <w:rPr>
          <w:color w:val="000000"/>
          <w:spacing w:val="0"/>
          <w:w w:val="100"/>
          <w:position w:val="0"/>
        </w:rPr>
        <w:t>的车载终端经过多年的测试验证和迭代，已经较为成熟，目前在和 多家车厂推进前装上车工作，未来也会依托公司在</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前装市场的优势进入</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前装市场。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7-29</w:t>
      </w:r>
      <w:r>
        <w:rPr>
          <w:color w:val="000000"/>
          <w:spacing w:val="0"/>
          <w:w w:val="100"/>
          <w:position w:val="0"/>
        </w:rPr>
        <w:t>日，备受行业 瞩目的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新四跨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活动参加的厂商超过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家，与之前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演示相比，这次演示了更多面向商业化的应用，</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新四跨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成功实现跨芯片模组、跨终端、跨整车、跨安全平台、跨图商的车联网互联互通操作，意味着</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新四跨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打通了整车、 芯片和模组、车载</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终端、</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平台和安全企业、高精度地图、高精度定位以及加密企业，在产业链方面形成闭环，使得 车联网规模化部署更进一步，也预示着车联网产业将加速落地。这次活动中，公司作为终端设备主要提供商之一，采用高通、 华为两种技术方案，携手高通、北汽新能源、吉利、</w:t>
      </w:r>
      <w:r>
        <w:rPr>
          <w:rFonts w:ascii="Times New Roman" w:eastAsia="Times New Roman" w:hAnsi="Times New Roman" w:cs="Times New Roman"/>
          <w:color w:val="000000"/>
          <w:spacing w:val="0"/>
          <w:w w:val="100"/>
          <w:position w:val="0"/>
          <w:sz w:val="18"/>
          <w:szCs w:val="18"/>
        </w:rPr>
        <w:t>JEEP</w:t>
      </w:r>
      <w:r>
        <w:rPr>
          <w:color w:val="000000"/>
          <w:spacing w:val="0"/>
          <w:w w:val="100"/>
          <w:position w:val="0"/>
        </w:rPr>
        <w:t>、</w:t>
      </w:r>
      <w:r>
        <w:rPr>
          <w:color w:val="000000"/>
          <w:spacing w:val="0"/>
          <w:w w:val="100"/>
          <w:position w:val="0"/>
        </w:rPr>
        <w:t>江淮、长安、蔚来、雷诺、东风、雪铁龙、国企智联、四维图 新等多家企业带来智能网联应用演示，联手为观众呈现了新一代智能网联交通图景。</w:t>
      </w:r>
    </w:p>
    <w:p>
      <w:pPr>
        <w:pStyle w:val="Style34"/>
        <w:keepNext w:val="0"/>
        <w:keepLines w:val="0"/>
        <w:widowControl w:val="0"/>
        <w:shd w:val="clear" w:color="auto" w:fill="auto"/>
        <w:tabs>
          <w:tab w:pos="678" w:val="left"/>
        </w:tabs>
        <w:bidi w:val="0"/>
        <w:spacing w:before="0" w:after="0" w:line="314" w:lineRule="exact"/>
        <w:ind w:left="0" w:right="0"/>
        <w:jc w:val="both"/>
      </w:pPr>
      <w:bookmarkStart w:id="104" w:name="bookmark104"/>
      <w:r>
        <w:rPr>
          <w:rFonts w:ascii="Times New Roman" w:eastAsia="Times New Roman" w:hAnsi="Times New Roman" w:cs="Times New Roman"/>
          <w:b/>
          <w:bCs/>
          <w:color w:val="000000"/>
          <w:spacing w:val="0"/>
          <w:w w:val="100"/>
          <w:position w:val="0"/>
          <w:sz w:val="18"/>
          <w:szCs w:val="18"/>
        </w:rPr>
        <w:t>3</w:t>
      </w:r>
      <w:bookmarkEnd w:id="104"/>
      <w:r>
        <w:rPr>
          <w:b/>
          <w:bCs/>
          <w:color w:val="000000"/>
          <w:spacing w:val="0"/>
          <w:w w:val="100"/>
          <w:position w:val="0"/>
        </w:rPr>
        <w:t>、</w:t>
        <w:tab/>
        <w:t>场域</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产品技术走向成熟，因疫情影响市场需求未大规模释放。随着</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标签的普及，城市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的需求释放将是一个 长期确定的趋势。到目前为止，涉车智能终端中覆盖面和使用率最高的设备就是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color w:val="000000"/>
          <w:spacing w:val="0"/>
          <w:w w:val="100"/>
          <w:position w:val="0"/>
        </w:rPr>
        <w:t>其不仅已经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，还 有很多机构和企业在探索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，即车后服务市场。交通部也提到，将以便利用户为导向，通过线上、线下两种渠道，推动 拓展</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智慧停车、</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智慧加油，</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智慧洗车、</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智慧充电、</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智慧景区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园区等相结合的</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多场景服务， 助力智慧交通、智慧城市发展。</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年，交通运输部持续推动扩大</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应用场景，实现</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停车在机场、火车站（高铁）站、客运站等交通枢纽以及大 型商场超市、医院、高校、居民小区、路侧等停车场景的覆盖。交通部公众号公布，截至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年底，北京在全市</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家医院、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个枢纽场站、</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家商业综合体、</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个居住社区、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个景区公园等</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个停车场实现</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支付。每月</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交易量超</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 xml:space="preserve">万辆次， </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支付比例超过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，如北京儿童医院停车场支付比例达</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，首都国际机场三号航站楼停车场支付比例达</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，真正实 现了不停车快捷支付。北京作为</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停车场案例最多的城市给出了较好的使用数据，未来也会以此为典范促进其他城市</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停车场的发展。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今年大型的停车场集成商、运营商，加油站运营商已经在一些网点布设</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设备开展测试并试探市场反应，</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停车天 线价格今年已经大幅改善，总体上市场的接受度良好。城市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设备市场未能大规模释放的原因，一方面是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年仍处于市 场各方初期探索的阶段，另一方面城市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设备的布设需要现场实施，受疫情影响导致无法大规模的展开。但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年是各大 停车场集成商、运营商完成初期探索蓄力的过程。</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鉴于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城市拓展应用未来将呈现快速增长的趋势，城市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已上升为战略性业务之一。今年公司调整战略，加大力度 与产业链上下游建立合作关系，积极做好设备厂商的角色，向停车场、加油站集成商、运营商提供产品赋能汽车支付场景， 共同加速产业发展，公司</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停车项目相继在沈阳、漳州、锦州、日照、广州、滁州、南京、抚州等城市落地，场景遍及交 通枢纽、景区、医院、</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w:t>
      </w:r>
      <w:r>
        <w:rPr>
          <w:color w:val="000000"/>
          <w:spacing w:val="0"/>
          <w:w w:val="100"/>
          <w:position w:val="0"/>
        </w:rPr>
        <w:t>住宅等；</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加油在深圳、江阴、佛山等城市相继落地；</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洗车在济南落地。公司今年在</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进城方面实施了众多应用案例，并取得良好效果，在行业维持领先地位。</w:t>
      </w:r>
    </w:p>
    <w:p>
      <w:pPr>
        <w:pStyle w:val="Style34"/>
        <w:keepNext w:val="0"/>
        <w:keepLines w:val="0"/>
        <w:widowControl w:val="0"/>
        <w:shd w:val="clear" w:color="auto" w:fill="auto"/>
        <w:tabs>
          <w:tab w:pos="678" w:val="left"/>
        </w:tabs>
        <w:bidi w:val="0"/>
        <w:spacing w:before="0" w:after="0" w:line="314" w:lineRule="exact"/>
        <w:ind w:left="0" w:right="0"/>
        <w:jc w:val="both"/>
      </w:pPr>
      <w:bookmarkStart w:id="105" w:name="bookmark105"/>
      <w:r>
        <w:rPr>
          <w:rFonts w:ascii="Times New Roman" w:eastAsia="Times New Roman" w:hAnsi="Times New Roman" w:cs="Times New Roman"/>
          <w:b/>
          <w:bCs/>
          <w:color w:val="000000"/>
          <w:spacing w:val="0"/>
          <w:w w:val="100"/>
          <w:position w:val="0"/>
          <w:sz w:val="18"/>
          <w:szCs w:val="18"/>
        </w:rPr>
        <w:t>4</w:t>
      </w:r>
      <w:bookmarkEnd w:id="105"/>
      <w:r>
        <w:rPr>
          <w:b/>
          <w:bCs/>
          <w:color w:val="000000"/>
          <w:spacing w:val="0"/>
          <w:w w:val="100"/>
          <w:position w:val="0"/>
        </w:rPr>
        <w:t>、</w:t>
        <w:tab/>
        <w:t>城域</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的车路协同试点示范项目显著增加。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月工信部批复支持创建湖南（长沙）车联网先导区，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月份又批复了重庆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两江新区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创建国家级车联网先导区，在重点高速公路、城市道路规模部署蜂窝车联网</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网络， 结合</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和智慧城市建设，完成重点区域交通设施车联网功能改造和核心系统能力提升，带动全路网规模部署。</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北京亦庄发布全球首个网联云控式高级别自动驾驶示范区，以支持</w:t>
      </w:r>
      <w:r>
        <w:rPr>
          <w:rFonts w:ascii="Times New Roman" w:eastAsia="Times New Roman" w:hAnsi="Times New Roman" w:cs="Times New Roman"/>
          <w:color w:val="000000"/>
          <w:spacing w:val="0"/>
          <w:w w:val="100"/>
          <w:position w:val="0"/>
          <w:sz w:val="18"/>
          <w:szCs w:val="18"/>
        </w:rPr>
        <w:t>L4</w:t>
      </w:r>
      <w:r>
        <w:rPr>
          <w:color w:val="000000"/>
          <w:spacing w:val="0"/>
          <w:w w:val="100"/>
          <w:position w:val="0"/>
        </w:rPr>
        <w:t>及以上高级别自动驾驶车辆的规模化运行，计划到</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年，将完成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智慧的路、聪明的车、实时的云、可靠的网和精确的图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五大体系建设，打通网联云控式自动驾驶的技术和管理 关键环节，形成城市级工程试验平台，最终实现高速公路无人物流、</w:t>
      </w:r>
      <w:r>
        <w:rPr>
          <w:rFonts w:ascii="Times New Roman" w:eastAsia="Times New Roman" w:hAnsi="Times New Roman" w:cs="Times New Roman"/>
          <w:color w:val="000000"/>
          <w:spacing w:val="0"/>
          <w:w w:val="100"/>
          <w:position w:val="0"/>
          <w:sz w:val="18"/>
          <w:szCs w:val="18"/>
        </w:rPr>
        <w:t>L4</w:t>
      </w:r>
      <w:r>
        <w:rPr>
          <w:color w:val="000000"/>
          <w:spacing w:val="0"/>
          <w:w w:val="100"/>
          <w:position w:val="0"/>
        </w:rPr>
        <w:t>级自动驾驶出租车、智能网联公交车、自主代客泊 车等高级别应用场景。</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月国家发改委、工信部、科技部等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个部委联合发布的《智能汽车创新发展战略》，提出到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年车用无线通 信网络（</w:t>
      </w:r>
      <w:r>
        <w:rPr>
          <w:rFonts w:ascii="Times New Roman" w:eastAsia="Times New Roman" w:hAnsi="Times New Roman" w:cs="Times New Roman"/>
          <w:color w:val="000000"/>
          <w:spacing w:val="0"/>
          <w:w w:val="100"/>
          <w:position w:val="0"/>
          <w:sz w:val="18"/>
          <w:szCs w:val="18"/>
        </w:rPr>
        <w:t>LTE-V2X</w:t>
      </w:r>
      <w:r>
        <w:rPr>
          <w:color w:val="000000"/>
          <w:spacing w:val="0"/>
          <w:w w:val="100"/>
          <w:position w:val="0"/>
        </w:rPr>
        <w:t>等）实现区域覆盖，新一代车用无线通信网络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 xml:space="preserve">）在部分城市、高速公路逐步开展应用的目标，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月发改委、工信部下发《关于组织实施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年新型基础设施建设工程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宽带网络和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的通知》，将基于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的车路协同 车联网大规模验证与应用列为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新型基础设施建设工程之一，明确</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 xml:space="preserve">车路协同为新基建的实施内容，要求各省市在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个地级市开展示范应用。随着车联网技术的不断成熟，各地纷纷通过建立示范先导区的形式探索基于</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 xml:space="preserve">的新商业模 式并通过封闭测试场等技术手段加以验证。江苏、上海、湖南等二十余省市在相关部门及地方政府的支持下建立了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余个 车联网先行示范区。据信通院发布的《车联网白皮书》内容，截至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月，我国已有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个省市陆续发布了智能网联汽车</w:t>
        <w:br w:type="page"/>
      </w:r>
      <w:r>
        <w:rPr>
          <w:color w:val="000000"/>
          <w:spacing w:val="0"/>
          <w:w w:val="100"/>
          <w:position w:val="0"/>
        </w:rPr>
        <w:t>道路测试实施细则并指定了智能网联汽车道路测试路段，各省市共计发放了约</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张智能网联汽车道路测试牌照，覆盖整车 制造企业、</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企业、初创企业、科研机构等。</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今年</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已经从小规模试点过渡到大规模示范应用阶段，广阔的市场空间将从今年起的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年加速释放，为</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设备厂 商提供了较大的市场机遇。但</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项目投资金额大，项目较为复杂，前期准备工作较多，项目从提出到实施还需要一定时间， 行业目前仍处于起步阶段，目前大多数试点示范项目普遍处于建设项目方案编制和项目实施的前期阶段，但预计大规模建设 将会在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年开始。</w:t>
      </w:r>
    </w:p>
    <w:p>
      <w:pPr>
        <w:pStyle w:val="Style34"/>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年公司积极为国内城市车路协同等试点示范项目提供整体方案和技术支持，其中包括广州公交集团车路协同示范项 目：在广州东圃、车陂两个路口布设示范工程，实现雷达、</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、信号灯与公交车</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对接及实施；深圳国际会展中心车 路协同示范项目：在路口安装</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color w:val="000000"/>
          <w:spacing w:val="0"/>
          <w:w w:val="100"/>
          <w:position w:val="0"/>
        </w:rPr>
        <w:t>部分公交车车上安装</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color w:val="000000"/>
          <w:spacing w:val="0"/>
          <w:w w:val="100"/>
          <w:position w:val="0"/>
        </w:rPr>
        <w:t>实现会展专用道公交优先通行，绿波车速引导；深圳福田 区车路协同示范项目：在福田中心区多个路口安装</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color w:val="000000"/>
          <w:spacing w:val="0"/>
          <w:w w:val="100"/>
          <w:position w:val="0"/>
        </w:rPr>
        <w:t>部分车安装</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color w:val="000000"/>
          <w:spacing w:val="0"/>
          <w:w w:val="100"/>
          <w:position w:val="0"/>
        </w:rPr>
        <w:t>实现公交、特殊车辆优先通行功能，通过交通 视频检测及消息推送实现拥堵提醒、行人碰撞预警等功能；中山大学深圳校区测试场车路协同应用项目、深圳罗湖区车路协 同应用项目、香港应科院车路协同测试项目等，促进智能网联产业合作项目的落地，推动智能网联试点示范建设。在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新四跨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活动中，公司还携手滴滴出行在公开示范路段布设路侧</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系统，并且活动后在该路段路端持续提供基于道路 感知系统的网联服务。</w:t>
      </w:r>
    </w:p>
    <w:p>
      <w:pPr>
        <w:pStyle w:val="Style34"/>
        <w:keepNext w:val="0"/>
        <w:keepLines w:val="0"/>
        <w:widowControl w:val="0"/>
        <w:numPr>
          <w:ilvl w:val="0"/>
          <w:numId w:val="3"/>
        </w:numPr>
        <w:shd w:val="clear" w:color="auto" w:fill="auto"/>
        <w:bidi w:val="0"/>
        <w:spacing w:before="0" w:after="0" w:line="240" w:lineRule="auto"/>
        <w:ind w:left="0" w:right="0" w:firstLine="480"/>
        <w:jc w:val="both"/>
      </w:pPr>
      <w:bookmarkStart w:id="106" w:name="bookmark106"/>
      <w:bookmarkEnd w:id="106"/>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年主要经营管理及研发工作总结</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年受疫情的影响，交通领域的工程建设、业务开展、商务活动难度加大，疫情期间公司在遵守国家政策情况下合理 安排复工复产，积极响应客户需求，保障</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天线设备的出货量同比上升。工厂根据市场情况进行优化调整，实行降本增效 优化管理。</w:t>
      </w:r>
    </w:p>
    <w:p>
      <w:pPr>
        <w:pStyle w:val="Style34"/>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日，佛山金溢新工厂正式宣布投产，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双工厂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运作机制正式启动。佛山金溢投产后，新设备使用状况逐步 稳定，工厂也快速通过了 </w:t>
      </w: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IATF16949</w:t>
      </w:r>
      <w:r>
        <w:rPr>
          <w:color w:val="000000"/>
          <w:spacing w:val="0"/>
          <w:w w:val="100"/>
          <w:position w:val="0"/>
        </w:rPr>
        <w:t>质量体系认证。佛山金溢工厂是金溢科技为响应国家政策中实现智能制造</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中长期规划而设立的；是目前智能交通行业先进的智能制造基地，工厂自动化、智能化程度较高；能够覆盖中国系、欧美系、 日韩系等全球整机车厂的质量体系生产要求。未来，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前装、车联网</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车载终端等车规级要求的产品都将在佛山工厂生 产制造。</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公司基于战略考虑，对子公司伟龙金溢进行了股权转让和债务重组。城市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拓展应用目前已上升为公司的战略性业务 之一，公司转让伟龙金溢股权后会积极做好设备厂商的角色，加大力度与产业链上下游建立合作关系，向停车场、加油站集 成商、运营商提供产品赋能汽车支付场景，共同加速产业发展。</w:t>
      </w:r>
    </w:p>
    <w:p>
      <w:pPr>
        <w:pStyle w:val="Style34"/>
        <w:keepNext w:val="0"/>
        <w:keepLines w:val="0"/>
        <w:widowControl w:val="0"/>
        <w:shd w:val="clear" w:color="auto" w:fill="auto"/>
        <w:bidi w:val="0"/>
        <w:spacing w:before="0" w:after="380" w:line="309" w:lineRule="exact"/>
        <w:ind w:left="0" w:right="0"/>
        <w:jc w:val="both"/>
      </w:pPr>
      <w:r>
        <w:rPr>
          <w:color w:val="000000"/>
          <w:spacing w:val="0"/>
          <w:w w:val="100"/>
          <w:position w:val="0"/>
        </w:rPr>
        <w:t>在研发领域，公司陆续承接了几十家主机厂的前装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定点开发项目，已基本完成产品开发、转量产准备；公司率先研 发推出了高速公路收费智能监测设备，已经在部分城市试点；</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新一代停车场天线、</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路边停车收费桩、防爆型</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定 位天线等产品的开发完成，进一步加速了</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路内外停车、加油、充电、洗车、维保等支付解决方案在城市内的广泛应用； 公司新开发</w:t>
      </w:r>
      <w:r>
        <w:rPr>
          <w:rFonts w:ascii="Times New Roman" w:eastAsia="Times New Roman" w:hAnsi="Times New Roman" w:cs="Times New Roman"/>
          <w:color w:val="000000"/>
          <w:spacing w:val="0"/>
          <w:w w:val="100"/>
          <w:position w:val="0"/>
          <w:sz w:val="18"/>
          <w:szCs w:val="18"/>
        </w:rPr>
        <w:t>5G V2X</w:t>
      </w:r>
      <w:r>
        <w:rPr>
          <w:color w:val="000000"/>
          <w:spacing w:val="0"/>
          <w:w w:val="100"/>
          <w:position w:val="0"/>
        </w:rPr>
        <w:t>基站，</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技术相融合的产品正在开发中。</w:t>
      </w:r>
    </w:p>
    <w:p>
      <w:pPr>
        <w:pStyle w:val="Style30"/>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、主营业务分析</w:t>
      </w:r>
      <w:bookmarkEnd w:id="107"/>
      <w:bookmarkEnd w:id="108"/>
      <w:bookmarkEnd w:id="110"/>
    </w:p>
    <w:p>
      <w:pPr>
        <w:pStyle w:val="Style37"/>
        <w:keepNext/>
        <w:keepLines/>
        <w:widowControl w:val="0"/>
        <w:shd w:val="clear" w:color="auto" w:fill="auto"/>
        <w:bidi w:val="0"/>
        <w:spacing w:before="0" w:after="38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、概述</w:t>
      </w:r>
      <w:bookmarkEnd w:id="111"/>
      <w:bookmarkEnd w:id="112"/>
      <w:bookmarkEnd w:id="11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7"/>
        <w:keepNext/>
        <w:keepLines/>
        <w:widowControl w:val="0"/>
        <w:shd w:val="clear" w:color="auto" w:fill="auto"/>
        <w:bidi w:val="0"/>
        <w:spacing w:before="0" w:after="38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、收入与成本</w:t>
      </w:r>
      <w:bookmarkEnd w:id="115"/>
      <w:bookmarkEnd w:id="116"/>
      <w:bookmarkEnd w:id="118"/>
    </w:p>
    <w:p>
      <w:pPr>
        <w:pStyle w:val="Style71"/>
        <w:keepNext/>
        <w:keepLines/>
        <w:widowControl w:val="0"/>
        <w:numPr>
          <w:ilvl w:val="0"/>
          <w:numId w:val="5"/>
        </w:numPr>
        <w:shd w:val="clear" w:color="auto" w:fill="auto"/>
        <w:bidi w:val="0"/>
        <w:spacing w:before="0" w:after="380" w:line="240" w:lineRule="auto"/>
        <w:ind w:left="0" w:right="0" w:firstLine="140"/>
        <w:jc w:val="left"/>
      </w:pPr>
      <w:bookmarkStart w:id="119" w:name="bookmark119"/>
      <w:bookmarkStart w:id="120" w:name="bookmark120"/>
      <w:bookmarkStart w:id="121" w:name="bookmark121"/>
      <w:bookmarkStart w:id="122" w:name="bookmark122"/>
      <w:bookmarkEnd w:id="121"/>
      <w:r>
        <w:rPr>
          <w:color w:val="000000"/>
          <w:spacing w:val="0"/>
          <w:w w:val="100"/>
          <w:position w:val="0"/>
        </w:rPr>
        <w:t>营业收入构成</w:t>
      </w:r>
      <w:bookmarkEnd w:id="119"/>
      <w:bookmarkEnd w:id="120"/>
      <w:bookmarkEnd w:id="122"/>
    </w:p>
    <w:p>
      <w:pPr>
        <w:pStyle w:val="Style3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684530</wp:posOffset>
                </wp:positionH>
                <wp:positionV relativeFrom="paragraph">
                  <wp:posOffset>0</wp:posOffset>
                </wp:positionV>
                <wp:extent cx="3048000" cy="521335"/>
                <wp:wrapTopAndBottom/>
                <wp:docPr id="12" name="Shape 12"/>
                <a:graphic xmlns:a="http://schemas.openxmlformats.org/drawingml/2006/main">
                  <a:graphicData uri="http://schemas.microsoft.com/office/word/2010/wordprocessingShape">
                    <wps:wsp>
                      <wps:cNvSpPr txBox="1"/>
                      <wps:spPr>
                        <a:xfrm>
                          <a:ext cx="3048000" cy="521335"/>
                        </a:xfrm>
                        <a:prstGeom prst="rect"/>
                        <a:noFill/>
                      </wps:spPr>
                      <wps:txbx>
                        <w:txbxContent>
                          <w:tbl>
                            <w:tblPr>
                              <w:tblOverlap w:val="never"/>
                              <w:jc w:val="left"/>
                              <w:tblLayout w:type="fixed"/>
                            </w:tblPr>
                            <w:tblGrid>
                              <w:gridCol w:w="1603"/>
                              <w:gridCol w:w="1594"/>
                              <w:gridCol w:w="1603"/>
                            </w:tblGrid>
                            <w:tr>
                              <w:trPr>
                                <w:tblHeade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53.899999999999999pt;margin-top:0;width:240.pt;height:41.050000000000004pt;z-index:-125829375;mso-wrap-distance-left:0;mso-wrap-distance-right:0;mso-position-horizontal-relative:page" filled="f" stroked="f">
                <v:textbox inset="0,0,0,0">
                  <w:txbxContent>
                    <w:tbl>
                      <w:tblPr>
                        <w:tblOverlap w:val="never"/>
                        <w:jc w:val="left"/>
                        <w:tblLayout w:type="fixed"/>
                      </w:tblPr>
                      <w:tblGrid>
                        <w:gridCol w:w="1603"/>
                        <w:gridCol w:w="1594"/>
                        <w:gridCol w:w="1603"/>
                      </w:tblGrid>
                      <w:tr>
                        <w:trPr>
                          <w:tblHeade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3720465</wp:posOffset>
                </wp:positionH>
                <wp:positionV relativeFrom="paragraph">
                  <wp:posOffset>0</wp:posOffset>
                </wp:positionV>
                <wp:extent cx="3051175" cy="521335"/>
                <wp:wrapTopAndBottom/>
                <wp:docPr id="14" name="Shape 14"/>
                <a:graphic xmlns:a="http://schemas.openxmlformats.org/drawingml/2006/main">
                  <a:graphicData uri="http://schemas.microsoft.com/office/word/2010/wordprocessingShape">
                    <wps:wsp>
                      <wps:cNvSpPr txBox="1"/>
                      <wps:spPr>
                        <a:xfrm>
                          <a:ext cx="3051175" cy="521335"/>
                        </a:xfrm>
                        <a:prstGeom prst="rect"/>
                        <a:noFill/>
                      </wps:spPr>
                      <wps:txbx>
                        <w:txbxContent>
                          <w:tbl>
                            <w:tblPr>
                              <w:tblOverlap w:val="never"/>
                              <w:jc w:val="left"/>
                              <w:tblLayout w:type="fixed"/>
                            </w:tblPr>
                            <w:tblGrid>
                              <w:gridCol w:w="1608"/>
                              <w:gridCol w:w="1594"/>
                              <w:gridCol w:w="1603"/>
                            </w:tblGrid>
                            <w:tr>
                              <w:trPr>
                                <w:tblHeader/>
                                <w:trHeight w:val="408"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292.94999999999999pt;margin-top:0;width:240.25pt;height:41.050000000000004pt;z-index:-125829373;mso-wrap-distance-left:0;mso-wrap-distance-right:0;mso-position-horizontal-relative:page" filled="f" stroked="f">
                <v:textbox inset="0,0,0,0">
                  <w:txbxContent>
                    <w:tbl>
                      <w:tblPr>
                        <w:tblOverlap w:val="never"/>
                        <w:jc w:val="left"/>
                        <w:tblLayout w:type="fixed"/>
                      </w:tblPr>
                      <w:tblGrid>
                        <w:gridCol w:w="1608"/>
                        <w:gridCol w:w="1594"/>
                        <w:gridCol w:w="1603"/>
                      </w:tblGrid>
                      <w:tr>
                        <w:trPr>
                          <w:tblHeader/>
                          <w:trHeight w:val="408"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2,860,155,936.39</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2,860,155,936.39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1,532,684,489.19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2,826,078,184.22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智能停车场设备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10,295,557.45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17,985,873.64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20,665,986.77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16,091,878.53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648,218,999.09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1,591,129,727.08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145,700,960.40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236,006,627.15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171,424,071.24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115,113,195.22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164,566,921.12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186,802,417.37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123,302,872.69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287,322,009.66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141,366,259.12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290,296,980.09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168,910,677.96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150,623,916.62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155,271.79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2,861,063.20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w:t>
            </w:r>
          </w:p>
        </w:tc>
      </w:tr>
    </w:tbl>
    <w:p>
      <w:pPr>
        <w:widowControl w:val="0"/>
        <w:spacing w:after="319" w:line="1" w:lineRule="exact"/>
      </w:pPr>
    </w:p>
    <w:p>
      <w:pPr>
        <w:pStyle w:val="Style71"/>
        <w:keepNext/>
        <w:keepLines/>
        <w:widowControl w:val="0"/>
        <w:numPr>
          <w:ilvl w:val="0"/>
          <w:numId w:val="5"/>
        </w:numPr>
        <w:shd w:val="clear" w:color="auto" w:fill="auto"/>
        <w:bidi w:val="0"/>
        <w:spacing w:before="0" w:line="240" w:lineRule="auto"/>
        <w:ind w:left="0" w:right="0" w:firstLine="0"/>
        <w:jc w:val="both"/>
      </w:pPr>
      <w:bookmarkStart w:id="123" w:name="bookmark123"/>
      <w:bookmarkStart w:id="124" w:name="bookmark124"/>
      <w:bookmarkStart w:id="125" w:name="bookmark125"/>
      <w:bookmarkStart w:id="126" w:name="bookmark126"/>
      <w:bookmarkEnd w:id="12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578,587,732.24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1,532,684,489.19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563,124,078.06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648,218,999.09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223,438,652.91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171,424,071.24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62,705,667.54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164,566,921.12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70,342,944.19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168,910,677.96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65,279,803.93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bl>
    <w:p>
      <w:pPr>
        <w:pStyle w:val="Style34"/>
        <w:keepNext w:val="0"/>
        <w:keepLines w:val="0"/>
        <w:widowControl w:val="0"/>
        <w:shd w:val="clear" w:color="auto" w:fill="auto"/>
        <w:bidi w:val="0"/>
        <w:spacing w:before="0" w:after="24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71"/>
        <w:keepNext/>
        <w:keepLines/>
        <w:widowControl w:val="0"/>
        <w:numPr>
          <w:ilvl w:val="0"/>
          <w:numId w:val="5"/>
        </w:numPr>
        <w:shd w:val="clear" w:color="auto" w:fill="auto"/>
        <w:bidi w:val="0"/>
        <w:spacing w:before="0" w:line="240" w:lineRule="auto"/>
        <w:ind w:left="0" w:right="0" w:firstLine="140"/>
        <w:jc w:val="both"/>
      </w:pPr>
      <w:bookmarkStart w:id="127" w:name="bookmark127"/>
      <w:bookmarkStart w:id="128" w:name="bookmark128"/>
      <w:bookmarkStart w:id="129" w:name="bookmark129"/>
      <w:bookmarkStart w:id="130" w:name="bookmark130"/>
      <w:bookmarkEnd w:id="129"/>
      <w:r>
        <w:rPr>
          <w:color w:val="000000"/>
          <w:spacing w:val="0"/>
          <w:w w:val="100"/>
          <w:position w:val="0"/>
        </w:rPr>
        <w:t>公司实物销售收入是否大于劳务收入</w:t>
      </w:r>
      <w:bookmarkEnd w:id="127"/>
      <w:bookmarkEnd w:id="128"/>
      <w:bookmarkEnd w:id="13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-OBU</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10,208,089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36,788,536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43,975,229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7,783,377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其他减少量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-RSU</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其他减少量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智能停车场设备</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-RSU</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其他减少量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智能停车场设备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 道控制机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其他减少量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120" w:line="318"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其他减少量系本报告期内处置原控股子公司伟龙金溢股权，期末库存不纳入合并范围导致的减少量。</w:t>
      </w:r>
    </w:p>
    <w:p>
      <w:pPr>
        <w:pStyle w:val="Style34"/>
        <w:keepNext w:val="0"/>
        <w:keepLines w:val="0"/>
        <w:widowControl w:val="0"/>
        <w:shd w:val="clear" w:color="auto" w:fill="auto"/>
        <w:tabs>
          <w:tab w:pos="338" w:val="left"/>
        </w:tabs>
        <w:bidi w:val="0"/>
        <w:spacing w:before="0" w:after="0" w:line="318" w:lineRule="exact"/>
        <w:ind w:left="0" w:right="0" w:firstLine="0"/>
        <w:jc w:val="both"/>
      </w:pPr>
      <w:bookmarkStart w:id="131" w:name="bookmark131"/>
      <w:r>
        <w:rPr>
          <w:rFonts w:ascii="Times New Roman" w:eastAsia="Times New Roman" w:hAnsi="Times New Roman" w:cs="Times New Roman"/>
          <w:color w:val="000000"/>
          <w:spacing w:val="0"/>
          <w:w w:val="100"/>
          <w:position w:val="0"/>
          <w:sz w:val="18"/>
          <w:szCs w:val="18"/>
        </w:rPr>
        <w:t>1</w:t>
      </w:r>
      <w:bookmarkEnd w:id="131"/>
      <w:r>
        <w:rPr>
          <w:color w:val="000000"/>
          <w:spacing w:val="0"/>
          <w:w w:val="100"/>
          <w:position w:val="0"/>
        </w:rPr>
        <w:t>、</w:t>
        <w:tab/>
        <w:t>报告期内高速公路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的销售量为</w:t>
      </w:r>
      <w:r>
        <w:rPr>
          <w:rFonts w:ascii="Times New Roman" w:eastAsia="Times New Roman" w:hAnsi="Times New Roman" w:cs="Times New Roman"/>
          <w:color w:val="000000"/>
          <w:spacing w:val="0"/>
          <w:w w:val="100"/>
          <w:position w:val="0"/>
          <w:sz w:val="18"/>
          <w:szCs w:val="18"/>
        </w:rPr>
        <w:t>10,208,089</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年销售量为</w:t>
      </w:r>
      <w:r>
        <w:rPr>
          <w:rFonts w:ascii="Times New Roman" w:eastAsia="Times New Roman" w:hAnsi="Times New Roman" w:cs="Times New Roman"/>
          <w:color w:val="000000"/>
          <w:spacing w:val="0"/>
          <w:w w:val="100"/>
          <w:position w:val="0"/>
          <w:sz w:val="18"/>
          <w:szCs w:val="18"/>
        </w:rPr>
        <w:t>36,788,536</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72.25%</w:t>
      </w:r>
      <w:r>
        <w:rPr>
          <w:color w:val="000000"/>
          <w:spacing w:val="0"/>
          <w:w w:val="100"/>
          <w:position w:val="0"/>
        </w:rPr>
        <w:t>，主要系 受国家取消高速公路省界收费站的政策刺激，导致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年全年</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销量同比大规模增长，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年后高速公路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行业发展 逐渐进入常态，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年全年</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销量同比减少。</w:t>
      </w:r>
    </w:p>
    <w:p>
      <w:pPr>
        <w:pStyle w:val="Style34"/>
        <w:keepNext w:val="0"/>
        <w:keepLines w:val="0"/>
        <w:widowControl w:val="0"/>
        <w:shd w:val="clear" w:color="auto" w:fill="auto"/>
        <w:tabs>
          <w:tab w:pos="347" w:val="left"/>
        </w:tabs>
        <w:bidi w:val="0"/>
        <w:spacing w:before="0" w:after="0" w:line="318" w:lineRule="exact"/>
        <w:ind w:left="0" w:right="0" w:firstLine="0"/>
        <w:jc w:val="both"/>
      </w:pPr>
      <w:bookmarkStart w:id="132" w:name="bookmark132"/>
      <w:r>
        <w:rPr>
          <w:rFonts w:ascii="Times New Roman" w:eastAsia="Times New Roman" w:hAnsi="Times New Roman" w:cs="Times New Roman"/>
          <w:color w:val="000000"/>
          <w:spacing w:val="0"/>
          <w:w w:val="100"/>
          <w:position w:val="0"/>
          <w:sz w:val="18"/>
          <w:szCs w:val="18"/>
        </w:rPr>
        <w:t>2</w:t>
      </w:r>
      <w:bookmarkEnd w:id="132"/>
      <w:r>
        <w:rPr>
          <w:color w:val="000000"/>
          <w:spacing w:val="0"/>
          <w:w w:val="100"/>
          <w:position w:val="0"/>
        </w:rPr>
        <w:t>、</w:t>
        <w:tab/>
        <w:t>报告期内高速公路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的生产量为</w:t>
      </w:r>
      <w:r>
        <w:rPr>
          <w:rFonts w:ascii="Times New Roman" w:eastAsia="Times New Roman" w:hAnsi="Times New Roman" w:cs="Times New Roman"/>
          <w:color w:val="000000"/>
          <w:spacing w:val="0"/>
          <w:w w:val="100"/>
          <w:position w:val="0"/>
          <w:sz w:val="18"/>
          <w:szCs w:val="18"/>
        </w:rPr>
        <w:t>3,018,138</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年生产量为</w:t>
      </w:r>
      <w:r>
        <w:rPr>
          <w:rFonts w:ascii="Times New Roman" w:eastAsia="Times New Roman" w:hAnsi="Times New Roman" w:cs="Times New Roman"/>
          <w:color w:val="000000"/>
          <w:spacing w:val="0"/>
          <w:w w:val="100"/>
          <w:position w:val="0"/>
          <w:sz w:val="18"/>
          <w:szCs w:val="18"/>
        </w:rPr>
        <w:t>43,975,229</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93.14%</w:t>
      </w:r>
      <w:r>
        <w:rPr>
          <w:color w:val="000000"/>
          <w:spacing w:val="0"/>
          <w:w w:val="100"/>
          <w:position w:val="0"/>
        </w:rPr>
        <w:t>，主要系 公司应对市场需求减少产量所致。</w:t>
      </w:r>
    </w:p>
    <w:p>
      <w:pPr>
        <w:pStyle w:val="Style34"/>
        <w:keepNext w:val="0"/>
        <w:keepLines w:val="0"/>
        <w:widowControl w:val="0"/>
        <w:shd w:val="clear" w:color="auto" w:fill="auto"/>
        <w:tabs>
          <w:tab w:pos="347" w:val="left"/>
        </w:tabs>
        <w:bidi w:val="0"/>
        <w:spacing w:before="0" w:after="0" w:line="318" w:lineRule="exact"/>
        <w:ind w:left="0" w:right="0" w:firstLine="0"/>
        <w:jc w:val="both"/>
      </w:pPr>
      <w:bookmarkStart w:id="133" w:name="bookmark133"/>
      <w:r>
        <w:rPr>
          <w:rFonts w:ascii="Times New Roman" w:eastAsia="Times New Roman" w:hAnsi="Times New Roman" w:cs="Times New Roman"/>
          <w:color w:val="000000"/>
          <w:spacing w:val="0"/>
          <w:w w:val="100"/>
          <w:position w:val="0"/>
          <w:sz w:val="18"/>
          <w:szCs w:val="18"/>
        </w:rPr>
        <w:t>3</w:t>
      </w:r>
      <w:bookmarkEnd w:id="133"/>
      <w:r>
        <w:rPr>
          <w:color w:val="000000"/>
          <w:spacing w:val="0"/>
          <w:w w:val="100"/>
          <w:position w:val="0"/>
        </w:rPr>
        <w:t>、</w:t>
        <w:tab/>
        <w:t>报告期内高速公路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的库存量为</w:t>
      </w:r>
      <w:r>
        <w:rPr>
          <w:rFonts w:ascii="Times New Roman" w:eastAsia="Times New Roman" w:hAnsi="Times New Roman" w:cs="Times New Roman"/>
          <w:color w:val="000000"/>
          <w:spacing w:val="0"/>
          <w:w w:val="100"/>
          <w:position w:val="0"/>
          <w:sz w:val="18"/>
          <w:szCs w:val="18"/>
        </w:rPr>
        <w:t>592,144</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年库存量为</w:t>
      </w:r>
      <w:r>
        <w:rPr>
          <w:rFonts w:ascii="Times New Roman" w:eastAsia="Times New Roman" w:hAnsi="Times New Roman" w:cs="Times New Roman"/>
          <w:color w:val="000000"/>
          <w:spacing w:val="0"/>
          <w:w w:val="100"/>
          <w:position w:val="0"/>
          <w:sz w:val="18"/>
          <w:szCs w:val="18"/>
        </w:rPr>
        <w:t>7,783,377</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92.39%</w:t>
      </w:r>
      <w:r>
        <w:rPr>
          <w:color w:val="000000"/>
          <w:spacing w:val="0"/>
          <w:w w:val="100"/>
          <w:position w:val="0"/>
        </w:rPr>
        <w:t>，主要系公 司为应对市场需求减少备货所致。</w:t>
      </w:r>
    </w:p>
    <w:p>
      <w:pPr>
        <w:pStyle w:val="Style34"/>
        <w:keepNext w:val="0"/>
        <w:keepLines w:val="0"/>
        <w:widowControl w:val="0"/>
        <w:shd w:val="clear" w:color="auto" w:fill="auto"/>
        <w:tabs>
          <w:tab w:pos="347" w:val="left"/>
        </w:tabs>
        <w:bidi w:val="0"/>
        <w:spacing w:before="0" w:after="0" w:line="318" w:lineRule="exact"/>
        <w:ind w:left="0" w:right="0" w:firstLine="0"/>
        <w:jc w:val="both"/>
      </w:pPr>
      <w:bookmarkStart w:id="134" w:name="bookmark134"/>
      <w:r>
        <w:rPr>
          <w:rFonts w:ascii="Times New Roman" w:eastAsia="Times New Roman" w:hAnsi="Times New Roman" w:cs="Times New Roman"/>
          <w:color w:val="000000"/>
          <w:spacing w:val="0"/>
          <w:w w:val="100"/>
          <w:position w:val="0"/>
          <w:sz w:val="18"/>
          <w:szCs w:val="18"/>
        </w:rPr>
        <w:t>4</w:t>
      </w:r>
      <w:bookmarkEnd w:id="134"/>
      <w:r>
        <w:rPr>
          <w:color w:val="000000"/>
          <w:spacing w:val="0"/>
          <w:w w:val="100"/>
          <w:position w:val="0"/>
        </w:rPr>
        <w:t>、</w:t>
        <w:tab/>
        <w:t>报告期内高速公路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的销售量为</w:t>
      </w:r>
      <w:r>
        <w:rPr>
          <w:rFonts w:ascii="Times New Roman" w:eastAsia="Times New Roman" w:hAnsi="Times New Roman" w:cs="Times New Roman"/>
          <w:color w:val="000000"/>
          <w:spacing w:val="0"/>
          <w:w w:val="100"/>
          <w:position w:val="0"/>
          <w:sz w:val="18"/>
          <w:szCs w:val="18"/>
        </w:rPr>
        <w:t>34,556</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年销售量为</w:t>
      </w:r>
      <w:r>
        <w:rPr>
          <w:rFonts w:ascii="Times New Roman" w:eastAsia="Times New Roman" w:hAnsi="Times New Roman" w:cs="Times New Roman"/>
          <w:color w:val="000000"/>
          <w:spacing w:val="0"/>
          <w:w w:val="100"/>
          <w:position w:val="0"/>
          <w:sz w:val="18"/>
          <w:szCs w:val="18"/>
        </w:rPr>
        <w:t>10,732</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221.99%</w:t>
      </w:r>
      <w:r>
        <w:rPr>
          <w:color w:val="000000"/>
          <w:spacing w:val="0"/>
          <w:w w:val="100"/>
          <w:position w:val="0"/>
        </w:rPr>
        <w:t>,主要系受</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年国家取消高速公路省界收费站的政策刺激，该政策对</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销量影响效应延续到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销售量同比大幅增加。</w:t>
      </w:r>
    </w:p>
    <w:p>
      <w:pPr>
        <w:pStyle w:val="Style34"/>
        <w:keepNext w:val="0"/>
        <w:keepLines w:val="0"/>
        <w:widowControl w:val="0"/>
        <w:shd w:val="clear" w:color="auto" w:fill="auto"/>
        <w:tabs>
          <w:tab w:pos="347" w:val="left"/>
        </w:tabs>
        <w:bidi w:val="0"/>
        <w:spacing w:before="0" w:after="0" w:line="318" w:lineRule="exact"/>
        <w:ind w:left="0" w:right="0" w:firstLine="0"/>
        <w:jc w:val="both"/>
      </w:pPr>
      <w:bookmarkStart w:id="135" w:name="bookmark135"/>
      <w:r>
        <w:rPr>
          <w:rFonts w:ascii="Times New Roman" w:eastAsia="Times New Roman" w:hAnsi="Times New Roman" w:cs="Times New Roman"/>
          <w:color w:val="000000"/>
          <w:spacing w:val="0"/>
          <w:w w:val="100"/>
          <w:position w:val="0"/>
          <w:sz w:val="18"/>
          <w:szCs w:val="18"/>
        </w:rPr>
        <w:t>5</w:t>
      </w:r>
      <w:bookmarkEnd w:id="135"/>
      <w:r>
        <w:rPr>
          <w:color w:val="000000"/>
          <w:spacing w:val="0"/>
          <w:w w:val="100"/>
          <w:position w:val="0"/>
        </w:rPr>
        <w:t>、</w:t>
        <w:tab/>
        <w:t>报告期内高速公路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的生产量为</w:t>
      </w:r>
      <w:r>
        <w:rPr>
          <w:rFonts w:ascii="Times New Roman" w:eastAsia="Times New Roman" w:hAnsi="Times New Roman" w:cs="Times New Roman"/>
          <w:color w:val="000000"/>
          <w:spacing w:val="0"/>
          <w:w w:val="100"/>
          <w:position w:val="0"/>
          <w:sz w:val="18"/>
          <w:szCs w:val="18"/>
        </w:rPr>
        <w:t>8,561</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年生产量为</w:t>
      </w:r>
      <w:r>
        <w:rPr>
          <w:rFonts w:ascii="Times New Roman" w:eastAsia="Times New Roman" w:hAnsi="Times New Roman" w:cs="Times New Roman"/>
          <w:color w:val="000000"/>
          <w:spacing w:val="0"/>
          <w:w w:val="100"/>
          <w:position w:val="0"/>
          <w:sz w:val="18"/>
          <w:szCs w:val="18"/>
        </w:rPr>
        <w:t>41,909</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79.57%</w:t>
      </w:r>
      <w:r>
        <w:rPr>
          <w:color w:val="000000"/>
          <w:spacing w:val="0"/>
          <w:w w:val="100"/>
          <w:position w:val="0"/>
        </w:rPr>
        <w:t>，主要系公司为应 对未来市场需求变化减少产量所致。</w:t>
      </w:r>
    </w:p>
    <w:p>
      <w:pPr>
        <w:pStyle w:val="Style34"/>
        <w:keepNext w:val="0"/>
        <w:keepLines w:val="0"/>
        <w:widowControl w:val="0"/>
        <w:shd w:val="clear" w:color="auto" w:fill="auto"/>
        <w:tabs>
          <w:tab w:pos="347" w:val="left"/>
        </w:tabs>
        <w:bidi w:val="0"/>
        <w:spacing w:before="0" w:after="0" w:line="326" w:lineRule="exact"/>
        <w:ind w:left="0" w:right="0" w:firstLine="0"/>
        <w:jc w:val="both"/>
      </w:pPr>
      <w:bookmarkStart w:id="136" w:name="bookmark136"/>
      <w:r>
        <w:rPr>
          <w:rFonts w:ascii="Times New Roman" w:eastAsia="Times New Roman" w:hAnsi="Times New Roman" w:cs="Times New Roman"/>
          <w:color w:val="000000"/>
          <w:spacing w:val="0"/>
          <w:w w:val="100"/>
          <w:position w:val="0"/>
          <w:sz w:val="18"/>
          <w:szCs w:val="18"/>
        </w:rPr>
        <w:t>6</w:t>
      </w:r>
      <w:bookmarkEnd w:id="136"/>
      <w:r>
        <w:rPr>
          <w:color w:val="000000"/>
          <w:spacing w:val="0"/>
          <w:w w:val="100"/>
          <w:position w:val="0"/>
        </w:rPr>
        <w:t>、</w:t>
        <w:tab/>
        <w:t>报告期内高速公路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的库存量为</w:t>
      </w:r>
      <w:r>
        <w:rPr>
          <w:rFonts w:ascii="Times New Roman" w:eastAsia="Times New Roman" w:hAnsi="Times New Roman" w:cs="Times New Roman"/>
          <w:color w:val="000000"/>
          <w:spacing w:val="0"/>
          <w:w w:val="100"/>
          <w:position w:val="0"/>
          <w:sz w:val="18"/>
          <w:szCs w:val="18"/>
        </w:rPr>
        <w:t>6,711</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年库存量为</w:t>
      </w:r>
      <w:r>
        <w:rPr>
          <w:rFonts w:ascii="Times New Roman" w:eastAsia="Times New Roman" w:hAnsi="Times New Roman" w:cs="Times New Roman"/>
          <w:color w:val="000000"/>
          <w:spacing w:val="0"/>
          <w:w w:val="100"/>
          <w:position w:val="0"/>
          <w:sz w:val="18"/>
          <w:szCs w:val="18"/>
        </w:rPr>
        <w:t>32,706</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79.48%</w:t>
      </w:r>
      <w:r>
        <w:rPr>
          <w:color w:val="000000"/>
          <w:spacing w:val="0"/>
          <w:w w:val="100"/>
          <w:position w:val="0"/>
        </w:rPr>
        <w:t>，主要系公司为应 对市场需求减少备货所致。</w:t>
      </w:r>
    </w:p>
    <w:p>
      <w:pPr>
        <w:pStyle w:val="Style34"/>
        <w:keepNext w:val="0"/>
        <w:keepLines w:val="0"/>
        <w:widowControl w:val="0"/>
        <w:shd w:val="clear" w:color="auto" w:fill="auto"/>
        <w:tabs>
          <w:tab w:pos="347" w:val="left"/>
        </w:tabs>
        <w:bidi w:val="0"/>
        <w:spacing w:before="0" w:after="0" w:line="317" w:lineRule="exact"/>
        <w:ind w:left="0" w:right="0" w:firstLine="0"/>
        <w:jc w:val="both"/>
      </w:pPr>
      <w:bookmarkStart w:id="137" w:name="bookmark137"/>
      <w:r>
        <w:rPr>
          <w:rFonts w:ascii="Times New Roman" w:eastAsia="Times New Roman" w:hAnsi="Times New Roman" w:cs="Times New Roman"/>
          <w:color w:val="000000"/>
          <w:spacing w:val="0"/>
          <w:w w:val="100"/>
          <w:position w:val="0"/>
          <w:sz w:val="18"/>
          <w:szCs w:val="18"/>
        </w:rPr>
        <w:t>7</w:t>
      </w:r>
      <w:bookmarkEnd w:id="137"/>
      <w:r>
        <w:rPr>
          <w:color w:val="000000"/>
          <w:spacing w:val="0"/>
          <w:w w:val="100"/>
          <w:position w:val="0"/>
        </w:rPr>
        <w:t>、</w:t>
        <w:tab/>
        <w:t>智能停车场设备</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销售量为</w:t>
      </w:r>
      <w:r>
        <w:rPr>
          <w:rFonts w:ascii="Times New Roman" w:eastAsia="Times New Roman" w:hAnsi="Times New Roman" w:cs="Times New Roman"/>
          <w:color w:val="000000"/>
          <w:spacing w:val="0"/>
          <w:w w:val="100"/>
          <w:position w:val="0"/>
          <w:sz w:val="18"/>
          <w:szCs w:val="18"/>
        </w:rPr>
        <w:t>743</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年销售量为</w:t>
      </w:r>
      <w:r>
        <w:rPr>
          <w:rFonts w:ascii="Times New Roman" w:eastAsia="Times New Roman" w:hAnsi="Times New Roman" w:cs="Times New Roman"/>
          <w:color w:val="000000"/>
          <w:spacing w:val="0"/>
          <w:w w:val="100"/>
          <w:position w:val="0"/>
          <w:sz w:val="18"/>
          <w:szCs w:val="18"/>
        </w:rPr>
        <w:t>1,074</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30.82%</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月处置原控股子 公司伟龙金溢股权，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月以后的销量不纳入合并范围所致。</w:t>
      </w:r>
    </w:p>
    <w:p>
      <w:pPr>
        <w:pStyle w:val="Style34"/>
        <w:keepNext w:val="0"/>
        <w:keepLines w:val="0"/>
        <w:widowControl w:val="0"/>
        <w:shd w:val="clear" w:color="auto" w:fill="auto"/>
        <w:tabs>
          <w:tab w:pos="347" w:val="left"/>
        </w:tabs>
        <w:bidi w:val="0"/>
        <w:spacing w:before="0" w:after="0" w:line="317" w:lineRule="exact"/>
        <w:ind w:left="0" w:right="0" w:firstLine="0"/>
        <w:jc w:val="both"/>
      </w:pPr>
      <w:bookmarkStart w:id="138" w:name="bookmark138"/>
      <w:r>
        <w:rPr>
          <w:rFonts w:ascii="Times New Roman" w:eastAsia="Times New Roman" w:hAnsi="Times New Roman" w:cs="Times New Roman"/>
          <w:color w:val="000000"/>
          <w:spacing w:val="0"/>
          <w:w w:val="100"/>
          <w:position w:val="0"/>
          <w:sz w:val="18"/>
          <w:szCs w:val="18"/>
        </w:rPr>
        <w:t>8</w:t>
      </w:r>
      <w:bookmarkEnd w:id="138"/>
      <w:r>
        <w:rPr>
          <w:color w:val="000000"/>
          <w:spacing w:val="0"/>
          <w:w w:val="100"/>
          <w:position w:val="0"/>
        </w:rPr>
        <w:t>、</w:t>
        <w:tab/>
        <w:t>智能停车场设备</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生产量为</w:t>
      </w:r>
      <w:r>
        <w:rPr>
          <w:rFonts w:ascii="Times New Roman" w:eastAsia="Times New Roman" w:hAnsi="Times New Roman" w:cs="Times New Roman"/>
          <w:color w:val="000000"/>
          <w:spacing w:val="0"/>
          <w:w w:val="100"/>
          <w:position w:val="0"/>
          <w:sz w:val="18"/>
          <w:szCs w:val="18"/>
        </w:rPr>
        <w:t>630</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年生产量为</w:t>
      </w:r>
      <w:r>
        <w:rPr>
          <w:rFonts w:ascii="Times New Roman" w:eastAsia="Times New Roman" w:hAnsi="Times New Roman" w:cs="Times New Roman"/>
          <w:color w:val="000000"/>
          <w:spacing w:val="0"/>
          <w:w w:val="100"/>
          <w:position w:val="0"/>
          <w:sz w:val="18"/>
          <w:szCs w:val="18"/>
        </w:rPr>
        <w:t>2,107</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70.10%</w:t>
      </w:r>
      <w:r>
        <w:rPr>
          <w:color w:val="000000"/>
          <w:spacing w:val="0"/>
          <w:w w:val="100"/>
          <w:position w:val="0"/>
        </w:rPr>
        <w:t xml:space="preserve">，主要系公司为应对市场需求减少 </w:t>
      </w:r>
      <w:r>
        <w:rPr>
          <w:color w:val="000000"/>
          <w:spacing w:val="0"/>
          <w:w w:val="100"/>
          <w:position w:val="0"/>
        </w:rPr>
        <w:t>产量所致。</w:t>
      </w:r>
    </w:p>
    <w:p>
      <w:pPr>
        <w:pStyle w:val="Style34"/>
        <w:keepNext w:val="0"/>
        <w:keepLines w:val="0"/>
        <w:widowControl w:val="0"/>
        <w:shd w:val="clear" w:color="auto" w:fill="auto"/>
        <w:tabs>
          <w:tab w:pos="344" w:val="left"/>
        </w:tabs>
        <w:bidi w:val="0"/>
        <w:spacing w:before="0" w:after="0" w:line="320" w:lineRule="exact"/>
        <w:ind w:left="0" w:right="0" w:firstLine="0"/>
        <w:jc w:val="left"/>
      </w:pPr>
      <w:bookmarkStart w:id="139" w:name="bookmark139"/>
      <w:r>
        <w:rPr>
          <w:rFonts w:ascii="Times New Roman" w:eastAsia="Times New Roman" w:hAnsi="Times New Roman" w:cs="Times New Roman"/>
          <w:color w:val="000000"/>
          <w:spacing w:val="0"/>
          <w:w w:val="100"/>
          <w:position w:val="0"/>
          <w:sz w:val="18"/>
          <w:szCs w:val="18"/>
        </w:rPr>
        <w:t>9</w:t>
      </w:r>
      <w:bookmarkEnd w:id="139"/>
      <w:r>
        <w:rPr>
          <w:color w:val="000000"/>
          <w:spacing w:val="0"/>
          <w:w w:val="100"/>
          <w:position w:val="0"/>
        </w:rPr>
        <w:t>、</w:t>
        <w:tab/>
        <w:t>智能停车场设备</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库存量为</w:t>
      </w:r>
      <w:r>
        <w:rPr>
          <w:rFonts w:ascii="Times New Roman" w:eastAsia="Times New Roman" w:hAnsi="Times New Roman" w:cs="Times New Roman"/>
          <w:color w:val="000000"/>
          <w:spacing w:val="0"/>
          <w:w w:val="100"/>
          <w:position w:val="0"/>
          <w:sz w:val="18"/>
          <w:szCs w:val="18"/>
        </w:rPr>
        <w:t>446</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年库存量为</w:t>
      </w:r>
      <w:r>
        <w:rPr>
          <w:rFonts w:ascii="Times New Roman" w:eastAsia="Times New Roman" w:hAnsi="Times New Roman" w:cs="Times New Roman"/>
          <w:color w:val="000000"/>
          <w:spacing w:val="0"/>
          <w:w w:val="100"/>
          <w:position w:val="0"/>
          <w:sz w:val="18"/>
          <w:szCs w:val="18"/>
        </w:rPr>
        <w:t>1406</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68.28%</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月处置原控股子公 司伟龙金溢股权，期末库存不纳入合并范围所致。</w:t>
      </w:r>
    </w:p>
    <w:p>
      <w:pPr>
        <w:pStyle w:val="Style34"/>
        <w:keepNext w:val="0"/>
        <w:keepLines w:val="0"/>
        <w:widowControl w:val="0"/>
        <w:shd w:val="clear" w:color="auto" w:fill="auto"/>
        <w:tabs>
          <w:tab w:pos="435" w:val="left"/>
        </w:tabs>
        <w:bidi w:val="0"/>
        <w:spacing w:before="0" w:after="0" w:line="320" w:lineRule="exact"/>
        <w:ind w:left="0" w:right="0" w:firstLine="0"/>
        <w:jc w:val="left"/>
      </w:pPr>
      <w:bookmarkStart w:id="140" w:name="bookmark140"/>
      <w:r>
        <w:rPr>
          <w:rFonts w:ascii="Times New Roman" w:eastAsia="Times New Roman" w:hAnsi="Times New Roman" w:cs="Times New Roman"/>
          <w:color w:val="000000"/>
          <w:spacing w:val="0"/>
          <w:w w:val="100"/>
          <w:position w:val="0"/>
          <w:sz w:val="18"/>
          <w:szCs w:val="18"/>
        </w:rPr>
        <w:t>1</w:t>
      </w:r>
      <w:bookmarkEnd w:id="140"/>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智能停车场设备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车道控制机销售量为</w:t>
      </w:r>
      <w:r>
        <w:rPr>
          <w:rFonts w:ascii="Times New Roman" w:eastAsia="Times New Roman" w:hAnsi="Times New Roman" w:cs="Times New Roman"/>
          <w:color w:val="000000"/>
          <w:spacing w:val="0"/>
          <w:w w:val="100"/>
          <w:position w:val="0"/>
          <w:sz w:val="18"/>
          <w:szCs w:val="18"/>
        </w:rPr>
        <w:t>710</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年销售量为</w:t>
      </w:r>
      <w:r>
        <w:rPr>
          <w:rFonts w:ascii="Times New Roman" w:eastAsia="Times New Roman" w:hAnsi="Times New Roman" w:cs="Times New Roman"/>
          <w:color w:val="000000"/>
          <w:spacing w:val="0"/>
          <w:w w:val="100"/>
          <w:position w:val="0"/>
          <w:sz w:val="18"/>
          <w:szCs w:val="18"/>
        </w:rPr>
        <w:t>1,856</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61.75%</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月处置原 控股子公司伟龙金溢股权，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月以后的销量不纳入合并范围所致。</w:t>
      </w:r>
    </w:p>
    <w:p>
      <w:pPr>
        <w:pStyle w:val="Style34"/>
        <w:keepNext w:val="0"/>
        <w:keepLines w:val="0"/>
        <w:widowControl w:val="0"/>
        <w:shd w:val="clear" w:color="auto" w:fill="auto"/>
        <w:tabs>
          <w:tab w:pos="426" w:val="left"/>
        </w:tabs>
        <w:bidi w:val="0"/>
        <w:spacing w:before="0" w:after="0" w:line="320" w:lineRule="exact"/>
        <w:ind w:left="0" w:right="0" w:firstLine="0"/>
        <w:jc w:val="left"/>
      </w:pPr>
      <w:bookmarkStart w:id="141" w:name="bookmark141"/>
      <w:r>
        <w:rPr>
          <w:rFonts w:ascii="Times New Roman" w:eastAsia="Times New Roman" w:hAnsi="Times New Roman" w:cs="Times New Roman"/>
          <w:color w:val="000000"/>
          <w:spacing w:val="0"/>
          <w:w w:val="100"/>
          <w:position w:val="0"/>
          <w:sz w:val="18"/>
          <w:szCs w:val="18"/>
        </w:rPr>
        <w:t>1</w:t>
      </w:r>
      <w:bookmarkEnd w:id="1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智能停车场设备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车道控制机生产量为</w:t>
      </w:r>
      <w:r>
        <w:rPr>
          <w:rFonts w:ascii="Times New Roman" w:eastAsia="Times New Roman" w:hAnsi="Times New Roman" w:cs="Times New Roman"/>
          <w:color w:val="000000"/>
          <w:spacing w:val="0"/>
          <w:w w:val="100"/>
          <w:position w:val="0"/>
          <w:sz w:val="18"/>
          <w:szCs w:val="18"/>
        </w:rPr>
        <w:t>581</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年生产量为</w:t>
      </w:r>
      <w:r>
        <w:rPr>
          <w:rFonts w:ascii="Times New Roman" w:eastAsia="Times New Roman" w:hAnsi="Times New Roman" w:cs="Times New Roman"/>
          <w:color w:val="000000"/>
          <w:spacing w:val="0"/>
          <w:w w:val="100"/>
          <w:position w:val="0"/>
          <w:sz w:val="18"/>
          <w:szCs w:val="18"/>
        </w:rPr>
        <w:t>2,466</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76.44%</w:t>
      </w:r>
      <w:r>
        <w:rPr>
          <w:color w:val="000000"/>
          <w:spacing w:val="0"/>
          <w:w w:val="100"/>
          <w:position w:val="0"/>
        </w:rPr>
        <w:t>，主要系公司为应对市场 需求减少产量所致。</w:t>
      </w:r>
    </w:p>
    <w:p>
      <w:pPr>
        <w:pStyle w:val="Style34"/>
        <w:keepNext w:val="0"/>
        <w:keepLines w:val="0"/>
        <w:widowControl w:val="0"/>
        <w:shd w:val="clear" w:color="auto" w:fill="auto"/>
        <w:tabs>
          <w:tab w:pos="435" w:val="left"/>
        </w:tabs>
        <w:bidi w:val="0"/>
        <w:spacing w:before="0" w:after="360" w:line="320" w:lineRule="exact"/>
        <w:ind w:left="0" w:right="0" w:firstLine="0"/>
        <w:jc w:val="left"/>
      </w:pPr>
      <w:bookmarkStart w:id="142" w:name="bookmark142"/>
      <w:r>
        <w:rPr>
          <w:rFonts w:ascii="Times New Roman" w:eastAsia="Times New Roman" w:hAnsi="Times New Roman" w:cs="Times New Roman"/>
          <w:color w:val="000000"/>
          <w:spacing w:val="0"/>
          <w:w w:val="100"/>
          <w:position w:val="0"/>
          <w:sz w:val="18"/>
          <w:szCs w:val="18"/>
        </w:rPr>
        <w:t>1</w:t>
      </w:r>
      <w:bookmarkEnd w:id="1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智能停车场设备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车道控制机库存量为</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年库存量为</w:t>
      </w:r>
      <w:r>
        <w:rPr>
          <w:rFonts w:ascii="Times New Roman" w:eastAsia="Times New Roman" w:hAnsi="Times New Roman" w:cs="Times New Roman"/>
          <w:color w:val="000000"/>
          <w:spacing w:val="0"/>
          <w:w w:val="100"/>
          <w:position w:val="0"/>
          <w:sz w:val="18"/>
          <w:szCs w:val="18"/>
        </w:rPr>
        <w:t>894</w:t>
      </w:r>
      <w:r>
        <w:rPr>
          <w:color w:val="000000"/>
          <w:spacing w:val="0"/>
          <w:w w:val="100"/>
          <w:position w:val="0"/>
        </w:rPr>
        <w:t>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90.04%</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月处置原控 股子公司伟龙金溢股权，期末库存不纳入合并范围所致。</w:t>
      </w:r>
    </w:p>
    <w:p>
      <w:pPr>
        <w:pStyle w:val="Style71"/>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43"/>
      <w:bookmarkEnd w:id="144"/>
      <w:bookmarkEnd w:id="146"/>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792"/>
        <w:gridCol w:w="797"/>
        <w:gridCol w:w="802"/>
        <w:gridCol w:w="792"/>
        <w:gridCol w:w="802"/>
        <w:gridCol w:w="542"/>
        <w:gridCol w:w="782"/>
        <w:gridCol w:w="1138"/>
        <w:gridCol w:w="854"/>
        <w:gridCol w:w="1570"/>
      </w:tblGrid>
      <w:tr>
        <w:trPr>
          <w:trHeight w:val="10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合同订立</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公司方名</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合同订立 对方名称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合同标的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合同签订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定价原则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是否 关联 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截至报告期末 的执行情况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9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深圳市金 溢科技股 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江苏通行 宝智慧交 通科技股 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电子 标签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协商一致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合同约定的供 货义务已完 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巨潮资讯网 （</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《关于公司 签署日常经营重大 合同的公告》（公告 编号：</w:t>
            </w:r>
            <w:r>
              <w:rPr>
                <w:rFonts w:ascii="Times New Roman" w:eastAsia="Times New Roman" w:hAnsi="Times New Roman" w:cs="Times New Roman"/>
                <w:color w:val="000000"/>
                <w:spacing w:val="0"/>
                <w:w w:val="100"/>
                <w:position w:val="0"/>
                <w:sz w:val="18"/>
                <w:szCs w:val="18"/>
              </w:rPr>
              <w:t>2019-071</w:t>
            </w:r>
            <w:r>
              <w:rPr>
                <w:color w:val="000000"/>
                <w:spacing w:val="0"/>
                <w:w w:val="100"/>
                <w:position w:val="0"/>
              </w:rPr>
              <w:t>）</w:t>
            </w:r>
          </w:p>
        </w:tc>
      </w:tr>
      <w:tr>
        <w:trPr>
          <w:trHeight w:val="6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深圳市金 溢科技股 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山东高速 信联支付 有限公 司、山东 高速信联 科技股份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590" w:val="left"/>
              </w:tabs>
              <w:bidi w:val="0"/>
              <w:spacing w:before="0" w:after="0" w:line="317" w:lineRule="exact"/>
              <w:ind w:left="0" w:right="0" w:firstLine="0"/>
              <w:jc w:val="both"/>
            </w:pPr>
            <w:r>
              <w:rPr>
                <w:color w:val="000000"/>
                <w:spacing w:val="0"/>
                <w:w w:val="100"/>
                <w:position w:val="0"/>
              </w:rPr>
              <w:t>蓝牙</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车载电子 标</w:t>
              <w:tab/>
              <w:t>签</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协商一致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过去十二 个月内公 司原董事 王明宽在 信联科技 担任董 事，信联 科技视同 公司关联 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信联支付与公 司就协议履行 过程中供货完 成情况进行核 对，双方确认 公司有</w:t>
            </w:r>
            <w:r>
              <w:rPr>
                <w:rFonts w:ascii="Times New Roman" w:eastAsia="Times New Roman" w:hAnsi="Times New Roman" w:cs="Times New Roman"/>
                <w:color w:val="000000"/>
                <w:spacing w:val="0"/>
                <w:w w:val="100"/>
                <w:position w:val="0"/>
                <w:sz w:val="18"/>
                <w:szCs w:val="18"/>
              </w:rPr>
              <w:t xml:space="preserve">85.63 </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的供 货时间晚于协 议约定时间。</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根据公司与信 联支付签订的 协议，针对供 货逾期公司应 向信联支付赔 偿违约金 </w:t>
            </w:r>
            <w:r>
              <w:rPr>
                <w:rFonts w:ascii="Times New Roman" w:eastAsia="Times New Roman" w:hAnsi="Times New Roman" w:cs="Times New Roman"/>
                <w:color w:val="000000"/>
                <w:spacing w:val="0"/>
                <w:w w:val="100"/>
                <w:position w:val="0"/>
                <w:sz w:val="18"/>
                <w:szCs w:val="18"/>
              </w:rPr>
              <w:t>4,281.50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巨潮资讯网 （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《关于公司 签署日常经营重大 合同的公告》（公告 编号：</w:t>
            </w:r>
            <w:r>
              <w:rPr>
                <w:rFonts w:ascii="Times New Roman" w:eastAsia="Times New Roman" w:hAnsi="Times New Roman" w:cs="Times New Roman"/>
                <w:color w:val="000000"/>
                <w:spacing w:val="0"/>
                <w:w w:val="100"/>
                <w:position w:val="0"/>
                <w:sz w:val="18"/>
                <w:szCs w:val="18"/>
              </w:rPr>
              <w:t>2019-088</w:t>
            </w:r>
            <w:r>
              <w:rPr>
                <w:color w:val="000000"/>
                <w:spacing w:val="0"/>
                <w:w w:val="100"/>
                <w:position w:val="0"/>
              </w:rPr>
              <w:t>）、</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《关于公司与参股 公司关联交易及新 增</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年度日常关 联交易预计的公告》</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（公告编号：</w:t>
            </w:r>
          </w:p>
          <w:p>
            <w:pPr>
              <w:pStyle w:val="Style27"/>
              <w:keepNext w:val="0"/>
              <w:keepLines w:val="0"/>
              <w:widowControl w:val="0"/>
              <w:numPr>
                <w:ilvl w:val="0"/>
                <w:numId w:val="7"/>
              </w:numPr>
              <w:shd w:val="clear" w:color="auto" w:fill="auto"/>
              <w:tabs>
                <w:tab w:pos="432"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w:t>
            </w:r>
            <w:r>
              <w:rPr>
                <w:color w:val="000000"/>
                <w:spacing w:val="0"/>
                <w:w w:val="100"/>
                <w:position w:val="0"/>
              </w:rPr>
              <w:t>、《关于 公司日常经营重大 合同履行进展的公 告》（公告编号：</w:t>
            </w:r>
          </w:p>
          <w:p>
            <w:pPr>
              <w:pStyle w:val="Style27"/>
              <w:keepNext w:val="0"/>
              <w:keepLines w:val="0"/>
              <w:widowControl w:val="0"/>
              <w:numPr>
                <w:ilvl w:val="0"/>
                <w:numId w:val="7"/>
              </w:numPr>
              <w:shd w:val="clear" w:color="auto" w:fill="auto"/>
              <w:tabs>
                <w:tab w:pos="432" w:val="left"/>
              </w:tabs>
              <w:bidi w:val="0"/>
              <w:spacing w:before="0" w:after="120" w:line="311" w:lineRule="exact"/>
              <w:ind w:left="0" w:right="0" w:firstLine="0"/>
              <w:jc w:val="both"/>
            </w:pP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r>
              <w:rPr>
                <w:color w:val="000000"/>
                <w:spacing w:val="0"/>
                <w:w w:val="100"/>
                <w:position w:val="0"/>
              </w:rPr>
              <w:t>、《关于 公司与参股公司信 联支付关联交易的 公告》（公告编号：</w:t>
            </w:r>
          </w:p>
          <w:p>
            <w:pPr>
              <w:pStyle w:val="Style27"/>
              <w:keepNext w:val="0"/>
              <w:keepLines w:val="0"/>
              <w:widowControl w:val="0"/>
              <w:numPr>
                <w:ilvl w:val="0"/>
                <w:numId w:val="7"/>
              </w:numPr>
              <w:shd w:val="clear" w:color="auto" w:fill="auto"/>
              <w:tabs>
                <w:tab w:pos="427" w:val="left"/>
              </w:tabs>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江苏联网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门架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中标定价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26,224.02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合同约定的供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line="1" w:lineRule="exact"/>
      </w:pPr>
      <w:r>
        <w:br w:type="page"/>
      </w:r>
    </w:p>
    <w:tbl>
      <w:tblPr>
        <w:tblOverlap w:val="never"/>
        <w:jc w:val="center"/>
        <w:tblLayout w:type="fixed"/>
      </w:tblPr>
      <w:tblGrid>
        <w:gridCol w:w="806"/>
        <w:gridCol w:w="792"/>
        <w:gridCol w:w="797"/>
        <w:gridCol w:w="802"/>
        <w:gridCol w:w="792"/>
        <w:gridCol w:w="802"/>
        <w:gridCol w:w="542"/>
        <w:gridCol w:w="782"/>
        <w:gridCol w:w="1138"/>
        <w:gridCol w:w="854"/>
        <w:gridCol w:w="1570"/>
      </w:tblGrid>
      <w:tr>
        <w:trPr>
          <w:trHeight w:val="196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溢科技股 份有限公 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高速公路 相关各路</w:t>
            </w:r>
          </w:p>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（桥）公 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系统及车 道</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天 线及控制 系统设备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-2020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货义务已完 成。</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 xml:space="preserve">《关于公司 已中标项目签订日 常经营合同的进展 公告》（公告编号： </w:t>
            </w:r>
            <w:r>
              <w:rPr>
                <w:rFonts w:ascii="Times New Roman" w:eastAsia="Times New Roman" w:hAnsi="Times New Roman" w:cs="Times New Roman"/>
                <w:color w:val="000000"/>
                <w:spacing w:val="0"/>
                <w:w w:val="100"/>
                <w:position w:val="0"/>
                <w:sz w:val="18"/>
                <w:szCs w:val="18"/>
              </w:rPr>
              <w:t>2019-074</w:t>
            </w:r>
            <w:r>
              <w:rPr>
                <w:color w:val="000000"/>
                <w:spacing w:val="0"/>
                <w:w w:val="100"/>
                <w:position w:val="0"/>
              </w:rPr>
              <w:t>）</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7"/>
      <w:bookmarkEnd w:id="148"/>
      <w:bookmarkEnd w:id="15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578,587,732.24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1,491,224,575.50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-61.20%</w:t>
            </w:r>
          </w:p>
        </w:tc>
      </w:tr>
    </w:tbl>
    <w:p>
      <w:pPr>
        <w:widowControl w:val="0"/>
        <w:spacing w:after="5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563,124,078.06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1,476,903,015.59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-61.87%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智能停车场设备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2,801,450.18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5,294,847.27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-47.09%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12,662,204.00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9,026,712.64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w:t>
            </w:r>
          </w:p>
        </w:tc>
      </w:tr>
    </w:tbl>
    <w:p>
      <w:pPr>
        <w:widowControl w:val="0"/>
        <w:spacing w:after="5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2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1"/>
      <w:bookmarkEnd w:id="152"/>
      <w:bookmarkEnd w:id="154"/>
    </w:p>
    <w:p>
      <w:pPr>
        <w:pStyle w:val="Style34"/>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0" w:line="312" w:lineRule="exact"/>
        <w:ind w:left="0" w:right="0" w:firstLine="220"/>
        <w:jc w:val="both"/>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月设立全资子公司福建金溢科技有限公司，注册资本</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日公司已出 资</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元，占期末实收资本的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月起纳入合并报表范围。</w:t>
      </w:r>
    </w:p>
    <w:p>
      <w:pPr>
        <w:pStyle w:val="Style34"/>
        <w:keepNext w:val="0"/>
        <w:keepLines w:val="0"/>
        <w:widowControl w:val="0"/>
        <w:shd w:val="clear" w:color="auto" w:fill="auto"/>
        <w:tabs>
          <w:tab w:pos="757" w:val="left"/>
        </w:tabs>
        <w:bidi w:val="0"/>
        <w:spacing w:before="0" w:after="380" w:line="312" w:lineRule="exact"/>
        <w:ind w:left="0" w:right="0" w:firstLine="220"/>
        <w:jc w:val="both"/>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月转让原持有伟龙金溢科技（深圳）有限公司</w:t>
      </w:r>
      <w:r>
        <w:rPr>
          <w:rFonts w:ascii="Times New Roman" w:eastAsia="Times New Roman" w:hAnsi="Times New Roman" w:cs="Times New Roman"/>
          <w:color w:val="000000"/>
          <w:spacing w:val="0"/>
          <w:w w:val="100"/>
          <w:position w:val="0"/>
          <w:sz w:val="18"/>
          <w:szCs w:val="18"/>
        </w:rPr>
        <w:t>53.85%</w:t>
      </w:r>
      <w:r>
        <w:rPr>
          <w:color w:val="000000"/>
          <w:spacing w:val="0"/>
          <w:w w:val="100"/>
          <w:position w:val="0"/>
        </w:rPr>
        <w:t>的股权，转让后剩余持股比例为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,不再对该 子公司拥有控制权，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月起不再纳入合并范围。</w:t>
      </w:r>
    </w:p>
    <w:p>
      <w:pPr>
        <w:pStyle w:val="Style71"/>
        <w:keepNext/>
        <w:keepLines/>
        <w:widowControl w:val="0"/>
        <w:shd w:val="clear" w:color="auto" w:fill="auto"/>
        <w:tabs>
          <w:tab w:pos="493" w:val="left"/>
        </w:tabs>
        <w:bidi w:val="0"/>
        <w:spacing w:before="0" w:after="28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7"/>
      <w:bookmarkEnd w:id="158"/>
      <w:bookmarkEnd w:id="160"/>
    </w:p>
    <w:p>
      <w:pPr>
        <w:pStyle w:val="Style34"/>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tabs>
          <w:tab w:pos="493" w:val="left"/>
        </w:tabs>
        <w:bidi w:val="0"/>
        <w:spacing w:before="0" w:after="2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1"/>
      <w:bookmarkEnd w:id="162"/>
      <w:bookmarkEnd w:id="164"/>
    </w:p>
    <w:p>
      <w:pPr>
        <w:pStyle w:val="Style34"/>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86"/>
        <w:gridCol w:w="5371"/>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329,704,207.94</w:t>
            </w:r>
          </w:p>
        </w:tc>
      </w:tr>
    </w:tbl>
    <w:p>
      <w:pPr>
        <w:widowControl w:val="0"/>
        <w:spacing w:line="1" w:lineRule="exact"/>
      </w:pPr>
      <w:r>
        <w:br w:type="page"/>
      </w:r>
    </w:p>
    <w:tbl>
      <w:tblPr>
        <w:tblOverlap w:val="never"/>
        <w:jc w:val="center"/>
        <w:tblLayout w:type="fixed"/>
      </w:tblPr>
      <w:tblGrid>
        <w:gridCol w:w="4286"/>
        <w:gridCol w:w="5371"/>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75,302,743.22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73,168,671.07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67,928,483.31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56,755,637.84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56,548,672.50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329,704,207.94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21.09%</w:t>
            </w:r>
          </w:p>
        </w:tc>
      </w:tr>
    </w:tbl>
    <w:p>
      <w:pPr>
        <w:pStyle w:val="Style3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主要客户其他情况说明</w:t>
      </w:r>
    </w:p>
    <w:p>
      <w:pPr>
        <w:pStyle w:val="Style3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公司主要客户包含山东高速信威信息科技有限公司（以下简称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高速信威</w:t>
      </w:r>
    </w:p>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公司持有高速信威</w:t>
      </w:r>
      <w:r>
        <w:rPr>
          <w:rFonts w:ascii="Times New Roman" w:eastAsia="Times New Roman" w:hAnsi="Times New Roman" w:cs="Times New Roman"/>
          <w:color w:val="000000"/>
          <w:spacing w:val="0"/>
          <w:w w:val="100"/>
          <w:position w:val="0"/>
          <w:sz w:val="18"/>
          <w:szCs w:val="18"/>
        </w:rPr>
        <w:t>24.50%</w:t>
      </w:r>
      <w:r>
        <w:rPr>
          <w:color w:val="000000"/>
          <w:spacing w:val="0"/>
          <w:w w:val="100"/>
          <w:position w:val="0"/>
        </w:rPr>
        <w:t>的股权，高速信威属于公司联营企业，属于公司关联法人。</w:t>
      </w:r>
    </w:p>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除上述情况外，公司其他董事、监事、高级管理人员、核心技术人员、持股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以上股东、实际控制人和其他关联方在上述 客户中不直接或间接拥有权益。</w:t>
      </w:r>
    </w:p>
    <w:p>
      <w:pPr>
        <w:pStyle w:val="Style34"/>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61,460,605.71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20,875,909.99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13,813,448.90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9,554,624.44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9,037,753.77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8,178,868.61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61,460,605.71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32.40%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3</w:t>
      </w:r>
      <w:bookmarkEnd w:id="167"/>
      <w:r>
        <w:rPr>
          <w:color w:val="000000"/>
          <w:spacing w:val="0"/>
          <w:w w:val="100"/>
          <w:position w:val="0"/>
        </w:rPr>
        <w:t>、费用</w:t>
      </w:r>
      <w:bookmarkEnd w:id="165"/>
      <w:bookmarkEnd w:id="166"/>
      <w:bookmarkEnd w:id="16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widowControl w:val="0"/>
        <w:spacing w:line="1" w:lineRule="exact"/>
      </w:pPr>
      <w:r>
        <w:br w:type="page"/>
      </w:r>
    </w:p>
    <w:tbl>
      <w:tblPr>
        <w:tblOverlap w:val="never"/>
        <w:jc w:val="center"/>
        <w:tblLayout w:type="fixed"/>
      </w:tblPr>
      <w:tblGrid>
        <w:gridCol w:w="1925"/>
        <w:gridCol w:w="1637"/>
        <w:gridCol w:w="1637"/>
        <w:gridCol w:w="1459"/>
        <w:gridCol w:w="292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105,634,201.74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141,262,942.39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主要系本报告期职工薪酬、物流费以 及售后服务费同比减少所致。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107,128,776.59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115,249,066.64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主要系本报告期职工薪酬、房屋租金 以及社保费用同比减少所致。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-31,525,184.53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-16,828,747.21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主要系本报告期活期存款利息收入 同比增加所致。</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124,204,674.89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100,683,953.90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主要系本报告期职工薪酬、股份支付 费用以及测试检验费等研发费用投 入增加所致。</w:t>
            </w: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4</w:t>
      </w:r>
      <w:bookmarkEnd w:id="171"/>
      <w:r>
        <w:rPr>
          <w:color w:val="000000"/>
          <w:spacing w:val="0"/>
          <w:w w:val="100"/>
          <w:position w:val="0"/>
        </w:rPr>
        <w:t>、研发投入</w:t>
      </w:r>
      <w:bookmarkEnd w:id="169"/>
      <w:bookmarkEnd w:id="170"/>
      <w:bookmarkEnd w:id="172"/>
    </w:p>
    <w:p>
      <w:pPr>
        <w:pStyle w:val="Style3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公司重视创新，凭借良好的自主创新能力和研发实力，公司承担了《电子收费专用短程通信》、《机动车电子标识安全技术 要求》系列国家标准的编写，参与了</w:t>
      </w:r>
      <w:r>
        <w:rPr>
          <w:rFonts w:ascii="Times New Roman" w:eastAsia="Times New Roman" w:hAnsi="Times New Roman" w:cs="Times New Roman"/>
          <w:color w:val="000000"/>
          <w:spacing w:val="0"/>
          <w:w w:val="100"/>
          <w:position w:val="0"/>
          <w:sz w:val="18"/>
          <w:szCs w:val="18"/>
        </w:rPr>
        <w:t>ISO 17515-3:2019</w:t>
      </w:r>
      <w:r>
        <w:rPr>
          <w:color w:val="000000"/>
          <w:spacing w:val="0"/>
          <w:w w:val="100"/>
          <w:position w:val="0"/>
        </w:rPr>
        <w:t>《智能运输系统陆地移动通信接入演进通用陆地无线接入网络第</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部分：车联网》、《车联网网络安全防护要求》、《自动驾驶商用汽车测试场建设及自动测试规范》、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LTE-V2X</w:t>
      </w:r>
      <w:r>
        <w:rPr>
          <w:color w:val="000000"/>
          <w:spacing w:val="0"/>
          <w:w w:val="100"/>
          <w:position w:val="0"/>
        </w:rPr>
        <w:t>安全技 术白皮书》、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产业化路径和时间表研究白皮书》、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业务演进白皮书》等标准和白皮书的编写，并不断推出 创新产品。</w:t>
      </w:r>
    </w:p>
    <w:p>
      <w:pPr>
        <w:pStyle w:val="Style34"/>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公司作为国家级高新技术企业，具备较强的技术研发实力，近年来每年研发投入都保持在较高水平，截至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公司拥有近</w:t>
      </w:r>
      <w:r>
        <w:rPr>
          <w:rFonts w:ascii="Times New Roman" w:eastAsia="Times New Roman" w:hAnsi="Times New Roman" w:cs="Times New Roman"/>
          <w:color w:val="000000"/>
          <w:spacing w:val="0"/>
          <w:w w:val="100"/>
          <w:position w:val="0"/>
          <w:sz w:val="18"/>
          <w:szCs w:val="18"/>
        </w:rPr>
        <w:t>470</w:t>
      </w:r>
      <w:r>
        <w:rPr>
          <w:color w:val="000000"/>
          <w:spacing w:val="0"/>
          <w:w w:val="100"/>
          <w:position w:val="0"/>
        </w:rPr>
        <w:t>项专利权，其中发明专利</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年，公司新增专利权</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项；公司拥有射频、微波、天线、数字电路、 嵌入式系统和软件等多专业领域的技术人才，掌握了从基础芯片到终端产品的相关技术。</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124,204,674.89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100,683,953.90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jc w:val="both"/>
      </w:pPr>
      <w:r>
        <w:rPr>
          <w:color w:val="000000"/>
          <w:spacing w:val="0"/>
          <w:w w:val="100"/>
          <w:position w:val="0"/>
        </w:rPr>
        <w:t>报告期内营业收入同比下降</w:t>
      </w:r>
      <w:r>
        <w:rPr>
          <w:rFonts w:ascii="Times New Roman" w:eastAsia="Times New Roman" w:hAnsi="Times New Roman" w:cs="Times New Roman"/>
          <w:color w:val="000000"/>
          <w:spacing w:val="0"/>
          <w:w w:val="100"/>
          <w:position w:val="0"/>
          <w:sz w:val="18"/>
          <w:szCs w:val="18"/>
        </w:rPr>
        <w:t>45.33%</w:t>
      </w:r>
      <w:r>
        <w:rPr>
          <w:color w:val="000000"/>
          <w:spacing w:val="0"/>
          <w:w w:val="100"/>
          <w:position w:val="0"/>
        </w:rPr>
        <w:t>，而研发投入同比上升</w:t>
      </w:r>
      <w:r>
        <w:rPr>
          <w:rFonts w:ascii="Times New Roman" w:eastAsia="Times New Roman" w:hAnsi="Times New Roman" w:cs="Times New Roman"/>
          <w:color w:val="000000"/>
          <w:spacing w:val="0"/>
          <w:w w:val="100"/>
          <w:position w:val="0"/>
          <w:sz w:val="18"/>
          <w:szCs w:val="18"/>
        </w:rPr>
        <w:t>23.36%</w:t>
      </w:r>
      <w:r>
        <w:rPr>
          <w:color w:val="000000"/>
          <w:spacing w:val="0"/>
          <w:w w:val="100"/>
          <w:position w:val="0"/>
        </w:rPr>
        <w:t>，导致研发投入占营业收入的比重上升。</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5</w:t>
      </w:r>
      <w:bookmarkEnd w:id="175"/>
      <w:r>
        <w:rPr>
          <w:color w:val="000000"/>
          <w:spacing w:val="0"/>
          <w:w w:val="100"/>
          <w:position w:val="0"/>
        </w:rPr>
        <w:t>、现金流</w:t>
      </w:r>
      <w:bookmarkEnd w:id="173"/>
      <w:bookmarkEnd w:id="174"/>
      <w:bookmarkEnd w:id="17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1,454,858,804.67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3,466,030,980.63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1,538,506,361.11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2,093,997,035.12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-83,647,556.44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1,372,033,945.51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196,876,154.17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578,676,361.40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283,650,826.95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532,365,013.88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-86,774,672.78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46,311,347.52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264,596,333.30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3,643.58%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-264,596,333.30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51,753,004.04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-434,972,603.15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1,470,097,407.48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-129.59%</w:t>
            </w:r>
          </w:p>
        </w:tc>
      </w:tr>
    </w:tbl>
    <w:p>
      <w:pPr>
        <w:pStyle w:val="Style3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334" w:val="left"/>
        </w:tabs>
        <w:bidi w:val="0"/>
        <w:spacing w:before="0" w:after="0" w:line="326" w:lineRule="exact"/>
        <w:ind w:left="0" w:right="0" w:firstLine="0"/>
        <w:jc w:val="left"/>
      </w:pPr>
      <w:bookmarkStart w:id="177" w:name="bookmark177"/>
      <w:r>
        <w:rPr>
          <w:rFonts w:ascii="Times New Roman" w:eastAsia="Times New Roman" w:hAnsi="Times New Roman" w:cs="Times New Roman"/>
          <w:color w:val="000000"/>
          <w:spacing w:val="0"/>
          <w:w w:val="100"/>
          <w:position w:val="0"/>
          <w:sz w:val="18"/>
          <w:szCs w:val="18"/>
        </w:rPr>
        <w:t>1</w:t>
      </w:r>
      <w:bookmarkEnd w:id="177"/>
      <w:r>
        <w:rPr>
          <w:color w:val="000000"/>
          <w:spacing w:val="0"/>
          <w:w w:val="100"/>
          <w:position w:val="0"/>
        </w:rPr>
        <w:t>、</w:t>
        <w:tab/>
        <w:t>经营活动现金流入同比减少</w:t>
      </w:r>
      <w:r>
        <w:rPr>
          <w:rFonts w:ascii="Times New Roman" w:eastAsia="Times New Roman" w:hAnsi="Times New Roman" w:cs="Times New Roman"/>
          <w:color w:val="000000"/>
          <w:spacing w:val="0"/>
          <w:w w:val="100"/>
          <w:position w:val="0"/>
          <w:sz w:val="18"/>
          <w:szCs w:val="18"/>
        </w:rPr>
        <w:t>58.03%</w:t>
      </w:r>
      <w:r>
        <w:rPr>
          <w:color w:val="000000"/>
          <w:spacing w:val="0"/>
          <w:w w:val="100"/>
          <w:position w:val="0"/>
        </w:rPr>
        <w:t>，主要系本报告期销售回款额同比减少所致；</w:t>
      </w:r>
    </w:p>
    <w:p>
      <w:pPr>
        <w:pStyle w:val="Style34"/>
        <w:keepNext w:val="0"/>
        <w:keepLines w:val="0"/>
        <w:widowControl w:val="0"/>
        <w:shd w:val="clear" w:color="auto" w:fill="auto"/>
        <w:tabs>
          <w:tab w:pos="354" w:val="left"/>
        </w:tabs>
        <w:bidi w:val="0"/>
        <w:spacing w:before="0" w:after="0" w:line="326" w:lineRule="exact"/>
        <w:ind w:left="0" w:right="0" w:firstLine="0"/>
        <w:jc w:val="left"/>
      </w:pPr>
      <w:bookmarkStart w:id="178" w:name="bookmark178"/>
      <w:r>
        <w:rPr>
          <w:rFonts w:ascii="Times New Roman" w:eastAsia="Times New Roman" w:hAnsi="Times New Roman" w:cs="Times New Roman"/>
          <w:color w:val="000000"/>
          <w:spacing w:val="0"/>
          <w:w w:val="100"/>
          <w:position w:val="0"/>
          <w:sz w:val="18"/>
          <w:szCs w:val="18"/>
        </w:rPr>
        <w:t>2</w:t>
      </w:r>
      <w:bookmarkEnd w:id="178"/>
      <w:r>
        <w:rPr>
          <w:color w:val="000000"/>
          <w:spacing w:val="0"/>
          <w:w w:val="100"/>
          <w:position w:val="0"/>
        </w:rPr>
        <w:t>、</w:t>
        <w:tab/>
        <w:t>经营活动现金流出同比减少</w:t>
      </w:r>
      <w:r>
        <w:rPr>
          <w:rFonts w:ascii="Times New Roman" w:eastAsia="Times New Roman" w:hAnsi="Times New Roman" w:cs="Times New Roman"/>
          <w:color w:val="000000"/>
          <w:spacing w:val="0"/>
          <w:w w:val="100"/>
          <w:position w:val="0"/>
          <w:sz w:val="18"/>
          <w:szCs w:val="18"/>
        </w:rPr>
        <w:t>26.53%</w:t>
      </w:r>
      <w:r>
        <w:rPr>
          <w:color w:val="000000"/>
          <w:spacing w:val="0"/>
          <w:w w:val="100"/>
          <w:position w:val="0"/>
        </w:rPr>
        <w:t>，主要系本报告期采购付款额同比减少所致；</w:t>
      </w:r>
    </w:p>
    <w:p>
      <w:pPr>
        <w:pStyle w:val="Style34"/>
        <w:keepNext w:val="0"/>
        <w:keepLines w:val="0"/>
        <w:widowControl w:val="0"/>
        <w:shd w:val="clear" w:color="auto" w:fill="auto"/>
        <w:tabs>
          <w:tab w:pos="354" w:val="left"/>
        </w:tabs>
        <w:bidi w:val="0"/>
        <w:spacing w:before="0" w:after="0" w:line="326" w:lineRule="exact"/>
        <w:ind w:left="0" w:right="0" w:firstLine="0"/>
        <w:jc w:val="left"/>
      </w:pPr>
      <w:bookmarkStart w:id="179" w:name="bookmark179"/>
      <w:r>
        <w:rPr>
          <w:rFonts w:ascii="Times New Roman" w:eastAsia="Times New Roman" w:hAnsi="Times New Roman" w:cs="Times New Roman"/>
          <w:color w:val="000000"/>
          <w:spacing w:val="0"/>
          <w:w w:val="100"/>
          <w:position w:val="0"/>
          <w:sz w:val="18"/>
          <w:szCs w:val="18"/>
        </w:rPr>
        <w:t>3</w:t>
      </w:r>
      <w:bookmarkEnd w:id="179"/>
      <w:r>
        <w:rPr>
          <w:color w:val="000000"/>
          <w:spacing w:val="0"/>
          <w:w w:val="100"/>
          <w:position w:val="0"/>
        </w:rPr>
        <w:t>、</w:t>
        <w:tab/>
        <w:t>经营活动产生的现金流量净额同比减少</w:t>
      </w:r>
      <w:r>
        <w:rPr>
          <w:rFonts w:ascii="Times New Roman" w:eastAsia="Times New Roman" w:hAnsi="Times New Roman" w:cs="Times New Roman"/>
          <w:color w:val="000000"/>
          <w:spacing w:val="0"/>
          <w:w w:val="100"/>
          <w:position w:val="0"/>
          <w:sz w:val="18"/>
          <w:szCs w:val="18"/>
        </w:rPr>
        <w:t>106.10%</w:t>
      </w:r>
      <w:r>
        <w:rPr>
          <w:color w:val="000000"/>
          <w:spacing w:val="0"/>
          <w:w w:val="100"/>
          <w:position w:val="0"/>
        </w:rPr>
        <w:t>，主要系本报告期销售回款额同比减少所致；</w:t>
      </w:r>
    </w:p>
    <w:p>
      <w:pPr>
        <w:pStyle w:val="Style34"/>
        <w:keepNext w:val="0"/>
        <w:keepLines w:val="0"/>
        <w:widowControl w:val="0"/>
        <w:shd w:val="clear" w:color="auto" w:fill="auto"/>
        <w:tabs>
          <w:tab w:pos="354" w:val="left"/>
        </w:tabs>
        <w:bidi w:val="0"/>
        <w:spacing w:before="0" w:after="0" w:line="326" w:lineRule="exact"/>
        <w:ind w:left="0" w:right="0" w:firstLine="0"/>
        <w:jc w:val="left"/>
      </w:pPr>
      <w:bookmarkStart w:id="180" w:name="bookmark180"/>
      <w:r>
        <w:rPr>
          <w:rFonts w:ascii="Times New Roman" w:eastAsia="Times New Roman" w:hAnsi="Times New Roman" w:cs="Times New Roman"/>
          <w:color w:val="000000"/>
          <w:spacing w:val="0"/>
          <w:w w:val="100"/>
          <w:position w:val="0"/>
          <w:sz w:val="18"/>
          <w:szCs w:val="18"/>
        </w:rPr>
        <w:t>4</w:t>
      </w:r>
      <w:bookmarkEnd w:id="180"/>
      <w:r>
        <w:rPr>
          <w:color w:val="000000"/>
          <w:spacing w:val="0"/>
          <w:w w:val="100"/>
          <w:position w:val="0"/>
        </w:rPr>
        <w:t>、</w:t>
        <w:tab/>
        <w:t>投资活动现金流入同比减少</w:t>
      </w:r>
      <w:r>
        <w:rPr>
          <w:rFonts w:ascii="Times New Roman" w:eastAsia="Times New Roman" w:hAnsi="Times New Roman" w:cs="Times New Roman"/>
          <w:color w:val="000000"/>
          <w:spacing w:val="0"/>
          <w:w w:val="100"/>
          <w:position w:val="0"/>
          <w:sz w:val="18"/>
          <w:szCs w:val="18"/>
        </w:rPr>
        <w:t>65.98%</w:t>
      </w:r>
      <w:r>
        <w:rPr>
          <w:color w:val="000000"/>
          <w:spacing w:val="0"/>
          <w:w w:val="100"/>
          <w:position w:val="0"/>
        </w:rPr>
        <w:t>，主要系本报告期收到到期理财产品的现金同比减少所致；</w:t>
      </w:r>
    </w:p>
    <w:p>
      <w:pPr>
        <w:pStyle w:val="Style34"/>
        <w:keepNext w:val="0"/>
        <w:keepLines w:val="0"/>
        <w:widowControl w:val="0"/>
        <w:shd w:val="clear" w:color="auto" w:fill="auto"/>
        <w:tabs>
          <w:tab w:pos="354" w:val="left"/>
        </w:tabs>
        <w:bidi w:val="0"/>
        <w:spacing w:before="0" w:after="0" w:line="326" w:lineRule="exact"/>
        <w:ind w:left="0" w:right="0" w:firstLine="0"/>
        <w:jc w:val="left"/>
      </w:pPr>
      <w:bookmarkStart w:id="181" w:name="bookmark181"/>
      <w:r>
        <w:rPr>
          <w:rFonts w:ascii="Times New Roman" w:eastAsia="Times New Roman" w:hAnsi="Times New Roman" w:cs="Times New Roman"/>
          <w:color w:val="000000"/>
          <w:spacing w:val="0"/>
          <w:w w:val="100"/>
          <w:position w:val="0"/>
          <w:sz w:val="18"/>
          <w:szCs w:val="18"/>
        </w:rPr>
        <w:t>5</w:t>
      </w:r>
      <w:bookmarkEnd w:id="181"/>
      <w:r>
        <w:rPr>
          <w:color w:val="000000"/>
          <w:spacing w:val="0"/>
          <w:w w:val="100"/>
          <w:position w:val="0"/>
        </w:rPr>
        <w:t>、</w:t>
        <w:tab/>
        <w:t>投资活动现金流出同比减少</w:t>
      </w:r>
      <w:r>
        <w:rPr>
          <w:rFonts w:ascii="Times New Roman" w:eastAsia="Times New Roman" w:hAnsi="Times New Roman" w:cs="Times New Roman"/>
          <w:color w:val="000000"/>
          <w:spacing w:val="0"/>
          <w:w w:val="100"/>
          <w:position w:val="0"/>
          <w:sz w:val="18"/>
          <w:szCs w:val="18"/>
        </w:rPr>
        <w:t>46.72%</w:t>
      </w:r>
      <w:r>
        <w:rPr>
          <w:color w:val="000000"/>
          <w:spacing w:val="0"/>
          <w:w w:val="100"/>
          <w:position w:val="0"/>
        </w:rPr>
        <w:t>，主要系主要系本报告期购买理财产品的现金同比减少所致；</w:t>
      </w:r>
    </w:p>
    <w:p>
      <w:pPr>
        <w:pStyle w:val="Style34"/>
        <w:keepNext w:val="0"/>
        <w:keepLines w:val="0"/>
        <w:widowControl w:val="0"/>
        <w:shd w:val="clear" w:color="auto" w:fill="auto"/>
        <w:tabs>
          <w:tab w:pos="354" w:val="left"/>
        </w:tabs>
        <w:bidi w:val="0"/>
        <w:spacing w:before="0" w:after="0" w:line="326" w:lineRule="exact"/>
        <w:ind w:left="0" w:right="0" w:firstLine="0"/>
        <w:jc w:val="left"/>
      </w:pPr>
      <w:bookmarkStart w:id="182" w:name="bookmark182"/>
      <w:r>
        <w:rPr>
          <w:rFonts w:ascii="Times New Roman" w:eastAsia="Times New Roman" w:hAnsi="Times New Roman" w:cs="Times New Roman"/>
          <w:color w:val="000000"/>
          <w:spacing w:val="0"/>
          <w:w w:val="100"/>
          <w:position w:val="0"/>
          <w:sz w:val="18"/>
          <w:szCs w:val="18"/>
        </w:rPr>
        <w:t>6</w:t>
      </w:r>
      <w:bookmarkEnd w:id="182"/>
      <w:r>
        <w:rPr>
          <w:color w:val="000000"/>
          <w:spacing w:val="0"/>
          <w:w w:val="100"/>
          <w:position w:val="0"/>
        </w:rPr>
        <w:t>、</w:t>
        <w:tab/>
        <w:t>投资活动产生的现金流量净额同比减少</w:t>
      </w:r>
      <w:r>
        <w:rPr>
          <w:rFonts w:ascii="Times New Roman" w:eastAsia="Times New Roman" w:hAnsi="Times New Roman" w:cs="Times New Roman"/>
          <w:color w:val="000000"/>
          <w:spacing w:val="0"/>
          <w:w w:val="100"/>
          <w:position w:val="0"/>
          <w:sz w:val="18"/>
          <w:szCs w:val="18"/>
        </w:rPr>
        <w:t>287.37%</w:t>
      </w:r>
      <w:r>
        <w:rPr>
          <w:color w:val="000000"/>
          <w:spacing w:val="0"/>
          <w:w w:val="100"/>
          <w:position w:val="0"/>
        </w:rPr>
        <w:t>，主要系本报告期购买理财产品的现金同比减少所致；</w:t>
      </w:r>
    </w:p>
    <w:p>
      <w:pPr>
        <w:pStyle w:val="Style34"/>
        <w:keepNext w:val="0"/>
        <w:keepLines w:val="0"/>
        <w:widowControl w:val="0"/>
        <w:shd w:val="clear" w:color="auto" w:fill="auto"/>
        <w:tabs>
          <w:tab w:pos="354" w:val="left"/>
        </w:tabs>
        <w:bidi w:val="0"/>
        <w:spacing w:before="0" w:after="0" w:line="326" w:lineRule="exact"/>
        <w:ind w:left="0" w:right="0" w:firstLine="0"/>
        <w:jc w:val="left"/>
      </w:pPr>
      <w:bookmarkStart w:id="183" w:name="bookmark183"/>
      <w:r>
        <w:rPr>
          <w:rFonts w:ascii="Times New Roman" w:eastAsia="Times New Roman" w:hAnsi="Times New Roman" w:cs="Times New Roman"/>
          <w:color w:val="000000"/>
          <w:spacing w:val="0"/>
          <w:w w:val="100"/>
          <w:position w:val="0"/>
          <w:sz w:val="18"/>
          <w:szCs w:val="18"/>
        </w:rPr>
        <w:t>7</w:t>
      </w:r>
      <w:bookmarkEnd w:id="183"/>
      <w:r>
        <w:rPr>
          <w:color w:val="000000"/>
          <w:spacing w:val="0"/>
          <w:w w:val="100"/>
          <w:position w:val="0"/>
        </w:rPr>
        <w:t>、</w:t>
        <w:tab/>
        <w:t>筹资活动现金流入同比减少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，主要系上期收到发行限制性股票的资金所致；</w:t>
      </w:r>
    </w:p>
    <w:p>
      <w:pPr>
        <w:pStyle w:val="Style34"/>
        <w:keepNext w:val="0"/>
        <w:keepLines w:val="0"/>
        <w:widowControl w:val="0"/>
        <w:shd w:val="clear" w:color="auto" w:fill="auto"/>
        <w:tabs>
          <w:tab w:pos="354" w:val="left"/>
        </w:tabs>
        <w:bidi w:val="0"/>
        <w:spacing w:before="0" w:after="0" w:line="326" w:lineRule="exact"/>
        <w:ind w:left="0" w:right="0" w:firstLine="0"/>
        <w:jc w:val="left"/>
      </w:pPr>
      <w:bookmarkStart w:id="184" w:name="bookmark184"/>
      <w:r>
        <w:rPr>
          <w:rFonts w:ascii="Times New Roman" w:eastAsia="Times New Roman" w:hAnsi="Times New Roman" w:cs="Times New Roman"/>
          <w:color w:val="000000"/>
          <w:spacing w:val="0"/>
          <w:w w:val="100"/>
          <w:position w:val="0"/>
          <w:sz w:val="18"/>
          <w:szCs w:val="18"/>
        </w:rPr>
        <w:t>8</w:t>
      </w:r>
      <w:bookmarkEnd w:id="184"/>
      <w:r>
        <w:rPr>
          <w:color w:val="000000"/>
          <w:spacing w:val="0"/>
          <w:w w:val="100"/>
          <w:position w:val="0"/>
        </w:rPr>
        <w:t>、</w:t>
        <w:tab/>
        <w:t>筹资活动现金流出同比增加</w:t>
      </w:r>
      <w:r>
        <w:rPr>
          <w:rFonts w:ascii="Times New Roman" w:eastAsia="Times New Roman" w:hAnsi="Times New Roman" w:cs="Times New Roman"/>
          <w:color w:val="000000"/>
          <w:spacing w:val="0"/>
          <w:w w:val="100"/>
          <w:position w:val="0"/>
          <w:sz w:val="18"/>
          <w:szCs w:val="18"/>
        </w:rPr>
        <w:t>3,643.58%</w:t>
      </w:r>
      <w:r>
        <w:rPr>
          <w:color w:val="000000"/>
          <w:spacing w:val="0"/>
          <w:w w:val="100"/>
          <w:position w:val="0"/>
        </w:rPr>
        <w:t>，主要系本报告期分配现金股利同比增加所致；</w:t>
      </w:r>
    </w:p>
    <w:p>
      <w:pPr>
        <w:pStyle w:val="Style34"/>
        <w:keepNext w:val="0"/>
        <w:keepLines w:val="0"/>
        <w:widowControl w:val="0"/>
        <w:shd w:val="clear" w:color="auto" w:fill="auto"/>
        <w:tabs>
          <w:tab w:pos="354" w:val="left"/>
        </w:tabs>
        <w:bidi w:val="0"/>
        <w:spacing w:before="0" w:after="0" w:line="326" w:lineRule="exact"/>
        <w:ind w:left="0" w:right="0" w:firstLine="0"/>
        <w:jc w:val="left"/>
      </w:pPr>
      <w:bookmarkStart w:id="185" w:name="bookmark185"/>
      <w:r>
        <w:rPr>
          <w:rFonts w:ascii="Times New Roman" w:eastAsia="Times New Roman" w:hAnsi="Times New Roman" w:cs="Times New Roman"/>
          <w:color w:val="000000"/>
          <w:spacing w:val="0"/>
          <w:w w:val="100"/>
          <w:position w:val="0"/>
          <w:sz w:val="18"/>
          <w:szCs w:val="18"/>
        </w:rPr>
        <w:t>9</w:t>
      </w:r>
      <w:bookmarkEnd w:id="185"/>
      <w:r>
        <w:rPr>
          <w:color w:val="000000"/>
          <w:spacing w:val="0"/>
          <w:w w:val="100"/>
          <w:position w:val="0"/>
        </w:rPr>
        <w:t>、</w:t>
        <w:tab/>
        <w:t>筹资活动产生的现金流量净额同比减少</w:t>
      </w:r>
      <w:r>
        <w:rPr>
          <w:rFonts w:ascii="Times New Roman" w:eastAsia="Times New Roman" w:hAnsi="Times New Roman" w:cs="Times New Roman"/>
          <w:color w:val="000000"/>
          <w:spacing w:val="0"/>
          <w:w w:val="100"/>
          <w:position w:val="0"/>
          <w:sz w:val="18"/>
          <w:szCs w:val="18"/>
        </w:rPr>
        <w:t>611.27%</w:t>
      </w:r>
      <w:r>
        <w:rPr>
          <w:color w:val="000000"/>
          <w:spacing w:val="0"/>
          <w:w w:val="100"/>
          <w:position w:val="0"/>
        </w:rPr>
        <w:t>，主要系本报告期分配现金股利同比增加所致；</w:t>
      </w:r>
    </w:p>
    <w:p>
      <w:pPr>
        <w:pStyle w:val="Style34"/>
        <w:keepNext w:val="0"/>
        <w:keepLines w:val="0"/>
        <w:widowControl w:val="0"/>
        <w:shd w:val="clear" w:color="auto" w:fill="auto"/>
        <w:bidi w:val="0"/>
        <w:spacing w:before="0" w:after="0" w:line="322" w:lineRule="exact"/>
        <w:ind w:left="0" w:right="0" w:firstLine="0"/>
        <w:jc w:val="left"/>
      </w:pPr>
      <w:bookmarkStart w:id="186" w:name="bookmark186"/>
      <w:r>
        <w:rPr>
          <w:rFonts w:ascii="Times New Roman" w:eastAsia="Times New Roman" w:hAnsi="Times New Roman" w:cs="Times New Roman"/>
          <w:color w:val="000000"/>
          <w:spacing w:val="0"/>
          <w:w w:val="100"/>
          <w:position w:val="0"/>
          <w:sz w:val="18"/>
          <w:szCs w:val="18"/>
        </w:rPr>
        <w:t>1</w:t>
      </w:r>
      <w:bookmarkEnd w:id="186"/>
      <w:r>
        <w:rPr>
          <w:rFonts w:ascii="Times New Roman" w:eastAsia="Times New Roman" w:hAnsi="Times New Roman" w:cs="Times New Roman"/>
          <w:color w:val="000000"/>
          <w:spacing w:val="0"/>
          <w:w w:val="100"/>
          <w:position w:val="0"/>
          <w:sz w:val="18"/>
          <w:szCs w:val="18"/>
        </w:rPr>
        <w:t>0</w:t>
      </w:r>
      <w:r>
        <w:rPr>
          <w:color w:val="000000"/>
          <w:spacing w:val="0"/>
          <w:w w:val="100"/>
          <w:position w:val="0"/>
        </w:rPr>
        <w:t>、 现金及现金等价物净增加额同比减少</w:t>
      </w:r>
      <w:r>
        <w:rPr>
          <w:rFonts w:ascii="Times New Roman" w:eastAsia="Times New Roman" w:hAnsi="Times New Roman" w:cs="Times New Roman"/>
          <w:color w:val="000000"/>
          <w:spacing w:val="0"/>
          <w:w w:val="100"/>
          <w:position w:val="0"/>
          <w:sz w:val="18"/>
          <w:szCs w:val="18"/>
        </w:rPr>
        <w:t>129.59%</w:t>
      </w:r>
      <w:r>
        <w:rPr>
          <w:color w:val="000000"/>
          <w:spacing w:val="0"/>
          <w:w w:val="100"/>
          <w:position w:val="0"/>
        </w:rPr>
        <w:t>,主要系本报告期经营活动现金流量净流出、购建长期资产现金支出及分 配现金股利同比增加所致。</w:t>
      </w:r>
    </w:p>
    <w:p>
      <w:pPr>
        <w:pStyle w:val="Style3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sz w:val="18"/>
          <w:szCs w:val="18"/>
        </w:rPr>
        <w:t>-8,364.76</w:t>
      </w:r>
      <w:r>
        <w:rPr>
          <w:color w:val="000000"/>
          <w:spacing w:val="0"/>
          <w:w w:val="100"/>
          <w:position w:val="0"/>
        </w:rPr>
        <w:t>万元，本年净利润为</w:t>
      </w:r>
      <w:r>
        <w:rPr>
          <w:rFonts w:ascii="Times New Roman" w:eastAsia="Times New Roman" w:hAnsi="Times New Roman" w:cs="Times New Roman"/>
          <w:color w:val="000000"/>
          <w:spacing w:val="0"/>
          <w:w w:val="100"/>
          <w:position w:val="0"/>
          <w:sz w:val="18"/>
          <w:szCs w:val="18"/>
        </w:rPr>
        <w:t>62,895.39</w:t>
      </w:r>
      <w:r>
        <w:rPr>
          <w:color w:val="000000"/>
          <w:spacing w:val="0"/>
          <w:w w:val="100"/>
          <w:position w:val="0"/>
        </w:rPr>
        <w:t>万元，经营活动产生的现金流量 净额与净利润存在差异的原因是：</w:t>
      </w:r>
    </w:p>
    <w:p>
      <w:pPr>
        <w:pStyle w:val="Style34"/>
        <w:keepNext w:val="0"/>
        <w:keepLines w:val="0"/>
        <w:widowControl w:val="0"/>
        <w:shd w:val="clear" w:color="auto" w:fill="auto"/>
        <w:tabs>
          <w:tab w:pos="825" w:val="left"/>
        </w:tabs>
        <w:bidi w:val="0"/>
        <w:spacing w:before="0" w:after="0" w:line="326" w:lineRule="exact"/>
        <w:ind w:left="0" w:right="0"/>
        <w:jc w:val="both"/>
      </w:pPr>
      <w:bookmarkStart w:id="187" w:name="bookmark187"/>
      <w:r>
        <w:rPr>
          <w:color w:val="000000"/>
          <w:spacing w:val="0"/>
          <w:w w:val="100"/>
          <w:position w:val="0"/>
        </w:rPr>
        <w:t>（</w:t>
      </w:r>
      <w:bookmarkEnd w:id="1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报告期存货减少</w:t>
      </w:r>
      <w:r>
        <w:rPr>
          <w:rFonts w:ascii="Times New Roman" w:eastAsia="Times New Roman" w:hAnsi="Times New Roman" w:cs="Times New Roman"/>
          <w:color w:val="000000"/>
          <w:spacing w:val="0"/>
          <w:w w:val="100"/>
          <w:position w:val="0"/>
          <w:sz w:val="18"/>
          <w:szCs w:val="18"/>
        </w:rPr>
        <w:t>33,777.81</w:t>
      </w:r>
      <w:r>
        <w:rPr>
          <w:color w:val="000000"/>
          <w:spacing w:val="0"/>
          <w:w w:val="100"/>
          <w:position w:val="0"/>
        </w:rPr>
        <w:t>万元，经营性应收项目减少</w:t>
      </w:r>
      <w:r>
        <w:rPr>
          <w:rFonts w:ascii="Times New Roman" w:eastAsia="Times New Roman" w:hAnsi="Times New Roman" w:cs="Times New Roman"/>
          <w:color w:val="000000"/>
          <w:spacing w:val="0"/>
          <w:w w:val="100"/>
          <w:position w:val="0"/>
          <w:sz w:val="18"/>
          <w:szCs w:val="18"/>
        </w:rPr>
        <w:t>24,169.21</w:t>
      </w:r>
      <w:r>
        <w:rPr>
          <w:color w:val="000000"/>
          <w:spacing w:val="0"/>
          <w:w w:val="100"/>
          <w:position w:val="0"/>
        </w:rPr>
        <w:t>万元，经营性应付减少</w:t>
      </w:r>
      <w:r>
        <w:rPr>
          <w:rFonts w:ascii="Times New Roman" w:eastAsia="Times New Roman" w:hAnsi="Times New Roman" w:cs="Times New Roman"/>
          <w:color w:val="000000"/>
          <w:spacing w:val="0"/>
          <w:w w:val="100"/>
          <w:position w:val="0"/>
          <w:sz w:val="18"/>
          <w:szCs w:val="18"/>
        </w:rPr>
        <w:t>138,483.49</w:t>
      </w:r>
      <w:r>
        <w:rPr>
          <w:color w:val="000000"/>
          <w:spacing w:val="0"/>
          <w:w w:val="100"/>
          <w:position w:val="0"/>
        </w:rPr>
        <w:t>万元；</w:t>
      </w:r>
    </w:p>
    <w:p>
      <w:pPr>
        <w:pStyle w:val="Style34"/>
        <w:keepNext w:val="0"/>
        <w:keepLines w:val="0"/>
        <w:widowControl w:val="0"/>
        <w:shd w:val="clear" w:color="auto" w:fill="auto"/>
        <w:tabs>
          <w:tab w:pos="825" w:val="left"/>
        </w:tabs>
        <w:bidi w:val="0"/>
        <w:spacing w:before="0" w:after="0" w:line="326" w:lineRule="exact"/>
        <w:ind w:left="0" w:right="0"/>
        <w:jc w:val="both"/>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实现投资收益</w:t>
      </w:r>
      <w:r>
        <w:rPr>
          <w:rFonts w:ascii="Times New Roman" w:eastAsia="Times New Roman" w:hAnsi="Times New Roman" w:cs="Times New Roman"/>
          <w:color w:val="000000"/>
          <w:spacing w:val="0"/>
          <w:w w:val="100"/>
          <w:position w:val="0"/>
          <w:sz w:val="18"/>
          <w:szCs w:val="18"/>
        </w:rPr>
        <w:t>605.64</w:t>
      </w:r>
      <w:r>
        <w:rPr>
          <w:color w:val="000000"/>
          <w:spacing w:val="0"/>
          <w:w w:val="100"/>
          <w:position w:val="0"/>
        </w:rPr>
        <w:t>万元；</w:t>
      </w:r>
    </w:p>
    <w:p>
      <w:pPr>
        <w:pStyle w:val="Style34"/>
        <w:keepNext w:val="0"/>
        <w:keepLines w:val="0"/>
        <w:widowControl w:val="0"/>
        <w:shd w:val="clear" w:color="auto" w:fill="auto"/>
        <w:tabs>
          <w:tab w:pos="825" w:val="left"/>
        </w:tabs>
        <w:bidi w:val="0"/>
        <w:spacing w:before="0" w:after="0" w:line="326" w:lineRule="exact"/>
        <w:ind w:left="0" w:right="0"/>
        <w:jc w:val="both"/>
      </w:pPr>
      <w:bookmarkStart w:id="189" w:name="bookmark189"/>
      <w:r>
        <w:rPr>
          <w:color w:val="000000"/>
          <w:spacing w:val="0"/>
          <w:w w:val="100"/>
          <w:position w:val="0"/>
        </w:rPr>
        <w:t>（</w:t>
      </w:r>
      <w:bookmarkEnd w:id="1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限制性股票激励费用</w:t>
      </w:r>
      <w:r>
        <w:rPr>
          <w:rFonts w:ascii="Times New Roman" w:eastAsia="Times New Roman" w:hAnsi="Times New Roman" w:cs="Times New Roman"/>
          <w:color w:val="000000"/>
          <w:spacing w:val="0"/>
          <w:w w:val="100"/>
          <w:position w:val="0"/>
          <w:sz w:val="18"/>
          <w:szCs w:val="18"/>
        </w:rPr>
        <w:t>6,367.23</w:t>
      </w:r>
      <w:r>
        <w:rPr>
          <w:color w:val="000000"/>
          <w:spacing w:val="0"/>
          <w:w w:val="100"/>
          <w:position w:val="0"/>
        </w:rPr>
        <w:t>万元；</w:t>
      </w:r>
    </w:p>
    <w:p>
      <w:pPr>
        <w:pStyle w:val="Style34"/>
        <w:keepNext w:val="0"/>
        <w:keepLines w:val="0"/>
        <w:widowControl w:val="0"/>
        <w:shd w:val="clear" w:color="auto" w:fill="auto"/>
        <w:tabs>
          <w:tab w:pos="896" w:val="left"/>
        </w:tabs>
        <w:bidi w:val="0"/>
        <w:spacing w:before="0" w:after="360" w:line="317" w:lineRule="exact"/>
        <w:ind w:left="0" w:right="0"/>
        <w:jc w:val="both"/>
      </w:pPr>
      <w:bookmarkStart w:id="190" w:name="bookmark190"/>
      <w:r>
        <w:rPr>
          <w:color w:val="000000"/>
          <w:spacing w:val="0"/>
          <w:w w:val="100"/>
          <w:position w:val="0"/>
        </w:rPr>
        <w:t>（</w:t>
      </w:r>
      <w:bookmarkEnd w:id="1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其他不影响经营活动现金流量但影响净利润的项目合计金额</w:t>
      </w:r>
      <w:r>
        <w:rPr>
          <w:rFonts w:ascii="Times New Roman" w:eastAsia="Times New Roman" w:hAnsi="Times New Roman" w:cs="Times New Roman"/>
          <w:color w:val="000000"/>
          <w:spacing w:val="0"/>
          <w:w w:val="100"/>
          <w:position w:val="0"/>
          <w:sz w:val="18"/>
          <w:szCs w:val="18"/>
        </w:rPr>
        <w:t>3,514.73</w:t>
      </w:r>
      <w:r>
        <w:rPr>
          <w:color w:val="000000"/>
          <w:spacing w:val="0"/>
          <w:w w:val="100"/>
          <w:position w:val="0"/>
        </w:rPr>
        <w:t>万元（主要包括资产减值准备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,474.15</w:t>
      </w:r>
      <w:r>
        <w:rPr>
          <w:color w:val="000000"/>
          <w:spacing w:val="0"/>
          <w:w w:val="100"/>
          <w:position w:val="0"/>
        </w:rPr>
        <w:t>万元， 长期资产的折旧、摊销</w:t>
      </w:r>
      <w:r>
        <w:rPr>
          <w:rFonts w:ascii="Times New Roman" w:eastAsia="Times New Roman" w:hAnsi="Times New Roman" w:cs="Times New Roman"/>
          <w:color w:val="000000"/>
          <w:spacing w:val="0"/>
          <w:w w:val="100"/>
          <w:position w:val="0"/>
          <w:sz w:val="18"/>
          <w:szCs w:val="18"/>
        </w:rPr>
        <w:t>1,998.89</w:t>
      </w:r>
      <w:r>
        <w:rPr>
          <w:color w:val="000000"/>
          <w:spacing w:val="0"/>
          <w:w w:val="100"/>
          <w:position w:val="0"/>
        </w:rPr>
        <w:t>万元、其他影响因素</w:t>
      </w:r>
      <w:r>
        <w:rPr>
          <w:rFonts w:ascii="Times New Roman" w:eastAsia="Times New Roman" w:hAnsi="Times New Roman" w:cs="Times New Roman"/>
          <w:color w:val="000000"/>
          <w:spacing w:val="0"/>
          <w:w w:val="100"/>
          <w:position w:val="0"/>
          <w:sz w:val="18"/>
          <w:szCs w:val="18"/>
        </w:rPr>
        <w:t>-958.31</w:t>
      </w:r>
      <w:r>
        <w:rPr>
          <w:color w:val="000000"/>
          <w:spacing w:val="0"/>
          <w:w w:val="100"/>
          <w:position w:val="0"/>
        </w:rPr>
        <w:t>万元。）</w:t>
      </w:r>
    </w:p>
    <w:p>
      <w:pPr>
        <w:pStyle w:val="Style30"/>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三</w:t>
      </w:r>
      <w:bookmarkEnd w:id="193"/>
      <w:r>
        <w:rPr>
          <w:color w:val="000000"/>
          <w:spacing w:val="0"/>
          <w:w w:val="100"/>
          <w:position w:val="0"/>
          <w:sz w:val="24"/>
          <w:szCs w:val="24"/>
        </w:rPr>
        <w:t>、非主营业务分析</w:t>
      </w:r>
      <w:bookmarkEnd w:id="191"/>
      <w:bookmarkEnd w:id="192"/>
      <w:bookmarkEnd w:id="194"/>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6,056,402.51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主要系公司股权投资产生的 投资收益。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股权投资产生的投资收益可 持续。</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-24,831,858.57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主要系公司计提的存货跌价 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1,798,008.55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主要系供应商赔偿款以及客 户违约金。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50,477,728.03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主要系公司承担的违约金。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110,021,868.64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主要系增值税即征即退收入 和与日常经营活动相关的政 府补助。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增值税即征即退收入可持 续，其他不可持续。</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信用减值损失（损 失以号填列）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90,371.43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主要系公司计提的坏账准 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sz w:val="24"/>
          <w:szCs w:val="24"/>
        </w:rPr>
        <w:t>四</w:t>
      </w:r>
      <w:bookmarkEnd w:id="197"/>
      <w:r>
        <w:rPr>
          <w:color w:val="000000"/>
          <w:spacing w:val="0"/>
          <w:w w:val="100"/>
          <w:position w:val="0"/>
          <w:sz w:val="24"/>
          <w:szCs w:val="24"/>
        </w:rPr>
        <w:t>、资产及负债状况分析</w:t>
      </w:r>
      <w:bookmarkEnd w:id="195"/>
      <w:bookmarkEnd w:id="196"/>
      <w:bookmarkEnd w:id="198"/>
    </w:p>
    <w:p>
      <w:pPr>
        <w:pStyle w:val="Style37"/>
        <w:keepNext/>
        <w:keepLines/>
        <w:widowControl w:val="0"/>
        <w:shd w:val="clear" w:color="auto" w:fill="auto"/>
        <w:bidi w:val="0"/>
        <w:spacing w:before="0" w:after="34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1</w:t>
      </w:r>
      <w:bookmarkEnd w:id="201"/>
      <w:r>
        <w:rPr>
          <w:color w:val="000000"/>
          <w:spacing w:val="0"/>
          <w:w w:val="100"/>
          <w:position w:val="0"/>
        </w:rPr>
        <w:t>、资产构成重大变动情况</w:t>
      </w:r>
      <w:bookmarkEnd w:id="199"/>
      <w:bookmarkEnd w:id="200"/>
      <w:bookmarkEnd w:id="20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1,464,649,007.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1,880,152,293.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447,984,243.8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663,072,473.41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258,050,591.9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623,034,107.12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18,474,727.96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349,242,961.3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197,818,484.95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99,041,175.08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、以公允价值计量的资产和负债</w:t>
      </w:r>
      <w:bookmarkEnd w:id="203"/>
      <w:bookmarkEnd w:id="204"/>
      <w:bookmarkEnd w:id="20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99"/>
        <w:gridCol w:w="1094"/>
        <w:gridCol w:w="1090"/>
        <w:gridCol w:w="1094"/>
        <w:gridCol w:w="1090"/>
        <w:gridCol w:w="1090"/>
        <w:gridCol w:w="1090"/>
        <w:gridCol w:w="965"/>
        <w:gridCol w:w="974"/>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 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45,123,200.00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11,556,370.22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55,179,570.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45,123,200.00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11,556,370.22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55,179,570.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66,041,370.00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-50,551,430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15,489,939.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111,164,570.0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11,556,370.22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-50,551,430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70,669,509.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其他变动的内容</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应收款项融资的其他变动主要系本报告期银行承兑汇票到期进账所致。</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3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40" w:line="240"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3</w:t>
      </w:r>
      <w:bookmarkEnd w:id="209"/>
      <w:r>
        <w:rPr>
          <w:color w:val="000000"/>
          <w:spacing w:val="0"/>
          <w:w w:val="100"/>
          <w:position w:val="0"/>
        </w:rPr>
        <w:t>、截至报告期末的资产权利受限情况</w:t>
      </w:r>
      <w:bookmarkEnd w:id="207"/>
      <w:bookmarkEnd w:id="208"/>
      <w:bookmarkEnd w:id="210"/>
    </w:p>
    <w:tbl>
      <w:tblPr>
        <w:tblOverlap w:val="never"/>
        <w:jc w:val="center"/>
        <w:tblLayout w:type="fixed"/>
      </w:tblPr>
      <w:tblGrid>
        <w:gridCol w:w="2803"/>
        <w:gridCol w:w="3504"/>
        <w:gridCol w:w="3370"/>
      </w:tblGrid>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使用受限金额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使用受限原因</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财政资金监管户</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12,189,310.75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因诉讼冻结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12,193,736.25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02" w:lineRule="exact"/>
        <w:ind w:left="1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上述合同纠纷已达成调解，广东省广州市黄埔区人民法院于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日解除因买卖合同纠纷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14933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对公司名下</w:t>
      </w:r>
      <w:r>
        <w:rPr>
          <w:rFonts w:ascii="Times New Roman" w:eastAsia="Times New Roman" w:hAnsi="Times New Roman" w:cs="Times New Roman"/>
          <w:color w:val="000000"/>
          <w:spacing w:val="0"/>
          <w:w w:val="100"/>
          <w:position w:val="0"/>
          <w:sz w:val="18"/>
          <w:szCs w:val="18"/>
        </w:rPr>
        <w:t>12,189,310.75</w:t>
      </w:r>
      <w:r>
        <w:rPr>
          <w:color w:val="000000"/>
          <w:spacing w:val="0"/>
          <w:w w:val="100"/>
          <w:position w:val="0"/>
        </w:rPr>
        <w:t>元财产所采取的保全措施。</w:t>
      </w:r>
      <w:r>
        <w:rPr>
          <w:color w:val="000000"/>
          <w:spacing w:val="0"/>
          <w:w w:val="100"/>
          <w:position w:val="0"/>
          <w:sz w:val="17"/>
          <w:szCs w:val="17"/>
        </w:rPr>
        <w:t xml:space="preserve">12,189, </w:t>
      </w:r>
      <w:r>
        <w:rPr>
          <w:color w:val="000000"/>
          <w:spacing w:val="0"/>
          <w:w w:val="100"/>
          <w:position w:val="0"/>
          <w:sz w:val="17"/>
          <w:szCs w:val="17"/>
        </w:rPr>
        <w:t xml:space="preserve">310. </w:t>
      </w:r>
      <w:r>
        <w:rPr>
          <w:color w:val="000000"/>
          <w:spacing w:val="0"/>
          <w:w w:val="100"/>
          <w:position w:val="0"/>
          <w:sz w:val="17"/>
          <w:szCs w:val="17"/>
        </w:rPr>
        <w:t>75</w:t>
      </w:r>
      <w:r>
        <w:rPr>
          <w:color w:val="000000"/>
          <w:spacing w:val="0"/>
          <w:w w:val="100"/>
          <w:position w:val="0"/>
        </w:rPr>
        <w:t>元银行存款已解冻。</w:t>
      </w:r>
    </w:p>
    <w:p>
      <w:pPr>
        <w:widowControl w:val="0"/>
        <w:spacing w:after="599" w:line="1" w:lineRule="exact"/>
      </w:pPr>
    </w:p>
    <w:p>
      <w:pPr>
        <w:pStyle w:val="Style30"/>
        <w:keepNext/>
        <w:keepLines/>
        <w:widowControl w:val="0"/>
        <w:shd w:val="clear" w:color="auto" w:fill="auto"/>
        <w:bidi w:val="0"/>
        <w:spacing w:before="0" w:after="380" w:line="240" w:lineRule="auto"/>
        <w:ind w:left="0" w:right="0" w:firstLine="0"/>
        <w:jc w:val="both"/>
      </w:pPr>
      <w:bookmarkStart w:id="211" w:name="bookmark211"/>
      <w:bookmarkStart w:id="212" w:name="bookmark212"/>
      <w:bookmarkStart w:id="213" w:name="bookmark213"/>
      <w:bookmarkStart w:id="214" w:name="bookmark214"/>
      <w:r>
        <w:rPr>
          <w:color w:val="000000"/>
          <w:spacing w:val="0"/>
          <w:w w:val="100"/>
          <w:position w:val="0"/>
          <w:sz w:val="24"/>
          <w:szCs w:val="24"/>
        </w:rPr>
        <w:t>五</w:t>
      </w:r>
      <w:bookmarkEnd w:id="213"/>
      <w:r>
        <w:rPr>
          <w:color w:val="000000"/>
          <w:spacing w:val="0"/>
          <w:w w:val="100"/>
          <w:position w:val="0"/>
          <w:sz w:val="24"/>
          <w:szCs w:val="24"/>
        </w:rPr>
        <w:t>、投资状况分析</w:t>
      </w:r>
      <w:bookmarkEnd w:id="211"/>
      <w:bookmarkEnd w:id="212"/>
      <w:bookmarkEnd w:id="214"/>
    </w:p>
    <w:p>
      <w:pPr>
        <w:pStyle w:val="Style37"/>
        <w:keepNext/>
        <w:keepLines/>
        <w:widowControl w:val="0"/>
        <w:shd w:val="clear" w:color="auto" w:fill="auto"/>
        <w:bidi w:val="0"/>
        <w:spacing w:before="0" w:after="340" w:line="240" w:lineRule="auto"/>
        <w:ind w:left="0" w:right="0" w:firstLine="0"/>
        <w:jc w:val="both"/>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、总体情况</w:t>
      </w:r>
      <w:bookmarkEnd w:id="215"/>
      <w:bookmarkEnd w:id="216"/>
      <w:bookmarkEnd w:id="218"/>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40,527,573.02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146,827,681.50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、报告期内获取的重大的股权投资情况</w:t>
      </w:r>
      <w:bookmarkEnd w:id="219"/>
      <w:bookmarkEnd w:id="220"/>
      <w:bookmarkEnd w:id="222"/>
    </w:p>
    <w:p>
      <w:pPr>
        <w:pStyle w:val="Style3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3</w:t>
      </w:r>
      <w:bookmarkEnd w:id="225"/>
      <w:r>
        <w:rPr>
          <w:color w:val="000000"/>
          <w:spacing w:val="0"/>
          <w:w w:val="100"/>
          <w:position w:val="0"/>
        </w:rPr>
        <w:t>、报告期内正在进行的重大的非股权投资情况</w:t>
      </w:r>
      <w:bookmarkEnd w:id="223"/>
      <w:bookmarkEnd w:id="224"/>
      <w:bookmarkEnd w:id="226"/>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预计收</w:t>
            </w:r>
          </w:p>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47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佛山基 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智能交</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2,690,37</w:t>
            </w:r>
          </w:p>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 金、自筹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实际执 行过程 中受到 施工用 地地形 复杂等 影响，投 资进度 有所放 缓，未能 按原定 生产计 划达到 预计收 </w:t>
            </w:r>
            <w:r>
              <w:rPr>
                <w:color w:val="000000"/>
                <w:spacing w:val="0"/>
                <w:w w:val="100"/>
                <w:position w:val="0"/>
                <w:u w:val="single"/>
              </w:rPr>
              <w:t>益</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广州万 科云办 公区装 修项目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智能交</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10,623,8</w:t>
            </w:r>
          </w:p>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37,527,5</w:t>
            </w:r>
          </w:p>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4</w:t>
      </w:r>
      <w:bookmarkEnd w:id="229"/>
      <w:r>
        <w:rPr>
          <w:color w:val="000000"/>
          <w:spacing w:val="0"/>
          <w:w w:val="100"/>
          <w:position w:val="0"/>
        </w:rPr>
        <w:t>、金融资产投资</w:t>
      </w:r>
      <w:bookmarkEnd w:id="227"/>
      <w:bookmarkEnd w:id="228"/>
      <w:bookmarkEnd w:id="230"/>
    </w:p>
    <w:p>
      <w:pPr>
        <w:pStyle w:val="Style71"/>
        <w:keepNext/>
        <w:keepLines/>
        <w:widowControl w:val="0"/>
        <w:shd w:val="clear" w:color="auto" w:fill="auto"/>
        <w:tabs>
          <w:tab w:pos="493" w:val="left"/>
        </w:tabs>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31"/>
      <w:bookmarkEnd w:id="232"/>
      <w:bookmarkEnd w:id="234"/>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71"/>
        <w:keepNext/>
        <w:keepLines/>
        <w:widowControl w:val="0"/>
        <w:shd w:val="clear" w:color="auto" w:fill="auto"/>
        <w:tabs>
          <w:tab w:pos="493"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35"/>
      <w:bookmarkEnd w:id="236"/>
      <w:bookmarkEnd w:id="238"/>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r>
        <w:br w:type="page"/>
      </w:r>
    </w:p>
    <w:p>
      <w:pPr>
        <w:pStyle w:val="Style37"/>
        <w:keepNext/>
        <w:keepLines/>
        <w:widowControl w:val="0"/>
        <w:shd w:val="clear" w:color="auto" w:fill="auto"/>
        <w:bidi w:val="0"/>
        <w:spacing w:before="0" w:after="38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5</w:t>
      </w:r>
      <w:bookmarkEnd w:id="241"/>
      <w:r>
        <w:rPr>
          <w:color w:val="000000"/>
          <w:spacing w:val="0"/>
          <w:w w:val="100"/>
          <w:position w:val="0"/>
        </w:rPr>
        <w:t>、募集资金使用情况</w:t>
      </w:r>
      <w:bookmarkEnd w:id="239"/>
      <w:bookmarkEnd w:id="240"/>
      <w:bookmarkEnd w:id="24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1"/>
        <w:keepNext/>
        <w:keepLines/>
        <w:widowControl w:val="0"/>
        <w:shd w:val="clear" w:color="auto" w:fill="auto"/>
        <w:bidi w:val="0"/>
        <w:spacing w:before="0" w:after="38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3"/>
      <w:bookmarkEnd w:id="244"/>
      <w:bookmarkEnd w:id="246"/>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闲置两年 以上募集 资金金额</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40,599.49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募投项目 已结项，尚 未使用募 集资金全 部用于永 久补充流 动资金。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18,107.46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40,599.49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18,107.46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18,107.46</w:t>
            </w:r>
          </w:p>
        </w:tc>
      </w:tr>
      <w:tr>
        <w:trPr>
          <w:trHeight w:val="398"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52" w:hRule="exact"/>
        </w:trPr>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451"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实际募集资金金额：经中国证券监督管理委员会《关于深圳市金溢科技股份有限公司首次公开发行股票的批复》（证 监许可</w:t>
            </w:r>
            <w:r>
              <w:rPr>
                <w:rFonts w:ascii="Times New Roman" w:eastAsia="Times New Roman" w:hAnsi="Times New Roman" w:cs="Times New Roman"/>
                <w:color w:val="000000"/>
                <w:spacing w:val="0"/>
                <w:w w:val="100"/>
                <w:position w:val="0"/>
                <w:sz w:val="18"/>
                <w:szCs w:val="18"/>
              </w:rPr>
              <w:t>2017[399]</w:t>
            </w:r>
            <w:r>
              <w:rPr>
                <w:color w:val="000000"/>
                <w:spacing w:val="0"/>
                <w:w w:val="100"/>
                <w:position w:val="0"/>
              </w:rPr>
              <w:t>号文）核准并经深圳证券交易所《关于深圳市金溢科技股份有限公司人民币普通股股票上市的通知》（深 证上</w:t>
            </w:r>
            <w:r>
              <w:rPr>
                <w:rFonts w:ascii="Times New Roman" w:eastAsia="Times New Roman" w:hAnsi="Times New Roman" w:cs="Times New Roman"/>
                <w:color w:val="000000"/>
                <w:spacing w:val="0"/>
                <w:w w:val="100"/>
                <w:position w:val="0"/>
                <w:sz w:val="18"/>
                <w:szCs w:val="18"/>
              </w:rPr>
              <w:t>[2017]299</w:t>
            </w:r>
            <w:r>
              <w:rPr>
                <w:color w:val="000000"/>
                <w:spacing w:val="0"/>
                <w:w w:val="100"/>
                <w:position w:val="0"/>
              </w:rPr>
              <w:t>号）同意，公司向社会公开发行人民币普通股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2,952</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 人民币</w:t>
            </w:r>
            <w:r>
              <w:rPr>
                <w:rFonts w:ascii="Times New Roman" w:eastAsia="Times New Roman" w:hAnsi="Times New Roman" w:cs="Times New Roman"/>
                <w:color w:val="000000"/>
                <w:spacing w:val="0"/>
                <w:w w:val="100"/>
                <w:position w:val="0"/>
                <w:sz w:val="18"/>
                <w:szCs w:val="18"/>
              </w:rPr>
              <w:t>21.80</w:t>
            </w:r>
            <w:r>
              <w:rPr>
                <w:color w:val="000000"/>
                <w:spacing w:val="0"/>
                <w:w w:val="100"/>
                <w:position w:val="0"/>
              </w:rPr>
              <w:t>元,共计募集资金</w:t>
            </w:r>
            <w:r>
              <w:rPr>
                <w:rFonts w:ascii="Times New Roman" w:eastAsia="Times New Roman" w:hAnsi="Times New Roman" w:cs="Times New Roman"/>
                <w:color w:val="000000"/>
                <w:spacing w:val="0"/>
                <w:w w:val="100"/>
                <w:position w:val="0"/>
                <w:sz w:val="18"/>
                <w:szCs w:val="18"/>
              </w:rPr>
              <w:t>64,353.60</w:t>
            </w:r>
            <w:r>
              <w:rPr>
                <w:color w:val="000000"/>
                <w:spacing w:val="0"/>
                <w:w w:val="100"/>
                <w:position w:val="0"/>
              </w:rPr>
              <w:t>万元,减除发行费用人民币</w:t>
            </w:r>
            <w:r>
              <w:rPr>
                <w:rFonts w:ascii="Times New Roman" w:eastAsia="Times New Roman" w:hAnsi="Times New Roman" w:cs="Times New Roman"/>
                <w:color w:val="000000"/>
                <w:spacing w:val="0"/>
                <w:w w:val="100"/>
                <w:position w:val="0"/>
                <w:sz w:val="18"/>
                <w:szCs w:val="18"/>
              </w:rPr>
              <w:t>8,905.12</w:t>
            </w:r>
            <w:r>
              <w:rPr>
                <w:color w:val="000000"/>
                <w:spacing w:val="0"/>
                <w:w w:val="100"/>
                <w:position w:val="0"/>
              </w:rPr>
              <w:t>万元（含增值税）后，募集资金净额为</w:t>
            </w:r>
            <w:r>
              <w:rPr>
                <w:rFonts w:ascii="Times New Roman" w:eastAsia="Times New Roman" w:hAnsi="Times New Roman" w:cs="Times New Roman"/>
                <w:color w:val="000000"/>
                <w:spacing w:val="0"/>
                <w:w w:val="100"/>
                <w:position w:val="0"/>
                <w:sz w:val="18"/>
                <w:szCs w:val="18"/>
              </w:rPr>
              <w:t xml:space="preserve">55,448.48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日，本公司上述发行的募集资金已全部到位，业经天健会计师事务所（特殊普通合伙）验证， 并由其出具《验资报告》（天健验</w:t>
            </w:r>
            <w:r>
              <w:rPr>
                <w:rFonts w:ascii="Times New Roman" w:eastAsia="Times New Roman" w:hAnsi="Times New Roman" w:cs="Times New Roman"/>
                <w:color w:val="000000"/>
                <w:spacing w:val="0"/>
                <w:w w:val="100"/>
                <w:position w:val="0"/>
                <w:sz w:val="18"/>
                <w:szCs w:val="18"/>
              </w:rPr>
              <w:t>[2017]3-42</w:t>
            </w:r>
            <w:r>
              <w:rPr>
                <w:color w:val="000000"/>
                <w:spacing w:val="0"/>
                <w:w w:val="100"/>
                <w:position w:val="0"/>
              </w:rPr>
              <w:t>号）确认。</w:t>
            </w:r>
          </w:p>
          <w:p>
            <w:pPr>
              <w:pStyle w:val="Style27"/>
              <w:keepNext w:val="0"/>
              <w:keepLines w:val="0"/>
              <w:widowControl w:val="0"/>
              <w:shd w:val="clear" w:color="auto" w:fill="auto"/>
              <w:tabs>
                <w:tab w:pos="442"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募集资金使用和结余情况：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13,933.10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 人民币</w:t>
            </w:r>
            <w:r>
              <w:rPr>
                <w:rFonts w:ascii="Times New Roman" w:eastAsia="Times New Roman" w:hAnsi="Times New Roman" w:cs="Times New Roman"/>
                <w:color w:val="000000"/>
                <w:spacing w:val="0"/>
                <w:w w:val="100"/>
                <w:position w:val="0"/>
                <w:sz w:val="18"/>
                <w:szCs w:val="18"/>
              </w:rPr>
              <w:t>18,107.46</w:t>
            </w:r>
            <w:r>
              <w:rPr>
                <w:color w:val="000000"/>
                <w:spacing w:val="0"/>
                <w:w w:val="100"/>
                <w:position w:val="0"/>
              </w:rPr>
              <w:t>万元（包括累计收到的银行存款利息扣除银行手续费等的净额）</w:t>
            </w:r>
            <w:r>
              <w:rPr>
                <w:color w:val="000000"/>
                <w:spacing w:val="0"/>
                <w:w w:val="100"/>
                <w:position w:val="0"/>
                <w:sz w:val="18"/>
                <w:szCs w:val="18"/>
              </w:rPr>
              <w:t>，</w:t>
            </w:r>
            <w:r>
              <w:rPr>
                <w:color w:val="000000"/>
                <w:spacing w:val="0"/>
                <w:w w:val="100"/>
                <w:position w:val="0"/>
              </w:rPr>
              <w:t xml:space="preserve">公司将项目结项或终止后节余募集资金 </w:t>
            </w:r>
            <w:r>
              <w:rPr>
                <w:rFonts w:ascii="Times New Roman" w:eastAsia="Times New Roman" w:hAnsi="Times New Roman" w:cs="Times New Roman"/>
                <w:color w:val="000000"/>
                <w:spacing w:val="0"/>
                <w:w w:val="100"/>
                <w:position w:val="0"/>
                <w:sz w:val="18"/>
                <w:szCs w:val="18"/>
              </w:rPr>
              <w:t>18,107.46</w:t>
            </w:r>
            <w:r>
              <w:rPr>
                <w:color w:val="000000"/>
                <w:spacing w:val="0"/>
                <w:w w:val="100"/>
                <w:position w:val="0"/>
              </w:rPr>
              <w:t>万元用于永久补充流动资金。</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47"/>
      <w:bookmarkEnd w:id="248"/>
      <w:bookmarkEnd w:id="250"/>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27"/>
              <w:keepNext w:val="0"/>
              <w:keepLines w:val="0"/>
              <w:widowControl w:val="0"/>
              <w:shd w:val="clear" w:color="auto" w:fill="auto"/>
              <w:bidi w:val="0"/>
              <w:spacing w:before="0" w:after="0" w:line="302" w:lineRule="exact"/>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7"/>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佛山智能交通射频 识别与电子支付产品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28,680.96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28,680.96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12,132.41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20,644.94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研发中心建设项目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营销服务网络建设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已终止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补充运营资金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5,041.88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5,041.88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40,599.49</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-312.32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40,599.49</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-312.32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90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7"/>
              <w:keepNext w:val="0"/>
              <w:keepLines w:val="0"/>
              <w:widowControl w:val="0"/>
              <w:numPr>
                <w:ilvl w:val="0"/>
                <w:numId w:val="9"/>
              </w:numPr>
              <w:shd w:val="clear" w:color="auto" w:fill="auto"/>
              <w:tabs>
                <w:tab w:pos="17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日，公司召开第二届董事会第三十六次会议和第二届监事会第十九次会议，审议 通过了《关于延长部分募集资金投资项目实施期限的议案》，同意公司延长募集资金投资项目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 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的实施期限至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日发布的《关 于延长部分募集资金投资项目实施期限的公告》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营销服务网络建设项目未达到计划进度主要系国家政策和公司新时期的战略对技术支持和客户服务 的规划发生了新的变化，营销网络的建设进度有一定程度的延缓。</w:t>
            </w:r>
          </w:p>
          <w:p>
            <w:pPr>
              <w:pStyle w:val="Style27"/>
              <w:keepNext w:val="0"/>
              <w:keepLines w:val="0"/>
              <w:widowControl w:val="0"/>
              <w:numPr>
                <w:ilvl w:val="0"/>
                <w:numId w:val="9"/>
              </w:numPr>
              <w:shd w:val="clear" w:color="auto" w:fill="auto"/>
              <w:tabs>
                <w:tab w:pos="182"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日，公司召开第三届董事会第五次会议和第三届监事会第四次会议，审议通过了</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《关于延长部分募集资金投资项目实施期限的议案》，同意公司延长募集资金投资项目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佛山智能交 通射频识别与电子支付产品生产基地项目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的实施期限至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的实施期限至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日发布的《关于延长部分募集资 金投资项目实施期限的公告》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2020-077）</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研发中心建设项目未达到计划进度主要系受年初疫情影响，研发中心广州万科云办公区装修进度滞 后，致使项目未能按原拟定的时间完成建设和投入使用。</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佛山智能交通射频识别与电子支付产品生产基地项目未达到计划进度主要系受年初疫情影响，人员 招聘、系统试车及验收等事项滞后，项目进度未能按原定计划完成。</w:t>
            </w:r>
          </w:p>
          <w:p>
            <w:pPr>
              <w:pStyle w:val="Style27"/>
              <w:keepNext w:val="0"/>
              <w:keepLines w:val="0"/>
              <w:widowControl w:val="0"/>
              <w:numPr>
                <w:ilvl w:val="0"/>
                <w:numId w:val="9"/>
              </w:numPr>
              <w:shd w:val="clear" w:color="auto" w:fill="auto"/>
              <w:tabs>
                <w:tab w:pos="230" w:val="left"/>
              </w:tabs>
              <w:bidi w:val="0"/>
              <w:spacing w:before="0" w:after="0" w:line="319"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日，佛山智能交通射频识别与电子支付产品生产基地项目未到达预计收益 系受实际执行过程中受到施工用地地形复杂等影响，投资进度有所放缓，未能按原定生产计划达到 预计收益。</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720"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本报告期内公司未发生募集资金投资项目实施地点变更情况，以前年度发生情况如下：</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日，公司召开第二届董事会第二十九次会议和第二届监事会第十四次会议，审议通</w:t>
            </w:r>
          </w:p>
        </w:tc>
      </w:tr>
    </w:tbl>
    <w:p>
      <w:pPr>
        <w:widowControl w:val="0"/>
        <w:spacing w:line="1" w:lineRule="exact"/>
      </w:pPr>
      <w:r>
        <w:br w:type="page"/>
      </w:r>
    </w:p>
    <w:tbl>
      <w:tblPr>
        <w:tblOverlap w:val="never"/>
        <w:jc w:val="center"/>
        <w:tblLayout w:type="fixed"/>
      </w:tblPr>
      <w:tblGrid>
        <w:gridCol w:w="1781"/>
        <w:gridCol w:w="7805"/>
      </w:tblGrid>
      <w:tr>
        <w:trPr>
          <w:trHeight w:val="28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过了《关于变更部分募集资金投资项目实施地点的议案》,同意公司根据实际情况和业务发展的需要， 变更募集资金投资项目之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的实施地点，即变更部分办事处的设立地点，其 中兰州办事处变更为乌鲁木齐办事处，南宁办事处变更为贵阳办事处。详情请见公司于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日发布的《关于变更部分募集资金投资项目实施地点的公告》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2019-061）</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日，公司召开第二届董事会第十三次会议，审议通过了《关于变更部分募集资金 投资项目实施地点的议案》，同意公司根据实际情况和业务发展的需要，变更募集资金投资项目之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 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的实施地点，由深圳变更到广州，同意公司在变更后的实施地点购置办公楼用于满 足建设研发中心的场地需求。详情请见公司于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日发布的《关于变更部分募集资金投 资项目实施地点的公告》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2018-033）</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44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本报告期内公司未发生募集资金投资项目实施方式调整情况。以前年度发生情况如下：</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原计划拟分别投资</w:t>
            </w:r>
            <w:r>
              <w:rPr>
                <w:rFonts w:ascii="Times New Roman" w:eastAsia="Times New Roman" w:hAnsi="Times New Roman" w:cs="Times New Roman"/>
                <w:color w:val="000000"/>
                <w:spacing w:val="0"/>
                <w:w w:val="100"/>
                <w:position w:val="0"/>
                <w:sz w:val="18"/>
                <w:szCs w:val="18"/>
              </w:rPr>
              <w:t>540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万元在成都及杭州购买办公楼， 投资</w:t>
            </w:r>
            <w:r>
              <w:rPr>
                <w:rFonts w:ascii="Times New Roman" w:eastAsia="Times New Roman" w:hAnsi="Times New Roman" w:cs="Times New Roman"/>
                <w:color w:val="000000"/>
                <w:spacing w:val="0"/>
                <w:w w:val="100"/>
                <w:position w:val="0"/>
                <w:sz w:val="18"/>
                <w:szCs w:val="18"/>
              </w:rPr>
              <w:t>420.41</w:t>
            </w:r>
            <w:r>
              <w:rPr>
                <w:color w:val="000000"/>
                <w:spacing w:val="0"/>
                <w:w w:val="100"/>
                <w:position w:val="0"/>
              </w:rPr>
              <w:t>万元在厦门、沈阳等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座城市租赁办公楼，为满足成都分公司人才队伍壮大和未来业 务拓展需要，成都分公司亟需扩充办公场地，吸引优秀人才，随着近年来房地产价格不断上涨，成 都分公司原拟用于购置办公楼及装修的资金已不能满足当期的需求，故将取消在杭州购买及装修办 公用房资金</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万元，取消原计划的基本预备费</w:t>
            </w:r>
            <w:r>
              <w:rPr>
                <w:rFonts w:ascii="Times New Roman" w:eastAsia="Times New Roman" w:hAnsi="Times New Roman" w:cs="Times New Roman"/>
                <w:color w:val="000000"/>
                <w:spacing w:val="0"/>
                <w:w w:val="100"/>
                <w:position w:val="0"/>
                <w:sz w:val="18"/>
                <w:szCs w:val="18"/>
              </w:rPr>
              <w:t>271.33</w:t>
            </w:r>
            <w:r>
              <w:rPr>
                <w:color w:val="000000"/>
                <w:spacing w:val="0"/>
                <w:w w:val="100"/>
                <w:position w:val="0"/>
              </w:rPr>
              <w:t xml:space="preserve">万元，将成都分公司的场地投入增加至 </w:t>
            </w:r>
            <w:r>
              <w:rPr>
                <w:rFonts w:ascii="Times New Roman" w:eastAsia="Times New Roman" w:hAnsi="Times New Roman" w:cs="Times New Roman"/>
                <w:color w:val="000000"/>
                <w:spacing w:val="0"/>
                <w:w w:val="100"/>
                <w:position w:val="0"/>
                <w:sz w:val="18"/>
                <w:szCs w:val="18"/>
              </w:rPr>
              <w:t>1,243.33</w:t>
            </w:r>
            <w:r>
              <w:rPr>
                <w:color w:val="000000"/>
                <w:spacing w:val="0"/>
                <w:w w:val="100"/>
                <w:position w:val="0"/>
              </w:rPr>
              <w:t>万元，增加后场地投入总投入由</w:t>
            </w:r>
            <w:r>
              <w:rPr>
                <w:rFonts w:ascii="Times New Roman" w:eastAsia="Times New Roman" w:hAnsi="Times New Roman" w:cs="Times New Roman"/>
                <w:color w:val="000000"/>
                <w:spacing w:val="0"/>
                <w:w w:val="100"/>
                <w:position w:val="0"/>
                <w:sz w:val="18"/>
                <w:szCs w:val="18"/>
              </w:rPr>
              <w:t>1,392.41</w:t>
            </w:r>
            <w:r>
              <w:rPr>
                <w:color w:val="000000"/>
                <w:spacing w:val="0"/>
                <w:w w:val="100"/>
                <w:position w:val="0"/>
              </w:rPr>
              <w:t>万元变为</w:t>
            </w:r>
            <w:r>
              <w:rPr>
                <w:rFonts w:ascii="Times New Roman" w:eastAsia="Times New Roman" w:hAnsi="Times New Roman" w:cs="Times New Roman"/>
                <w:color w:val="000000"/>
                <w:spacing w:val="0"/>
                <w:w w:val="100"/>
                <w:position w:val="0"/>
                <w:sz w:val="18"/>
                <w:szCs w:val="18"/>
              </w:rPr>
              <w:t>1,663.74</w:t>
            </w:r>
            <w:r>
              <w:rPr>
                <w:color w:val="000000"/>
                <w:spacing w:val="0"/>
                <w:w w:val="100"/>
                <w:position w:val="0"/>
              </w:rPr>
              <w:t>万元,本次调整用途金额为</w:t>
            </w:r>
            <w:r>
              <w:rPr>
                <w:rFonts w:ascii="Times New Roman" w:eastAsia="Times New Roman" w:hAnsi="Times New Roman" w:cs="Times New Roman"/>
                <w:color w:val="000000"/>
                <w:spacing w:val="0"/>
                <w:w w:val="100"/>
                <w:position w:val="0"/>
                <w:sz w:val="18"/>
                <w:szCs w:val="18"/>
              </w:rPr>
              <w:t xml:space="preserve">703.33 </w:t>
            </w:r>
            <w:r>
              <w:rPr>
                <w:color w:val="000000"/>
                <w:spacing w:val="0"/>
                <w:w w:val="100"/>
                <w:position w:val="0"/>
              </w:rPr>
              <w:t>万元，杭州分公司将使用现有租赁的办公用房，其他办事处的租赁计划不变，调整后营销服务网络 建设项目投资总额不变。公司分别于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日召开第二届董事会第十 次会议、第二届监事会第六次会议和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年第一次临时股东大会，审议通过了《关于调整部分募集 资金投资项目具体投资计划的议案》，同意公司根据实际情况和业务发展需要，调整募集资金投资项 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的具体投资计划。详情请见公司于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日发布的《关于调整部分募集资金投资项目具体投资计划的公告》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2017-064）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年第一次临时股东大会决议公告》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2018-006）</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日，公司召开第二届董事会第三次会议，审议通过了《关于使用募集资金置换预先投 入募投项目自筹资金的议案》，同意公司使用募集资金置换截至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日以自筹资金预先投 入募集资金投资项目的实际投资金额</w:t>
            </w:r>
            <w:r>
              <w:rPr>
                <w:rFonts w:ascii="Times New Roman" w:eastAsia="Times New Roman" w:hAnsi="Times New Roman" w:cs="Times New Roman"/>
                <w:color w:val="000000"/>
                <w:spacing w:val="0"/>
                <w:w w:val="100"/>
                <w:position w:val="0"/>
                <w:sz w:val="18"/>
                <w:szCs w:val="18"/>
              </w:rPr>
              <w:t>445.41</w:t>
            </w:r>
            <w:r>
              <w:rPr>
                <w:color w:val="000000"/>
                <w:spacing w:val="0"/>
                <w:w w:val="100"/>
                <w:position w:val="0"/>
              </w:rPr>
              <w:t>万元，详情请见公司于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日发布的《关于 使用募集资金置换预先投入募投项目自筹资金的公告》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2017-010）</w:t>
            </w:r>
            <w:r>
              <w:rPr>
                <w:color w:val="000000"/>
                <w:spacing w:val="0"/>
                <w:w w:val="100"/>
                <w:position w:val="0"/>
              </w:rPr>
              <w:t>。</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571"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本报告期内公司未发生募集资金暂时补充流动资金情况，以前年度发生情况如下：</w:t>
            </w:r>
          </w:p>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日公司召开第二届董事会第二十五次会议和第二届监事会第十二次会议，审议通过 了《关于使用部分闲置募集资金暂时补充流动资金的议案》，同意公司在确保不影响募集资金投资项 目建设的情况下，使用总额度不超过人民币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万元（含本数）的闲置募集资金暂时补充流动 资金，使用期限自董事会审议通过之日起不超过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个月。详情请见公司于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日发布的</w:t>
            </w:r>
          </w:p>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《关于使用部分闲置募集资金暂时补充流动资金的公告》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2019-039）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公司已将上述用于暂时补充流动资金的募集资金人民币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万元提前全部归还至募集资金专用 账户，并已将上述募集资金的归还情况通知了公司保荐机构及保荐代表人。详情请见公司于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日发布的《关于提前归还补充流动资金的闲置募集资金的公告》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2019-052）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日公司召开第二届董事会第二十九次会议和第二届监事会第十四次会议，审议通过 了《关于再次使用部分闲置募集资金暂时补充流动资金的议案》，同意公司在确保不影响募集资金投</w:t>
            </w:r>
          </w:p>
        </w:tc>
      </w:tr>
    </w:tbl>
    <w:p>
      <w:pPr>
        <w:widowControl w:val="0"/>
        <w:spacing w:line="1" w:lineRule="exact"/>
      </w:pPr>
      <w:r>
        <w:br w:type="page"/>
      </w:r>
    </w:p>
    <w:tbl>
      <w:tblPr>
        <w:tblOverlap w:val="never"/>
        <w:jc w:val="center"/>
        <w:tblLayout w:type="fixed"/>
      </w:tblPr>
      <w:tblGrid>
        <w:gridCol w:w="1781"/>
        <w:gridCol w:w="7805"/>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资项目建设的情况下，使用总额度不超过人民币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亿元（含本数）的闲置募集资金暂时补充流动资 金，使用期限自董事会审议通过之日起不超过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个月。详情请见公司于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日发布的《关 于再次使用部分闲置募集资金暂时补充流动资金的公告》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2019-063）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日，公司已将上述用于暂时补充流动资金的募集资金人民币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亿元提前全部归还至募集资金专用账 户，并已将上述募集资金的归还情况通知了公司保荐机构及保荐代表人，详情请见公司于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日发布的《关于提前归还补充流动资金的闲置募集资金的公告》</w:t>
            </w:r>
            <w:r>
              <w:rPr>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2019-120）</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09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日召开第三届董事会第九次会议和第三届监事会第八次会议，并于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年第四次临时股东大会，审议通过《关于首次公开发行股票募集资金投资项目 结项及终止并将节余募集资金永久补充流动资金的议案》，同意将公司首次公开发行股票募投项目中 建设完毕并达到预定可使用状态的佛山智能交通射频识别与电子支付产品生产基地项目和研发中心 建设项目结项，并将未实施完毕的营销服务网络建设项目终止，上述募投项目结项及终止后的募集 资金结余金额</w:t>
            </w:r>
            <w:r>
              <w:rPr>
                <w:rFonts w:ascii="Times New Roman" w:eastAsia="Times New Roman" w:hAnsi="Times New Roman" w:cs="Times New Roman"/>
                <w:color w:val="000000"/>
                <w:spacing w:val="0"/>
                <w:w w:val="100"/>
                <w:position w:val="0"/>
                <w:sz w:val="18"/>
                <w:szCs w:val="18"/>
              </w:rPr>
              <w:t>18,107.46</w:t>
            </w:r>
            <w:r>
              <w:rPr>
                <w:color w:val="000000"/>
                <w:spacing w:val="0"/>
                <w:w w:val="100"/>
                <w:position w:val="0"/>
              </w:rPr>
              <w:t>万元（含利息收入）用于永久补充流动资金。</w:t>
            </w:r>
          </w:p>
          <w:p>
            <w:pPr>
              <w:pStyle w:val="Style27"/>
              <w:keepNext w:val="0"/>
              <w:keepLines w:val="0"/>
              <w:widowControl w:val="0"/>
              <w:numPr>
                <w:ilvl w:val="0"/>
                <w:numId w:val="11"/>
              </w:numPr>
              <w:shd w:val="clear" w:color="auto" w:fill="auto"/>
              <w:tabs>
                <w:tab w:pos="235" w:val="left"/>
              </w:tabs>
              <w:bidi w:val="0"/>
              <w:spacing w:before="0" w:after="60" w:line="310" w:lineRule="exact"/>
              <w:ind w:left="0" w:right="0" w:firstLine="0"/>
              <w:jc w:val="both"/>
            </w:pPr>
            <w:r>
              <w:rPr>
                <w:color w:val="000000"/>
                <w:spacing w:val="0"/>
                <w:w w:val="100"/>
                <w:position w:val="0"/>
              </w:rPr>
              <w:t>本次结项的募投项目为佛山智能交通射频识别与电子支付产品生产基地项目和研发中心建设项 目。上述项目已建设完成并达到预定可使用状态。公司在项目实施过程中，严格遵守募集资金使用 的有关规定，本着节约、合理的原则，审慎地使用募集资金，通过严格规范采购、建设制度，在保 证项目质量和控制实施风险的前提下，加强项目建设各个环节费用的控制、监督和管理，通过对各 项资源的合理调度和优化，合理地降低项目建设成本和费用，形成了资金节余。佛山智能交通射频 识别与电子支付产品生产基地项目结项后的募集资金结余金额为</w:t>
            </w:r>
            <w:r>
              <w:rPr>
                <w:rFonts w:ascii="Times New Roman" w:eastAsia="Times New Roman" w:hAnsi="Times New Roman" w:cs="Times New Roman"/>
                <w:color w:val="000000"/>
                <w:spacing w:val="0"/>
                <w:w w:val="100"/>
                <w:position w:val="0"/>
                <w:sz w:val="18"/>
                <w:szCs w:val="18"/>
              </w:rPr>
              <w:t>10,152.45</w:t>
            </w:r>
            <w:r>
              <w:rPr>
                <w:color w:val="000000"/>
                <w:spacing w:val="0"/>
                <w:w w:val="100"/>
                <w:position w:val="0"/>
              </w:rPr>
              <w:t>万元（含利息收入）用于 永久补充流动资金；研发中心建设项目结项后的募集资金结余金额为</w:t>
            </w:r>
            <w:r>
              <w:rPr>
                <w:rFonts w:ascii="Times New Roman" w:eastAsia="Times New Roman" w:hAnsi="Times New Roman" w:cs="Times New Roman"/>
                <w:color w:val="000000"/>
                <w:spacing w:val="0"/>
                <w:w w:val="100"/>
                <w:position w:val="0"/>
                <w:sz w:val="18"/>
                <w:szCs w:val="18"/>
              </w:rPr>
              <w:t>4,843.74</w:t>
            </w:r>
            <w:r>
              <w:rPr>
                <w:color w:val="000000"/>
                <w:spacing w:val="0"/>
                <w:w w:val="100"/>
                <w:position w:val="0"/>
              </w:rPr>
              <w:t>万元（含利息收入） 用于永久补充流动资金。</w:t>
            </w:r>
          </w:p>
          <w:p>
            <w:pPr>
              <w:pStyle w:val="Style27"/>
              <w:keepNext w:val="0"/>
              <w:keepLines w:val="0"/>
              <w:widowControl w:val="0"/>
              <w:numPr>
                <w:ilvl w:val="0"/>
                <w:numId w:val="11"/>
              </w:numPr>
              <w:shd w:val="clear" w:color="auto" w:fill="auto"/>
              <w:tabs>
                <w:tab w:pos="245" w:val="left"/>
              </w:tabs>
              <w:bidi w:val="0"/>
              <w:spacing w:before="0" w:after="60" w:line="313" w:lineRule="exact"/>
              <w:ind w:left="0" w:right="0" w:firstLine="0"/>
              <w:jc w:val="both"/>
            </w:pPr>
            <w:r>
              <w:rPr>
                <w:color w:val="000000"/>
                <w:spacing w:val="0"/>
                <w:w w:val="100"/>
                <w:position w:val="0"/>
              </w:rPr>
              <w:t>本次终止的募投项目为营销服务网络建设项目。鉴于公司完成建设的营销服务网络已基本覆盖全 国各大区和重点城市，未来将集中资源提高已建成的营销服务网点的服务能力和周边辐射能力，为 提高募集资金使用效率、增强公司营运能力，公司终止营销服务网络建设项目的建设，本次变更是 基于公司业务发展实际情况而做出的灵活决策，项目终止后节余募集资金</w:t>
            </w:r>
            <w:r>
              <w:rPr>
                <w:rFonts w:ascii="Times New Roman" w:eastAsia="Times New Roman" w:hAnsi="Times New Roman" w:cs="Times New Roman"/>
                <w:color w:val="000000"/>
                <w:spacing w:val="0"/>
                <w:w w:val="100"/>
                <w:position w:val="0"/>
                <w:sz w:val="18"/>
                <w:szCs w:val="18"/>
              </w:rPr>
              <w:t>3,111.27</w:t>
            </w:r>
            <w:r>
              <w:rPr>
                <w:color w:val="000000"/>
                <w:spacing w:val="0"/>
                <w:w w:val="100"/>
                <w:position w:val="0"/>
              </w:rPr>
              <w:t>万元（含利息收 入）用于永久补充流动资金。</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公司将项目结项及终止后节余募集资金</w:t>
            </w:r>
            <w:r>
              <w:rPr>
                <w:rFonts w:ascii="Times New Roman" w:eastAsia="Times New Roman" w:hAnsi="Times New Roman" w:cs="Times New Roman"/>
                <w:color w:val="000000"/>
                <w:spacing w:val="0"/>
                <w:w w:val="100"/>
                <w:position w:val="0"/>
                <w:sz w:val="18"/>
                <w:szCs w:val="18"/>
              </w:rPr>
              <w:t>18,107.46</w:t>
            </w:r>
            <w:r>
              <w:rPr>
                <w:color w:val="000000"/>
                <w:spacing w:val="0"/>
                <w:w w:val="100"/>
                <w:position w:val="0"/>
              </w:rPr>
              <w:t>万元用于永久补充流动资金。</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w:t>
      </w:r>
      <w:bookmarkEnd w:id="25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51"/>
      <w:bookmarkEnd w:id="252"/>
      <w:bookmarkEnd w:id="25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营销服务网 络建设项目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营销服务网 络建设项目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5,698.01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已终止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2880"/>
        <w:gridCol w:w="671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tabs>
                <w:tab w:pos="1339" w:val="left"/>
                <w:tab w:pos="2179" w:val="left"/>
              </w:tabs>
              <w:bidi w:val="0"/>
              <w:spacing w:before="0" w:after="0" w:line="240" w:lineRule="auto"/>
              <w:ind w:left="0" w:right="0" w:firstLine="0"/>
              <w:jc w:val="left"/>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w:t>
              <w:tab/>
              <w:t>5,698.01</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tabs>
                <w:tab w:pos="1232" w:val="left"/>
                <w:tab w:pos="2317" w:val="left"/>
                <w:tab w:pos="3272" w:val="left"/>
                <w:tab w:pos="4621" w:val="left"/>
                <w:tab w:pos="5182" w:val="left"/>
                <w:tab w:pos="6142" w:val="left"/>
              </w:tabs>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199.48</w:t>
              <w:tab/>
              <w:t>2,786.22</w:t>
              <w:tab/>
              <w:t>--</w:t>
              <w:tab/>
              <w:t>--</w:t>
              <w:tab/>
              <w:t>--</w:t>
              <w:tab/>
              <w:t>--</w:t>
              <w:tab/>
              <w:t>--</w:t>
            </w:r>
          </w:p>
        </w:tc>
      </w:tr>
      <w:tr>
        <w:trPr>
          <w:trHeight w:val="329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鉴于公司完成建设的营销服务网络已基本覆盖全国各大区和重点城市，未来将集中资 源提高已建成的营销服务网点的服务能力和周边辐射能力，为提高募集资金使用效 率、增强公司营运能力，公司终止营销服务网络建设项目的建设。</w:t>
            </w:r>
          </w:p>
          <w:p>
            <w:pPr>
              <w:pStyle w:val="Style27"/>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日召开第三届董事会第九次会议和第三届监事会第八次会议， 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年第四次临时股东大会，审议通过《关于首次公开 发行股票募集资金投资项目结项及终止并将节余募集资金永久补充流动资金的议 案》，同意将公司首次公开发行股票募投项目中未实施完毕的营销服务网络建设项目 终止。</w:t>
            </w:r>
          </w:p>
          <w:p>
            <w:pPr>
              <w:pStyle w:val="Style27"/>
              <w:keepNext w:val="0"/>
              <w:keepLines w:val="0"/>
              <w:widowControl w:val="0"/>
              <w:shd w:val="clear" w:color="auto" w:fill="auto"/>
              <w:bidi w:val="0"/>
              <w:spacing w:before="0" w:after="40" w:line="302" w:lineRule="exact"/>
              <w:ind w:left="0" w:right="0" w:firstLine="0"/>
              <w:jc w:val="left"/>
            </w:pPr>
            <w:r>
              <w:rPr>
                <w:color w:val="000000"/>
                <w:spacing w:val="0"/>
                <w:w w:val="100"/>
                <w:position w:val="0"/>
              </w:rPr>
              <w:t xml:space="preserve">本次变更是基于公司业务发展实际情况而做出的灵活决策，项目终止后节余募集资金 </w:t>
            </w:r>
            <w:r>
              <w:rPr>
                <w:rFonts w:ascii="Times New Roman" w:eastAsia="Times New Roman" w:hAnsi="Times New Roman" w:cs="Times New Roman"/>
                <w:color w:val="000000"/>
                <w:spacing w:val="0"/>
                <w:w w:val="100"/>
                <w:position w:val="0"/>
                <w:sz w:val="18"/>
                <w:szCs w:val="18"/>
              </w:rPr>
              <w:t>3,111.27</w:t>
            </w:r>
            <w:r>
              <w:rPr>
                <w:color w:val="000000"/>
                <w:spacing w:val="0"/>
                <w:w w:val="100"/>
                <w:position w:val="0"/>
              </w:rPr>
              <w:t>万元（含利息收入）用于永久补充流动资金。</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营销服务网络建设项目未达到计划进度主要系国家政策和公司新时期的战略对技术 支持和客户服务的规划发生了新的变化，营销网络的建设进度有一定程度的延缓。</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六</w:t>
      </w:r>
      <w:bookmarkEnd w:id="257"/>
      <w:r>
        <w:rPr>
          <w:color w:val="000000"/>
          <w:spacing w:val="0"/>
          <w:w w:val="100"/>
          <w:position w:val="0"/>
          <w:sz w:val="24"/>
          <w:szCs w:val="24"/>
        </w:rPr>
        <w:t>、重大资产和股权出售</w:t>
      </w:r>
      <w:bookmarkEnd w:id="255"/>
      <w:bookmarkEnd w:id="256"/>
      <w:bookmarkEnd w:id="258"/>
    </w:p>
    <w:p>
      <w:pPr>
        <w:pStyle w:val="Style37"/>
        <w:keepNext/>
        <w:keepLines/>
        <w:widowControl w:val="0"/>
        <w:shd w:val="clear" w:color="auto" w:fill="auto"/>
        <w:tabs>
          <w:tab w:pos="368" w:val="left"/>
        </w:tabs>
        <w:bidi w:val="0"/>
        <w:spacing w:before="0" w:after="38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w:t>
        <w:tab/>
        <w:t>出售重大资产情况</w:t>
      </w:r>
      <w:bookmarkEnd w:id="259"/>
      <w:bookmarkEnd w:id="260"/>
      <w:bookmarkEnd w:id="262"/>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378" w:val="left"/>
        </w:tabs>
        <w:bidi w:val="0"/>
        <w:spacing w:before="0" w:after="38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t>出售重大股权情况</w:t>
      </w:r>
      <w:bookmarkEnd w:id="263"/>
      <w:bookmarkEnd w:id="264"/>
      <w:bookmarkEnd w:id="266"/>
    </w:p>
    <w:p>
      <w:pPr>
        <w:pStyle w:val="Style32"/>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出售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对方</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价格</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初起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对公</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出售</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为关</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易对</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及的</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按计</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至出</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司的</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为上</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定价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联交</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方的</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划如</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售日</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影响</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市公</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原则</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期实</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该股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已全</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施，如</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献的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部过</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实施，</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贡献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应当</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及公</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司已</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采取</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的措</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Long</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onics</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溢科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Engin</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圳）有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eering</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w:t>
            </w: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响，不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w:t>
            </w:r>
          </w:p>
        </w:tc>
      </w:tr>
      <w:tr>
        <w:trPr>
          <w:trHeight w:val="30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和深</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圳市</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于控</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睿鸿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股子</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泽科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r>
      <w:tr>
        <w:trPr>
          <w:trHeight w:val="31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暨关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7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078</w:t>
            </w: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七</w:t>
      </w:r>
      <w:bookmarkEnd w:id="269"/>
      <w:r>
        <w:rPr>
          <w:color w:val="000000"/>
          <w:spacing w:val="0"/>
          <w:w w:val="100"/>
          <w:position w:val="0"/>
          <w:sz w:val="24"/>
          <w:szCs w:val="24"/>
        </w:rPr>
        <w:t>、主要控股参股公司分析</w:t>
      </w:r>
      <w:bookmarkEnd w:id="267"/>
      <w:bookmarkEnd w:id="268"/>
      <w:bookmarkEnd w:id="27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北京中交金 溢科技有限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营运车联网</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及场站管理</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14,248,528.8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1,828,823.58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6,111,448.04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197,291.56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197,167.67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青岛金溢科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生产基地、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82,420,294.6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15,176,204.2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-2,428,497.1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-2,428,347.1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广东华信金 溢信息技术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UHF</w:t>
            </w:r>
            <w:r>
              <w:rPr>
                <w:color w:val="000000"/>
                <w:spacing w:val="0"/>
                <w:w w:val="100"/>
                <w:position w:val="0"/>
              </w:rPr>
              <w:t xml:space="preserve">频段 </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读写设 备及解决方 案提供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-7,075,438.5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333,860.99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334,960.99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佛山金溢科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生产基地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365,349,312.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308,440,978.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35,553,909.6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-3,126,655.0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-3,123,212.9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无锡金溢科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车辆电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2,721,002.06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-691,599.29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3,161,267.16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227,853.79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205,071.44</w:t>
            </w:r>
          </w:p>
        </w:tc>
      </w:tr>
    </w:tbl>
    <w:p>
      <w:pPr>
        <w:widowControl w:val="0"/>
        <w:spacing w:line="1" w:lineRule="exact"/>
      </w:pPr>
    </w:p>
    <w:tbl>
      <w:tblPr>
        <w:tblOverlap w:val="never"/>
        <w:jc w:val="center"/>
        <w:tblLayout w:type="fixed"/>
      </w:tblPr>
      <w:tblGrid>
        <w:gridCol w:w="1061"/>
        <w:gridCol w:w="1200"/>
        <w:gridCol w:w="1042"/>
        <w:gridCol w:w="1046"/>
        <w:gridCol w:w="1046"/>
        <w:gridCol w:w="1046"/>
        <w:gridCol w:w="1042"/>
        <w:gridCol w:w="1046"/>
        <w:gridCol w:w="1056"/>
      </w:tblGrid>
      <w:tr>
        <w:trPr>
          <w:trHeight w:val="98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子标签设备</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及解决方案</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福建金溢科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玻璃前 装产品、车 联网解决方 案提供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3,073,845.84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2,873,598.77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146,017.67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-126,401.23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-126,401.23</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福建金溢科技有限公司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伟龙金溢科技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3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主要控股参股公司情况说明 无</w:t>
      </w:r>
    </w:p>
    <w:p>
      <w:pPr>
        <w:pStyle w:val="Style30"/>
        <w:keepNext/>
        <w:keepLines/>
        <w:widowControl w:val="0"/>
        <w:shd w:val="clear" w:color="auto" w:fill="auto"/>
        <w:tabs>
          <w:tab w:pos="482" w:val="left"/>
        </w:tabs>
        <w:bidi w:val="0"/>
        <w:spacing w:before="0" w:after="3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八</w:t>
      </w:r>
      <w:bookmarkEnd w:id="273"/>
      <w:r>
        <w:rPr>
          <w:color w:val="000000"/>
          <w:spacing w:val="0"/>
          <w:w w:val="100"/>
          <w:position w:val="0"/>
          <w:sz w:val="24"/>
          <w:szCs w:val="24"/>
        </w:rPr>
        <w:t>、</w:t>
        <w:tab/>
        <w:t>公司控制的结构化主体情况</w:t>
      </w:r>
      <w:bookmarkEnd w:id="271"/>
      <w:bookmarkEnd w:id="272"/>
      <w:bookmarkEnd w:id="274"/>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2" w:val="left"/>
        </w:tabs>
        <w:bidi w:val="0"/>
        <w:spacing w:before="0" w:after="2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九</w:t>
      </w:r>
      <w:bookmarkEnd w:id="277"/>
      <w:r>
        <w:rPr>
          <w:color w:val="000000"/>
          <w:spacing w:val="0"/>
          <w:w w:val="100"/>
          <w:position w:val="0"/>
          <w:sz w:val="24"/>
          <w:szCs w:val="24"/>
        </w:rPr>
        <w:t>、</w:t>
        <w:tab/>
        <w:t>公司未来发展的展望</w:t>
      </w:r>
      <w:bookmarkEnd w:id="275"/>
      <w:bookmarkEnd w:id="276"/>
      <w:bookmarkEnd w:id="278"/>
    </w:p>
    <w:p>
      <w:pPr>
        <w:pStyle w:val="Style34"/>
        <w:keepNext w:val="0"/>
        <w:keepLines w:val="0"/>
        <w:widowControl w:val="0"/>
        <w:shd w:val="clear" w:color="auto" w:fill="auto"/>
        <w:bidi w:val="0"/>
        <w:spacing w:before="0" w:after="140" w:line="317" w:lineRule="exact"/>
        <w:ind w:left="0" w:right="0"/>
        <w:jc w:val="left"/>
      </w:pPr>
      <w:bookmarkStart w:id="279" w:name="bookmark279"/>
      <w:r>
        <w:rPr>
          <w:b/>
          <w:bCs/>
          <w:color w:val="000000"/>
          <w:spacing w:val="0"/>
          <w:w w:val="100"/>
          <w:position w:val="0"/>
        </w:rPr>
        <w:t>（</w:t>
      </w:r>
      <w:bookmarkEnd w:id="279"/>
      <w:r>
        <w:rPr>
          <w:b/>
          <w:bCs/>
          <w:color w:val="000000"/>
          <w:spacing w:val="0"/>
          <w:w w:val="100"/>
          <w:position w:val="0"/>
        </w:rPr>
        <w:t>一）行业格局和趋势</w:t>
      </w:r>
    </w:p>
    <w:p>
      <w:pPr>
        <w:pStyle w:val="Style34"/>
        <w:keepNext w:val="0"/>
        <w:keepLines w:val="0"/>
        <w:widowControl w:val="0"/>
        <w:shd w:val="clear" w:color="auto" w:fill="auto"/>
        <w:bidi w:val="0"/>
        <w:spacing w:before="0" w:after="0" w:line="360" w:lineRule="auto"/>
        <w:ind w:left="0" w:right="0"/>
        <w:jc w:val="left"/>
      </w:pPr>
      <w:bookmarkStart w:id="280" w:name="bookmark280"/>
      <w:r>
        <w:rPr>
          <w:rFonts w:ascii="Times New Roman" w:eastAsia="Times New Roman" w:hAnsi="Times New Roman" w:cs="Times New Roman"/>
          <w:b/>
          <w:bCs/>
          <w:color w:val="000000"/>
          <w:spacing w:val="0"/>
          <w:w w:val="100"/>
          <w:position w:val="0"/>
          <w:sz w:val="18"/>
          <w:szCs w:val="18"/>
        </w:rPr>
        <w:t>1</w:t>
      </w:r>
      <w:bookmarkEnd w:id="280"/>
      <w:r>
        <w:rPr>
          <w:b/>
          <w:bCs/>
          <w:color w:val="000000"/>
          <w:spacing w:val="0"/>
          <w:w w:val="100"/>
          <w:position w:val="0"/>
        </w:rPr>
        <w:t>、路域</w:t>
      </w:r>
    </w:p>
    <w:p>
      <w:pPr>
        <w:pStyle w:val="Style34"/>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年，在高速领域，为稳固取消省界收费站成果，提升全国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运营系统的稳定可靠性，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年被行业内定义为 </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系统质量提升年。</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收费系统将不断完善，更高识别精度和稳定性新功能设备的替换需求、高速</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监测设备需求将 成为市场新的设备需求。</w:t>
      </w:r>
    </w:p>
    <w:p>
      <w:pPr>
        <w:pStyle w:val="Style34"/>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年编制的智慧高速规划中有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多个省市公布了智慧高速建设计划启动项目将在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年进入实施阶段,实施项目包括 京沪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号高速、江苏沪宁高速、浙江沪杭甬智慧高速二期项目、山东京台高速、福建福泉高速、云南昆明机场高速、广西沙 吴路、京雄高速、四川成宜高速等数十个项目。</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京沪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号高速是国内首个实现跨省互联互通、里程最长、实际在用的车路协同智慧高速示范项目。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号高速项目的实施， 将升级存量高速公路里程，构建车路协同应用场景和跨平台互联互通体系，形成车、路、网、云、图、测、运协同发展的产 业路线与里程碑，将显著提升车联网领域信息通信行业与交通运输行业的深度融合；是在新基建的背景下，基于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的车路 协同能够全方位的提高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智慧高速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的智能化水平，有效提高行车的安全性和可靠性，提升高速公路管理与调度能力，引领国 内乃至全球车联网产业发展，构建跨行业协同化的标准体系；项目实施将在京沪高速沿线重点点位全面覆盖</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网络，对 路侧设备进行智能化网联化改造，赋能北京、天津、河北、山东、安徽、江苏、上海等省干线物流。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号高速项目建成后将 推动不少于</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辆货运车辆装配</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车载终端，构建物流企业、区域级、国家级车联网应用平台，打通平台间数据交互 接口，形成标准化的系统建设方案和商业化的运营模式，构建</w:t>
      </w:r>
      <w:r>
        <w:rPr>
          <w:color w:val="000000"/>
          <w:spacing w:val="0"/>
          <w:w w:val="100"/>
          <w:position w:val="0"/>
        </w:rPr>
        <w:t>T</w:t>
      </w:r>
      <w:r>
        <w:rPr>
          <w:color w:val="000000"/>
          <w:spacing w:val="0"/>
          <w:w w:val="100"/>
          <w:position w:val="0"/>
        </w:rPr>
        <w:t>号高速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车路协同的车联网应用场景。京沪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号高速作为重点 引领项目，起到全国智慧高速的示范作用，将加快推动其他省市的智慧高速实施。</w:t>
      </w:r>
    </w:p>
    <w:p>
      <w:pPr>
        <w:pStyle w:val="Style34"/>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月，中国智能交通协会团体标准《智慧高速公路建设总体技术要求》发布征求意见稿，对通信网络、车路协同 式自动驾驶、货车编队行驶示范、自动驾驶专用车道提出了要求，这将加速智慧高速的商用化落地，货车编队示范运行将成 为智慧高速最先变现的应用。在高速公路分合流区、恶劣气象多发区等危险区域、危险路段布设车路协同设备，实现车路协 同式安全预警服务。标准的编制及落地都将预示着推进智慧高速的商用化落地将加速，对车路协同路侧设备的需求量也会随 </w:t>
      </w:r>
      <w:r>
        <w:rPr>
          <w:color w:val="000000"/>
          <w:spacing w:val="0"/>
          <w:w w:val="100"/>
          <w:position w:val="0"/>
        </w:rPr>
        <w:t>着增加。</w:t>
      </w:r>
    </w:p>
    <w:p>
      <w:pPr>
        <w:pStyle w:val="Style34"/>
        <w:keepNext w:val="0"/>
        <w:keepLines w:val="0"/>
        <w:widowControl w:val="0"/>
        <w:shd w:val="clear" w:color="auto" w:fill="auto"/>
        <w:tabs>
          <w:tab w:pos="678" w:val="left"/>
        </w:tabs>
        <w:bidi w:val="0"/>
        <w:spacing w:before="0" w:after="0" w:line="314" w:lineRule="exact"/>
        <w:ind w:left="0" w:right="0"/>
        <w:jc w:val="both"/>
      </w:pPr>
      <w:bookmarkStart w:id="281" w:name="bookmark281"/>
      <w:r>
        <w:rPr>
          <w:rFonts w:ascii="Times New Roman" w:eastAsia="Times New Roman" w:hAnsi="Times New Roman" w:cs="Times New Roman"/>
          <w:b/>
          <w:bCs/>
          <w:color w:val="000000"/>
          <w:spacing w:val="0"/>
          <w:w w:val="100"/>
          <w:position w:val="0"/>
          <w:sz w:val="18"/>
          <w:szCs w:val="18"/>
        </w:rPr>
        <w:t>2</w:t>
      </w:r>
      <w:bookmarkEnd w:id="281"/>
      <w:r>
        <w:rPr>
          <w:b/>
          <w:bCs/>
          <w:color w:val="000000"/>
          <w:spacing w:val="0"/>
          <w:w w:val="100"/>
          <w:position w:val="0"/>
        </w:rPr>
        <w:t>、</w:t>
        <w:tab/>
        <w:t>车域</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后装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标签的需求虽然已经度过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年的高峰期，每年新增需求将进入平稳期。按照交通部要求，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装车率要达到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，每年新增的汽车车主也有近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需要安装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color w:val="000000"/>
          <w:spacing w:val="0"/>
          <w:w w:val="100"/>
          <w:position w:val="0"/>
        </w:rPr>
        <w:t>随着人工收费口减少，以前没有安装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对时间资源较敏感的车主也 会逐渐安装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color w:val="000000"/>
          <w:spacing w:val="0"/>
          <w:w w:val="100"/>
          <w:position w:val="0"/>
        </w:rPr>
        <w:t>后装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标签随着交互频率的增加，使用时间长，设备性能老化，</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标签需要更新，存量已安装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 签的车辆超过</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亿，设备的更新需求每年将维持较大规模；另外，随着汽车电子设备的智能化、联网化、集成化，对多功 能行车记录仪的需求也愈发增多，伴随</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的升级，智能化</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需求也将持续增长。但存量未装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的汽车安装需求将缓慢 缩减，</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迭代设备更新需求将加速提升，并成为主要需求，设备更新需求的释放需要</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服务网络建设和便利化，目前这 方面服务仍显不足。</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日起，新申请产品准入的车型应选装采用直接供电方式的</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车载装置。目前国内绝大多数主机厂已经完 成了供应商选定工作和备货采购合同的签署工作，部分车厂对外展示的部分车型已经具备</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前装的功能，</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前装将很快 进入消费市场。前装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的稳定性和功能性更强，市场接受度预计将普遍提高，在未来</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年，汽车</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前装比例将逐步提 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国家政策推进，</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标准和技术加快成熟，车载标签将加速上车。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官方宣布</w:t>
      </w:r>
      <w:r>
        <w:rPr>
          <w:rFonts w:ascii="Times New Roman" w:eastAsia="Times New Roman" w:hAnsi="Times New Roman" w:cs="Times New Roman"/>
          <w:color w:val="000000"/>
          <w:spacing w:val="0"/>
          <w:w w:val="100"/>
          <w:position w:val="0"/>
          <w:sz w:val="18"/>
          <w:szCs w:val="18"/>
        </w:rPr>
        <w:t>5G R16</w:t>
      </w:r>
      <w:r>
        <w:rPr>
          <w:color w:val="000000"/>
          <w:spacing w:val="0"/>
          <w:w w:val="100"/>
          <w:position w:val="0"/>
        </w:rPr>
        <w:t>标准规范已经 冻结，</w:t>
      </w:r>
      <w:r>
        <w:rPr>
          <w:rFonts w:ascii="Times New Roman" w:eastAsia="Times New Roman" w:hAnsi="Times New Roman" w:cs="Times New Roman"/>
          <w:color w:val="000000"/>
          <w:spacing w:val="0"/>
          <w:w w:val="100"/>
          <w:position w:val="0"/>
          <w:sz w:val="18"/>
          <w:szCs w:val="18"/>
        </w:rPr>
        <w:t>R16</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的第一个演进版本，不仅增强了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的功能，还更多兼顾了成本、效率、效能等因素，使通信基础投资 发挥更大的效益，标准的冻结为</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产业链注入动力，产业链各方将加快</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芯片、模组及终端设备的研发和测试验证， 加快商业化应用进程。车厂方面，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月，北汽、广汽、比亚迪、上汽对外公开发布首款支持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的车型，预示着基于</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 xml:space="preserve">技术的智能网联汽车，正式拉开序幕。另外滴滴在上海宣布开启自动驾驶载人应用示范项目，用户可以在限定区域内呼叫 </w:t>
      </w:r>
      <w:r>
        <w:rPr>
          <w:rFonts w:ascii="Times New Roman" w:eastAsia="Times New Roman" w:hAnsi="Times New Roman" w:cs="Times New Roman"/>
          <w:color w:val="000000"/>
          <w:spacing w:val="0"/>
          <w:w w:val="100"/>
          <w:position w:val="0"/>
          <w:sz w:val="18"/>
          <w:szCs w:val="18"/>
        </w:rPr>
        <w:t>Robotaxi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Robotaxi</w:t>
      </w:r>
      <w:r>
        <w:rPr>
          <w:color w:val="000000"/>
          <w:spacing w:val="0"/>
          <w:w w:val="100"/>
          <w:position w:val="0"/>
        </w:rPr>
        <w:t>作为</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应用的一个重要方向，盈利模式比较清晰，具有很好的商业前景，有利于加速</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的发展，但 预计仍处于大规模应用的前期准备阶段。</w:t>
      </w:r>
    </w:p>
    <w:p>
      <w:pPr>
        <w:pStyle w:val="Style34"/>
        <w:keepNext w:val="0"/>
        <w:keepLines w:val="0"/>
        <w:widowControl w:val="0"/>
        <w:shd w:val="clear" w:color="auto" w:fill="auto"/>
        <w:tabs>
          <w:tab w:pos="678" w:val="left"/>
        </w:tabs>
        <w:bidi w:val="0"/>
        <w:spacing w:before="0" w:after="0" w:line="314" w:lineRule="exact"/>
        <w:ind w:left="0" w:right="0"/>
        <w:jc w:val="both"/>
      </w:pPr>
      <w:bookmarkStart w:id="282" w:name="bookmark282"/>
      <w:r>
        <w:rPr>
          <w:rFonts w:ascii="Times New Roman" w:eastAsia="Times New Roman" w:hAnsi="Times New Roman" w:cs="Times New Roman"/>
          <w:b/>
          <w:bCs/>
          <w:color w:val="000000"/>
          <w:spacing w:val="0"/>
          <w:w w:val="100"/>
          <w:position w:val="0"/>
          <w:sz w:val="18"/>
          <w:szCs w:val="18"/>
        </w:rPr>
        <w:t>3</w:t>
      </w:r>
      <w:bookmarkEnd w:id="282"/>
      <w:r>
        <w:rPr>
          <w:b/>
          <w:bCs/>
          <w:color w:val="000000"/>
          <w:spacing w:val="0"/>
          <w:w w:val="100"/>
          <w:position w:val="0"/>
        </w:rPr>
        <w:t>、</w:t>
        <w:tab/>
        <w:t>场域</w:t>
      </w:r>
    </w:p>
    <w:p>
      <w:pPr>
        <w:pStyle w:val="Style34"/>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车辆的庞大用户群，为</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向高速以外的场景拓展应用及拓展基于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技术的无感支付应用奠定 了最重要的基础。</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独有的车辆身份精准识别和符合金融级安全规范的小额支付特征也为开展</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无感支付应用提供了核 心技术支撑和交易安全保障，商业模式上银行等金融机构也加入提供补贴，市场需求会加快释放。</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交通部在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月份发出《交通运输部办公厅关于开展</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智慧停车城市建设试点工作的通知》提到加快拓展</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服 务功能，推动</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停车场景应用，选定北京等</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个城市作为试点城市、江苏省作为省级示范区，先期开展</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智慧停车试点 工作。政策的推出将加快</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拓展应用的发展趋势。</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随着各地持续完成探索研究制定省级</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停车相关服务规划和技术要求，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城市应用得到越来越多停车场、加油站业 主、集成商、运营商的认可，而</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停车天线价格已经大幅改善，市场接受度将进一步提高。对于高速</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运营商来说，在 </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标签发行高峰已过之后，面临拓展新的营收来源的问题，</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作为一种适用于汽车高频消费场景的第三方支付方式，支 付手续费形成的市场空间较为广阔，成为多地高速</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运营商拓展业务的核心方向，部分高速</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运营商也出台了一系列配 套的优惠政策积极推进</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停车、加油的普及速度。</w:t>
      </w:r>
    </w:p>
    <w:p>
      <w:pPr>
        <w:pStyle w:val="Style34"/>
        <w:keepNext w:val="0"/>
        <w:keepLines w:val="0"/>
        <w:widowControl w:val="0"/>
        <w:shd w:val="clear" w:color="auto" w:fill="auto"/>
        <w:tabs>
          <w:tab w:pos="678" w:val="left"/>
        </w:tabs>
        <w:bidi w:val="0"/>
        <w:spacing w:before="0" w:after="0" w:line="314" w:lineRule="exact"/>
        <w:ind w:left="0" w:right="0"/>
        <w:jc w:val="both"/>
      </w:pPr>
      <w:bookmarkStart w:id="283" w:name="bookmark283"/>
      <w:r>
        <w:rPr>
          <w:rFonts w:ascii="Times New Roman" w:eastAsia="Times New Roman" w:hAnsi="Times New Roman" w:cs="Times New Roman"/>
          <w:b/>
          <w:bCs/>
          <w:color w:val="000000"/>
          <w:spacing w:val="0"/>
          <w:w w:val="100"/>
          <w:position w:val="0"/>
          <w:sz w:val="18"/>
          <w:szCs w:val="18"/>
        </w:rPr>
        <w:t>4</w:t>
      </w:r>
      <w:bookmarkEnd w:id="283"/>
      <w:r>
        <w:rPr>
          <w:b/>
          <w:bCs/>
          <w:color w:val="000000"/>
          <w:spacing w:val="0"/>
          <w:w w:val="100"/>
          <w:position w:val="0"/>
        </w:rPr>
        <w:t>、</w:t>
        <w:tab/>
        <w:t>城域</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各地重点地区的先行先试带动车联网的整体发展，更多先导区示范区的建设将逐渐推进，在批复江苏无锡、天津西兴作 为国家车联网的先导区后，湖南的长沙获批成为第三家国家车联网先导区，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月份又批复了重庆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两江新区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创建国家级车联 网先导区。未来将通过技术的测试和验证之后能够通过先导区的方式牵引带动产业更快地迭代升级发展。</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上海市交通委发布的《上海市智能网联汽车开放道路测试报告（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年）》显示：截至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年底，上海累计开放</w:t>
      </w:r>
      <w:r>
        <w:rPr>
          <w:rFonts w:ascii="Times New Roman" w:eastAsia="Times New Roman" w:hAnsi="Times New Roman" w:cs="Times New Roman"/>
          <w:color w:val="000000"/>
          <w:spacing w:val="0"/>
          <w:w w:val="100"/>
          <w:position w:val="0"/>
          <w:sz w:val="18"/>
          <w:szCs w:val="18"/>
        </w:rPr>
        <w:t>243</w:t>
      </w:r>
      <w:r>
        <w:rPr>
          <w:color w:val="000000"/>
          <w:spacing w:val="0"/>
          <w:w w:val="100"/>
          <w:position w:val="0"/>
        </w:rPr>
        <w:t xml:space="preserve">条、 </w:t>
      </w:r>
      <w:r>
        <w:rPr>
          <w:rFonts w:ascii="Times New Roman" w:eastAsia="Times New Roman" w:hAnsi="Times New Roman" w:cs="Times New Roman"/>
          <w:color w:val="000000"/>
          <w:spacing w:val="0"/>
          <w:w w:val="100"/>
          <w:position w:val="0"/>
          <w:sz w:val="18"/>
          <w:szCs w:val="18"/>
        </w:rPr>
        <w:t>559.87</w:t>
      </w:r>
      <w:r>
        <w:rPr>
          <w:color w:val="000000"/>
          <w:spacing w:val="0"/>
          <w:w w:val="100"/>
          <w:position w:val="0"/>
        </w:rPr>
        <w:t>公里测试道路，向</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家企业、</w:t>
      </w:r>
      <w:r>
        <w:rPr>
          <w:rFonts w:ascii="Times New Roman" w:eastAsia="Times New Roman" w:hAnsi="Times New Roman" w:cs="Times New Roman"/>
          <w:color w:val="000000"/>
          <w:spacing w:val="0"/>
          <w:w w:val="100"/>
          <w:position w:val="0"/>
          <w:sz w:val="18"/>
          <w:szCs w:val="18"/>
        </w:rPr>
        <w:t>152</w:t>
      </w:r>
      <w:r>
        <w:rPr>
          <w:color w:val="000000"/>
          <w:spacing w:val="0"/>
          <w:w w:val="100"/>
          <w:position w:val="0"/>
        </w:rPr>
        <w:t>辆车颁发道路测试或示范应用资质。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年上海智能网联汽车开放道路测试有效测 试时长</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万小时，有效测试里程</w:t>
      </w:r>
      <w:r>
        <w:rPr>
          <w:rFonts w:ascii="Times New Roman" w:eastAsia="Times New Roman" w:hAnsi="Times New Roman" w:cs="Times New Roman"/>
          <w:color w:val="000000"/>
          <w:spacing w:val="0"/>
          <w:w w:val="100"/>
          <w:position w:val="0"/>
          <w:sz w:val="18"/>
          <w:szCs w:val="18"/>
        </w:rPr>
        <w:t>39.7</w:t>
      </w:r>
      <w:r>
        <w:rPr>
          <w:color w:val="000000"/>
          <w:spacing w:val="0"/>
          <w:w w:val="100"/>
          <w:position w:val="0"/>
        </w:rPr>
        <w:t>万公里，上传第三方机构数据平台</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亿条测试数据。除此之外，湖南、河北、北京、 天津、山东、重庆、四川、吉林、辽宁、陕西、宁夏、贵州等省份也都在</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先导示范区中有所布局。未来随着政策、 产业上下游的进一步推进，智慧网联道路建设里程将持续增加，覆盖的城市面积将逐渐扩大，网联车测试牌照数将进一步增 加。</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虽然车路协同从示范区走向大规模商业化应用，依然面临发展制约条件，车路协同</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 xml:space="preserve">技术还在起步阶段，但也催生 </w:t>
      </w:r>
      <w:r>
        <w:rPr>
          <w:color w:val="000000"/>
          <w:spacing w:val="0"/>
          <w:w w:val="100"/>
          <w:position w:val="0"/>
        </w:rPr>
        <w:t>了丰富的应用场景，包括</w:t>
      </w:r>
      <w:r>
        <w:rPr>
          <w:rFonts w:ascii="Times New Roman" w:eastAsia="Times New Roman" w:hAnsi="Times New Roman" w:cs="Times New Roman"/>
          <w:color w:val="000000"/>
          <w:spacing w:val="0"/>
          <w:w w:val="100"/>
          <w:position w:val="0"/>
          <w:sz w:val="18"/>
          <w:szCs w:val="18"/>
        </w:rPr>
        <w:t xml:space="preserve">RoboTaxi </w:t>
      </w:r>
      <w:r>
        <w:rPr>
          <w:color w:val="000000"/>
          <w:spacing w:val="0"/>
          <w:w w:val="100"/>
          <w:position w:val="0"/>
        </w:rPr>
        <w:t>（自动驾驶出租车）、无人巴士（城市公交、摆渡车、长途客运）、无人配送、干线物流、 港口自动驾驶、无人矿卡、自主代客泊车、无人环卫等。目前，国家和地方政府为推进智能网联汽车产业发展，陆续开放了 园区、城市、港口和矿山道路以及高速公路等交通环境供智能网联汽车企业开展示范运营。智能网联应用和商业模式的探索 将进一步加大。</w:t>
      </w:r>
    </w:p>
    <w:p>
      <w:pPr>
        <w:pStyle w:val="Style34"/>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日，公安部官网发布了《道路交通安全法（修订建议稿）》公开征求意见的公告，其中提到：准予登记的机动车 应当符合机动车国家安全技术标准，并按规定安装电子标识。意见稿的发出无疑将加大汽车电子标识市场需求。</w:t>
      </w:r>
    </w:p>
    <w:p>
      <w:pPr>
        <w:pStyle w:val="Style34"/>
        <w:keepNext w:val="0"/>
        <w:keepLines w:val="0"/>
        <w:widowControl w:val="0"/>
        <w:shd w:val="clear" w:color="auto" w:fill="auto"/>
        <w:tabs>
          <w:tab w:pos="861" w:val="left"/>
        </w:tabs>
        <w:bidi w:val="0"/>
        <w:spacing w:before="0" w:after="0" w:line="317" w:lineRule="exact"/>
        <w:ind w:left="0" w:right="0"/>
        <w:jc w:val="both"/>
      </w:pPr>
      <w:bookmarkStart w:id="284" w:name="bookmark284"/>
      <w:r>
        <w:rPr>
          <w:b/>
          <w:bCs/>
          <w:color w:val="000000"/>
          <w:spacing w:val="0"/>
          <w:w w:val="100"/>
          <w:position w:val="0"/>
        </w:rPr>
        <w:t>（</w:t>
      </w:r>
      <w:bookmarkEnd w:id="284"/>
      <w:r>
        <w:rPr>
          <w:b/>
          <w:bCs/>
          <w:color w:val="000000"/>
          <w:spacing w:val="0"/>
          <w:w w:val="100"/>
          <w:position w:val="0"/>
        </w:rPr>
        <w:t>二）</w:t>
        <w:tab/>
        <w:t>业务展望</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年，全国经济复苏，公司的经营工作都在有序开展，十四五规划的出台，强调了交通强国的重要性，交通要向智慧 化发展。随着各省市规划的出台，行业市场将迎来更加有利的市场环境。</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公司明确了继续聚焦于智慧交通和智能网联产业主航道，沿着从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的战略发展路线，从场景线（</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）和能 力线</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ETC2.0）</w:t>
      </w:r>
      <w:r>
        <w:rPr>
          <w:color w:val="000000"/>
          <w:spacing w:val="0"/>
          <w:w w:val="100"/>
          <w:position w:val="0"/>
        </w:rPr>
        <w:t>进行持续深耕，最终走向</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车路协同的战略演进路径。为行业带来了新的解决方案和研究方向。</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高速公路业务，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年被定义为</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系统质量提升年。根据当前技术发展形势和</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面临的市场环境，公司将坚持 技术研发，推出识别准确率更高，智能化程度更高的产品，并大力拓展市场，助力提升</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的服务质量和用户体验。</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智慧高速业务，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号公路作为推进智慧高速建设的重要标杆性项目，公司将积极把握市场机遇，抢占先机。另外公司也 会积极参与其他省市智慧高速项目，争取能参与多省智慧高速项目实施。公司将携公司</w:t>
      </w:r>
      <w:r>
        <w:rPr>
          <w:rFonts w:ascii="Times New Roman" w:eastAsia="Times New Roman" w:hAnsi="Times New Roman" w:cs="Times New Roman"/>
          <w:color w:val="000000"/>
          <w:spacing w:val="0"/>
          <w:w w:val="100"/>
          <w:position w:val="0"/>
          <w:sz w:val="18"/>
          <w:szCs w:val="18"/>
        </w:rPr>
        <w:t>ETC+V2X</w:t>
      </w:r>
      <w:r>
        <w:rPr>
          <w:color w:val="000000"/>
          <w:spacing w:val="0"/>
          <w:w w:val="100"/>
          <w:position w:val="0"/>
        </w:rPr>
        <w:t>融合型一体化路侧基站、 车路协同边缘应用平台等聚焦智慧高速车路协同边端系统，以端、边、云面向用户提供整体解决方案及核心设备。</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在前装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标签市场，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年前装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会随着新车型进入市场而正式进入人们生活，</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前装产品同步进入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color w:val="000000"/>
          <w:spacing w:val="0"/>
          <w:w w:val="100"/>
          <w:position w:val="0"/>
        </w:rPr>
        <w:t>公司将 做好车厂服务，加强不同形态标签的推广，继续研发更为智能化的前装标签，保持公司的领先优势。</w:t>
      </w:r>
    </w:p>
    <w:p>
      <w:pPr>
        <w:pStyle w:val="Style3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标签业务，公司基于</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的车载终端经过多年的测试验证和迭代，已经较为成熟，目前在和多家车厂推进前装上 车工作，公司将借助</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实现前装的趋势，成为众多主机厂的一级或二级供应商，为公司后续导入</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产品提供良好的契机。 公司也将积极布局</w:t>
      </w:r>
      <w:r>
        <w:rPr>
          <w:rFonts w:ascii="Times New Roman" w:eastAsia="Times New Roman" w:hAnsi="Times New Roman" w:cs="Times New Roman"/>
          <w:color w:val="000000"/>
          <w:spacing w:val="0"/>
          <w:w w:val="100"/>
          <w:position w:val="0"/>
          <w:sz w:val="18"/>
          <w:szCs w:val="18"/>
        </w:rPr>
        <w:t>ETC2.0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5G-V2X</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TBOX</w:t>
      </w:r>
      <w:r>
        <w:rPr>
          <w:color w:val="000000"/>
          <w:spacing w:val="0"/>
          <w:w w:val="100"/>
          <w:position w:val="0"/>
        </w:rPr>
        <w:t>融合型产品的研发。</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汽车电子标识业务，公司将基于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的两轮车管理，开发电动自行车违章非现场执法系统和集成方案，加强研发力量 完善产品线、加强销售力量拓展市场，通过参与一些大项目的运营进而带动销售的增长。</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业务，公司将借助</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停车试点城市，全面铺开</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洗车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充电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加油等涉车支付场景的应用落 地。公司将积极把握国家政策，同时依托于十几年累积的</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核心设备研发能力及制造能力，为市场提供高性价比的产品和 服务，并综合运用上市公司的资本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品牌优势，联合业内的合作伙伴共同优化基于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技术的城市级智慧停车整 体解决方案，增加解决方案的供给能力和服务能力，构建以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支付技术为核心的车生活服务圈，获取新的盈利增长点。</w:t>
      </w:r>
    </w:p>
    <w:p>
      <w:pPr>
        <w:pStyle w:val="Style34"/>
        <w:keepNext w:val="0"/>
        <w:keepLines w:val="0"/>
        <w:widowControl w:val="0"/>
        <w:shd w:val="clear" w:color="auto" w:fill="auto"/>
        <w:tabs>
          <w:tab w:pos="861" w:val="left"/>
        </w:tabs>
        <w:bidi w:val="0"/>
        <w:spacing w:before="0" w:after="160" w:line="317" w:lineRule="exact"/>
        <w:ind w:left="0" w:right="0"/>
        <w:jc w:val="both"/>
      </w:pPr>
      <w:bookmarkStart w:id="285" w:name="bookmark285"/>
      <w:r>
        <w:rPr>
          <w:b/>
          <w:bCs/>
          <w:color w:val="000000"/>
          <w:spacing w:val="0"/>
          <w:w w:val="100"/>
          <w:position w:val="0"/>
        </w:rPr>
        <w:t>（</w:t>
      </w:r>
      <w:bookmarkEnd w:id="285"/>
      <w:r>
        <w:rPr>
          <w:b/>
          <w:bCs/>
          <w:color w:val="000000"/>
          <w:spacing w:val="0"/>
          <w:w w:val="100"/>
          <w:position w:val="0"/>
        </w:rPr>
        <w:t>三）</w:t>
        <w:tab/>
        <w:t>可能面临的风险及应对措施</w:t>
      </w:r>
    </w:p>
    <w:p>
      <w:pPr>
        <w:pStyle w:val="Style34"/>
        <w:keepNext w:val="0"/>
        <w:keepLines w:val="0"/>
        <w:widowControl w:val="0"/>
        <w:shd w:val="clear" w:color="auto" w:fill="auto"/>
        <w:tabs>
          <w:tab w:pos="664" w:val="left"/>
        </w:tabs>
        <w:bidi w:val="0"/>
        <w:spacing w:before="0" w:after="0" w:line="360" w:lineRule="auto"/>
        <w:ind w:left="0" w:right="0"/>
        <w:jc w:val="both"/>
      </w:pPr>
      <w:bookmarkStart w:id="286" w:name="bookmark286"/>
      <w:r>
        <w:rPr>
          <w:rFonts w:ascii="Times New Roman" w:eastAsia="Times New Roman" w:hAnsi="Times New Roman" w:cs="Times New Roman"/>
          <w:b/>
          <w:bCs/>
          <w:color w:val="000000"/>
          <w:spacing w:val="0"/>
          <w:w w:val="100"/>
          <w:position w:val="0"/>
          <w:sz w:val="18"/>
          <w:szCs w:val="18"/>
        </w:rPr>
        <w:t>1</w:t>
      </w:r>
      <w:bookmarkEnd w:id="286"/>
      <w:r>
        <w:rPr>
          <w:b/>
          <w:bCs/>
          <w:color w:val="000000"/>
          <w:spacing w:val="0"/>
          <w:w w:val="100"/>
          <w:position w:val="0"/>
        </w:rPr>
        <w:t>、</w:t>
        <w:tab/>
        <w:t>季节性波动风险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公司所处智能交通行业，市场需求受政府政策影响较大，行业的主要客户为交通部门、高速公路管理局等类政府机构， 该类客户通常有着严格的投资计划、资金安排、工期安排等管理流程，公司获取的订单受客户年度采购计划的影响，同时路 侧天线等设备安装多属于收费系统及车道改造项目内容，该类项目施工受天气和假期影响，而每个项目签订时间、实施内容 和项目进度的不同会导致公司收入、利润、回款在年内分布不均衡，因此公司的业绩具有一定的季节性波动的风险。</w:t>
      </w:r>
    </w:p>
    <w:p>
      <w:pPr>
        <w:pStyle w:val="Style34"/>
        <w:keepNext w:val="0"/>
        <w:keepLines w:val="0"/>
        <w:widowControl w:val="0"/>
        <w:shd w:val="clear" w:color="auto" w:fill="auto"/>
        <w:tabs>
          <w:tab w:pos="678" w:val="left"/>
        </w:tabs>
        <w:bidi w:val="0"/>
        <w:spacing w:before="0" w:after="0" w:line="317" w:lineRule="exact"/>
        <w:ind w:left="0" w:right="0"/>
        <w:jc w:val="both"/>
      </w:pPr>
      <w:bookmarkStart w:id="287" w:name="bookmark287"/>
      <w:r>
        <w:rPr>
          <w:rFonts w:ascii="Times New Roman" w:eastAsia="Times New Roman" w:hAnsi="Times New Roman" w:cs="Times New Roman"/>
          <w:b/>
          <w:bCs/>
          <w:color w:val="000000"/>
          <w:spacing w:val="0"/>
          <w:w w:val="100"/>
          <w:position w:val="0"/>
          <w:sz w:val="18"/>
          <w:szCs w:val="18"/>
        </w:rPr>
        <w:t>2</w:t>
      </w:r>
      <w:bookmarkEnd w:id="287"/>
      <w:r>
        <w:rPr>
          <w:b/>
          <w:bCs/>
          <w:color w:val="000000"/>
          <w:spacing w:val="0"/>
          <w:w w:val="100"/>
          <w:position w:val="0"/>
        </w:rPr>
        <w:t>、</w:t>
        <w:tab/>
        <w:t>技术泄密或被侵权及技术人员流失的风险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公司所处行业是知识经济时代的代表性产业,是近年来我国增长速度最快的高新技术行业之一。经过多年的积累和发展， 公司掌握了智能交通领域内的多项关键技术。技术优势是公司核心竞争力的重要体现。公司重视对核心技术的保护，虽然与 相关核心技术人员以及因业务关系知悉技术秘密的相关人员签订了保密及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或竞业限制协议，但是如果发生公司核心技术人 员离职后继续从事与公司业务相同或相似的工作，或者关键岗位技术人员发生泄密事件，将有可能削弱公司的技术优势，进 而对经营带来不利影响。此外，公司仍可能存在知识产权被侵犯，进而对公司经营造成不利影响的风险。公司将加大知识产 权的保护力度，对于可能出现的严重侵犯公司知识产权的情形，公司将通过法律手段保护自身合法权益。</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核心技术人员是公司保持技术优势的基础，公司一直对高水平的软、硬件开发与应用人才有较大的需求，随着业内技术 的不断更新，公司业务所处行业的市场竞争不断加剧，相关技术人才的竞争也日趋激烈，公司将不断完善人力资源管理体系， </w:t>
      </w:r>
      <w:r>
        <w:rPr>
          <w:color w:val="000000"/>
          <w:spacing w:val="0"/>
          <w:w w:val="100"/>
          <w:position w:val="0"/>
        </w:rPr>
        <w:t>采取一系列吸引和稳定核心技术人员的措施，包括核心技术人员持股、提高核心技术人员福利待遇、增加培训机会、创造良 好的工作和文化氛围等。</w:t>
      </w:r>
    </w:p>
    <w:p>
      <w:pPr>
        <w:pStyle w:val="Style34"/>
        <w:keepNext w:val="0"/>
        <w:keepLines w:val="0"/>
        <w:widowControl w:val="0"/>
        <w:shd w:val="clear" w:color="auto" w:fill="auto"/>
        <w:bidi w:val="0"/>
        <w:spacing w:before="0" w:after="140" w:line="302" w:lineRule="exact"/>
        <w:ind w:left="0" w:right="0"/>
        <w:jc w:val="both"/>
      </w:pPr>
      <w:r>
        <w:rPr>
          <w:color w:val="000000"/>
          <w:spacing w:val="0"/>
          <w:w w:val="100"/>
          <w:position w:val="0"/>
        </w:rPr>
        <w:t xml:space="preserve">公司将加大知识产权的保护力度，对于可能出现的严重侵犯公司知识产权的情形，公司将通过法律手段保护自身合法权 </w:t>
      </w:r>
      <w:r>
        <w:rPr>
          <w:color w:val="000000"/>
          <w:spacing w:val="0"/>
          <w:w w:val="100"/>
          <w:position w:val="0"/>
          <w:u w:val="single"/>
        </w:rPr>
        <w:t>益</w:t>
      </w:r>
      <w:r>
        <w:rPr>
          <w:color w:val="000000"/>
          <w:spacing w:val="0"/>
          <w:w w:val="100"/>
          <w:position w:val="0"/>
        </w:rPr>
        <w:t>。</w:t>
      </w:r>
    </w:p>
    <w:p>
      <w:pPr>
        <w:pStyle w:val="Style34"/>
        <w:keepNext w:val="0"/>
        <w:keepLines w:val="0"/>
        <w:widowControl w:val="0"/>
        <w:shd w:val="clear" w:color="auto" w:fill="auto"/>
        <w:tabs>
          <w:tab w:pos="678" w:val="left"/>
        </w:tabs>
        <w:bidi w:val="0"/>
        <w:spacing w:before="0" w:after="0" w:line="360" w:lineRule="auto"/>
        <w:ind w:left="0" w:right="0"/>
        <w:jc w:val="both"/>
      </w:pPr>
      <w:bookmarkStart w:id="288" w:name="bookmark288"/>
      <w:r>
        <w:rPr>
          <w:rFonts w:ascii="Times New Roman" w:eastAsia="Times New Roman" w:hAnsi="Times New Roman" w:cs="Times New Roman"/>
          <w:b/>
          <w:bCs/>
          <w:color w:val="000000"/>
          <w:spacing w:val="0"/>
          <w:w w:val="100"/>
          <w:position w:val="0"/>
          <w:sz w:val="18"/>
          <w:szCs w:val="18"/>
        </w:rPr>
        <w:t>3</w:t>
      </w:r>
      <w:bookmarkEnd w:id="288"/>
      <w:r>
        <w:rPr>
          <w:b/>
          <w:bCs/>
          <w:color w:val="000000"/>
          <w:spacing w:val="0"/>
          <w:w w:val="100"/>
          <w:position w:val="0"/>
        </w:rPr>
        <w:t>、</w:t>
        <w:tab/>
        <w:t>报告期内对单一行业依赖的风险</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公司目前业务主要服务于高速公路智能交通系统行业，主要产品集中应用于高速公路不停车收费系统。目前国内大部分 智能交通系统项目需求方或投资方是各级交通、公安和市政等公共事业主管部门，其他企业和个人市场需求比例相对较小。 虽然各方面对智能交通行业给予厚望，但公共事业支出仍然受到财政预算、宏观政策的影响，特别是国家高速公路路网和城 市道路设施的建设投入规划与公司的业务机会存在紧密联系。公司当前及未来一段时期的经营业绩仍然与各地高速公路建设 进度密切相关。从智能交通产品品种来看，公司产品相对单一，对高速公路行业存在较大依赖，抵御市场风险的能力偏弱。 公司在多项新业务（智慧公路、车路协同、汽车电子标识、汽车电子行业）已有战略布局和技术储备，未来将加大市场开拓 力度，积极培育成为新的业绩增长点。</w:t>
      </w:r>
    </w:p>
    <w:p>
      <w:pPr>
        <w:pStyle w:val="Style34"/>
        <w:keepNext w:val="0"/>
        <w:keepLines w:val="0"/>
        <w:widowControl w:val="0"/>
        <w:shd w:val="clear" w:color="auto" w:fill="auto"/>
        <w:tabs>
          <w:tab w:pos="678" w:val="left"/>
        </w:tabs>
        <w:bidi w:val="0"/>
        <w:spacing w:before="0" w:after="0" w:line="360" w:lineRule="auto"/>
        <w:ind w:left="0" w:right="0"/>
        <w:jc w:val="both"/>
      </w:pPr>
      <w:bookmarkStart w:id="289" w:name="bookmark289"/>
      <w:r>
        <w:rPr>
          <w:rFonts w:ascii="Times New Roman" w:eastAsia="Times New Roman" w:hAnsi="Times New Roman" w:cs="Times New Roman"/>
          <w:b/>
          <w:bCs/>
          <w:color w:val="000000"/>
          <w:spacing w:val="0"/>
          <w:w w:val="100"/>
          <w:position w:val="0"/>
          <w:sz w:val="18"/>
          <w:szCs w:val="18"/>
        </w:rPr>
        <w:t>4</w:t>
      </w:r>
      <w:bookmarkEnd w:id="289"/>
      <w:r>
        <w:rPr>
          <w:b/>
          <w:bCs/>
          <w:color w:val="000000"/>
          <w:spacing w:val="0"/>
          <w:w w:val="100"/>
          <w:position w:val="0"/>
        </w:rPr>
        <w:t>、</w:t>
        <w:tab/>
        <w:t>行业政策对公司经营带来的风险</w:t>
      </w:r>
    </w:p>
    <w:p>
      <w:pPr>
        <w:pStyle w:val="Style34"/>
        <w:keepNext w:val="0"/>
        <w:keepLines w:val="0"/>
        <w:widowControl w:val="0"/>
        <w:shd w:val="clear" w:color="auto" w:fill="auto"/>
        <w:bidi w:val="0"/>
        <w:spacing w:before="0" w:after="140" w:line="313" w:lineRule="exact"/>
        <w:ind w:left="0" w:right="0"/>
        <w:jc w:val="both"/>
      </w:pPr>
      <w:r>
        <w:rPr>
          <w:color w:val="000000"/>
          <w:spacing w:val="0"/>
          <w:w w:val="100"/>
          <w:position w:val="0"/>
        </w:rPr>
        <w:t>公司业务属于智能交通领域，该领域的发展受到国家政策的影响显著，公司业绩也受政策刺激因素产生相应波动。</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月，国务院办公厅印发《深化收费公路制度改革取消高速公路省界收费站实施方案》（国办发〔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号），力争</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年底前基本取消全国高速公路省界收费站。同月，交通运输部办公厅印发《关于大力推动高速公路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发展应用工作的通知》， 提出到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年底，各省（区、市）汽车</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安装率达到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%以上，通行高速公路的车辆</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使用率达到</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%以上，高速公路 基本实现不停车快捷收费。国家密集出台政策大力推广</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color w:val="000000"/>
          <w:spacing w:val="0"/>
          <w:w w:val="100"/>
          <w:position w:val="0"/>
        </w:rPr>
        <w:t>对高速公路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发展具有较大的推动作用。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年上半年，政 策的延续性依然让公司盈利能力保持较好的水平，但是随着</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普及率的提高，政策刺激效应将逐渐减弱，如公司不能顺利 拓展业务领域和收入来源，公司业绩将可能出现不利影响。</w:t>
      </w:r>
    </w:p>
    <w:p>
      <w:pPr>
        <w:pStyle w:val="Style34"/>
        <w:keepNext w:val="0"/>
        <w:keepLines w:val="0"/>
        <w:widowControl w:val="0"/>
        <w:shd w:val="clear" w:color="auto" w:fill="auto"/>
        <w:tabs>
          <w:tab w:pos="674" w:val="left"/>
        </w:tabs>
        <w:bidi w:val="0"/>
        <w:spacing w:before="0" w:after="0" w:line="360" w:lineRule="auto"/>
        <w:ind w:left="0" w:right="0"/>
        <w:jc w:val="both"/>
      </w:pPr>
      <w:bookmarkStart w:id="290" w:name="bookmark290"/>
      <w:r>
        <w:rPr>
          <w:rFonts w:ascii="Times New Roman" w:eastAsia="Times New Roman" w:hAnsi="Times New Roman" w:cs="Times New Roman"/>
          <w:b/>
          <w:bCs/>
          <w:color w:val="000000"/>
          <w:spacing w:val="0"/>
          <w:w w:val="100"/>
          <w:position w:val="0"/>
          <w:sz w:val="18"/>
          <w:szCs w:val="18"/>
        </w:rPr>
        <w:t>5</w:t>
      </w:r>
      <w:bookmarkEnd w:id="290"/>
      <w:r>
        <w:rPr>
          <w:b/>
          <w:bCs/>
          <w:color w:val="000000"/>
          <w:spacing w:val="0"/>
          <w:w w:val="100"/>
          <w:position w:val="0"/>
        </w:rPr>
        <w:t>、</w:t>
        <w:tab/>
        <w:t>市场竞争风险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公司所处的行业产品毛利率较高，但需要较高的研发投入支撑行业技术不断进步。虽然公司目前具有较强的技术优势和 市场占有率的优势，但随着其他同行业厂商在市场拓展和技术研发的不断投入和积累，公司能否继续保持上述竞争优势存在 一定风险。随着市场竞争的程度增加，可能会影响公司的盈利能力。同时，市场上新进入者有可能会采用低价策略增加其市 场份额，从而可能造成市场的平均价格的下滑，相应影响公司的盈利能力。</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面对市场竞争风险，公司将持续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固老拓新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，通过有效的市场和产品策略、拓展新应用和推进前装业务，保持市场领先 地位。一方面会针对行业更激烈的竞争态势，在市场营销的网络、渠道、团队、策略等方面做好全面布局，及时变更市场策 略；同时，在</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普及的形势下，用户规模和使用范围进一步扩大，对产品的功能、性价比、可靠性、支持和服务等，将提 出更高的要求，公司将继续加大研发投入，持续改进产品和提升用户服务；另外，公司将根据行业最新发展态势，寻找新的 发展机会，大力开拓</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前装市场、城市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市场、并积极推进</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业务，积极参与国家智慧高速公路建设等项目，以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 头并进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的策略降低业务风险。</w:t>
      </w:r>
    </w:p>
    <w:p>
      <w:pPr>
        <w:pStyle w:val="Style34"/>
        <w:keepNext w:val="0"/>
        <w:keepLines w:val="0"/>
        <w:widowControl w:val="0"/>
        <w:shd w:val="clear" w:color="auto" w:fill="auto"/>
        <w:tabs>
          <w:tab w:pos="674" w:val="left"/>
        </w:tabs>
        <w:bidi w:val="0"/>
        <w:spacing w:before="0" w:after="0" w:line="360" w:lineRule="auto"/>
        <w:ind w:left="0" w:right="0"/>
        <w:jc w:val="both"/>
      </w:pPr>
      <w:bookmarkStart w:id="291" w:name="bookmark291"/>
      <w:r>
        <w:rPr>
          <w:rFonts w:ascii="Times New Roman" w:eastAsia="Times New Roman" w:hAnsi="Times New Roman" w:cs="Times New Roman"/>
          <w:b/>
          <w:bCs/>
          <w:color w:val="000000"/>
          <w:spacing w:val="0"/>
          <w:w w:val="100"/>
          <w:position w:val="0"/>
          <w:sz w:val="18"/>
          <w:szCs w:val="18"/>
        </w:rPr>
        <w:t>6</w:t>
      </w:r>
      <w:bookmarkEnd w:id="291"/>
      <w:r>
        <w:rPr>
          <w:b/>
          <w:bCs/>
          <w:color w:val="000000"/>
          <w:spacing w:val="0"/>
          <w:w w:val="100"/>
          <w:position w:val="0"/>
        </w:rPr>
        <w:t>、</w:t>
        <w:tab/>
        <w:t>新业务拓展及技术创新风险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公司近年来积极发展新业务，将公司的产品从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向智慧公路、</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w:t>
      </w:r>
      <w:r>
        <w:rPr>
          <w:color w:val="000000"/>
          <w:spacing w:val="0"/>
          <w:w w:val="100"/>
          <w:position w:val="0"/>
        </w:rPr>
        <w:t>城市智慧停车、城市交通管理等方向延伸，拓宽 城市交通、车联网的应用场景，但上述新业务领域尚缺乏典型成功案例，市场对新技术新产品的接受程度不高，商业模式尚 未成熟，关键应用场景有待挖掘，同时，有些新技术还需经过大规模验证才能最终推向市场，这些问题成为制约上述技术和 产品大规模推广应用的重要原因，公司为新的业务发展投入大量资本和人力，如新业务市场拓展进度不如预期或公司的技术 创新最终未能被市场采纳，新增的技术研发及业务发展投入将对公司业绩造成拖累，公司业绩将可能出现剧烈下滑的风险。</w:t>
      </w:r>
    </w:p>
    <w:p>
      <w:pPr>
        <w:pStyle w:val="Style34"/>
        <w:keepNext w:val="0"/>
        <w:keepLines w:val="0"/>
        <w:widowControl w:val="0"/>
        <w:shd w:val="clear" w:color="auto" w:fill="auto"/>
        <w:bidi w:val="0"/>
        <w:spacing w:before="0" w:after="140" w:line="314" w:lineRule="exact"/>
        <w:ind w:left="0" w:right="0"/>
        <w:jc w:val="both"/>
      </w:pPr>
      <w:r>
        <w:rPr>
          <w:color w:val="000000"/>
          <w:spacing w:val="0"/>
          <w:w w:val="100"/>
          <w:position w:val="0"/>
        </w:rPr>
        <w:t>上述风险是绝大多数新产品和新技术推广都必然面对的，针对上述风险，公司将在新业务拓展及新技术产品开发之前做 好市场调研，把握技术发展趋势和市场需求方向，制定精准的战略规划和市场策略，同时加强产学研用金合作及与行业上下 游伙伴的合作来分散风险。</w:t>
      </w:r>
    </w:p>
    <w:p>
      <w:pPr>
        <w:pStyle w:val="Style34"/>
        <w:keepNext w:val="0"/>
        <w:keepLines w:val="0"/>
        <w:widowControl w:val="0"/>
        <w:shd w:val="clear" w:color="auto" w:fill="auto"/>
        <w:tabs>
          <w:tab w:pos="678" w:val="left"/>
        </w:tabs>
        <w:bidi w:val="0"/>
        <w:spacing w:before="0" w:after="0" w:line="360" w:lineRule="auto"/>
        <w:ind w:left="0" w:right="0"/>
        <w:jc w:val="both"/>
      </w:pPr>
      <w:bookmarkStart w:id="292" w:name="bookmark292"/>
      <w:r>
        <w:rPr>
          <w:rFonts w:ascii="Times New Roman" w:eastAsia="Times New Roman" w:hAnsi="Times New Roman" w:cs="Times New Roman"/>
          <w:b/>
          <w:bCs/>
          <w:color w:val="000000"/>
          <w:spacing w:val="0"/>
          <w:w w:val="100"/>
          <w:position w:val="0"/>
          <w:sz w:val="18"/>
          <w:szCs w:val="18"/>
        </w:rPr>
        <w:t>7</w:t>
      </w:r>
      <w:bookmarkEnd w:id="292"/>
      <w:r>
        <w:rPr>
          <w:b/>
          <w:bCs/>
          <w:color w:val="000000"/>
          <w:spacing w:val="0"/>
          <w:w w:val="100"/>
          <w:position w:val="0"/>
        </w:rPr>
        <w:t>、</w:t>
        <w:tab/>
        <w:t>应收账款发生坏账的风险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随着公司业务规模的扩大，公司应收账款的余额相应增长，应收账款管理难度加大。虽然公司的客户主要为交通管理部 门、高速公路运营公司、系统集成商及银行，信誉良好，但业务合同的执行期及结算周期一般较长，应收账款仍存在回收周 </w:t>
      </w:r>
      <w:r>
        <w:rPr>
          <w:color w:val="000000"/>
          <w:spacing w:val="0"/>
          <w:w w:val="100"/>
          <w:position w:val="0"/>
        </w:rPr>
        <w:t>期过长，甚至逾期情况，以及存在不能按期收回、甚至发生坏账的风险；公司应收账款较大，将加剧公司运营资金压力，应 收账款发生损失将对公司的财务状况和经营成果产生不利影响。</w:t>
      </w:r>
    </w:p>
    <w:p>
      <w:pPr>
        <w:pStyle w:val="Style34"/>
        <w:keepNext w:val="0"/>
        <w:keepLines w:val="0"/>
        <w:widowControl w:val="0"/>
        <w:shd w:val="clear" w:color="auto" w:fill="auto"/>
        <w:bidi w:val="0"/>
        <w:spacing w:before="0" w:after="140" w:line="322" w:lineRule="exact"/>
        <w:ind w:left="0" w:right="0"/>
        <w:jc w:val="both"/>
      </w:pPr>
      <w:r>
        <w:rPr>
          <w:color w:val="000000"/>
          <w:spacing w:val="0"/>
          <w:w w:val="100"/>
          <w:position w:val="0"/>
        </w:rPr>
        <w:t>针对上述风险，公司将进一步完善风险控制和制定政策约束，对销售人员进一步强化应收账款的考核指标；专门成立应 收账款催收小组，加强对应收账款的跟踪、催收，降低公司应收账款总额和坏账风险。</w:t>
      </w:r>
    </w:p>
    <w:p>
      <w:pPr>
        <w:pStyle w:val="Style34"/>
        <w:keepNext w:val="0"/>
        <w:keepLines w:val="0"/>
        <w:widowControl w:val="0"/>
        <w:shd w:val="clear" w:color="auto" w:fill="auto"/>
        <w:tabs>
          <w:tab w:pos="681" w:val="left"/>
        </w:tabs>
        <w:bidi w:val="0"/>
        <w:spacing w:before="0" w:after="0" w:line="374" w:lineRule="auto"/>
        <w:ind w:left="0" w:right="0"/>
        <w:jc w:val="both"/>
      </w:pPr>
      <w:bookmarkStart w:id="293" w:name="bookmark293"/>
      <w:r>
        <w:rPr>
          <w:rFonts w:ascii="Times New Roman" w:eastAsia="Times New Roman" w:hAnsi="Times New Roman" w:cs="Times New Roman"/>
          <w:b/>
          <w:bCs/>
          <w:color w:val="000000"/>
          <w:spacing w:val="0"/>
          <w:w w:val="100"/>
          <w:position w:val="0"/>
          <w:sz w:val="18"/>
          <w:szCs w:val="18"/>
        </w:rPr>
        <w:t>8</w:t>
      </w:r>
      <w:bookmarkEnd w:id="293"/>
      <w:r>
        <w:rPr>
          <w:b/>
          <w:bCs/>
          <w:color w:val="000000"/>
          <w:spacing w:val="0"/>
          <w:w w:val="100"/>
          <w:position w:val="0"/>
        </w:rPr>
        <w:t>、</w:t>
        <w:tab/>
        <w:t>公司业绩可能出现超常规增长后阶段性回落的风险</w:t>
      </w:r>
    </w:p>
    <w:p>
      <w:pPr>
        <w:pStyle w:val="Style34"/>
        <w:keepNext w:val="0"/>
        <w:keepLines w:val="0"/>
        <w:widowControl w:val="0"/>
        <w:shd w:val="clear" w:color="auto" w:fill="auto"/>
        <w:bidi w:val="0"/>
        <w:spacing w:before="0" w:after="140" w:line="314" w:lineRule="exact"/>
        <w:ind w:left="0" w:right="0"/>
        <w:jc w:val="both"/>
      </w:pPr>
      <w:r>
        <w:rPr>
          <w:color w:val="000000"/>
          <w:spacing w:val="0"/>
          <w:w w:val="100"/>
          <w:position w:val="0"/>
        </w:rPr>
        <w:t>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年国家取消高速公路省界收费站的政策刺激，公司产品销售呈现爆发性、超常规增长，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年度公司实现归属于 母公司所有者的净利润为</w:t>
      </w:r>
      <w:r>
        <w:rPr>
          <w:rFonts w:ascii="Times New Roman" w:eastAsia="Times New Roman" w:hAnsi="Times New Roman" w:cs="Times New Roman"/>
          <w:color w:val="000000"/>
          <w:spacing w:val="0"/>
          <w:w w:val="100"/>
          <w:position w:val="0"/>
          <w:sz w:val="18"/>
          <w:szCs w:val="18"/>
        </w:rPr>
        <w:t>87,526.49</w:t>
      </w:r>
      <w:r>
        <w:rPr>
          <w:color w:val="000000"/>
          <w:spacing w:val="0"/>
          <w:w w:val="100"/>
          <w:position w:val="0"/>
        </w:rPr>
        <w:t>万元。受国家高速公路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行业政策刺激的持续影响，公司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年路侧天线</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设备营业 收入同比增加，总体毛利率上升，公司最终实现归属于母公司所有者的净利润为</w:t>
      </w:r>
      <w:r>
        <w:rPr>
          <w:color w:val="000000"/>
          <w:spacing w:val="0"/>
          <w:w w:val="100"/>
          <w:position w:val="0"/>
          <w:sz w:val="17"/>
          <w:szCs w:val="17"/>
        </w:rPr>
        <w:t>63,063.10</w:t>
      </w:r>
      <w:r>
        <w:rPr>
          <w:color w:val="000000"/>
          <w:spacing w:val="0"/>
          <w:w w:val="100"/>
          <w:position w:val="0"/>
        </w:rPr>
        <w:t>万元，尽管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年第四季度出现 阶段性回落，但全年净利润依然维持较大规模。随着高速公路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行业逐渐回归常态，公司</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城市业务、汽车 电子标识等其他新业务仍需持续投入，公司未来年度可能出现业绩不利变化的风险。</w:t>
      </w:r>
    </w:p>
    <w:p>
      <w:pPr>
        <w:pStyle w:val="Style34"/>
        <w:keepNext w:val="0"/>
        <w:keepLines w:val="0"/>
        <w:widowControl w:val="0"/>
        <w:shd w:val="clear" w:color="auto" w:fill="auto"/>
        <w:tabs>
          <w:tab w:pos="681" w:val="left"/>
        </w:tabs>
        <w:bidi w:val="0"/>
        <w:spacing w:before="0" w:after="0" w:line="360" w:lineRule="auto"/>
        <w:ind w:left="0" w:right="0"/>
        <w:jc w:val="both"/>
      </w:pPr>
      <w:bookmarkStart w:id="294" w:name="bookmark294"/>
      <w:r>
        <w:rPr>
          <w:rFonts w:ascii="Times New Roman" w:eastAsia="Times New Roman" w:hAnsi="Times New Roman" w:cs="Times New Roman"/>
          <w:b/>
          <w:bCs/>
          <w:color w:val="000000"/>
          <w:spacing w:val="0"/>
          <w:w w:val="100"/>
          <w:position w:val="0"/>
          <w:sz w:val="18"/>
          <w:szCs w:val="18"/>
        </w:rPr>
        <w:t>9</w:t>
      </w:r>
      <w:bookmarkEnd w:id="294"/>
      <w:r>
        <w:rPr>
          <w:b/>
          <w:bCs/>
          <w:color w:val="000000"/>
          <w:spacing w:val="0"/>
          <w:w w:val="100"/>
          <w:position w:val="0"/>
        </w:rPr>
        <w:t>、</w:t>
        <w:tab/>
        <w:t>存货规模偏大的风险</w:t>
      </w:r>
    </w:p>
    <w:p>
      <w:pPr>
        <w:pStyle w:val="Style34"/>
        <w:keepNext w:val="0"/>
        <w:keepLines w:val="0"/>
        <w:widowControl w:val="0"/>
        <w:shd w:val="clear" w:color="auto" w:fill="auto"/>
        <w:bidi w:val="0"/>
        <w:spacing w:before="0" w:after="14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年，公司产销规模超常规增长，为保证给客户的供货及时，公司在存货方面投入较大，导致存货占资产总额的比重 高。公司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年存货仍有较大规模，截止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日，公司存货净额规模为</w:t>
      </w:r>
      <w:r>
        <w:rPr>
          <w:color w:val="000000"/>
          <w:spacing w:val="0"/>
          <w:w w:val="100"/>
          <w:position w:val="0"/>
          <w:sz w:val="17"/>
          <w:szCs w:val="17"/>
        </w:rPr>
        <w:t xml:space="preserve">25, </w:t>
      </w:r>
      <w:r>
        <w:rPr>
          <w:color w:val="000000"/>
          <w:spacing w:val="0"/>
          <w:w w:val="100"/>
          <w:position w:val="0"/>
          <w:sz w:val="17"/>
          <w:szCs w:val="17"/>
        </w:rPr>
        <w:t xml:space="preserve">805. </w:t>
      </w:r>
      <w:r>
        <w:rPr>
          <w:color w:val="000000"/>
          <w:spacing w:val="0"/>
          <w:w w:val="100"/>
          <w:position w:val="0"/>
          <w:sz w:val="17"/>
          <w:szCs w:val="17"/>
        </w:rPr>
        <w:t>06</w:t>
      </w:r>
      <w:r>
        <w:rPr>
          <w:color w:val="000000"/>
          <w:spacing w:val="0"/>
          <w:w w:val="100"/>
          <w:position w:val="0"/>
        </w:rPr>
        <w:t>万元，占当期期末资产总额比重为</w:t>
      </w:r>
      <w:r>
        <w:rPr>
          <w:color w:val="000000"/>
          <w:spacing w:val="0"/>
          <w:w w:val="100"/>
          <w:position w:val="0"/>
          <w:sz w:val="17"/>
          <w:szCs w:val="17"/>
        </w:rPr>
        <w:t xml:space="preserve">8. </w:t>
      </w:r>
      <w:r>
        <w:rPr>
          <w:color w:val="000000"/>
          <w:spacing w:val="0"/>
          <w:w w:val="100"/>
          <w:position w:val="0"/>
          <w:sz w:val="17"/>
          <w:szCs w:val="17"/>
        </w:rPr>
        <w:t>91</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rPr>
        <w:t>存货占资产总额的比重处于较高水平，总体绝对规模较大，如果客户需求发生变化、国家标准出现较大修改或出现其他不利 因素，导致某些产品滞销，引起存货跌价，可能给公司带来重大不利风险。</w:t>
      </w:r>
    </w:p>
    <w:p>
      <w:pPr>
        <w:pStyle w:val="Style34"/>
        <w:keepNext w:val="0"/>
        <w:keepLines w:val="0"/>
        <w:widowControl w:val="0"/>
        <w:shd w:val="clear" w:color="auto" w:fill="auto"/>
        <w:tabs>
          <w:tab w:pos="755" w:val="left"/>
        </w:tabs>
        <w:bidi w:val="0"/>
        <w:spacing w:before="0" w:after="0" w:line="360" w:lineRule="auto"/>
        <w:ind w:left="0" w:right="0"/>
        <w:jc w:val="both"/>
      </w:pPr>
      <w:bookmarkStart w:id="295" w:name="bookmark295"/>
      <w:r>
        <w:rPr>
          <w:rFonts w:ascii="Times New Roman" w:eastAsia="Times New Roman" w:hAnsi="Times New Roman" w:cs="Times New Roman"/>
          <w:b/>
          <w:bCs/>
          <w:color w:val="000000"/>
          <w:spacing w:val="0"/>
          <w:w w:val="100"/>
          <w:position w:val="0"/>
          <w:sz w:val="18"/>
          <w:szCs w:val="18"/>
        </w:rPr>
        <w:t>1</w:t>
      </w:r>
      <w:bookmarkEnd w:id="295"/>
      <w:r>
        <w:rPr>
          <w:rFonts w:ascii="Times New Roman" w:eastAsia="Times New Roman" w:hAnsi="Times New Roman" w:cs="Times New Roman"/>
          <w:b/>
          <w:bCs/>
          <w:color w:val="000000"/>
          <w:spacing w:val="0"/>
          <w:w w:val="100"/>
          <w:position w:val="0"/>
          <w:sz w:val="18"/>
          <w:szCs w:val="18"/>
        </w:rPr>
        <w:t>0</w:t>
      </w:r>
      <w:r>
        <w:rPr>
          <w:b/>
          <w:bCs/>
          <w:color w:val="000000"/>
          <w:spacing w:val="0"/>
          <w:w w:val="100"/>
          <w:position w:val="0"/>
        </w:rPr>
        <w:t>、</w:t>
        <w:tab/>
        <w:t>疫情影响的风险</w:t>
      </w:r>
    </w:p>
    <w:p>
      <w:pPr>
        <w:pStyle w:val="Style34"/>
        <w:keepNext w:val="0"/>
        <w:keepLines w:val="0"/>
        <w:widowControl w:val="0"/>
        <w:shd w:val="clear" w:color="auto" w:fill="auto"/>
        <w:bidi w:val="0"/>
        <w:spacing w:before="0" w:after="360" w:line="309" w:lineRule="exact"/>
        <w:ind w:left="0" w:right="0" w:firstLine="300"/>
        <w:jc w:val="both"/>
      </w:pPr>
      <w:r>
        <w:rPr>
          <w:color w:val="000000"/>
          <w:spacing w:val="0"/>
          <w:w w:val="100"/>
          <w:position w:val="0"/>
        </w:rPr>
        <w:t>目前疫情在局部地区仍存在反复，尚未完全结束，如果疫情大面积反弹，不排除严格限制社交接触的措施重新出台，将 可能导致交通领域的工程建设、业务开展、商务活动的难度加大，降低经济复苏力度、汽车销售量和交通出行需求，车主安 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的需求也会减弱。</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后装标签的发行主要依赖线下推广，城市</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业务包括停车场、加油站升级</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等需要现场实 施，限制社交接触的措施会对上述业务产生较大影响，如果疫情大面积反弹，市场需求虽然不会消失，但释放的进度会延后， 对公司的业绩造成较大影响。公司会加强疫情关注和防控，努力保护员工健康，灵活调整业务策略，减轻疫情对生产经营的 影响。同时，依托</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技术非接触式，可以实现无人值守，大幅减少人工干预的技术优势，助力疫情防控。</w:t>
      </w:r>
    </w:p>
    <w:p>
      <w:pPr>
        <w:pStyle w:val="Style30"/>
        <w:keepNext/>
        <w:keepLines/>
        <w:widowControl w:val="0"/>
        <w:shd w:val="clear" w:color="auto" w:fill="auto"/>
        <w:bidi w:val="0"/>
        <w:spacing w:before="0" w:after="360" w:line="240" w:lineRule="auto"/>
        <w:ind w:left="0" w:right="0" w:firstLine="0"/>
        <w:jc w:val="left"/>
      </w:pPr>
      <w:bookmarkStart w:id="296" w:name="bookmark296"/>
      <w:bookmarkStart w:id="297" w:name="bookmark297"/>
      <w:bookmarkStart w:id="298" w:name="bookmark298"/>
      <w:r>
        <w:rPr>
          <w:color w:val="000000"/>
          <w:spacing w:val="0"/>
          <w:w w:val="100"/>
          <w:position w:val="0"/>
          <w:sz w:val="24"/>
          <w:szCs w:val="24"/>
        </w:rPr>
        <w:t>十、接待调研、沟通、采访等活动</w:t>
      </w:r>
      <w:bookmarkEnd w:id="296"/>
      <w:bookmarkEnd w:id="297"/>
      <w:bookmarkEnd w:id="298"/>
    </w:p>
    <w:p>
      <w:pPr>
        <w:pStyle w:val="Style37"/>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、报告期内接待调研、沟通、采访等活动登记表</w:t>
      </w:r>
      <w:bookmarkEnd w:id="299"/>
      <w:bookmarkEnd w:id="300"/>
      <w:bookmarkEnd w:id="302"/>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年情况基 本总结及未来 规划介绍，未提 供资料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日投资者关系活动记 录表》</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网络交流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业绩说明会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机构、个人、其 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年业绩说 明会，未提供资 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详见巨潮资讯网，《金 溢科技业绩说明会、路 演活动信息》</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27/28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实地调研和电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话沟通相结合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年及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年一季度情况 基本总结及未 来规划介绍，未</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日投资者关系活动记 录表》</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提供资料</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02/03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实地调研和电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话沟通相结合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公司基本情况 介绍及投资者 关注问题回复， 未提供资料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日投资者关系活动记 录表》</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公司基本情况 介绍及市场关 注问题回复，未 提供资料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日投资者关系活动记 录表》</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14/15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实地调研和电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话沟通相结合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 情况总结及未 来规划，未提供 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日投资者关系活动记 录表》</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实地调研和电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话沟通相结合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公司基本情况 介绍及投资者 关注问题回复， 未提供资料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日投资者关系活动记 录表》</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实地调研和电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话沟通相结合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公司基本情况 介绍及投资者 关注问题回复， 未提供资料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日投资者关系活动记 录表》</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10/11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实地调研和电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话沟通相结合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年路演，未 提供资料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日投资者关系活动记 录表》</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年路演，未 提供资料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日投资者关系活动记 录表》</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23/24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公司基本情况 介绍及投资者 关注问题回复， 未提供资料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日投资者关系活动记 录表》</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05/06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实地调研和电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话沟通相结合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公司基本情况 介绍及投资者 关注问题回复， 未提供资料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日投资者关系活动 记录表》</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实地调研和电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话沟通相结合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各类投资者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公司基本情况 介绍及投资者 关注问题回复， 未提供资料</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详见巨潮资讯网，《金 溢科技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日投资者关系活动 记录表》</w:t>
            </w:r>
          </w:p>
        </w:tc>
      </w:tr>
    </w:tbl>
    <w:p>
      <w:pPr>
        <w:pStyle w:val="Style17"/>
        <w:keepNext/>
        <w:keepLines/>
        <w:widowControl w:val="0"/>
        <w:shd w:val="clear" w:color="auto" w:fill="auto"/>
        <w:bidi w:val="0"/>
        <w:spacing w:before="0" w:line="240" w:lineRule="auto"/>
        <w:ind w:left="0" w:right="0" w:firstLine="0"/>
        <w:jc w:val="center"/>
      </w:pPr>
      <w:bookmarkStart w:id="303" w:name="bookmark303"/>
      <w:bookmarkStart w:id="304" w:name="bookmark304"/>
      <w:bookmarkStart w:id="305" w:name="bookmark305"/>
      <w:r>
        <w:rPr>
          <w:color w:val="000000"/>
          <w:spacing w:val="0"/>
          <w:w w:val="100"/>
          <w:position w:val="0"/>
        </w:rPr>
        <w:t>第五节重要事项</w:t>
      </w:r>
      <w:bookmarkEnd w:id="303"/>
      <w:bookmarkEnd w:id="304"/>
      <w:bookmarkEnd w:id="305"/>
    </w:p>
    <w:p>
      <w:pPr>
        <w:pStyle w:val="Style30"/>
        <w:keepNext/>
        <w:keepLines/>
        <w:widowControl w:val="0"/>
        <w:shd w:val="clear" w:color="auto" w:fill="auto"/>
        <w:bidi w:val="0"/>
        <w:spacing w:before="0" w:after="260" w:line="240" w:lineRule="auto"/>
        <w:ind w:left="0" w:right="0" w:firstLine="0"/>
        <w:jc w:val="left"/>
      </w:pPr>
      <w:bookmarkStart w:id="306" w:name="bookmark306"/>
      <w:bookmarkStart w:id="307" w:name="bookmark307"/>
      <w:bookmarkStart w:id="308" w:name="bookmark308"/>
      <w:bookmarkStart w:id="309" w:name="bookmark309"/>
      <w:bookmarkStart w:id="310" w:name="bookmark310"/>
      <w:r>
        <w:rPr>
          <w:color w:val="000000"/>
          <w:spacing w:val="0"/>
          <w:w w:val="100"/>
          <w:position w:val="0"/>
          <w:sz w:val="24"/>
          <w:szCs w:val="24"/>
        </w:rPr>
        <w:t>一</w:t>
      </w:r>
      <w:bookmarkEnd w:id="309"/>
      <w:r>
        <w:rPr>
          <w:color w:val="000000"/>
          <w:spacing w:val="0"/>
          <w:w w:val="100"/>
          <w:position w:val="0"/>
          <w:sz w:val="24"/>
          <w:szCs w:val="24"/>
        </w:rPr>
        <w:t>、公司普通股利润分配及资本公积金转增股本情况</w:t>
      </w:r>
      <w:bookmarkEnd w:id="307"/>
      <w:bookmarkEnd w:id="308"/>
      <w:bookmarkEnd w:id="310"/>
      <w:bookmarkEnd w:id="306"/>
    </w:p>
    <w:p>
      <w:pPr>
        <w:pStyle w:val="Style34"/>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报告期内普通股利润分配政策，特别是现金分红政策的制定、执行或调整情况</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 xml:space="preserve">为完善和健全公司利润分配决策和监督机制，增加利润分配决策透明度和可操作性，积极回报投资者，引导投资者树立 长期投资和理性投资理念，根据中国证监会《关于进一步落实上市公司现金分红有关事项的通知》、《上市公司监管指引第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上市公司现金分红》等文件精神和《公司章程》等相关规定，并综合考虑公司盈利能力、经营发展规划、股东回报、 社会资金成本以及外部融资环境等因素，公司特制定了《深圳市金溢科技股份有限公司首次公开发行人民币普通股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 上市后三年股东分红回报规划》和《深圳市金溢科技股份有限公司未来三年（</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年）股东分红回报规划》，对</w:t>
      </w:r>
      <w:r>
        <w:rPr>
          <w:rFonts w:ascii="Times New Roman" w:eastAsia="Times New Roman" w:hAnsi="Times New Roman" w:cs="Times New Roman"/>
          <w:color w:val="000000"/>
          <w:spacing w:val="0"/>
          <w:w w:val="100"/>
          <w:position w:val="0"/>
          <w:sz w:val="18"/>
          <w:szCs w:val="18"/>
        </w:rPr>
        <w:t xml:space="preserve">2 017 </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年期间公司的利润分配形式、利润分配周期、利润分配比例和利润分配方案提出了明确的要 求。《深圳市金溢科技股份有限公司未来三年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年）股东分红回报规划》已经公司第三届董事会第二次会议和</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年度股东大会审议通过。详情请见公司分别于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上披</w:t>
      </w:r>
      <w:r>
        <w:rPr>
          <w:color w:val="000000"/>
          <w:spacing w:val="0"/>
          <w:w w:val="100"/>
          <w:position w:val="0"/>
        </w:rPr>
        <w:t xml:space="preserve"> 露的《第三届董事会第二次会议决议公告》（公告编号：</w:t>
      </w:r>
      <w:r>
        <w:rPr>
          <w:rFonts w:ascii="Times New Roman" w:eastAsia="Times New Roman" w:hAnsi="Times New Roman" w:cs="Times New Roman"/>
          <w:color w:val="000000"/>
          <w:spacing w:val="0"/>
          <w:w w:val="100"/>
          <w:position w:val="0"/>
          <w:sz w:val="18"/>
          <w:szCs w:val="18"/>
        </w:rPr>
        <w:t>2020-028</w:t>
      </w:r>
      <w:r>
        <w:rPr>
          <w:color w:val="000000"/>
          <w:spacing w:val="0"/>
          <w:w w:val="100"/>
          <w:position w:val="0"/>
        </w:rPr>
        <w:t>）、《未来三年（</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年）股东分红回报规划》和</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年度股东大会决议公告》（公告编号：</w:t>
      </w:r>
      <w:r>
        <w:rPr>
          <w:rFonts w:ascii="Times New Roman" w:eastAsia="Times New Roman" w:hAnsi="Times New Roman" w:cs="Times New Roman"/>
          <w:color w:val="000000"/>
          <w:spacing w:val="0"/>
          <w:w w:val="100"/>
          <w:position w:val="0"/>
          <w:sz w:val="18"/>
          <w:szCs w:val="18"/>
        </w:rPr>
        <w:t xml:space="preserve">2020-043 </w:t>
      </w:r>
      <w:r>
        <w:rPr>
          <w:color w:val="000000"/>
          <w:spacing w:val="0"/>
          <w:w w:val="100"/>
          <w:position w:val="0"/>
        </w:rPr>
        <w:t>）。</w:t>
      </w:r>
    </w:p>
    <w:p>
      <w:pPr>
        <w:pStyle w:val="Style34"/>
        <w:keepNext w:val="0"/>
        <w:keepLines w:val="0"/>
        <w:widowControl w:val="0"/>
        <w:shd w:val="clear" w:color="auto" w:fill="auto"/>
        <w:bidi w:val="0"/>
        <w:spacing w:before="0" w:after="0" w:line="311"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日，公司召开第三届董事会第二次会议暨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年度会议，审议通过了《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年度利润分配预案》，以公司 现有总股本</w:t>
      </w:r>
      <w:r>
        <w:rPr>
          <w:rFonts w:ascii="Times New Roman" w:eastAsia="Times New Roman" w:hAnsi="Times New Roman" w:cs="Times New Roman"/>
          <w:color w:val="000000"/>
          <w:spacing w:val="0"/>
          <w:w w:val="100"/>
          <w:position w:val="0"/>
          <w:sz w:val="18"/>
          <w:szCs w:val="18"/>
        </w:rPr>
        <w:t>120,518,161</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 xml:space="preserve">21.8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元（含税）的现金红利，合计派发现金红利 </w:t>
      </w:r>
      <w:r>
        <w:rPr>
          <w:rFonts w:ascii="Times New Roman" w:eastAsia="Times New Roman" w:hAnsi="Times New Roman" w:cs="Times New Roman"/>
          <w:color w:val="000000"/>
          <w:spacing w:val="0"/>
          <w:w w:val="100"/>
          <w:position w:val="0"/>
          <w:sz w:val="18"/>
          <w:szCs w:val="18"/>
        </w:rPr>
        <w:t>262,729,590.98</w:t>
      </w:r>
      <w:r>
        <w:rPr>
          <w:color w:val="000000"/>
          <w:spacing w:val="0"/>
          <w:w w:val="100"/>
          <w:position w:val="0"/>
        </w:rPr>
        <w:t>元，并以资本公积金向全体股东每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股。剩余未分配利润</w:t>
      </w:r>
      <w:r>
        <w:rPr>
          <w:rFonts w:ascii="Times New Roman" w:eastAsia="Times New Roman" w:hAnsi="Times New Roman" w:cs="Times New Roman"/>
          <w:color w:val="000000"/>
          <w:spacing w:val="0"/>
          <w:w w:val="100"/>
          <w:position w:val="0"/>
          <w:sz w:val="18"/>
          <w:szCs w:val="18"/>
        </w:rPr>
        <w:t>842,051,665.89</w:t>
      </w:r>
      <w:r>
        <w:rPr>
          <w:color w:val="000000"/>
          <w:spacing w:val="0"/>
          <w:w w:val="100"/>
          <w:position w:val="0"/>
        </w:rPr>
        <w:t>元结转下一年度。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年度股东大会批准了上述利润分配预案。上述利润分配已于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日实施完毕，详情请见公司于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日发布的《关于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年年度权益分派实施的公告》（公告编号：</w:t>
      </w:r>
      <w:r>
        <w:rPr>
          <w:rFonts w:ascii="Times New Roman" w:eastAsia="Times New Roman" w:hAnsi="Times New Roman" w:cs="Times New Roman"/>
          <w:color w:val="000000"/>
          <w:spacing w:val="0"/>
          <w:w w:val="100"/>
          <w:position w:val="0"/>
          <w:sz w:val="18"/>
          <w:szCs w:val="18"/>
        </w:rPr>
        <w:t>2020-050</w:t>
      </w:r>
      <w:r>
        <w:rPr>
          <w:color w:val="000000"/>
          <w:spacing w:val="0"/>
          <w:w w:val="100"/>
          <w:position w:val="0"/>
        </w:rPr>
        <w:t>）。</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报告期内，公司利润分配政策的制定及执行情况，符合中国证监会《关于进一步落实上市公司现金分红有关事项的通知》、 《上市公司监管指引第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上市公司现金分红》和《公司章程》等相关规定，分红标准和比例明确清晰，相关决策程序和 机制完备，独立董事尽职履责，充分维护了中小股东的合法权益。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以公司现有总股本</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10.60</w:t>
      </w:r>
      <w:r>
        <w:rPr>
          <w:color w:val="000000"/>
          <w:spacing w:val="0"/>
          <w:w w:val="100"/>
          <w:position w:val="0"/>
        </w:rPr>
        <w:t xml:space="preserve">元（含税）的现金红利，合计派发现金红利 </w:t>
      </w:r>
      <w:r>
        <w:rPr>
          <w:rFonts w:ascii="Times New Roman" w:eastAsia="Times New Roman" w:hAnsi="Times New Roman" w:cs="Times New Roman"/>
          <w:color w:val="000000"/>
          <w:spacing w:val="0"/>
          <w:w w:val="100"/>
          <w:position w:val="0"/>
          <w:sz w:val="18"/>
          <w:szCs w:val="18"/>
        </w:rPr>
        <w:t>191,474,262.82</w:t>
      </w:r>
      <w:r>
        <w:rPr>
          <w:color w:val="000000"/>
          <w:spacing w:val="0"/>
          <w:w w:val="100"/>
          <w:position w:val="0"/>
        </w:rPr>
        <w:t>元，不送红股，不进行资本公积转增股本。剩余未分配利润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239,467,568.93</w:t>
      </w:r>
      <w:r>
        <w:rPr>
          <w:color w:val="000000"/>
          <w:spacing w:val="0"/>
          <w:w w:val="100"/>
          <w:position w:val="0"/>
        </w:rPr>
        <w:t>元结转下一年度。</w:t>
      </w:r>
    </w:p>
    <w:p>
      <w:pPr>
        <w:pStyle w:val="Style34"/>
        <w:keepNext w:val="0"/>
        <w:keepLines w:val="0"/>
        <w:widowControl w:val="0"/>
        <w:shd w:val="clear" w:color="auto" w:fill="auto"/>
        <w:bidi w:val="0"/>
        <w:spacing w:before="0" w:after="80" w:line="314" w:lineRule="exact"/>
        <w:ind w:left="0" w:right="0" w:firstLine="0"/>
        <w:jc w:val="left"/>
      </w:pPr>
      <w:r>
        <w:rPr>
          <w:color w:val="000000"/>
          <w:spacing w:val="0"/>
          <w:w w:val="100"/>
          <w:position w:val="0"/>
        </w:rPr>
        <w:t>若在分配方案实施前公司总股本由于可转债转股、股份回购、股权激励行权、再融资新增股份上市等原因而发生变化的，分 配比例将按分派总额不变的原则相应调整。</w:t>
      </w:r>
    </w:p>
    <w:p>
      <w:pPr>
        <w:pStyle w:val="Style34"/>
        <w:keepNext w:val="0"/>
        <w:keepLines w:val="0"/>
        <w:widowControl w:val="0"/>
        <w:shd w:val="clear" w:color="auto" w:fill="auto"/>
        <w:tabs>
          <w:tab w:pos="428" w:val="left"/>
        </w:tabs>
        <w:bidi w:val="0"/>
        <w:spacing w:before="0" w:after="0" w:line="317" w:lineRule="exact"/>
        <w:ind w:left="0" w:right="0" w:firstLine="0"/>
        <w:jc w:val="left"/>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以公司现有总股本</w:t>
      </w:r>
      <w:r>
        <w:rPr>
          <w:rFonts w:ascii="Times New Roman" w:eastAsia="Times New Roman" w:hAnsi="Times New Roman" w:cs="Times New Roman"/>
          <w:color w:val="000000"/>
          <w:spacing w:val="0"/>
          <w:w w:val="100"/>
          <w:position w:val="0"/>
          <w:sz w:val="18"/>
          <w:szCs w:val="18"/>
        </w:rPr>
        <w:t>120,518,161</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21.80</w:t>
      </w:r>
      <w:r>
        <w:rPr>
          <w:color w:val="000000"/>
          <w:spacing w:val="0"/>
          <w:w w:val="100"/>
          <w:position w:val="0"/>
        </w:rPr>
        <w:t xml:space="preserve">元（含税）的现金红利，合计派发现金红利 </w:t>
      </w:r>
      <w:r>
        <w:rPr>
          <w:rFonts w:ascii="Times New Roman" w:eastAsia="Times New Roman" w:hAnsi="Times New Roman" w:cs="Times New Roman"/>
          <w:color w:val="000000"/>
          <w:spacing w:val="0"/>
          <w:w w:val="100"/>
          <w:position w:val="0"/>
          <w:sz w:val="18"/>
          <w:szCs w:val="18"/>
        </w:rPr>
        <w:t>262,729,590.98</w:t>
      </w:r>
      <w:r>
        <w:rPr>
          <w:color w:val="000000"/>
          <w:spacing w:val="0"/>
          <w:w w:val="100"/>
          <w:position w:val="0"/>
        </w:rPr>
        <w:t>元，不送红股，以资本公积金向全体股东每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股。剩余未分配利润</w:t>
      </w:r>
      <w:r>
        <w:rPr>
          <w:rFonts w:ascii="Times New Roman" w:eastAsia="Times New Roman" w:hAnsi="Times New Roman" w:cs="Times New Roman"/>
          <w:color w:val="000000"/>
          <w:spacing w:val="0"/>
          <w:w w:val="100"/>
          <w:position w:val="0"/>
          <w:sz w:val="18"/>
          <w:szCs w:val="18"/>
        </w:rPr>
        <w:t>842,051,665.89</w:t>
      </w:r>
      <w:r>
        <w:rPr>
          <w:color w:val="000000"/>
          <w:spacing w:val="0"/>
          <w:w w:val="100"/>
          <w:position w:val="0"/>
        </w:rPr>
        <w:t>元结转下一年度。 若在分配方案实施前公司总股本由于可转债转股、股份回购、股权激励行权、再融资新增股份上市等原因而发生变化的，分 配比例将按分派总额不变的原则相应调整。</w:t>
      </w:r>
    </w:p>
    <w:p>
      <w:pPr>
        <w:pStyle w:val="Style34"/>
        <w:keepNext w:val="0"/>
        <w:keepLines w:val="0"/>
        <w:widowControl w:val="0"/>
        <w:shd w:val="clear" w:color="auto" w:fill="auto"/>
        <w:tabs>
          <w:tab w:pos="428" w:val="left"/>
        </w:tabs>
        <w:bidi w:val="0"/>
        <w:spacing w:before="0" w:after="0" w:line="317" w:lineRule="exact"/>
        <w:ind w:left="0" w:right="0" w:firstLine="0"/>
        <w:jc w:val="left"/>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w:t>
      </w:r>
    </w:p>
    <w:p>
      <w:pPr>
        <w:pStyle w:val="Style3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以公司现有总股本</w:t>
      </w:r>
      <w:r>
        <w:rPr>
          <w:rFonts w:ascii="Times New Roman" w:eastAsia="Times New Roman" w:hAnsi="Times New Roman" w:cs="Times New Roman"/>
          <w:color w:val="000000"/>
          <w:spacing w:val="0"/>
          <w:w w:val="100"/>
          <w:position w:val="0"/>
          <w:sz w:val="18"/>
          <w:szCs w:val="18"/>
        </w:rPr>
        <w:t>117,800,000</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 xml:space="preserve">元（含税）的现金红利，合计派发现金红利 </w:t>
      </w:r>
      <w:r>
        <w:rPr>
          <w:rFonts w:ascii="Times New Roman" w:eastAsia="Times New Roman" w:hAnsi="Times New Roman" w:cs="Times New Roman"/>
          <w:color w:val="000000"/>
          <w:spacing w:val="0"/>
          <w:w w:val="100"/>
          <w:position w:val="0"/>
          <w:sz w:val="18"/>
          <w:szCs w:val="18"/>
        </w:rPr>
        <w:t>7,068,000</w:t>
      </w:r>
      <w:r>
        <w:rPr>
          <w:color w:val="000000"/>
          <w:spacing w:val="0"/>
          <w:w w:val="100"/>
          <w:position w:val="0"/>
        </w:rPr>
        <w:t>元，不送红股，不进行资本公积金转增股本。剩余未分配利润</w:t>
      </w:r>
      <w:r>
        <w:rPr>
          <w:rFonts w:ascii="Times New Roman" w:eastAsia="Times New Roman" w:hAnsi="Times New Roman" w:cs="Times New Roman"/>
          <w:color w:val="000000"/>
          <w:spacing w:val="0"/>
          <w:w w:val="100"/>
          <w:position w:val="0"/>
          <w:sz w:val="18"/>
          <w:szCs w:val="18"/>
        </w:rPr>
        <w:t>239,577,159.19</w:t>
      </w:r>
      <w:r>
        <w:rPr>
          <w:color w:val="000000"/>
          <w:spacing w:val="0"/>
          <w:w w:val="100"/>
          <w:position w:val="0"/>
        </w:rPr>
        <w:t>元结转下一年度。 若在分配方案实施前公司总股本由于可转债转股、股份回购、股权激励行权、再融资新增股份上市等原因而发生变化的，分 配比例将按分派总额不变的原则相应调整。</w:t>
      </w:r>
    </w:p>
    <w:p>
      <w:pPr>
        <w:pStyle w:val="Style34"/>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191,474,262.82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630,630,950.34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191,474,262.82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262,729,590.98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875,264,934.64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262,729,590.98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7,068,000.00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21,649,120.59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w:t>
            </w:r>
          </w:p>
        </w:tc>
      </w:tr>
    </w:tbl>
    <w:p>
      <w:pPr>
        <w:pStyle w:val="Style34"/>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二</w:t>
      </w:r>
      <w:bookmarkEnd w:id="315"/>
      <w:r>
        <w:rPr>
          <w:color w:val="000000"/>
          <w:spacing w:val="0"/>
          <w:w w:val="100"/>
          <w:position w:val="0"/>
          <w:sz w:val="24"/>
          <w:szCs w:val="24"/>
        </w:rPr>
        <w:t>、本报告期利润分配及资本公积金转增股本情况</w:t>
      </w:r>
      <w:bookmarkEnd w:id="313"/>
      <w:bookmarkEnd w:id="314"/>
      <w:bookmarkEnd w:id="316"/>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180,636,097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191,474,262.82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191,474,262.82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1,430,941,831.75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left"/>
      </w:pPr>
      <w:r>
        <w:rPr>
          <w:color w:val="000000"/>
          <w:spacing w:val="0"/>
          <w:w w:val="100"/>
          <w:position w:val="0"/>
        </w:rPr>
        <w:t>其他</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center"/>
      </w:pPr>
      <w:r>
        <w:rPr>
          <w:color w:val="000000"/>
          <w:spacing w:val="0"/>
          <w:w w:val="100"/>
          <w:position w:val="0"/>
        </w:rPr>
        <w:t>利润分配或资本公积金转增预案的详细情况说明</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both"/>
        <w:sectPr>
          <w:footnotePr>
            <w:pos w:val="pageBottom"/>
            <w:numFmt w:val="decimal"/>
            <w:numRestart w:val="continuous"/>
          </w:footnotePr>
          <w:pgSz w:w="11900" w:h="16840"/>
          <w:pgMar w:top="1378" w:right="1062" w:bottom="1445" w:left="1061" w:header="0" w:footer="3" w:gutter="0"/>
          <w:cols w:space="720"/>
          <w:noEndnote/>
          <w:rtlGutter w:val="0"/>
          <w:docGrid w:linePitch="360"/>
        </w:sectPr>
      </w:pPr>
      <w:r>
        <w:rPr>
          <w:color w:val="000000"/>
          <w:spacing w:val="0"/>
          <w:w w:val="100"/>
          <w:position w:val="0"/>
        </w:rPr>
        <w:t>经天健会计师事务所（特殊普通合伙）审计，母公司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年度共实现净利润</w:t>
      </w:r>
      <w:r>
        <w:rPr>
          <w:rFonts w:ascii="Times New Roman" w:eastAsia="Times New Roman" w:hAnsi="Times New Roman" w:cs="Times New Roman"/>
          <w:color w:val="000000"/>
          <w:spacing w:val="0"/>
          <w:w w:val="100"/>
          <w:position w:val="0"/>
          <w:sz w:val="18"/>
          <w:szCs w:val="18"/>
        </w:rPr>
        <w:t>618,744,004.58</w:t>
      </w:r>
      <w:r>
        <w:rPr>
          <w:color w:val="000000"/>
          <w:spacing w:val="0"/>
          <w:w w:val="100"/>
          <w:position w:val="0"/>
        </w:rPr>
        <w:t xml:space="preserve">元，加上年初未分配利润 </w:t>
      </w:r>
      <w:r>
        <w:rPr>
          <w:rFonts w:ascii="Times New Roman" w:eastAsia="Times New Roman" w:hAnsi="Times New Roman" w:cs="Times New Roman"/>
          <w:color w:val="000000"/>
          <w:spacing w:val="0"/>
          <w:w w:val="100"/>
          <w:position w:val="0"/>
          <w:sz w:val="18"/>
          <w:szCs w:val="18"/>
        </w:rPr>
        <w:t>1,104,781,256.87</w:t>
      </w:r>
      <w:r>
        <w:rPr>
          <w:color w:val="000000"/>
          <w:spacing w:val="0"/>
          <w:w w:val="100"/>
          <w:position w:val="0"/>
        </w:rPr>
        <w:t>元，并扣减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年内累计现金分红</w:t>
      </w:r>
      <w:r>
        <w:rPr>
          <w:rFonts w:ascii="Times New Roman" w:eastAsia="Times New Roman" w:hAnsi="Times New Roman" w:cs="Times New Roman"/>
          <w:color w:val="000000"/>
          <w:spacing w:val="0"/>
          <w:w w:val="100"/>
          <w:position w:val="0"/>
          <w:sz w:val="18"/>
          <w:szCs w:val="18"/>
        </w:rPr>
        <w:t>262,524,461.70</w:t>
      </w:r>
      <w:r>
        <w:rPr>
          <w:color w:val="000000"/>
          <w:spacing w:val="0"/>
          <w:w w:val="100"/>
          <w:position w:val="0"/>
        </w:rPr>
        <w:t>元，提取法定盈余公积金</w:t>
      </w:r>
      <w:r>
        <w:rPr>
          <w:rFonts w:ascii="Times New Roman" w:eastAsia="Times New Roman" w:hAnsi="Times New Roman" w:cs="Times New Roman"/>
          <w:color w:val="000000"/>
          <w:spacing w:val="0"/>
          <w:w w:val="100"/>
          <w:position w:val="0"/>
          <w:sz w:val="18"/>
          <w:szCs w:val="18"/>
        </w:rPr>
        <w:t>30,058,968.00</w:t>
      </w:r>
      <w:r>
        <w:rPr>
          <w:color w:val="000000"/>
          <w:spacing w:val="0"/>
          <w:w w:val="100"/>
          <w:position w:val="0"/>
        </w:rPr>
        <w:t>元后，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末母公司可供股东分配利润为</w:t>
      </w:r>
      <w:r>
        <w:rPr>
          <w:rFonts w:ascii="Times New Roman" w:eastAsia="Times New Roman" w:hAnsi="Times New Roman" w:cs="Times New Roman"/>
          <w:color w:val="000000"/>
          <w:spacing w:val="0"/>
          <w:w w:val="100"/>
          <w:position w:val="0"/>
          <w:sz w:val="18"/>
          <w:szCs w:val="18"/>
        </w:rPr>
        <w:t>1,430,941,831.75</w:t>
      </w:r>
      <w:r>
        <w:rPr>
          <w:color w:val="000000"/>
          <w:spacing w:val="0"/>
          <w:w w:val="100"/>
          <w:position w:val="0"/>
        </w:rPr>
        <w:t>元。根据《公司法》和《公司章程》等相关规定，董事会拟定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 润分配预案如下：以公司现有总股本</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10.60</w:t>
      </w:r>
      <w:r>
        <w:rPr>
          <w:color w:val="000000"/>
          <w:spacing w:val="0"/>
          <w:w w:val="100"/>
          <w:position w:val="0"/>
        </w:rPr>
        <w:t>元（含税）的现金红 利，合计派发现金红利</w:t>
      </w:r>
      <w:r>
        <w:rPr>
          <w:rFonts w:ascii="Times New Roman" w:eastAsia="Times New Roman" w:hAnsi="Times New Roman" w:cs="Times New Roman"/>
          <w:color w:val="000000"/>
          <w:spacing w:val="0"/>
          <w:w w:val="100"/>
          <w:position w:val="0"/>
          <w:sz w:val="18"/>
          <w:szCs w:val="18"/>
        </w:rPr>
        <w:t>191,474,262.82</w:t>
      </w:r>
      <w:r>
        <w:rPr>
          <w:color w:val="000000"/>
          <w:spacing w:val="0"/>
          <w:w w:val="100"/>
          <w:position w:val="0"/>
        </w:rPr>
        <w:t>元，不送红股，不进行资本公积转增股本。剩余未分配利润</w:t>
      </w:r>
      <w:r>
        <w:rPr>
          <w:rFonts w:ascii="Times New Roman" w:eastAsia="Times New Roman" w:hAnsi="Times New Roman" w:cs="Times New Roman"/>
          <w:color w:val="000000"/>
          <w:spacing w:val="0"/>
          <w:w w:val="100"/>
          <w:position w:val="0"/>
          <w:sz w:val="18"/>
          <w:szCs w:val="18"/>
        </w:rPr>
        <w:t>1,239,467,568.93</w:t>
      </w:r>
      <w:r>
        <w:rPr>
          <w:color w:val="000000"/>
          <w:spacing w:val="0"/>
          <w:w w:val="100"/>
          <w:position w:val="0"/>
        </w:rPr>
        <w:t xml:space="preserve">元结转 下一年度。若在分配方案实施前公司总股本由于可转债转股、股份回购、股权激励行权、再融资新增股份上市等原因而发 生变化的，分配比例将按分派总额不变的原则相应调整。该预案已经公司第三届董事会第十一次会议审议通过，尚需提交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年度股东大会审议。本次利润分配预案符合《公司章程》及审议程序的规定，充分保护了中小投资者的合法权益，并 已经公司独立董事发表了同意的独立意见。</w:t>
      </w:r>
    </w:p>
    <w:p>
      <w:pPr>
        <w:pStyle w:val="Style30"/>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三</w:t>
      </w:r>
      <w:bookmarkEnd w:id="319"/>
      <w:r>
        <w:rPr>
          <w:color w:val="000000"/>
          <w:spacing w:val="0"/>
          <w:w w:val="100"/>
          <w:position w:val="0"/>
          <w:sz w:val="24"/>
          <w:szCs w:val="24"/>
        </w:rPr>
        <w:t>、承诺事项履行情况</w:t>
      </w:r>
      <w:bookmarkEnd w:id="317"/>
      <w:bookmarkEnd w:id="318"/>
      <w:bookmarkEnd w:id="320"/>
    </w:p>
    <w:p>
      <w:pPr>
        <w:pStyle w:val="Style37"/>
        <w:keepNext/>
        <w:keepLines/>
        <w:widowControl w:val="0"/>
        <w:shd w:val="clear" w:color="auto" w:fill="auto"/>
        <w:bidi w:val="0"/>
        <w:spacing w:before="0" w:after="34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、公司实际控制人、股东、关联方、收购人以及公司等承诺相关方在报告期内履行完毕及截至报告期末尚未履行完毕的承诺事项</w:t>
      </w:r>
      <w:bookmarkEnd w:id="321"/>
      <w:bookmarkEnd w:id="322"/>
      <w:bookmarkEnd w:id="324"/>
    </w:p>
    <w:p>
      <w:pPr>
        <w:pStyle w:val="Style32"/>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98"/>
        <w:gridCol w:w="1277"/>
        <w:gridCol w:w="989"/>
        <w:gridCol w:w="6662"/>
        <w:gridCol w:w="1138"/>
        <w:gridCol w:w="1133"/>
        <w:gridCol w:w="123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履行情况</w:t>
            </w:r>
          </w:p>
        </w:tc>
      </w:tr>
      <w:tr>
        <w:trPr>
          <w:trHeight w:val="195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变动报告书中所作</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王明宽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在《深圳市金溢科技有限公司股东一致行动协议》到期终止后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声明人认可并尊重罗 瑞发在公司的实际控制人身份</w:t>
            </w:r>
            <w:r>
              <w:rPr>
                <w:color w:val="000000"/>
                <w:spacing w:val="0"/>
                <w:w w:val="100"/>
                <w:position w:val="0"/>
                <w:sz w:val="18"/>
                <w:szCs w:val="18"/>
              </w:rPr>
              <w:t>，</w:t>
            </w:r>
            <w:r>
              <w:rPr>
                <w:color w:val="000000"/>
                <w:spacing w:val="0"/>
                <w:w w:val="100"/>
                <w:position w:val="0"/>
              </w:rPr>
              <w:t>对此无任何形式的异议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声明人与他人之间不存在处于 有效期内或未来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年内可能生效的一致行动协议、股东合作协议或其他可能威胁、影 响公司现有控制情况的相关合同、协议或其他任何形式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包括但不限于书面、口头等 形式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的约定</w:t>
            </w:r>
            <w:r>
              <w:rPr>
                <w:color w:val="000000"/>
                <w:spacing w:val="0"/>
                <w:w w:val="100"/>
                <w:position w:val="0"/>
                <w:sz w:val="18"/>
                <w:szCs w:val="18"/>
              </w:rPr>
              <w:t>，</w:t>
            </w: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年内声明人亦不存在谋求获得公司控制权的意图</w:t>
            </w:r>
            <w:r>
              <w:rPr>
                <w:color w:val="000000"/>
                <w:spacing w:val="0"/>
                <w:w w:val="100"/>
                <w:position w:val="0"/>
                <w:sz w:val="18"/>
                <w:szCs w:val="18"/>
              </w:rPr>
              <w:t>，</w:t>
            </w:r>
            <w:r>
              <w:rPr>
                <w:color w:val="000000"/>
                <w:spacing w:val="0"/>
                <w:w w:val="100"/>
                <w:position w:val="0"/>
              </w:rPr>
              <w:t>承诺不会以任何 直接或间接的方式谋求获得公司的控制权。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在本人所持金溢科技首次公开发行前已发行股份持股锁定期（包括延长的锁定期，下 同）届满后，在罗瑞发担任金溢科技董事、高级管理人员期间，本人每年转让的股份 不超过本人持有的上述股份总数的百分之二十五；在罗瑞发离任后六个月内，不得转 让本人持有的上述股份；在罗瑞发申报离任六个月后的十二个月内通过证券交易所挂 牌交易出售公司股份的数量占本人所持公司股份总数的比例不超过百分之五十。罗瑞 发在任期届满前离职的，本人应当在其就任时确定的任期内和任期届满后六个月内， 继续遵守前述限制性承诺。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31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自金溢科技首次公开发行股票并在深圳证券交易所上市之日起三十六个月内，不转 让或者委托他人管理本人持有的上述金溢科技本次发行前已发行的股份，也不由金溢 科技回购本人持有的上述金溢科技本次发行前已发行的股份。</w:t>
            </w:r>
          </w:p>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若金溢科技上市后六个月内股票连续二十个交易日的收盘价均低于发行价，或者上市 后六个月期末收盘价低于发行价的（自金溢科技股票上市六个月内，公司发生过除权 除息等事项的，则将发行价作除权除息调整后与收盘价进行比较），则本人直接或间 接持有的金溢科技股票锁定期限自动延长六个月。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自本人所持金溢科技股票的锁定期届满之日起二十四个月内，每十二月内转让的金 溢科技股份总额不超过上一年度末本人所持金溢科技股份数量的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本人减持金溢科技股份时，将依照《中华人民共和国公司法》、《中华人民共和国证券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85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法》、中国证监会和深圳证券交易所的相关规定执行，如实并及时申报本人持有的金 溢科技股份及其变动情况。</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本人所持股票在锁定期届满后两年内减持的，将提前五个交易日向金溢科技提交减持 原因、减持数量、未来减持计划、减持对金溢科技治理结构及持续经营影响的说明， 并由金溢科技在减持前三个交易日予以公告。减持将采用集中竞价、大宗交易、协议 转让等方式，且减持价格不低于发行价（如自公司首次公开发行股票至上述减持公告 之日，公司发生过除权除息等事项的，发行价格应相应调整）；如一个月内公开减持 股数超过公司股份总数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的，将通过交易所大宗交易系统进行转让；若本人所持股 票在锁定期届满后两年内减持价格低于发行价的，则减持价格与发行价之间的差额由 金溢科技在现金分红时从分配当年及以后年度本人应分得的现金分红税前金额中予 以先行扣除，且扣除的现金分红归金溢科技所有。</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如公司因首次公开发行股票、发行新股、构成借壳上市的重大资产重组的申请或者相 关披露文件存在虚假记载、误导性陈述或者重大遗漏被证监会立案稽查的，本人将暂 停转让拥有权益的公司股份。</w:t>
            </w:r>
          </w:p>
          <w:p>
            <w:pPr>
              <w:pStyle w:val="Style27"/>
              <w:keepNext w:val="0"/>
              <w:keepLines w:val="0"/>
              <w:widowControl w:val="0"/>
              <w:shd w:val="clear" w:color="auto" w:fill="auto"/>
              <w:bidi w:val="0"/>
              <w:spacing w:before="0" w:after="140" w:line="331" w:lineRule="exact"/>
              <w:ind w:left="0" w:right="0" w:firstLine="0"/>
              <w:jc w:val="left"/>
            </w:pPr>
            <w:r>
              <w:rPr>
                <w:color w:val="000000"/>
                <w:spacing w:val="0"/>
                <w:w w:val="100"/>
                <w:position w:val="0"/>
              </w:rPr>
              <w:t>若本人将持有的公司股票在买入后六个月内卖出，或者在卖出后六个月内又买入的， 由此所得收益归公司所有，公司董事会有权收回本人所得收益，并及时披露相关情况。 在下列期间内本人不得买卖本公司股票：</w:t>
            </w:r>
          </w:p>
          <w:p>
            <w:pPr>
              <w:pStyle w:val="Style27"/>
              <w:keepNext w:val="0"/>
              <w:keepLines w:val="0"/>
              <w:widowControl w:val="0"/>
              <w:shd w:val="clear" w:color="auto" w:fill="auto"/>
              <w:tabs>
                <w:tab w:pos="302"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上市公司定期报告公告前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w:t>
            </w:r>
          </w:p>
          <w:p>
            <w:pPr>
              <w:pStyle w:val="Style27"/>
              <w:keepNext w:val="0"/>
              <w:keepLines w:val="0"/>
              <w:widowControl w:val="0"/>
              <w:shd w:val="clear" w:color="auto" w:fill="auto"/>
              <w:tabs>
                <w:tab w:pos="302"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上市公司业绩预告、业绩快报公告前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w:t>
            </w:r>
          </w:p>
          <w:p>
            <w:pPr>
              <w:pStyle w:val="Style27"/>
              <w:keepNext w:val="0"/>
              <w:keepLines w:val="0"/>
              <w:widowControl w:val="0"/>
              <w:shd w:val="clear" w:color="auto" w:fill="auto"/>
              <w:tabs>
                <w:tab w:pos="331" w:val="left"/>
              </w:tabs>
              <w:bidi w:val="0"/>
              <w:spacing w:before="0" w:after="14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自可能对本公司股票交易价格产生重大影响的重大事项发生之日或在决策过程 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至依法披露后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个交易日内；</w:t>
            </w:r>
          </w:p>
          <w:p>
            <w:pPr>
              <w:pStyle w:val="Style27"/>
              <w:keepNext w:val="0"/>
              <w:keepLines w:val="0"/>
              <w:widowControl w:val="0"/>
              <w:shd w:val="clear" w:color="auto" w:fill="auto"/>
              <w:tabs>
                <w:tab w:pos="302"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证券交易所规定的其他期间。</w:t>
            </w:r>
          </w:p>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 xml:space="preserve">本人所持上述股份在锁定期届满后减持的，还需比照罗瑞发的身份按深圳证券交易所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日发布的《上市公司股东及董事、监事、高级管理人员减持股份实施 细则》的相关规定执行。若该实施细则为相关规定所替代，则按所替代的规定执行。</w:t>
            </w:r>
          </w:p>
          <w:p>
            <w:pPr>
              <w:pStyle w:val="Style27"/>
              <w:keepNext w:val="0"/>
              <w:keepLines w:val="0"/>
              <w:widowControl w:val="0"/>
              <w:shd w:val="clear" w:color="auto" w:fill="auto"/>
              <w:bidi w:val="0"/>
              <w:spacing w:before="0" w:after="80" w:line="240" w:lineRule="auto"/>
              <w:ind w:left="0" w:right="0" w:firstLine="0"/>
              <w:jc w:val="left"/>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）的股东，现就规范和减少关 联交易事项向公司作出如下确认与承诺：</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承诺人将严格遵守相关法律法规及内部规章制度，不以任何方式占用或使用公司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51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的资产和资源，不以任何方式从事损害或可能损害公司及其他股东利益的行为。如出 现违反上述承诺与保证，而导致公司或其股东的权益受到损害，将依法承担相应的赔 偿责任。</w:t>
            </w:r>
          </w:p>
          <w:p>
            <w:pPr>
              <w:pStyle w:val="Style27"/>
              <w:keepNext w:val="0"/>
              <w:keepLines w:val="0"/>
              <w:widowControl w:val="0"/>
              <w:numPr>
                <w:ilvl w:val="0"/>
                <w:numId w:val="13"/>
              </w:numPr>
              <w:shd w:val="clear" w:color="auto" w:fill="auto"/>
              <w:tabs>
                <w:tab w:pos="230" w:val="left"/>
              </w:tabs>
              <w:bidi w:val="0"/>
              <w:spacing w:before="0" w:after="40" w:line="313" w:lineRule="exact"/>
              <w:ind w:left="0" w:right="0" w:firstLine="0"/>
              <w:jc w:val="left"/>
            </w:pPr>
            <w:r>
              <w:rPr>
                <w:color w:val="000000"/>
                <w:spacing w:val="0"/>
                <w:w w:val="100"/>
                <w:position w:val="0"/>
              </w:rPr>
              <w:t>在作为公司股东期间，承诺人及承诺人控制的其他下属企业或公司将尽量避免与 公司发生关联交易；如与公司发生不可避免的关联交易，承诺人及承诺人控制的其他 下属企业或公司将严格按照《公司法》、《证券法》、《公司章程》和《关联交易决策制 度》的规定规范关联交易行为，并按有关规定履行信息披露义务和办理有关报批程序， 保证不通过关联交易损害公司及其股东的合法权益。</w:t>
            </w:r>
          </w:p>
          <w:p>
            <w:pPr>
              <w:pStyle w:val="Style27"/>
              <w:keepNext w:val="0"/>
              <w:keepLines w:val="0"/>
              <w:widowControl w:val="0"/>
              <w:numPr>
                <w:ilvl w:val="0"/>
                <w:numId w:val="13"/>
              </w:numPr>
              <w:shd w:val="clear" w:color="auto" w:fill="auto"/>
              <w:tabs>
                <w:tab w:pos="221" w:val="left"/>
              </w:tabs>
              <w:bidi w:val="0"/>
              <w:spacing w:before="0" w:after="40" w:line="315" w:lineRule="exact"/>
              <w:ind w:left="0" w:right="0" w:firstLine="0"/>
              <w:jc w:val="left"/>
            </w:pPr>
            <w:r>
              <w:rPr>
                <w:color w:val="000000"/>
                <w:spacing w:val="0"/>
                <w:w w:val="100"/>
                <w:position w:val="0"/>
              </w:rPr>
              <w:t>在公司任职期间和离任后十二个月内，承诺人及承诺人控制的其他下属企业或公 司将尽量避免与公司发生关联交易，如与公司发生不可避免的关联交易，承诺人及承 诺人控制的其他下属企业或公司将严格按照《公司法》、《证券法》、《公司章程》和《关 联交易决策制度》的规定规范关联交易行为。</w:t>
            </w:r>
          </w:p>
          <w:p>
            <w:pPr>
              <w:pStyle w:val="Style27"/>
              <w:keepNext w:val="0"/>
              <w:keepLines w:val="0"/>
              <w:widowControl w:val="0"/>
              <w:shd w:val="clear" w:color="auto" w:fill="auto"/>
              <w:bidi w:val="0"/>
              <w:spacing w:before="0" w:after="40" w:line="314" w:lineRule="exact"/>
              <w:ind w:left="0" w:right="0" w:firstLine="0"/>
              <w:jc w:val="left"/>
              <w:rPr>
                <w:sz w:val="18"/>
                <w:szCs w:val="18"/>
              </w:rPr>
            </w:pPr>
            <w:r>
              <w:rPr>
                <w:color w:val="000000"/>
                <w:spacing w:val="0"/>
                <w:w w:val="100"/>
                <w:position w:val="0"/>
                <w:sz w:val="17"/>
                <w:szCs w:val="17"/>
              </w:rPr>
              <w:t>如承诺人违反上述承诺，承诺人将在公司股东大会及中国证监会指定报刊上公开说明 未履行上述承诺的原因并向公司股东和社会公众投资者道歉，并以违反上述承诺发生 之日起当年度或以后年度公司利润分配方案中承诺人享有的现金分红作为履约担保， 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）的股东，现就避免同业竞争 事项向公司作出如下确认和承诺：</w:t>
            </w:r>
          </w:p>
          <w:p>
            <w:pPr>
              <w:pStyle w:val="Style27"/>
              <w:keepNext w:val="0"/>
              <w:keepLines w:val="0"/>
              <w:widowControl w:val="0"/>
              <w:numPr>
                <w:ilvl w:val="0"/>
                <w:numId w:val="15"/>
              </w:numPr>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截至本承诺函出具之日，承诺人目前不存在以任何方式直接或间接经营与公司相同 或相近似的业务的情况，与公司不存在同业竞争。</w:t>
            </w:r>
          </w:p>
          <w:p>
            <w:pPr>
              <w:pStyle w:val="Style27"/>
              <w:keepNext w:val="0"/>
              <w:keepLines w:val="0"/>
              <w:widowControl w:val="0"/>
              <w:numPr>
                <w:ilvl w:val="0"/>
                <w:numId w:val="15"/>
              </w:numPr>
              <w:shd w:val="clear" w:color="auto" w:fill="auto"/>
              <w:tabs>
                <w:tab w:pos="144" w:val="left"/>
              </w:tabs>
              <w:bidi w:val="0"/>
              <w:spacing w:before="0" w:after="40" w:line="315" w:lineRule="exact"/>
              <w:ind w:left="0" w:right="0" w:firstLine="0"/>
              <w:jc w:val="left"/>
            </w:pPr>
            <w:r>
              <w:rPr>
                <w:color w:val="000000"/>
                <w:spacing w:val="0"/>
                <w:w w:val="100"/>
                <w:position w:val="0"/>
              </w:rPr>
              <w:t>承诺人承诺将不会在中国境内或境外以任何方式（包括但不限于单独经营、通过合 资经营或拥有另一公司或企业的股权及其它权益）直接或间接从事或参与任何与公司 构成竞争的任何业务或活动，不以任何方式从事或参与生产任何与公司产品相同、相 似或可能取代公司产品的业务活动。</w:t>
            </w:r>
          </w:p>
          <w:p>
            <w:pPr>
              <w:pStyle w:val="Style27"/>
              <w:keepNext w:val="0"/>
              <w:keepLines w:val="0"/>
              <w:widowControl w:val="0"/>
              <w:numPr>
                <w:ilvl w:val="0"/>
                <w:numId w:val="15"/>
              </w:numPr>
              <w:shd w:val="clear" w:color="auto" w:fill="auto"/>
              <w:tabs>
                <w:tab w:pos="134" w:val="left"/>
              </w:tabs>
              <w:bidi w:val="0"/>
              <w:spacing w:before="0" w:after="40" w:line="314" w:lineRule="exact"/>
              <w:ind w:left="0" w:right="0" w:firstLine="0"/>
              <w:jc w:val="left"/>
            </w:pPr>
            <w:r>
              <w:rPr>
                <w:color w:val="000000"/>
                <w:spacing w:val="0"/>
                <w:w w:val="100"/>
                <w:position w:val="0"/>
              </w:rPr>
              <w:t>承诺人承诺不利用对公司的了解及获取的信息从事、直接或间接参与任何与公司相 竞争的活动，并承诺不直接或间接进行或参与任何损害或可能损害公司利益的其他竞 争行为。该等竞争包括但不限于：直接或间接从公司招聘专业技术人员、销售人员、 高级管理人员；不正当地利用公司的无形资产；在广告、宣传上贬损公司的产品形象 与企业形象等。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65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numPr>
                <w:ilvl w:val="0"/>
                <w:numId w:val="17"/>
              </w:numPr>
              <w:shd w:val="clear" w:color="auto" w:fill="auto"/>
              <w:tabs>
                <w:tab w:pos="144" w:val="left"/>
              </w:tabs>
              <w:bidi w:val="0"/>
              <w:spacing w:before="0" w:after="0" w:line="312" w:lineRule="exact"/>
              <w:ind w:left="0" w:right="0" w:firstLine="0"/>
              <w:jc w:val="both"/>
            </w:pPr>
            <w:r>
              <w:rPr>
                <w:color w:val="000000"/>
                <w:spacing w:val="0"/>
                <w:w w:val="100"/>
                <w:position w:val="0"/>
              </w:rPr>
              <w:t>如从任何第三方获得的商业机会与公司经营的业务有竞争或可能竞争，则承诺人承 诺将立即通知公司，并将该等商业机会让予公司。</w:t>
            </w:r>
          </w:p>
          <w:p>
            <w:pPr>
              <w:pStyle w:val="Style27"/>
              <w:keepNext w:val="0"/>
              <w:keepLines w:val="0"/>
              <w:widowControl w:val="0"/>
              <w:numPr>
                <w:ilvl w:val="0"/>
                <w:numId w:val="17"/>
              </w:numPr>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在任职期间，承诺人承诺承诺人及直系亲属不直接或间接从事或发展或投资与公司 经营范围相同或类似的业务或项目，亦不会代表任何第三方成立、发展、参与、协助 任何法人或其他经济组织与公司进行直接或间接的竞争，或以其他形式从事损害公司 利益的活动。</w:t>
            </w:r>
          </w:p>
          <w:p>
            <w:pPr>
              <w:pStyle w:val="Style27"/>
              <w:keepNext w:val="0"/>
              <w:keepLines w:val="0"/>
              <w:widowControl w:val="0"/>
              <w:numPr>
                <w:ilvl w:val="0"/>
                <w:numId w:val="17"/>
              </w:numPr>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如果公司在其现有业务的基础上进一步拓展其经营业务范围，而承诺人届时控制的 其他企业对此已经进行生产、经营的，承诺人届时控制的其他企业应将相关业务出售， 公司对相关业务在同等商业条件下有优先收购权。</w:t>
            </w:r>
          </w:p>
          <w:p>
            <w:pPr>
              <w:pStyle w:val="Style27"/>
              <w:keepNext w:val="0"/>
              <w:keepLines w:val="0"/>
              <w:widowControl w:val="0"/>
              <w:numPr>
                <w:ilvl w:val="0"/>
                <w:numId w:val="17"/>
              </w:numPr>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对于公司在其现有业务范围的基础上进一步拓展其经营业务范围，而承诺人届时控 制的其他企业尚未对此进行生产、经营的，承诺人届时控制的其他企业将不从事与公 司该等新业务相同或相似的业务和活动。</w:t>
            </w:r>
          </w:p>
          <w:p>
            <w:pPr>
              <w:pStyle w:val="Style27"/>
              <w:keepNext w:val="0"/>
              <w:keepLines w:val="0"/>
              <w:widowControl w:val="0"/>
              <w:numPr>
                <w:ilvl w:val="0"/>
                <w:numId w:val="17"/>
              </w:numPr>
              <w:shd w:val="clear" w:color="auto" w:fill="auto"/>
              <w:tabs>
                <w:tab w:pos="134" w:val="left"/>
              </w:tabs>
              <w:bidi w:val="0"/>
              <w:spacing w:before="0" w:after="0" w:line="312" w:lineRule="exact"/>
              <w:ind w:left="0" w:right="0" w:firstLine="0"/>
              <w:jc w:val="both"/>
            </w:pPr>
            <w:r>
              <w:rPr>
                <w:color w:val="000000"/>
                <w:spacing w:val="0"/>
                <w:w w:val="100"/>
                <w:position w:val="0"/>
              </w:rPr>
              <w:t>如出现因违反上述承诺与保证而导致公司或其股东的权益受到损害的情况，承诺人 承诺将依法承担相应的赔偿责任。</w:t>
            </w:r>
          </w:p>
          <w:p>
            <w:pPr>
              <w:pStyle w:val="Style27"/>
              <w:keepNext w:val="0"/>
              <w:keepLines w:val="0"/>
              <w:widowControl w:val="0"/>
              <w:numPr>
                <w:ilvl w:val="0"/>
                <w:numId w:val="17"/>
              </w:numPr>
              <w:shd w:val="clear" w:color="auto" w:fill="auto"/>
              <w:tabs>
                <w:tab w:pos="139" w:val="left"/>
              </w:tabs>
              <w:bidi w:val="0"/>
              <w:spacing w:before="0" w:after="0" w:line="336" w:lineRule="exact"/>
              <w:ind w:left="0" w:right="0" w:firstLine="0"/>
              <w:jc w:val="both"/>
            </w:pPr>
            <w:r>
              <w:rPr>
                <w:color w:val="000000"/>
                <w:spacing w:val="0"/>
                <w:w w:val="100"/>
                <w:position w:val="0"/>
              </w:rPr>
              <w:t>本承诺书自承诺人签字之日即行生效并不可撤销，并在承诺人继续为公司的股东期 间或任职期间持续有效。</w:t>
            </w:r>
          </w:p>
          <w:p>
            <w:pPr>
              <w:pStyle w:val="Style27"/>
              <w:keepNext w:val="0"/>
              <w:keepLines w:val="0"/>
              <w:widowControl w:val="0"/>
              <w:numPr>
                <w:ilvl w:val="0"/>
                <w:numId w:val="17"/>
              </w:numPr>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如承诺人违反上述承诺，承诺人将在公司股东大会及中国证监会指定报刊上公开 说明未履行上述承诺的原因并向公司股东和社会公众投资者道歉，并以违反上述承诺 发生之日起当年度或以后年度公司利润分配方案中承诺人享有的现金分红作为履约 担保，同时在履行承诺前，承诺人持有的公司股份将不得转让。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5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 价承诺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）的股东，根据中国证监会《关 于进一步推进新股发行体制改革的意见》的相关规定，本人郑重承诺如下：</w:t>
            </w:r>
          </w:p>
          <w:p>
            <w:pPr>
              <w:pStyle w:val="Style27"/>
              <w:keepNext w:val="0"/>
              <w:keepLines w:val="0"/>
              <w:widowControl w:val="0"/>
              <w:shd w:val="clear" w:color="auto" w:fill="auto"/>
              <w:tabs>
                <w:tab w:pos="341" w:val="left"/>
              </w:tabs>
              <w:bidi w:val="0"/>
              <w:spacing w:before="0" w:after="0" w:line="317" w:lineRule="exact"/>
              <w:ind w:left="0" w:right="0" w:firstLine="0"/>
              <w:jc w:val="both"/>
            </w:pPr>
            <w:r>
              <w:rPr>
                <w:color w:val="000000"/>
                <w:spacing w:val="0"/>
                <w:w w:val="100"/>
                <w:position w:val="0"/>
              </w:rPr>
              <w:t>一、</w:t>
              <w:tab/>
              <w:t>本人同意公司制定的关于首次公开发行人民币普通股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股）并上市后三年内稳 定股价的预案，并承诺于公司为稳定股价启动股份回购的股东大会投赞成票；</w:t>
            </w:r>
          </w:p>
          <w:p>
            <w:pPr>
              <w:pStyle w:val="Style27"/>
              <w:keepNext w:val="0"/>
              <w:keepLines w:val="0"/>
              <w:widowControl w:val="0"/>
              <w:shd w:val="clear" w:color="auto" w:fill="auto"/>
              <w:tabs>
                <w:tab w:pos="355" w:val="left"/>
              </w:tabs>
              <w:bidi w:val="0"/>
              <w:spacing w:before="0" w:after="0" w:line="312" w:lineRule="exact"/>
              <w:ind w:left="0" w:right="0" w:firstLine="0"/>
              <w:jc w:val="both"/>
            </w:pPr>
            <w:r>
              <w:rPr>
                <w:color w:val="000000"/>
                <w:spacing w:val="0"/>
                <w:w w:val="100"/>
                <w:position w:val="0"/>
              </w:rPr>
              <w:t>二、</w:t>
              <w:tab/>
              <w:t>在稳定股价预案的启动条件满足时，即自公司股票正式挂牌上市之日起三年内， 当某一年度首次出现公司股票连续二十个交易日的收盘价（如果因派发现金红利、送 股、转增股本、增发新股、配股等原因进行除权、除息的，须按照深圳证券交易所的 有关规定作相应调整，下同）低于公司上一个会计年度末经审计的每股净资产（每股 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合并财务报表中的归属于母公司普通股股东权益合计数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年末公司股份总数，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下同）的情形时，若公司无法实施回购股票，或公司回购股票议案未获得董事会或股 东大会审议通过，或公司回购股票方案实施后再次触发稳定股价预案的启动条件，本 人将在符合《上市公司收购管理办法》等法律法规的条件和要求的前提下，通过交易 所集中竞价交易方式，采取以下稳定股价的措施：</w:t>
            </w:r>
          </w:p>
          <w:p>
            <w:pPr>
              <w:pStyle w:val="Style27"/>
              <w:keepNext w:val="0"/>
              <w:keepLines w:val="0"/>
              <w:widowControl w:val="0"/>
              <w:shd w:val="clear" w:color="auto" w:fill="auto"/>
              <w:tabs>
                <w:tab w:pos="461" w:val="left"/>
              </w:tabs>
              <w:bidi w:val="0"/>
              <w:spacing w:before="0" w:after="0" w:line="312" w:lineRule="exact"/>
              <w:ind w:left="0" w:right="0" w:firstLine="0"/>
              <w:jc w:val="both"/>
            </w:pPr>
            <w:r>
              <w:rPr>
                <w:color w:val="000000"/>
                <w:spacing w:val="0"/>
                <w:w w:val="100"/>
                <w:position w:val="0"/>
              </w:rPr>
              <w:t>（一）</w:t>
              <w:tab/>
              <w:t>本人在稳定股价启动条件触发十个交易日内，将本人拟增持股票的具体计划（内 容包括但不限于增持股数区间、计划的增持价格上限、完成时效等）以书面方式通知 公司，并由公司在增持开始前三个交易日内予以公告。本人将自股价稳定方案公告之 日起三个月内以自有资金在二级市场增持公司股份，其中设定的计划增持价格不高于 公司上一个会计年度末经审计的每股净资产的</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w:t>
            </w:r>
          </w:p>
          <w:p>
            <w:pPr>
              <w:pStyle w:val="Style27"/>
              <w:keepNext w:val="0"/>
              <w:keepLines w:val="0"/>
              <w:widowControl w:val="0"/>
              <w:shd w:val="clear" w:color="auto" w:fill="auto"/>
              <w:tabs>
                <w:tab w:pos="518" w:val="left"/>
              </w:tabs>
              <w:bidi w:val="0"/>
              <w:spacing w:before="0" w:after="0" w:line="317" w:lineRule="exact"/>
              <w:ind w:left="0" w:right="0" w:firstLine="0"/>
              <w:jc w:val="both"/>
            </w:pPr>
            <w:r>
              <w:rPr>
                <w:color w:val="000000"/>
                <w:spacing w:val="0"/>
                <w:w w:val="100"/>
                <w:position w:val="0"/>
              </w:rPr>
              <w:t>（二）</w:t>
              <w:tab/>
              <w:t>本人为稳定股价之目的进行股票增持的，除应符合相关法律法规之要求外，还 应符合下列各项：</w:t>
            </w:r>
          </w:p>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本人单次增持方案的增持股份数额不超过公司总股本的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,增持股份总额不超过公 司总股本的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tabs>
                <w:tab w:pos="326" w:val="left"/>
              </w:tabs>
              <w:bidi w:val="0"/>
              <w:spacing w:before="0" w:after="0" w:line="312" w:lineRule="exact"/>
              <w:ind w:left="0" w:right="0" w:firstLine="0"/>
              <w:jc w:val="both"/>
            </w:pPr>
            <w:r>
              <w:rPr>
                <w:color w:val="000000"/>
                <w:spacing w:val="0"/>
                <w:w w:val="100"/>
                <w:position w:val="0"/>
              </w:rPr>
              <w:t>三、</w:t>
              <w:tab/>
              <w:t>在稳定股价预案的停止条件满足时，即上述稳定股价措施尚未正式实施前或实施 期间内，如公司股票连续五个交易日收盘价均高于每股净资产，或继续回购公司股份 将导致公司股权分布不符合上市条件的，本人将停止实施稳定股价措施。</w:t>
            </w:r>
          </w:p>
          <w:p>
            <w:pPr>
              <w:pStyle w:val="Style27"/>
              <w:keepNext w:val="0"/>
              <w:keepLines w:val="0"/>
              <w:widowControl w:val="0"/>
              <w:shd w:val="clear" w:color="auto" w:fill="auto"/>
              <w:tabs>
                <w:tab w:pos="336" w:val="left"/>
              </w:tabs>
              <w:bidi w:val="0"/>
              <w:spacing w:before="0" w:after="0" w:line="317" w:lineRule="exact"/>
              <w:ind w:left="0" w:right="0" w:firstLine="0"/>
              <w:jc w:val="both"/>
            </w:pPr>
            <w:r>
              <w:rPr>
                <w:color w:val="000000"/>
                <w:spacing w:val="0"/>
                <w:w w:val="100"/>
                <w:position w:val="0"/>
              </w:rPr>
              <w:t>四、</w:t>
              <w:tab/>
              <w:t>在启动股价稳定措施的条件满足时，如本人未采取上述稳定股价的具体措施，本 人承诺接受以下约束措施：</w:t>
            </w:r>
          </w:p>
          <w:p>
            <w:pPr>
              <w:pStyle w:val="Style27"/>
              <w:keepNext w:val="0"/>
              <w:keepLines w:val="0"/>
              <w:widowControl w:val="0"/>
              <w:shd w:val="clear" w:color="auto" w:fill="auto"/>
              <w:tabs>
                <w:tab w:pos="485" w:val="left"/>
              </w:tabs>
              <w:bidi w:val="0"/>
              <w:spacing w:before="0" w:after="0" w:line="317" w:lineRule="exact"/>
              <w:ind w:left="0" w:right="0" w:firstLine="0"/>
              <w:jc w:val="both"/>
            </w:pPr>
            <w:r>
              <w:rPr>
                <w:color w:val="000000"/>
                <w:spacing w:val="0"/>
                <w:w w:val="100"/>
                <w:position w:val="0"/>
              </w:rPr>
              <w:t>（一）</w:t>
              <w:tab/>
              <w:t>本人在公司股东大会及中国证监会指定报刊上公开说明未采取上述稳定股价措 施的具体原因并向公司股东和社会公众投资者道歉。</w:t>
            </w:r>
          </w:p>
          <w:p>
            <w:pPr>
              <w:pStyle w:val="Style27"/>
              <w:keepNext w:val="0"/>
              <w:keepLines w:val="0"/>
              <w:widowControl w:val="0"/>
              <w:shd w:val="clear" w:color="auto" w:fill="auto"/>
              <w:tabs>
                <w:tab w:pos="514" w:val="left"/>
              </w:tabs>
              <w:bidi w:val="0"/>
              <w:spacing w:before="0" w:after="0" w:line="312" w:lineRule="exact"/>
              <w:ind w:left="0" w:right="0" w:firstLine="0"/>
              <w:jc w:val="both"/>
              <w:rPr>
                <w:sz w:val="18"/>
                <w:szCs w:val="18"/>
              </w:rPr>
            </w:pPr>
            <w:r>
              <w:rPr>
                <w:color w:val="000000"/>
                <w:spacing w:val="0"/>
                <w:w w:val="100"/>
                <w:position w:val="0"/>
                <w:sz w:val="17"/>
                <w:szCs w:val="17"/>
              </w:rPr>
              <w:t>（二）</w:t>
              <w:tab/>
              <w:t>在前述事项发生之日起十个交易日内，公司可停止发放本人的现金分红，且本 人持有的公司股份不得转让，直至本人采取上述稳定股价措施并实施完毕。</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2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）的股东，针对发行人向中 国证监会提交的《首次公开发行股票招股说明书》（以下简称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其摘要所载内容的真实性、准确性和完整性，本人特此承诺如下：</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本人承诺本次发行上市的《招股说明书》及其摘要不存在虚假记载、误导性陈述或重 大遗漏，并对其真实性、准确性和完整性承担个别和连带的法律责任。</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若在发行人首次公开发行的股票上市交易后，因发行人本次发行上市的《招股说明书》 及其摘要有虚假记载、误导性陈述或者重大遗漏，导致对判断发行人是否符合法律规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45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定的发行条件构成重大、实质影响的，本人将依法督促公司依法回购本次发行的全部 新股。</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若因发行人本次发行上市的《招股说明书》及其摘要有虚假记载、误导性陈述或者重 大遗漏，致使投资者在证券交易中遭受损失的，本人将依法赔偿投资者损失，但本人 能够证明自己没有过错的除外。</w:t>
            </w:r>
          </w:p>
          <w:p>
            <w:pPr>
              <w:pStyle w:val="Style27"/>
              <w:keepNext w:val="0"/>
              <w:keepLines w:val="0"/>
              <w:widowControl w:val="0"/>
              <w:shd w:val="clear" w:color="auto" w:fill="auto"/>
              <w:bidi w:val="0"/>
              <w:spacing w:before="0" w:after="40" w:line="313" w:lineRule="exact"/>
              <w:ind w:left="0" w:right="0" w:firstLine="0"/>
              <w:jc w:val="left"/>
            </w:pPr>
            <w:r>
              <w:rPr>
                <w:color w:val="000000"/>
                <w:spacing w:val="0"/>
                <w:w w:val="100"/>
                <w:position w:val="0"/>
              </w:rPr>
              <w:t>在该等违法事实被中国证监会、证券交易所或司法机关认定后，本人将本着主动沟通、 尽快赔偿、切实保障投资者特别是中小投资者利益的原则，按照投资者在证券交易中 直接遭受的可测算的经济损失选择与投资者沟通赔偿，通过设立投资者赔偿基金等方 式积极赔偿投资者由此遭受的直接经济损失。该等损失的赔偿金额以投资者因此而实 际发生的直接损失为限。具体的赔偿标准、赔偿主体范围、赔偿金额等细节内容待上 述情形实际发生时，依据最终确定的赔偿方案为准。</w:t>
            </w:r>
          </w:p>
          <w:p>
            <w:pPr>
              <w:pStyle w:val="Style27"/>
              <w:keepNext w:val="0"/>
              <w:keepLines w:val="0"/>
              <w:widowControl w:val="0"/>
              <w:shd w:val="clear" w:color="auto" w:fill="auto"/>
              <w:bidi w:val="0"/>
              <w:spacing w:before="0" w:after="40" w:line="307" w:lineRule="exact"/>
              <w:ind w:left="0" w:right="0" w:firstLine="0"/>
              <w:jc w:val="left"/>
              <w:rPr>
                <w:sz w:val="18"/>
                <w:szCs w:val="18"/>
              </w:rPr>
            </w:pPr>
            <w:r>
              <w:rPr>
                <w:color w:val="000000"/>
                <w:spacing w:val="0"/>
                <w:w w:val="100"/>
                <w:position w:val="0"/>
                <w:sz w:val="17"/>
                <w:szCs w:val="17"/>
              </w:rPr>
              <w:t>本人以发行人发行上市当年及以后年度利润分配方案中应享有的分红作为履约担保。 此外，若本人未履行上述赔偿义务，则在履行承诺前，本人所持的发行人股份均不得 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本次公开发行完成后，深圳市金溢科技股份有限公司（以下简称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）的净资产 将随着募集资金到位而大幅增加，由于募集资金项目从开始实施至投产并产生效益需 要一定时间，在上述时间内，公司的每股收益和加权平均净资产收益率等指标将在短 期内可能出现一定幅度的下降。为降低本次公开发行摊薄即期回报的影响，本人对公 司填补回报措施能够得到切实履行作出的承诺：</w:t>
            </w:r>
          </w:p>
          <w:p>
            <w:pPr>
              <w:pStyle w:val="Style27"/>
              <w:keepNext w:val="0"/>
              <w:keepLines w:val="0"/>
              <w:widowControl w:val="0"/>
              <w:shd w:val="clear" w:color="auto" w:fill="auto"/>
              <w:tabs>
                <w:tab w:pos="264"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本人承诺忠实、勤勉地履行职责，维护公司和全体股东的合法权益。</w:t>
            </w:r>
          </w:p>
          <w:p>
            <w:pPr>
              <w:pStyle w:val="Style27"/>
              <w:keepNext w:val="0"/>
              <w:keepLines w:val="0"/>
              <w:widowControl w:val="0"/>
              <w:shd w:val="clear" w:color="auto" w:fill="auto"/>
              <w:tabs>
                <w:tab w:pos="278"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本人承诺不得越权干预公司经营管理活动，不得侵占公司利益。</w:t>
            </w:r>
          </w:p>
          <w:p>
            <w:pPr>
              <w:pStyle w:val="Style27"/>
              <w:keepNext w:val="0"/>
              <w:keepLines w:val="0"/>
              <w:widowControl w:val="0"/>
              <w:shd w:val="clear" w:color="auto" w:fill="auto"/>
              <w:tabs>
                <w:tab w:pos="245"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本人承诺不无偿或以不公平条件向其他单位或者个人输送利益，也不得采用其他 方式损害公司利益。</w:t>
            </w:r>
          </w:p>
          <w:p>
            <w:pPr>
              <w:pStyle w:val="Style27"/>
              <w:keepNext w:val="0"/>
              <w:keepLines w:val="0"/>
              <w:widowControl w:val="0"/>
              <w:shd w:val="clear" w:color="auto" w:fill="auto"/>
              <w:tabs>
                <w:tab w:pos="254"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本人承诺对本人职务消费行为进行约束。</w:t>
            </w:r>
          </w:p>
          <w:p>
            <w:pPr>
              <w:pStyle w:val="Style27"/>
              <w:keepNext w:val="0"/>
              <w:keepLines w:val="0"/>
              <w:widowControl w:val="0"/>
              <w:shd w:val="clear" w:color="auto" w:fill="auto"/>
              <w:tabs>
                <w:tab w:pos="269"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本人承诺不动用公司资产从事与其履行职责无关的投资、消费活动。</w:t>
            </w:r>
          </w:p>
          <w:p>
            <w:pPr>
              <w:pStyle w:val="Style27"/>
              <w:keepNext w:val="0"/>
              <w:keepLines w:val="0"/>
              <w:widowControl w:val="0"/>
              <w:shd w:val="clear" w:color="auto" w:fill="auto"/>
              <w:tabs>
                <w:tab w:pos="278"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本人承诺在自身职责和权限范围内，全力促使公司董事会或者薪酬与考核委员会 制定的薪酬制度与公司填补回报措施的执行情况相挂钩，并对公司董事会和股东大会 审议的相关议案投票赞成（如有表决权）。</w:t>
            </w:r>
          </w:p>
          <w:p>
            <w:pPr>
              <w:pStyle w:val="Style27"/>
              <w:keepNext w:val="0"/>
              <w:keepLines w:val="0"/>
              <w:widowControl w:val="0"/>
              <w:shd w:val="clear" w:color="auto" w:fill="auto"/>
              <w:tabs>
                <w:tab w:pos="250"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如公司拟实施股权激励，本人承诺在自身职责和权限范围内，全力促使公司拟公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16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布的股权激励行权条件与公司填补回报措施的执行情况相挂钩，并对公司股东大会审 议的相关议案投票赞成（如有表决权）。</w:t>
            </w:r>
          </w:p>
          <w:p>
            <w:pPr>
              <w:pStyle w:val="Style27"/>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、若中国证监会或深圳证券交易所对本人有关确保本次发行摊薄即期回报事项的填 补回报措施得以切实履行的承诺有不同要求的，本人将自愿无条件按照中国证监会或 深圳证券交易所的要求予以承诺。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）的股东将严格履行就首次 公开发行股票并上市所作出的所有公开承诺事项，积极接受社会监督。如未能履行、 确已无法履行或无法按期履行其在招股说明书中所作出的相关承诺，其将按照所作出 的承诺采取如下措施：</w:t>
            </w:r>
          </w:p>
          <w:p>
            <w:pPr>
              <w:pStyle w:val="Style27"/>
              <w:keepNext w:val="0"/>
              <w:keepLines w:val="0"/>
              <w:widowControl w:val="0"/>
              <w:shd w:val="clear" w:color="auto" w:fill="auto"/>
              <w:tabs>
                <w:tab w:pos="259"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在股东大会及中国证监会指定报刊上公开说明未履行的具体原因并向股东和社会 公众投资者道歉。</w:t>
            </w:r>
          </w:p>
          <w:p>
            <w:pPr>
              <w:pStyle w:val="Style27"/>
              <w:keepNext w:val="0"/>
              <w:keepLines w:val="0"/>
              <w:widowControl w:val="0"/>
              <w:shd w:val="clear" w:color="auto" w:fill="auto"/>
              <w:tabs>
                <w:tab w:pos="278"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不得转让公司股份。</w:t>
            </w:r>
          </w:p>
          <w:p>
            <w:pPr>
              <w:pStyle w:val="Style27"/>
              <w:keepNext w:val="0"/>
              <w:keepLines w:val="0"/>
              <w:widowControl w:val="0"/>
              <w:shd w:val="clear" w:color="auto" w:fill="auto"/>
              <w:tabs>
                <w:tab w:pos="27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暂不领取公司的现金分红。</w:t>
            </w:r>
          </w:p>
          <w:p>
            <w:pPr>
              <w:pStyle w:val="Style27"/>
              <w:keepNext w:val="0"/>
              <w:keepLines w:val="0"/>
              <w:widowControl w:val="0"/>
              <w:shd w:val="clear" w:color="auto" w:fill="auto"/>
              <w:tabs>
                <w:tab w:pos="298"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以发行上市当年以及以后年度分红作为履行相关承诺的履约担保。</w:t>
            </w:r>
          </w:p>
          <w:p>
            <w:pPr>
              <w:pStyle w:val="Style27"/>
              <w:keepNext w:val="0"/>
              <w:keepLines w:val="0"/>
              <w:widowControl w:val="0"/>
              <w:shd w:val="clear" w:color="auto" w:fill="auto"/>
              <w:tabs>
                <w:tab w:pos="278"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因未履行相关承诺事项而获得收益的，所获收益归公司所有。</w:t>
            </w:r>
          </w:p>
          <w:p>
            <w:pPr>
              <w:pStyle w:val="Style27"/>
              <w:keepNext w:val="0"/>
              <w:keepLines w:val="0"/>
              <w:widowControl w:val="0"/>
              <w:shd w:val="clear" w:color="auto" w:fill="auto"/>
              <w:tabs>
                <w:tab w:pos="274" w:val="left"/>
              </w:tabs>
              <w:bidi w:val="0"/>
              <w:spacing w:before="0" w:after="4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给投资者造成损失的，依法赔偿投资者损失，但本人能够证明自己没有过错的除 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29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作为深圳市金溢科技股份有限公司（下称公司）的股东，就避免因追缴税收优惠而 给公司造成损失向公司作出承诺如下：</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若日后国家税务主管部门要求公司补缴因享受有关税收优惠政策而免缴及少缴的企 业所得税，则承诺人将以连带责任方式，无条件全额承担公司在上市前应补缴的税款 及因此所产生的所有相关费用，以避免给公司或公司其他股东尤其是未来的社会公众 股东造成损失或影响。</w:t>
            </w:r>
          </w:p>
          <w:p>
            <w:pPr>
              <w:pStyle w:val="Style27"/>
              <w:keepNext w:val="0"/>
              <w:keepLines w:val="0"/>
              <w:widowControl w:val="0"/>
              <w:shd w:val="clear" w:color="auto" w:fill="auto"/>
              <w:bidi w:val="0"/>
              <w:spacing w:before="0" w:after="40" w:line="314" w:lineRule="exact"/>
              <w:ind w:left="0" w:right="0" w:firstLine="0"/>
              <w:jc w:val="left"/>
              <w:rPr>
                <w:sz w:val="18"/>
                <w:szCs w:val="18"/>
              </w:rPr>
            </w:pPr>
            <w:r>
              <w:rPr>
                <w:color w:val="000000"/>
                <w:spacing w:val="0"/>
                <w:w w:val="100"/>
                <w:position w:val="0"/>
                <w:sz w:val="17"/>
                <w:szCs w:val="17"/>
              </w:rPr>
              <w:t>如承诺人违反上述承诺，承诺人将在公司股东大会及中国证监会指定报刊上公开说明 未履行上述承诺的原因并向公司股东和社会公众投资者道歉，并以违反上述承诺发生 之日起当年度或以后年度公司利润分配方案中承诺人享有的现金分红作为履约担保， 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作为深圳市金溢科技股份有限公司（下称公司）的股东，就关于补缴员工社会保险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297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基金事宜向公司作出承诺如下：</w:t>
            </w:r>
          </w:p>
          <w:p>
            <w:pPr>
              <w:pStyle w:val="Style27"/>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7"/>
                <w:szCs w:val="17"/>
              </w:rPr>
              <w:t>若日后公司或其分公司所在地社会保险基金、住房公积金主管部门要求公司对以前年 度的员工社会保险基金、住房公积金进行补缴，则承诺人将按主管部门核定的金额， 以连带责任方式，无条件全额承担公司在上市前应补缴的金额及因此所产生的所有相 关费用，以避免给公司或公司其他股东尤其是未来的社会公众股东造成损失或影响。 如承诺人违反上述承诺，承诺人将在公司股东大会及中国证监会指定报刊上公开说明 未履行上述承诺的原因并向公司股东和社会公众投资者道歉，并以违反上述承诺发生 之日起当年度或以后年度公司利润分配方案中承诺人享有的现金分红作为履约担保， 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14"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明宽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自金溢科技首次公开发行股票并在深圳证券交易所上市之日起三十六个月内，不转 让或者委托他人管理本人直接或间接持有的金溢科技本次发行前已发行的股份，也不 由金溢科技回购本人直接或间接持有的金溢科技本次发行前已发行的股份。</w:t>
            </w:r>
          </w:p>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若金溢科技上市后六个月内股票连续二十个交易日的收盘价均低于发行价，或者上市 后六个月期末收盘价低于发行价的（自金溢科技股票上市六个月内，公司发生过除权 除息等事项的，则将发行价作除权除息调整后与收盘价进行比较），则本人直接或间 接持有的金溢科技股票锁定期限自动延长六个月。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r>
        <w:trPr>
          <w:trHeight w:val="266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深圳市敏行电 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第一大股东敏行电子承诺：</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自金溢科技首次公开发行股票并在深圳证券交易所上市之日起三十六个月内，不转让 或者委托他人管理本公司直接或间接持有的金溢科技本次发行前已发行的股份，也不 由金溢科技回购本公司直接或间接持有的金溢科技本次发行前已发行的股份。</w:t>
            </w:r>
          </w:p>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若金溢科技上市后六个月内股票连续二十个交易日的收盘价均低于发行价，或者上市 后六个月期末收盘价低于发行价的（自金溢科技股票上市六个月内，公司发生过除权 除息等事项的，则将发行价作除权除息调整后与收盘价进行比较），则本公司直接或 间接持有的金溢科技股票锁定期限自动延长六个月。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承诺期限届 满，已履行完 毕。</w:t>
            </w:r>
          </w:p>
        </w:tc>
      </w:tr>
      <w:tr>
        <w:trPr>
          <w:trHeight w:val="134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郑映虹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通过持有公司股东股权而间接持有公司股份的董事及高级管理人员郑映虹承诺： 在本人担任金溢科技董事及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或高级管理人员期间，本人将向公司申报所持有的公司 的股份及其变动情况，每年转让的股份不超过直接或间接持有的公司股份总数的百分 之二十五；离任后六个月内，不转让本人直接或间接持有的公司股份；在申报离任六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个月后的十二个月内通过证券交易所挂牌交易出售公司股份的数量占本人所持公司 股份总数的比例不超过百分之五十。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在本人所持金溢科技首次公开发行前已发行股份持股锁定期（包括延长的锁定期，下 同）届满后，在本人担任金溢科技董事、高级管理人员期间，每年转让的股份不超过 直接或间接持有的公司股份总数的百分之二十五；离任后六个月内，不转让本人直接 或间接持有的公司股份；在申报离任六个月后的十二个月内通过证券交易所挂牌交易 出售公司股份的数量占本人所持公司股份总数的比例不超过百分之五十。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在本人所持金溢科技首次公开发行前已发行股份持股锁定期（包括延长的锁定期，下 同）届满后，在本人担任金溢科技董事、高级管理人员期间，每年转让的股份不超过 直接或间接持有的公司股份总数的百分之二十五；离任后六个月内，不转让本人直接 或间接持有的公司股份；在申报离任六个月后的十二个月内通过证券交易所挂牌交易 出售公司股份的数量占本人所持公司股份总数的比例不超过百分之五十。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在本人所持金溢科技首次公开发行前已发行股份持股锁定期（包括延长的锁定期，下 同）届满后，在本人担任金溢科技董事、高级管理人员期间，每年转让的股份不超过 直接或间接持有的公司股份总数的百分之二十五；离任后六个月内，不转让本人直接 或间接持有的公司股份；在申报离任六个月后的十二个月内通过证券交易所挂牌交易 出售公司股份的数量占本人所持公司股份总数的比例不超过百分之五十。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李朝莉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在本人所持金溢科技首次公开发行前已发行股份持股锁定期（包括延长的锁定期，下 同）届满后，在本人担任金溢科技董事、高级管理人员期间，每年转让的股份不超过 直接或间接持有的公司股份总数的百分之二十五；离任后六个月内，不转让本人直接 或间接持有的公司股份；在申报离任六个月后的十二个月内通过证券交易所挂牌交易 出售公司股份的数量占本人所持公司股份总数的比例不超过百分之五十。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r>
        <w:trPr>
          <w:trHeight w:val="201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圳市敏行电子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王明 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公司实际控制人罗瑞发、王明宽、杨成、刘咏平、李朝莉、李娜及第一大股东敏行 电子承诺：</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本公司所持金溢科技股票的锁定期届满之日起二十四个月内，每十二个月内 转让的金溢科技股份总额不超过上一年度末本人（本公司）所持金溢科技股份数量的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本公司减持金溢科技股份时，将依照《中华人民共和国公司法》、《中华人民共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35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和国证券法》、中国证监会和深圳证券交易所的相关规定执行，如实并及时申报本人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本公司持有的金溢科技股份及其变动情况。</w:t>
            </w:r>
          </w:p>
          <w:p>
            <w:pPr>
              <w:pStyle w:val="Style27"/>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本公司所持股票在锁定期届满后两年内减持的，将提前五个交易日向金溢科技 提交减持原因、减持数量、未来减持计划、减持对金溢科技治理结构及持续经营影响 的说明，并由金溢科技在减持前三个交易日予以公告。减持将采用集中竞价、大宗交 易、协议转让等方式，且减持价格不低于发行价（如自公司首次公开发行股票至上述 减持公告之日，公司发生过除权除息等事项的，发行价格应相应调整）；如一个月内 公开减持股数超过公司股份总数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的，将通过交易所大宗交易系统进行转让；若本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本公司所持股票在锁定期届满后两年内减持价格低于发行价的，则减持价格与发 行价之间的差额由金溢科技在现金分红时从分配当年及以后年度本人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本公司应分得 的现金分红税前金额中予以先行扣除，且扣除的现金分红归金溢科技所有。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深圳至为投资 企业（有限合 伙）</w:t>
            </w:r>
            <w:r>
              <w:rPr>
                <w:color w:val="000000"/>
                <w:spacing w:val="0"/>
                <w:w w:val="100"/>
                <w:position w:val="0"/>
                <w:sz w:val="18"/>
                <w:szCs w:val="18"/>
              </w:rPr>
              <w:t>；</w:t>
            </w:r>
            <w:r>
              <w:rPr>
                <w:color w:val="000000"/>
                <w:spacing w:val="0"/>
                <w:w w:val="100"/>
                <w:position w:val="0"/>
              </w:rPr>
              <w:t>深圳致璞 投资企业（有限 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公司重要股东至为投资和致璞投资的承诺：</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自本企业所持金溢科技股票的锁定期届满之日起二十四个月内，每十二个月内转让的 金溢科技股份总额不超过上一年度末本企业所持金溢科技股份数量的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本企业减持金溢科技股份时，将依照《中华人民共和国公司法》、《中华人民共和国证 券法》、中国证监会和深圳证券交易所的相关规定执行，如实并及时申报本企业持有 的金溢科技股份及其变动情况。</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本企业所持股票在锁定期届满后两年内减持的，将提前五个交易日向金溢科技提交减 持原因、减持数量、未来减持计划、减持对金溢科技治理结构及持续经营影响的说明， 并由金溢科技在减持前三个交易日予以公告。减持将采用集中竞价、大宗交易、协议 转让等方式；如一个月内公开减持股数超过公司股份总数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的，将通过交易所大宗 交易系统进行转让。</w:t>
            </w:r>
          </w:p>
          <w:p>
            <w:pPr>
              <w:pStyle w:val="Style27"/>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如本企业违反上述持股锁定期承诺或法律强制性规定而减持金溢科技股份的，本企业 承诺违规减持金溢科技股份所得归金溢科技所有。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r>
        <w:trPr>
          <w:trHeight w:val="169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刘厚军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公司股东及高级管理人员蔡福春和刘厚军承诺：</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本人减持金溢科技股份时，将依照《中华人民共和国公司法》、《中华人民共和国证券 法》、中国证监会和深圳证券交易所的相关规定执行，如实并及时申报本人持有的金 溢科技股份及其变动情况。</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如本人违反持股锁定期承诺或法律强制性规定而减持金溢科技股份的，本人承诺违规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承诺期限届 满，已履行完 毕。</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234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减持金溢科技股份所得归金溢科技所有。</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本人所持股票在锁定期届满后两年内减持的，减持价格不低于发行价（如自公司首次 公开发行股票至上述减持公告之日，公司发生过除权除息等事项的，发行价格应相应 调整）；若本人所持股票在锁定期届满后两年内减持价格低于发行价的，则减持价格 与发行价之间的差额由金溢科技在现金分红时从分配当年及以后年度本人应分得的 现金分红税前金额中予以先行扣除，且扣除的现金分红归金溢科技所有。</w:t>
            </w:r>
          </w:p>
          <w:p>
            <w:pPr>
              <w:pStyle w:val="Style27"/>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上述承诺不因本人在金溢科技职务变动或离职而失效。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明宽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股东一致行 动承诺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罗瑞发、刘咏平、杨成、王明宽、李娜、李朝莉对一致行动作出了合法、有效的安 排，签署了《一致行动协议》，明确相互之间的一致行动关系并承诺：</w:t>
            </w:r>
          </w:p>
          <w:p>
            <w:pPr>
              <w:pStyle w:val="Style27"/>
              <w:keepNext w:val="0"/>
              <w:keepLines w:val="0"/>
              <w:widowControl w:val="0"/>
              <w:shd w:val="clear" w:color="auto" w:fill="auto"/>
              <w:tabs>
                <w:tab w:pos="269"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作为深圳市敏行电子有限公司（以下简称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敏行电子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）的控股股东罗瑞发承诺并 同意：敏行电子作为金溢科技股东行使权利时与协议所约定最终形成的一致意见保持 一致。</w:t>
            </w:r>
          </w:p>
          <w:p>
            <w:pPr>
              <w:pStyle w:val="Style27"/>
              <w:keepNext w:val="0"/>
              <w:keepLines w:val="0"/>
              <w:widowControl w:val="0"/>
              <w:shd w:val="clear" w:color="auto" w:fill="auto"/>
              <w:tabs>
                <w:tab w:pos="283"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罗瑞发、刘咏平、杨成、王明宽、李娜、李朝莉各自作为金溢科技股东行使股东 权利时，保持一致行动；各方任何一方担任金溢科技董事期间，担任董事各方应确保 在董事会审议议案行使表决权时，保持一致行动。</w:t>
            </w:r>
          </w:p>
          <w:p>
            <w:pPr>
              <w:pStyle w:val="Style27"/>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7"/>
                <w:szCs w:val="17"/>
              </w:rPr>
              <w:t>期限为协议生效之日至金溢科技股票上市之日起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r>
        <w:trPr>
          <w:trHeight w:val="40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深圳市金溢科 技股份有限公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公司上市后三年的具体股东回报规划如下：</w:t>
            </w:r>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公司将采取现金、或者股票、或者现金与股票相结合、或者法律法规允许的其他 方式分配利润。在符合现金分红的条件下，公司应当优先采取现金分红的方式进行利 润分配。公司原则上每年度进行一次利润分配；公司董事会还可以根据公司盈利及资 金状况提议公司进行中期分红。</w:t>
            </w:r>
          </w:p>
          <w:p>
            <w:pPr>
              <w:pStyle w:val="Style27"/>
              <w:keepNext w:val="0"/>
              <w:keepLines w:val="0"/>
              <w:widowControl w:val="0"/>
              <w:shd w:val="clear" w:color="auto" w:fill="auto"/>
              <w:tabs>
                <w:tab w:pos="25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在同时满足以下条件时，公司可实施现金分红：</w:t>
            </w:r>
          </w:p>
          <w:p>
            <w:pPr>
              <w:pStyle w:val="Style27"/>
              <w:keepNext w:val="0"/>
              <w:keepLines w:val="0"/>
              <w:widowControl w:val="0"/>
              <w:numPr>
                <w:ilvl w:val="0"/>
                <w:numId w:val="19"/>
              </w:numPr>
              <w:shd w:val="clear" w:color="auto" w:fill="auto"/>
              <w:tabs>
                <w:tab w:pos="187" w:val="left"/>
              </w:tabs>
              <w:bidi w:val="0"/>
              <w:spacing w:before="0" w:after="0" w:line="312" w:lineRule="exact"/>
              <w:ind w:left="0" w:right="0" w:firstLine="0"/>
              <w:jc w:val="both"/>
            </w:pPr>
            <w:r>
              <w:rPr>
                <w:color w:val="000000"/>
                <w:spacing w:val="0"/>
                <w:w w:val="100"/>
                <w:position w:val="0"/>
              </w:rPr>
              <w:t>公司该年度实现的可分配利润（即公司弥补亏损、提取公积金后所余的税后利润） 为正值；</w:t>
            </w:r>
          </w:p>
          <w:p>
            <w:pPr>
              <w:pStyle w:val="Style27"/>
              <w:keepNext w:val="0"/>
              <w:keepLines w:val="0"/>
              <w:widowControl w:val="0"/>
              <w:numPr>
                <w:ilvl w:val="0"/>
                <w:numId w:val="19"/>
              </w:numPr>
              <w:shd w:val="clear" w:color="auto" w:fill="auto"/>
              <w:tabs>
                <w:tab w:pos="187" w:val="left"/>
              </w:tabs>
              <w:bidi w:val="0"/>
              <w:spacing w:before="0" w:after="0" w:line="314" w:lineRule="exact"/>
              <w:ind w:left="0" w:right="0" w:firstLine="0"/>
              <w:jc w:val="both"/>
            </w:pPr>
            <w:r>
              <w:rPr>
                <w:color w:val="000000"/>
                <w:spacing w:val="0"/>
                <w:w w:val="100"/>
                <w:position w:val="0"/>
              </w:rPr>
              <w:t>审计机构对公司该年度财务报告出具标准无保留意见的审计报告；</w:t>
            </w:r>
          </w:p>
          <w:p>
            <w:pPr>
              <w:pStyle w:val="Style27"/>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公司每年以现金方式分配的利润应不低于当年实现的可分配利润的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7"/>
              <w:keepNext w:val="0"/>
              <w:keepLines w:val="0"/>
              <w:widowControl w:val="0"/>
              <w:shd w:val="clear" w:color="auto" w:fill="auto"/>
              <w:tabs>
                <w:tab w:pos="28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公司业绩增长快速、经营情况良好且董事会认为公司股票价格与公司股本规模不 匹配、发放股票股利有利于公司全体股东整体利益时，可以在满足现金分红的条件下，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由公司董事会综合考虑公司成长性、每股净资产的摊薄等因素提出并实施股票股利分 配方案。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7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明宽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实际控制人关于避免同业竞争的承诺：</w:t>
            </w:r>
          </w:p>
          <w:p>
            <w:pPr>
              <w:pStyle w:val="Style27"/>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本人除直接或间接持有金溢科技股权外，未直接或间接经营任何与金溢科技经营 的业务构成竞争或可能构成竞争的业务，也未参与投资任何与金溢科技生产的产品或 经营的业务构成竞争或可能构成竞争的其他企业；</w:t>
            </w:r>
          </w:p>
          <w:p>
            <w:pPr>
              <w:pStyle w:val="Style27"/>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在本人与金溢科技存在关联关系期间，本人不直接或间接经营任何与金溢科技经 营的业务构成竞争或可能构成竞争的业务，也不参与投资任何与金溢科技的产品或经 营的业务构成竞争或可能构成竞争的其他企业；</w:t>
            </w:r>
          </w:p>
          <w:p>
            <w:pPr>
              <w:pStyle w:val="Style27"/>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如本人或本人控制的其他企业获得的商业机会与金溢科技生产的产品或经营的业 务构成同业竞争或可能构成同业竞争的，本人将立即通知金溢科技，将该商业机会给 与金溢科技，以确保金溢科技及其全体股东利益不受损害；</w:t>
            </w:r>
          </w:p>
          <w:p>
            <w:pPr>
              <w:pStyle w:val="Style27"/>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本人保证，将不利用金溢科技实际控制人的身份对金溢科技的正常经营活动进行 不正当的干预；</w:t>
            </w:r>
          </w:p>
          <w:p>
            <w:pPr>
              <w:pStyle w:val="Style27"/>
              <w:keepNext w:val="0"/>
              <w:keepLines w:val="0"/>
              <w:widowControl w:val="0"/>
              <w:shd w:val="clear" w:color="auto" w:fill="auto"/>
              <w:tabs>
                <w:tab w:pos="269" w:val="left"/>
              </w:tabs>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如因本人未履行上述承诺，因而取得的相关收益将全部归金溢科技；如因本人未 履行上述承诺而给金溢科技及其他股东造成损失的，将给予金溢科技及其他股东全部 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刘咏平、杨成、 王明宽、李娜、 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 制人关于避免 同业竞争的承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日履 行完毕，罗瑞 发的承诺正常 履行中。</w:t>
            </w:r>
          </w:p>
        </w:tc>
      </w:tr>
      <w:tr>
        <w:trPr>
          <w:trHeight w:val="365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深圳市敏行电 子有限公司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第一大股东关于避免同业竞争的承诺：</w:t>
            </w:r>
          </w:p>
          <w:p>
            <w:pPr>
              <w:pStyle w:val="Style27"/>
              <w:keepNext w:val="0"/>
              <w:keepLines w:val="0"/>
              <w:widowControl w:val="0"/>
              <w:shd w:val="clear" w:color="auto" w:fill="auto"/>
              <w:tabs>
                <w:tab w:pos="26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本公司除直接或间接持有金溢科技股权外，未直接或间接经营任何与金溢科技经 营的业务构成竞争或可能构成竞争的业务，也未参与投资任何与金溢科技生产的产品 或经营的业务构成竞争或可能构成竞争的其他企业；</w:t>
            </w:r>
          </w:p>
          <w:p>
            <w:pPr>
              <w:pStyle w:val="Style27"/>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在本公司与金溢科技存在关联关系期间，本公司不直接或间接经营任何与金溢科 技经营的业务构成竞争或可能构成竞争的业务，也不参与投资任何与金溢科技的产品 或经营的业务构成竞争或可能构成竞争的其他企业；</w:t>
            </w:r>
          </w:p>
          <w:p>
            <w:pPr>
              <w:pStyle w:val="Style27"/>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如本公司或本公司控制的其他企业获得的商业机会与金溢科技生产的产品或经营 的业务构成同业竞争或可能构成同业竞争的，本公司将立刻通知金溢科技，将该商业 机会给与金溢科技，以确保金溢科技及其全体股东利益不受损害；</w:t>
            </w:r>
          </w:p>
          <w:p>
            <w:pPr>
              <w:pStyle w:val="Style27"/>
              <w:keepNext w:val="0"/>
              <w:keepLines w:val="0"/>
              <w:widowControl w:val="0"/>
              <w:shd w:val="clear" w:color="auto" w:fill="auto"/>
              <w:tabs>
                <w:tab w:pos="27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本公司保证，将不利用金溢科技第一大股东的身份对金溢科技的正常经营活动进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13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行不正当的干预；</w:t>
            </w:r>
          </w:p>
          <w:p>
            <w:pPr>
              <w:pStyle w:val="Style27"/>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、如因本公司未履行上述承诺，因而取得的相关收益将全部归金溢科技；如因本公 司未履行上述承诺而给金溢科技及其他股东造成损失的，将给予金溢科技及其他股东 全部赔偿。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7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深圳市敏行电 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第一大股东关于规范和减少关联交易的确认与承诺：</w:t>
            </w:r>
          </w:p>
          <w:p>
            <w:pPr>
              <w:pStyle w:val="Style27"/>
              <w:keepNext w:val="0"/>
              <w:keepLines w:val="0"/>
              <w:widowControl w:val="0"/>
              <w:shd w:val="clear" w:color="auto" w:fill="auto"/>
              <w:tabs>
                <w:tab w:pos="341"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承诺人将严格遵守相关法律法规及内部规章制度，不以任何方式占用或使用公司 的资产和资源，不以任何方式从事损害或可能损害公司及其他股东利益的行为。如出 现违反上述承诺与保证，而导致公司或其股东的权益受到损害，将依法承担相应的赔 偿责任。</w:t>
            </w:r>
          </w:p>
          <w:p>
            <w:pPr>
              <w:pStyle w:val="Style27"/>
              <w:keepNext w:val="0"/>
              <w:keepLines w:val="0"/>
              <w:widowControl w:val="0"/>
              <w:shd w:val="clear" w:color="auto" w:fill="auto"/>
              <w:tabs>
                <w:tab w:pos="274"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在作为公司股东期间，承诺人及承诺人控制的其他下属企业或公司将尽量避免与 公司发生关联交易；如与公司发生不可避免的关联交易，承诺人及承诺人控制的其他 下属企业或公司将严格按照《公司法》、《证券法》、《公司章程》和《关联交易决策制 度》的规定规范关联交易行为，并按有关规定履行信息披露义务和办理有关报批程序， 保证不通过关联交易损害公司及其股东的合法权益。</w:t>
            </w:r>
          </w:p>
          <w:p>
            <w:pPr>
              <w:pStyle w:val="Style27"/>
              <w:keepNext w:val="0"/>
              <w:keepLines w:val="0"/>
              <w:widowControl w:val="0"/>
              <w:shd w:val="clear" w:color="auto" w:fill="auto"/>
              <w:bidi w:val="0"/>
              <w:spacing w:before="0" w:after="40" w:line="314" w:lineRule="exact"/>
              <w:ind w:left="0" w:right="0" w:firstLine="0"/>
              <w:jc w:val="left"/>
              <w:rPr>
                <w:sz w:val="18"/>
                <w:szCs w:val="18"/>
              </w:rPr>
            </w:pPr>
            <w:r>
              <w:rPr>
                <w:color w:val="000000"/>
                <w:spacing w:val="0"/>
                <w:w w:val="100"/>
                <w:position w:val="0"/>
                <w:sz w:val="17"/>
                <w:szCs w:val="17"/>
              </w:rPr>
              <w:t>如承诺人违反上述承诺，承诺人将在公司股东大会及中国证监会指定报刊上公开说明 未履行上述承诺的原因并向公司股东和社会公众投资者道歉，并以违反上述承诺发生 之日起当年度或以后年度公司利润分配方案中承诺人享有的现金分红作为履约担保， 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明宽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实际控制人关于规范和减少关联交易的确认与承诺：</w:t>
            </w:r>
          </w:p>
          <w:p>
            <w:pPr>
              <w:pStyle w:val="Style27"/>
              <w:keepNext w:val="0"/>
              <w:keepLines w:val="0"/>
              <w:widowControl w:val="0"/>
              <w:shd w:val="clear" w:color="auto" w:fill="auto"/>
              <w:tabs>
                <w:tab w:pos="250"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承诺人将严格遵守相关法律法规及内部规章制度，不以任何方式占用或使用公司 的资产和资源，不以任何方式从事损害或可能损害公司及其他股东利益的行为。如出 现违反上述承诺与保证，而导致公司或其股东的权益受到损害，将依法承担相应的赔 偿责任。</w:t>
            </w:r>
          </w:p>
          <w:p>
            <w:pPr>
              <w:pStyle w:val="Style27"/>
              <w:keepNext w:val="0"/>
              <w:keepLines w:val="0"/>
              <w:widowControl w:val="0"/>
              <w:shd w:val="clear" w:color="auto" w:fill="auto"/>
              <w:tabs>
                <w:tab w:pos="274"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在作为公司股东期间，承诺人及承诺人控制的其他下属企业或公司将尽量避免与 公司发生关联交易；如与公司发生不可避免的关联交易，承诺人及承诺人控制的其他 下属企业或公司将严格按照《公司法》、《证券法》、《公司章程》和《关联交易决策制 度》的规定规范关联交易行为，并按有关规定履行信息披露义务和办理有关报批程序， 保证不通过关联交易损害公司及其股东的合法权益。</w:t>
            </w:r>
          </w:p>
          <w:p>
            <w:pPr>
              <w:pStyle w:val="Style27"/>
              <w:keepNext w:val="0"/>
              <w:keepLines w:val="0"/>
              <w:widowControl w:val="0"/>
              <w:shd w:val="clear" w:color="auto" w:fill="auto"/>
              <w:tabs>
                <w:tab w:pos="264" w:val="left"/>
              </w:tabs>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在公司任职期间和离任后十二个月内，承诺人及承诺人控制的其他下属企业或公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刘咏平、杨成、 王明宽、李娜、 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 制人关于规范 和减少关联交 易的确认与承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日履 行完毕，罗瑞 发的承诺正常 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23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司将尽量避免与公司发生关联交易，如与公司发生不可避免的关联交易，承诺人及承 诺人控制的其他下属企业或公司将严格按照《公司法》、《证券法》、《公司章程》和《关 联交易决策制度》的规定规范关联交易行为。</w:t>
            </w:r>
          </w:p>
          <w:p>
            <w:pPr>
              <w:pStyle w:val="Style27"/>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如承诺人违反上述承诺，承诺人将在公司股东大会及中国证监会指定报刊上公开说明 未履行上述承诺的原因并向公司股东和社会公众投资者道歉，并以违反上述承诺发生 之日起当年度或以后年度公司利润分配方案中承诺人享有的现金分红作为履约担保， 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8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蔡福春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刘厚军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刘咏平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王明宽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郑映虹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 价承诺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非独立董事、高级管理人员关于稳定股价的承诺：</w:t>
            </w:r>
          </w:p>
          <w:p>
            <w:pPr>
              <w:pStyle w:val="Style27"/>
              <w:keepNext w:val="0"/>
              <w:keepLines w:val="0"/>
              <w:widowControl w:val="0"/>
              <w:shd w:val="clear" w:color="auto" w:fill="auto"/>
              <w:tabs>
                <w:tab w:pos="341" w:val="left"/>
              </w:tabs>
              <w:bidi w:val="0"/>
              <w:spacing w:before="0" w:after="0" w:line="317" w:lineRule="exact"/>
              <w:ind w:left="0" w:right="0" w:firstLine="0"/>
              <w:jc w:val="both"/>
            </w:pPr>
            <w:r>
              <w:rPr>
                <w:color w:val="000000"/>
                <w:spacing w:val="0"/>
                <w:w w:val="100"/>
                <w:position w:val="0"/>
              </w:rPr>
              <w:t>一、</w:t>
              <w:tab/>
              <w:t>本人同意公司制定的关于首次公开发行人民币普通股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股）并上市后三年内稳 定股价的预案，并承诺于公司为稳定股价启动股份回购的董事会上投赞成票。</w:t>
            </w:r>
          </w:p>
          <w:p>
            <w:pPr>
              <w:pStyle w:val="Style27"/>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二、</w:t>
              <w:tab/>
              <w:t>在稳定股价预案的启动条件满足时，即自公司股票正式挂牌上市之日起三年内， 当某一年度首次出现公司股票连续二十个交易日的收盘价（如果因派发现金红利、送 股、转增股本、增发新股、配股等原因进行除权、除息的，须按照深圳证券交易所的 有关规定作相应调整，下同）低于公司上一个会计年度末经审计的每股净资产（每股 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合并财务报表中的归属于母公司普通股股东权益合计数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年末公司股份总数， 下同）的情形时，若公司无法实施回购股票，或公司回购股票议案未获得董事会或股 东大会审议通过，或公司回购股票方案实施后再次触发稳定股价预案的启动条件，且 公司第一大股东、实际控制人未及时提出或实施增持公司股票方案，或公司第一大股 东、实际控制人增持公司股票方案实施后再次触发稳定股价预案的启动条件，本人将 在符合《上市公司收购管理办法》及《上市公司董事、监事和高级管理人员所持本公 司股份及其变动管理规则》等法律法规的条件和要求的前提下，通过交易所集中竞价 交易方式，采取以下稳定股价的措施：</w:t>
            </w:r>
          </w:p>
          <w:p>
            <w:pPr>
              <w:pStyle w:val="Style27"/>
              <w:keepNext w:val="0"/>
              <w:keepLines w:val="0"/>
              <w:widowControl w:val="0"/>
              <w:shd w:val="clear" w:color="auto" w:fill="auto"/>
              <w:tabs>
                <w:tab w:pos="461" w:val="left"/>
              </w:tabs>
              <w:bidi w:val="0"/>
              <w:spacing w:before="0" w:after="0" w:line="312" w:lineRule="exact"/>
              <w:ind w:left="0" w:right="0" w:firstLine="0"/>
              <w:jc w:val="both"/>
            </w:pPr>
            <w:r>
              <w:rPr>
                <w:color w:val="000000"/>
                <w:spacing w:val="0"/>
                <w:w w:val="100"/>
                <w:position w:val="0"/>
              </w:rPr>
              <w:t>（一）</w:t>
              <w:tab/>
              <w:t>本人在稳定股价启动条件触发十个交易日内，将本人拟增持股票的具体计划（内 容包括但不限于增持股数区间、计划的增持价格上限、完成时效等）以书面方式通知 公司，并由公司在增持开始前三个交易日内予以公告。本人将自股价稳定方案公告之 日起三个月内以自有资金在二级市场增持公司股份，其中设定的计划增持价格不高于 公司上一个会计年度末经审计的每股净资产的</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w:t>
            </w:r>
          </w:p>
          <w:p>
            <w:pPr>
              <w:pStyle w:val="Style27"/>
              <w:keepNext w:val="0"/>
              <w:keepLines w:val="0"/>
              <w:widowControl w:val="0"/>
              <w:shd w:val="clear" w:color="auto" w:fill="auto"/>
              <w:tabs>
                <w:tab w:pos="485" w:val="left"/>
              </w:tabs>
              <w:bidi w:val="0"/>
              <w:spacing w:before="0" w:after="0" w:line="336" w:lineRule="exact"/>
              <w:ind w:left="0" w:right="0" w:firstLine="0"/>
              <w:jc w:val="both"/>
            </w:pPr>
            <w:r>
              <w:rPr>
                <w:color w:val="000000"/>
                <w:spacing w:val="0"/>
                <w:w w:val="100"/>
                <w:position w:val="0"/>
              </w:rPr>
              <w:t>（二）</w:t>
              <w:tab/>
              <w:t>本人单次用于增持公司股票的资金不少于本人最近一个会计年度自公司领取的 薪酬（税后）的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，用于增持公司股票的资金总额不超过本人最近一个会计年度从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3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公司领取的薪酬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7"/>
              <w:keepNext w:val="0"/>
              <w:keepLines w:val="0"/>
              <w:widowControl w:val="0"/>
              <w:shd w:val="clear" w:color="auto" w:fill="auto"/>
              <w:tabs>
                <w:tab w:pos="326" w:val="left"/>
              </w:tabs>
              <w:bidi w:val="0"/>
              <w:spacing w:before="0" w:after="0" w:line="312" w:lineRule="exact"/>
              <w:ind w:left="0" w:right="0" w:firstLine="0"/>
              <w:jc w:val="left"/>
            </w:pPr>
            <w:r>
              <w:rPr>
                <w:color w:val="000000"/>
                <w:spacing w:val="0"/>
                <w:w w:val="100"/>
                <w:position w:val="0"/>
              </w:rPr>
              <w:t>三、</w:t>
              <w:tab/>
              <w:t>在稳定股价预案的停止条件满足时，即上述稳定股价措施尚未正式实施前或实施 期间内，如公司股票连续五个交易日收盘价均高于每股净资产，或继续回购公司股份 将导致公司股权分布不符合上市条件的，本人将停止实施稳定股价措施。</w:t>
            </w:r>
          </w:p>
          <w:p>
            <w:pPr>
              <w:pStyle w:val="Style27"/>
              <w:keepNext w:val="0"/>
              <w:keepLines w:val="0"/>
              <w:widowControl w:val="0"/>
              <w:shd w:val="clear" w:color="auto" w:fill="auto"/>
              <w:tabs>
                <w:tab w:pos="336" w:val="left"/>
              </w:tabs>
              <w:bidi w:val="0"/>
              <w:spacing w:before="0" w:after="0" w:line="317" w:lineRule="exact"/>
              <w:ind w:left="0" w:right="0" w:firstLine="0"/>
              <w:jc w:val="left"/>
            </w:pPr>
            <w:r>
              <w:rPr>
                <w:color w:val="000000"/>
                <w:spacing w:val="0"/>
                <w:w w:val="100"/>
                <w:position w:val="0"/>
              </w:rPr>
              <w:t>四、</w:t>
              <w:tab/>
              <w:t>在启动股价稳定措施的条件满足时，如本人未采取上述稳定股价的具体措施，本 人承诺接受以下约束措施：</w:t>
            </w:r>
          </w:p>
          <w:p>
            <w:pPr>
              <w:pStyle w:val="Style27"/>
              <w:keepNext w:val="0"/>
              <w:keepLines w:val="0"/>
              <w:widowControl w:val="0"/>
              <w:shd w:val="clear" w:color="auto" w:fill="auto"/>
              <w:tabs>
                <w:tab w:pos="480" w:val="left"/>
              </w:tabs>
              <w:bidi w:val="0"/>
              <w:spacing w:before="0" w:after="0" w:line="317" w:lineRule="exact"/>
              <w:ind w:left="0" w:right="0" w:firstLine="0"/>
              <w:jc w:val="left"/>
            </w:pPr>
            <w:r>
              <w:rPr>
                <w:color w:val="000000"/>
                <w:spacing w:val="0"/>
                <w:w w:val="100"/>
                <w:position w:val="0"/>
              </w:rPr>
              <w:t>（一）</w:t>
              <w:tab/>
              <w:t>在公司股东大会及中国证监会指定报刊上公开说明未采取上述稳定股价措施的 具体原因并向公司股东和社会公众投资者道歉。</w:t>
            </w:r>
          </w:p>
          <w:p>
            <w:pPr>
              <w:pStyle w:val="Style27"/>
              <w:keepNext w:val="0"/>
              <w:keepLines w:val="0"/>
              <w:widowControl w:val="0"/>
              <w:shd w:val="clear" w:color="auto" w:fill="auto"/>
              <w:tabs>
                <w:tab w:pos="504" w:val="left"/>
              </w:tabs>
              <w:bidi w:val="0"/>
              <w:spacing w:before="0" w:after="0" w:line="312" w:lineRule="exact"/>
              <w:ind w:left="0" w:right="0" w:firstLine="0"/>
              <w:jc w:val="left"/>
              <w:rPr>
                <w:sz w:val="18"/>
                <w:szCs w:val="18"/>
              </w:rPr>
            </w:pPr>
            <w:r>
              <w:rPr>
                <w:color w:val="000000"/>
                <w:spacing w:val="0"/>
                <w:w w:val="100"/>
                <w:position w:val="0"/>
                <w:sz w:val="17"/>
                <w:szCs w:val="17"/>
              </w:rPr>
              <w:t>（二）</w:t>
              <w:tab/>
              <w:t>在前述事项发生之日起十个交易日内，公司可逐月扣减本人薪酬的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，同时 本人持有的公司股份不得转让，直至本人采取上述稳定股价措施并实施完毕。</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深圳市金溢科 技股份有限公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 价承诺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一、在稳定股价预案的预警条件满足时，即自公司股票正式挂牌上市之日起三年内， 当公司股票连续五个交易日的收盘价（如果因派发现金红利、送股、转增股本、增发 新股、配股等原因进行除权、除息的，须按照深圳证券交易所的有关规定作相应调整， 下同）均低于公司上一个会计年度末经审计的每股净资产（每股净资产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 表中的归属于母公司普通股股东权益合计数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年末公司股份总数，下同）的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时， 公司将在十个工作日内召开业绩说明会或投资者见面会，与投资者就公司经营状况、 财务指标、发展战略进行深入沟通。</w:t>
            </w:r>
          </w:p>
          <w:p>
            <w:pPr>
              <w:pStyle w:val="Style27"/>
              <w:keepNext w:val="0"/>
              <w:keepLines w:val="0"/>
              <w:widowControl w:val="0"/>
              <w:shd w:val="clear" w:color="auto" w:fill="auto"/>
              <w:bidi w:val="0"/>
              <w:spacing w:before="0" w:after="40" w:line="311" w:lineRule="exact"/>
              <w:ind w:left="0" w:right="0" w:firstLine="0"/>
              <w:jc w:val="left"/>
            </w:pPr>
            <w:r>
              <w:rPr>
                <w:color w:val="000000"/>
                <w:spacing w:val="0"/>
                <w:w w:val="100"/>
                <w:position w:val="0"/>
              </w:rPr>
              <w:t>二、在稳定股价预案的启动条件满足时，即自公司股票正式挂牌上市之日起三年内， 当某一年度首次出现公司股票连续二十个交易日的收盘价均低于公司上一个会计年 度末经审计的每股净资产的情形时，本公司将自稳定股价方案公告之日起三个月内， 通过二级市场以集中竞价交易方式、要约方式或证券监督管理部门认可的其他方式回 购公司股份以稳定股价，具体措施如下：</w:t>
            </w:r>
          </w:p>
          <w:p>
            <w:pPr>
              <w:pStyle w:val="Style27"/>
              <w:keepNext w:val="0"/>
              <w:keepLines w:val="0"/>
              <w:widowControl w:val="0"/>
              <w:shd w:val="clear" w:color="auto" w:fill="auto"/>
              <w:tabs>
                <w:tab w:pos="528" w:val="left"/>
              </w:tabs>
              <w:bidi w:val="0"/>
              <w:spacing w:before="0" w:after="40" w:line="312" w:lineRule="exact"/>
              <w:ind w:left="0" w:right="0" w:firstLine="0"/>
              <w:jc w:val="left"/>
            </w:pPr>
            <w:r>
              <w:rPr>
                <w:color w:val="000000"/>
                <w:spacing w:val="0"/>
                <w:w w:val="100"/>
                <w:position w:val="0"/>
              </w:rPr>
              <w:t>（一）</w:t>
              <w:tab/>
              <w:t>公司为稳定股价之目的回购股份，应符合《上市公司回购社会公众股份管理办 法（试行）》及《关于上市公司以集中竞价交易方式回购股份的补充规定》等相关法 律、法规的规定。</w:t>
            </w:r>
          </w:p>
          <w:p>
            <w:pPr>
              <w:pStyle w:val="Style27"/>
              <w:keepNext w:val="0"/>
              <w:keepLines w:val="0"/>
              <w:widowControl w:val="0"/>
              <w:shd w:val="clear" w:color="auto" w:fill="auto"/>
              <w:tabs>
                <w:tab w:pos="518" w:val="left"/>
              </w:tabs>
              <w:bidi w:val="0"/>
              <w:spacing w:before="0" w:after="40" w:line="310" w:lineRule="exact"/>
              <w:ind w:left="0" w:right="0" w:firstLine="0"/>
              <w:jc w:val="left"/>
            </w:pPr>
            <w:r>
              <w:rPr>
                <w:color w:val="000000"/>
                <w:spacing w:val="0"/>
                <w:w w:val="100"/>
                <w:position w:val="0"/>
              </w:rPr>
              <w:t>（二）</w:t>
              <w:tab/>
              <w:t>公司董事会应于稳定股价启动条件触发十个交易日内制定股份回购方案，并及 时履行相关内部决策程序。该股份回购计划还须经出席会议的股东所持表决权的三分 之二以上通过。</w:t>
            </w:r>
          </w:p>
          <w:p>
            <w:pPr>
              <w:pStyle w:val="Style27"/>
              <w:keepNext w:val="0"/>
              <w:keepLines w:val="0"/>
              <w:widowControl w:val="0"/>
              <w:shd w:val="clear" w:color="auto" w:fill="auto"/>
              <w:tabs>
                <w:tab w:pos="418" w:val="left"/>
              </w:tabs>
              <w:bidi w:val="0"/>
              <w:spacing w:before="0" w:after="40" w:line="312" w:lineRule="exact"/>
              <w:ind w:left="0" w:right="0" w:firstLine="0"/>
              <w:jc w:val="left"/>
            </w:pPr>
            <w:r>
              <w:rPr>
                <w:color w:val="000000"/>
                <w:spacing w:val="0"/>
                <w:w w:val="100"/>
                <w:position w:val="0"/>
              </w:rPr>
              <w:t>（三）</w:t>
              <w:tab/>
              <w:t>在股东大会审议通过股份回购方案后，公司应依法通知债权人，向证券监督管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理部门、证券交易所等主管部门报送相关材料，办理审批或备案手续。在完成必需的 审批、备案、信息披露等程序后，公司方可实施相应的股份回购方案。</w:t>
            </w:r>
          </w:p>
          <w:p>
            <w:pPr>
              <w:pStyle w:val="Style27"/>
              <w:keepNext w:val="0"/>
              <w:keepLines w:val="0"/>
              <w:widowControl w:val="0"/>
              <w:shd w:val="clear" w:color="auto" w:fill="auto"/>
              <w:tabs>
                <w:tab w:pos="542" w:val="left"/>
              </w:tabs>
              <w:bidi w:val="0"/>
              <w:spacing w:before="0" w:after="40" w:line="312" w:lineRule="exact"/>
              <w:ind w:left="0" w:right="0" w:firstLine="0"/>
              <w:jc w:val="both"/>
            </w:pPr>
            <w:r>
              <w:rPr>
                <w:color w:val="000000"/>
                <w:spacing w:val="0"/>
                <w:w w:val="100"/>
                <w:position w:val="0"/>
              </w:rPr>
              <w:t>（四）</w:t>
              <w:tab/>
              <w:t>公司为稳定股价之目的进行股份回购的，除应符合相关法律法规之要求之外， 还应符合下列各项：</w:t>
            </w:r>
          </w:p>
          <w:p>
            <w:pPr>
              <w:pStyle w:val="Style27"/>
              <w:keepNext w:val="0"/>
              <w:keepLines w:val="0"/>
              <w:widowControl w:val="0"/>
              <w:numPr>
                <w:ilvl w:val="0"/>
                <w:numId w:val="21"/>
              </w:numPr>
              <w:shd w:val="clear" w:color="auto" w:fill="auto"/>
              <w:tabs>
                <w:tab w:pos="230" w:val="left"/>
              </w:tabs>
              <w:bidi w:val="0"/>
              <w:spacing w:before="0" w:after="40" w:line="317" w:lineRule="exact"/>
              <w:ind w:left="0" w:right="0" w:firstLine="0"/>
              <w:jc w:val="both"/>
            </w:pPr>
            <w:r>
              <w:rPr>
                <w:color w:val="000000"/>
                <w:spacing w:val="0"/>
                <w:w w:val="100"/>
                <w:position w:val="0"/>
              </w:rPr>
              <w:t>公司用于回购股份的资金总额累计不超过公司首次公开发行人民币普通股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所募集资金的总额；</w:t>
            </w:r>
          </w:p>
          <w:p>
            <w:pPr>
              <w:pStyle w:val="Style27"/>
              <w:keepNext w:val="0"/>
              <w:keepLines w:val="0"/>
              <w:widowControl w:val="0"/>
              <w:numPr>
                <w:ilvl w:val="0"/>
                <w:numId w:val="21"/>
              </w:numPr>
              <w:shd w:val="clear" w:color="auto" w:fill="auto"/>
              <w:tabs>
                <w:tab w:pos="240" w:val="left"/>
              </w:tabs>
              <w:bidi w:val="0"/>
              <w:spacing w:before="0" w:after="40" w:line="307" w:lineRule="exact"/>
              <w:ind w:left="0" w:right="0" w:firstLine="0"/>
              <w:jc w:val="both"/>
            </w:pPr>
            <w:r>
              <w:rPr>
                <w:color w:val="000000"/>
                <w:spacing w:val="0"/>
                <w:w w:val="100"/>
                <w:position w:val="0"/>
              </w:rPr>
              <w:t>公司单次回购方案的回购股份数额不超过总股本的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,回购股份总额不超过总股 本的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7"/>
              <w:keepNext w:val="0"/>
              <w:keepLines w:val="0"/>
              <w:widowControl w:val="0"/>
              <w:shd w:val="clear" w:color="auto" w:fill="auto"/>
              <w:tabs>
                <w:tab w:pos="528" w:val="left"/>
              </w:tabs>
              <w:bidi w:val="0"/>
              <w:spacing w:before="0" w:after="40" w:line="317" w:lineRule="exact"/>
              <w:ind w:left="0" w:right="0" w:firstLine="0"/>
              <w:jc w:val="both"/>
            </w:pPr>
            <w:r>
              <w:rPr>
                <w:color w:val="000000"/>
                <w:spacing w:val="0"/>
                <w:w w:val="100"/>
                <w:position w:val="0"/>
              </w:rPr>
              <w:t>（五）</w:t>
              <w:tab/>
              <w:t>公司董事会公告回购股份预案后，公司股票若连续【五】个交易日收盘价均超 过每股净资产时，公司董事会可以做出决议终止回购股份事宜。</w:t>
            </w:r>
          </w:p>
          <w:p>
            <w:pPr>
              <w:pStyle w:val="Style27"/>
              <w:keepNext w:val="0"/>
              <w:keepLines w:val="0"/>
              <w:widowControl w:val="0"/>
              <w:shd w:val="clear" w:color="auto" w:fill="auto"/>
              <w:tabs>
                <w:tab w:pos="326" w:val="left"/>
              </w:tabs>
              <w:bidi w:val="0"/>
              <w:spacing w:before="0" w:after="40" w:line="312" w:lineRule="exact"/>
              <w:ind w:left="0" w:right="0" w:firstLine="0"/>
              <w:jc w:val="both"/>
            </w:pPr>
            <w:r>
              <w:rPr>
                <w:color w:val="000000"/>
                <w:spacing w:val="0"/>
                <w:w w:val="100"/>
                <w:position w:val="0"/>
              </w:rPr>
              <w:t>三、</w:t>
              <w:tab/>
              <w:t>在稳定股价预案的停止条件满足时，即上述稳定股价措施尚未正式实施前或实施 期间内，如公司股票连续五个交易日收盘价均高于每股净资产，或继续回购公司股份 将导致公司股权分布不符合上市条件的，公司将停止实施稳定股价措施。</w:t>
            </w:r>
          </w:p>
          <w:p>
            <w:pPr>
              <w:pStyle w:val="Style27"/>
              <w:keepNext w:val="0"/>
              <w:keepLines w:val="0"/>
              <w:widowControl w:val="0"/>
              <w:shd w:val="clear" w:color="auto" w:fill="auto"/>
              <w:tabs>
                <w:tab w:pos="336" w:val="left"/>
              </w:tabs>
              <w:bidi w:val="0"/>
              <w:spacing w:before="0" w:after="0" w:line="310" w:lineRule="exact"/>
              <w:ind w:left="0" w:right="0" w:firstLine="0"/>
              <w:jc w:val="both"/>
            </w:pPr>
            <w:r>
              <w:rPr>
                <w:color w:val="000000"/>
                <w:spacing w:val="0"/>
                <w:w w:val="100"/>
                <w:position w:val="0"/>
              </w:rPr>
              <w:t>四、</w:t>
              <w:tab/>
              <w:t>在稳定股价启动条件触发时，如本公司未采取上述稳定股价的具体措施，本公司 将在股东大会及中国证监会指定报刊上公开说明未采取上述稳定股价措施的具体原 因并向公司股东和社会公众投资者致歉。</w:t>
            </w:r>
          </w:p>
          <w:p>
            <w:pPr>
              <w:pStyle w:val="Style27"/>
              <w:keepNext w:val="0"/>
              <w:keepLines w:val="0"/>
              <w:widowControl w:val="0"/>
              <w:shd w:val="clear" w:color="auto" w:fill="auto"/>
              <w:tabs>
                <w:tab w:pos="365" w:val="left"/>
              </w:tabs>
              <w:bidi w:val="0"/>
              <w:spacing w:before="0" w:after="120" w:line="336" w:lineRule="exact"/>
              <w:ind w:left="0" w:right="0" w:firstLine="0"/>
              <w:jc w:val="both"/>
            </w:pPr>
            <w:r>
              <w:rPr>
                <w:color w:val="000000"/>
                <w:spacing w:val="0"/>
                <w:w w:val="100"/>
                <w:position w:val="0"/>
              </w:rPr>
              <w:t>五、</w:t>
              <w:tab/>
              <w:t>本公司在未来聘任新的董事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独立董事除外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、高级管理人员前，将要求其签署承 诺书，保证其履行公司首次公开发行上市时董事、高级管理人员已做出的相应承诺。</w:t>
            </w:r>
          </w:p>
          <w:p>
            <w:pPr>
              <w:pStyle w:val="Style27"/>
              <w:keepNext w:val="0"/>
              <w:keepLines w:val="0"/>
              <w:widowControl w:val="0"/>
              <w:shd w:val="clear" w:color="auto" w:fill="auto"/>
              <w:bidi w:val="0"/>
              <w:spacing w:before="0" w:after="4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5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圳市敏行电子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王明 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 价承诺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第一大股东、实际控制人关于稳定股价的承诺：</w:t>
            </w:r>
          </w:p>
          <w:p>
            <w:pPr>
              <w:pStyle w:val="Style27"/>
              <w:keepNext w:val="0"/>
              <w:keepLines w:val="0"/>
              <w:widowControl w:val="0"/>
              <w:shd w:val="clear" w:color="auto" w:fill="auto"/>
              <w:tabs>
                <w:tab w:pos="360" w:val="left"/>
              </w:tabs>
              <w:bidi w:val="0"/>
              <w:spacing w:before="0" w:after="0" w:line="319" w:lineRule="exact"/>
              <w:ind w:left="0" w:right="0" w:firstLine="0"/>
              <w:jc w:val="both"/>
            </w:pPr>
            <w:r>
              <w:rPr>
                <w:color w:val="000000"/>
                <w:spacing w:val="0"/>
                <w:w w:val="100"/>
                <w:position w:val="0"/>
              </w:rPr>
              <w:t>一、</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本人同意公司制定的关于首次公开发行人民币普通股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股）并上市后 三年内稳定股价的预案，并承诺于公司为稳定股价启动股份回购的董事会及股东大会 投赞成票；</w:t>
            </w:r>
          </w:p>
          <w:p>
            <w:pPr>
              <w:pStyle w:val="Style27"/>
              <w:keepNext w:val="0"/>
              <w:keepLines w:val="0"/>
              <w:widowControl w:val="0"/>
              <w:shd w:val="clear" w:color="auto" w:fill="auto"/>
              <w:tabs>
                <w:tab w:pos="355" w:val="left"/>
              </w:tabs>
              <w:bidi w:val="0"/>
              <w:spacing w:before="0" w:after="0" w:line="311" w:lineRule="exact"/>
              <w:ind w:left="0" w:right="0" w:firstLine="0"/>
              <w:jc w:val="both"/>
            </w:pPr>
            <w:r>
              <w:rPr>
                <w:color w:val="000000"/>
                <w:spacing w:val="0"/>
                <w:w w:val="100"/>
                <w:position w:val="0"/>
              </w:rPr>
              <w:t>二、</w:t>
              <w:tab/>
              <w:t>在稳定股价预案的启动条件满足时，即自公司股票正式挂牌上市之日起三年内， 当某一年度首次出现公司股票连续二十个交易日的收盘价（如果因派发现金红利、送 股、转增股本、增发新股、配股等原因进行除权、除息的，须按照深圳证券交易所的 有关规定作相应调整，下同）低于公司上一个会计年度末经审计的每股净资产（每股 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合并财务报表中的归属于母公司普通股股东权益合计数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年末公司股份总数， 下同）的情形时，若公司无法实施回购股票，或公司回购股票议案未获得董事会或股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承诺期限届 满，已履行完 毕。</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东大会审议通过，或公司回购股票方案实施后再次触发稳定股价预案的启动条件，本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本人将在符合《上市公司收购管理办法》等法律法规的条件和要求的前提下， 通过交易所集中竞价交易方式，采取以下稳定股价的措施：</w:t>
            </w:r>
          </w:p>
          <w:p>
            <w:pPr>
              <w:pStyle w:val="Style27"/>
              <w:keepNext w:val="0"/>
              <w:keepLines w:val="0"/>
              <w:widowControl w:val="0"/>
              <w:shd w:val="clear" w:color="auto" w:fill="auto"/>
              <w:tabs>
                <w:tab w:pos="538" w:val="left"/>
              </w:tabs>
              <w:bidi w:val="0"/>
              <w:spacing w:before="0" w:after="0" w:line="322" w:lineRule="exact"/>
              <w:ind w:left="0" w:right="0" w:firstLine="0"/>
              <w:jc w:val="both"/>
            </w:pPr>
            <w:r>
              <w:rPr>
                <w:color w:val="000000"/>
                <w:spacing w:val="0"/>
                <w:w w:val="100"/>
                <w:position w:val="0"/>
              </w:rPr>
              <w:t>（一）</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本人在稳定股价启动条件触发十个交易日内，将本公司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本人拟增持股 票的具体计划（内容包括但不限于增持股数区间、计划的增持价格上限、完成时效等） 以书面方式通知公司，并由公司在增持开始前三个交易日内予以公告。本公司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将自股价稳定方案公告之日起三个月内以自有资金在二级市场增持公司股份，其中设 定的计划增持价格不高于公司上一个会计年度末经审计的每股净资产的</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w:t>
            </w:r>
          </w:p>
          <w:p>
            <w:pPr>
              <w:pStyle w:val="Style27"/>
              <w:keepNext w:val="0"/>
              <w:keepLines w:val="0"/>
              <w:widowControl w:val="0"/>
              <w:shd w:val="clear" w:color="auto" w:fill="auto"/>
              <w:tabs>
                <w:tab w:pos="538" w:val="left"/>
              </w:tabs>
              <w:bidi w:val="0"/>
              <w:spacing w:before="0" w:after="0" w:line="322" w:lineRule="exact"/>
              <w:ind w:left="0" w:right="0" w:firstLine="0"/>
              <w:jc w:val="both"/>
            </w:pPr>
            <w:r>
              <w:rPr>
                <w:color w:val="000000"/>
                <w:spacing w:val="0"/>
                <w:w w:val="100"/>
                <w:position w:val="0"/>
              </w:rPr>
              <w:t>（二）</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本人为稳定股价之目的进行股票增持的，除应符合相关法律法规之要 求外，还应符合下列各项：</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本人单次增持方案的增持股份数额不超过公司总股本的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，增持股份总额不 超过公司总股本的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tabs>
                <w:tab w:pos="326" w:val="left"/>
              </w:tabs>
              <w:bidi w:val="0"/>
              <w:spacing w:before="0" w:after="0" w:line="312" w:lineRule="exact"/>
              <w:ind w:left="0" w:right="0" w:firstLine="0"/>
              <w:jc w:val="both"/>
            </w:pPr>
            <w:r>
              <w:rPr>
                <w:color w:val="000000"/>
                <w:spacing w:val="0"/>
                <w:w w:val="100"/>
                <w:position w:val="0"/>
              </w:rPr>
              <w:t>三、</w:t>
              <w:tab/>
              <w:t>在稳定股价预案的停止条件满足时，即上述稳定股价措施尚未正式实施前或实施 期间内，如公司股票连续五个交易日收盘价均高于每股净资产，或继续回购公司股份 将导致公司股权分布不符合上市条件的，本公司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本人将停止实施稳定股价措施。</w:t>
            </w:r>
          </w:p>
          <w:p>
            <w:pPr>
              <w:pStyle w:val="Style27"/>
              <w:keepNext w:val="0"/>
              <w:keepLines w:val="0"/>
              <w:widowControl w:val="0"/>
              <w:shd w:val="clear" w:color="auto" w:fill="auto"/>
              <w:tabs>
                <w:tab w:pos="355" w:val="left"/>
              </w:tabs>
              <w:bidi w:val="0"/>
              <w:spacing w:before="0" w:after="0" w:line="307" w:lineRule="exact"/>
              <w:ind w:left="0" w:right="0" w:firstLine="0"/>
              <w:jc w:val="both"/>
            </w:pPr>
            <w:r>
              <w:rPr>
                <w:color w:val="000000"/>
                <w:spacing w:val="0"/>
                <w:w w:val="100"/>
                <w:position w:val="0"/>
              </w:rPr>
              <w:t>四、</w:t>
              <w:tab/>
              <w:t>在启动股价稳定措施的条件满足时，如本公司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本人未采取上述稳定股价的具体 措施，本公司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本人承诺接受以下约束措施：</w:t>
            </w:r>
          </w:p>
          <w:p>
            <w:pPr>
              <w:pStyle w:val="Style27"/>
              <w:keepNext w:val="0"/>
              <w:keepLines w:val="0"/>
              <w:widowControl w:val="0"/>
              <w:shd w:val="clear" w:color="auto" w:fill="auto"/>
              <w:tabs>
                <w:tab w:pos="528" w:val="left"/>
              </w:tabs>
              <w:bidi w:val="0"/>
              <w:spacing w:before="0" w:after="0" w:line="346" w:lineRule="exact"/>
              <w:ind w:left="0" w:right="0" w:firstLine="0"/>
              <w:jc w:val="both"/>
            </w:pPr>
            <w:r>
              <w:rPr>
                <w:color w:val="000000"/>
                <w:spacing w:val="0"/>
                <w:w w:val="100"/>
                <w:position w:val="0"/>
              </w:rPr>
              <w:t>（一）</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本人在公司股东大会及中国证监会指定报刊上公开说明未采取上述稳 定股价措施的具体原因并向公司股东和社会公众投资者道歉。</w:t>
            </w:r>
          </w:p>
          <w:p>
            <w:pPr>
              <w:pStyle w:val="Style27"/>
              <w:keepNext w:val="0"/>
              <w:keepLines w:val="0"/>
              <w:widowControl w:val="0"/>
              <w:shd w:val="clear" w:color="auto" w:fill="auto"/>
              <w:tabs>
                <w:tab w:pos="538" w:val="left"/>
              </w:tabs>
              <w:bidi w:val="0"/>
              <w:spacing w:before="0" w:after="0" w:line="312" w:lineRule="exact"/>
              <w:ind w:left="0" w:right="0" w:firstLine="0"/>
              <w:jc w:val="both"/>
              <w:rPr>
                <w:sz w:val="18"/>
                <w:szCs w:val="18"/>
              </w:rPr>
            </w:pPr>
            <w:r>
              <w:rPr>
                <w:color w:val="000000"/>
                <w:spacing w:val="0"/>
                <w:w w:val="100"/>
                <w:position w:val="0"/>
                <w:sz w:val="17"/>
                <w:szCs w:val="17"/>
              </w:rPr>
              <w:t>（二）</w:t>
              <w:tab/>
              <w:t>在前述事项发生之日起十个交易日内，公司可停止发放本公司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本人的现金分 红，且本公司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本人持有的公司股份不得转让，直至本公司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本人采取上述稳定股价措 施并实施完毕。</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甘云龙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黄伟斌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李兴锐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秋英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郑映虹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朱和安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自锁定期届满之日起，本人减持金溢科技股票时，将依照《中华人民共和国公司法》、 《中华人民共和国证券法》、中国证监会和证券交易所的相关规定执行。如本人违反 持股锁定期承诺或法律强制性规定而减持金溢科技股份的，本人承诺违规减持股份所 得归金溢科技所有。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深圳市金溢科 技股份有限公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公司关于信息披露责任的承诺：本公司承诺本次发行上市的《招股说明书》及其摘要 不存在虚假记载、误导性陈述或重大遗漏，并对其真实性、准确性和完整性承担个别 和连带的法律责任。若在投资者缴纳股票申购款后且本公司股票尚未上市交易前，因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81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本次发行上市的《招股说明书》及其摘要有虚假记载、误导性陈述或者重大遗漏，对 判断本公司是否符合法律规定的发行条件构成重大、实质影响的，对于首次公开发行 的全部新股，本公司将按照投资者所缴纳股票申购款加同期存款利息予以退款。若在 本公司首次公开发行的股票上市交易后，因本公司本次发行上市的《招股说明书》及 其摘要有虚假记载、误导性陈述或者重大遗漏，导致对判断本公司是否符合法律规定 的发行条件构成重大、实质影响的，本公司将依法回购首次公开发行的全部新股，回 购价格不低于首次公开发行股票时的发行价（如自首次公开发行公司发生过除权除息 等事项的，价格应相应调整），并根据相关法律、法规规定的程序实施。上述回购实 施时法律、法规另有规定的从其规定。本公司将及时提出预案，并提交董事会、股东 大会讨论。若因本公司本次发行上市的《招股说明书》及其摘要有虚假记载、误导性 陈述或者重大遗漏，致使投资者在证券交易中遭受损失的，本公司将依法赔偿投资者 损失，但本公司能够证明自己没有过错的除外。在该等违法事实被中国证监会、证券 交易所或司法机关认定后，本公司将本着主动沟通、尽快赔偿、切实保障投资者特别 是中小投资者利益的原则，按照投资者在证券交易中直接遭受的可测算的经济损失选 择与投资者沟通赔偿。该等损失的赔偿金额以投资者能举证证实的因此而实际发生的 直接损失为限，不包括间接损失。具体的赔偿标准、赔偿主体范围、赔偿金额等细节 内容待上述情形实际发生时，依据最终确定的赔偿方案为准。如本公司《招股说明书》 及其摘要经中国证监会认定存在虚假记载、误导性陈述或者重大遗漏，而本公司自中 国证监会作出认定之日起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个交易日内仍未开始履行上述承诺，则本公司有权人士 应在前述期限届满之日起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个交易日内召集董事会并通过决议：利用本公司现金并 用该等现金回购公司首次公开发行的全部新股或赔偿投资者，现金不足部分可通过处 置公司资产等方式补足。如有权人士未能召集董事会或董事会未能通过相关决议或董 事会在决议通过后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个交易日内未能提请股东大会审议，投资者可依法起诉要求其履 行职责，或根据公司章程规定要求监事会提请罢免相关董事，直至公司董事会通过相 关决议并提请股东大会审议相关决议。公司将于股东大会通过相关决议后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日内履 行回购义务及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或赔偿义务。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明宽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实际控制人关于避免因追缴税收优惠而给公司造成损失的承诺</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若日后国家税务主管部门要求公司补缴因享受有关税收优惠政策而免缴及少缴的企 业所得税，则承诺人将以连带责任方式，无条件全额承担公司在上市前应补缴的税款 及因此所产生的所有相关费用，以避免给公司或公司其他股东尤其是未来的社会公众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16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股东造成损失或影响。</w:t>
            </w:r>
          </w:p>
          <w:p>
            <w:pPr>
              <w:pStyle w:val="Style27"/>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如承诺人违反上述承诺，承诺人将在公司股东大会及中国证监会指定报刊上公开说明 未履行上述承诺的原因并向公司股东和社会公众投资者道歉，并以违反上述承诺发生 之日起当年度或以后年度公司利润分配方案中承诺人享有的现金分红作为履约担保， 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明宽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实际控制人关于瑕疵租赁的承诺：</w:t>
            </w:r>
          </w:p>
          <w:p>
            <w:pPr>
              <w:pStyle w:val="Style27"/>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未取得相关权属证明之租赁房产以及未办理租赁备案之房产非用于公司研发及生产， 对公司主营业务不构成重大影响。公司在可预见的期间内可稳定地租用该等房产。如 发生因瑕疵租赁场地拆迁或其他原因无法继续租用情形，公司将无条件组织相关场地 搬迁。由此而导致公司产生的相关经济损失，由本人无条件承担。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刘咏平、杨成、 王明宽、李娜、 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 制人关于瑕疵 租赁的承诺''已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日履行完 毕，罗瑞发的 承诺正常履行 中。</w:t>
            </w: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深圳市金溢科 技股份有限公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本公司对填补回报的若干措施及承诺如下：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、公司面临的主要风险的改进措施、提 高运营效率及业绩的具体措施。（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）凭借公司在业内多年的技术积累、丰富的产品线、 灵活的营运机制等方面的优势，坚持高端化发展，以</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产品为主要市场发展方向， 进一步凝聚高层次人才，提升服务能力。（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）强化专业化发展原则，继续巩固和深化 公司在高速公路智能交通等方面的优势，加大研发投入和技术储备，进一步扩大核心 领域的业务规模，提升市场占有率。（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）坚持以龙头产品带动其他创新产品的发展原 则，完善产品品种，提升交付能力，大力拓展国内高速公路智能交通产品市场，充分 抓住国家大力推进全国</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联网促进行业发展的历史机遇。（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）有效控制应收账款 回款速度及存货周转速度，降低运营成本。（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）多渠道募集资金，降低资金成本，确 保公司持续经营能力。（</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）加快募投项目的建设，尽快实现效益。（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）进一步优化资 金管理和信息系统等，提高资金使用效率和经营管理水平。（</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）加强预算管理和费用 考核，约束董事和高级管理人员的职务消费行为，严格禁止动用公司资产从事与其履 行职责无关的投资、消费活动，提升公司盈利能力。（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）加强人力资源管理，优化绩 效评估和考核，提升人均绩效。董事会或薪酬与考核委员会制订的薪酬制度与公司填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38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补回报措施的执行情况相挂钩，公司股权激励的行权条件与公司填补回报措施的执行 情况相挂钩。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、加快募投项目投资进度，争取早日实现项目预期效益。本次募集资 金项目有利于大幅提升公司产品的交付能力、有利于完善公司的基础研发体系、提升 产品的研发能力。公司将加快上述募投项目的投资进度，争取早日实现预期效益，尽 快提升公司的盈利能力。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、提高资金使用效率，保证公司经营规模的扩大。公司拟 将首次公开发行股票募集的</w:t>
            </w:r>
            <w:r>
              <w:rPr>
                <w:rFonts w:ascii="Times New Roman" w:eastAsia="Times New Roman" w:hAnsi="Times New Roman" w:cs="Times New Roman"/>
                <w:color w:val="000000"/>
                <w:spacing w:val="0"/>
                <w:w w:val="100"/>
                <w:position w:val="0"/>
                <w:sz w:val="18"/>
                <w:szCs w:val="18"/>
              </w:rPr>
              <w:t>5,041.88</w:t>
            </w:r>
            <w:r>
              <w:rPr>
                <w:color w:val="000000"/>
                <w:spacing w:val="0"/>
                <w:w w:val="100"/>
                <w:position w:val="0"/>
              </w:rPr>
              <w:t>万元资金用作补充营运资金，公司将提高该部分 资金的使用效率，以保证公司经营规模的扩大，并为公司持续健康发展及业务链延伸 提供资金支持。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、优化投资回报机制。根据《上市公司监管指引第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 司现金分红》等相关规定，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 了《深圳市金溢科技股份有限公司首次公开发行人民币普通股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股）并上市后三年 股东分红回报规划》，并制定了 </w:t>
            </w:r>
            <w:r>
              <w:rPr>
                <w:rFonts w:ascii="Times New Roman" w:eastAsia="Times New Roman" w:hAnsi="Times New Roman" w:cs="Times New Roman"/>
                <w:color w:val="000000"/>
                <w:spacing w:val="0"/>
                <w:w w:val="100"/>
                <w:position w:val="0"/>
                <w:sz w:val="18"/>
                <w:szCs w:val="18"/>
              </w:rPr>
              <w:t>2014 ~ 2016</w:t>
            </w:r>
            <w:r>
              <w:rPr>
                <w:color w:val="000000"/>
                <w:spacing w:val="0"/>
                <w:w w:val="100"/>
                <w:position w:val="0"/>
              </w:rPr>
              <w:t>年股东分红回报计划。公司上市后将优先 采用现金分红的方式分配利润，注重对投资者尤其是中小股东的回报。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深圳市敏行电 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第一大股东敏行电子对填补回报的若干措施及承诺如下：</w:t>
            </w:r>
          </w:p>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公司的第一大股东根据中国证监会的有关规定及要求，就公司本次发行涉及的每股收 益即期回报被摊薄的填补回报措施作出如下承诺：不越权干预公司经营管理活动，不 侵占公司利益。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8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蔡福春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甘云龙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关志超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刘厚军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明宽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翁小雄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 岳明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郑映 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周海荣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公司董事、高级管理人员及实际控制人关于填补被摊薄即期回报的相关承诺： 公司董事、高级管理人员及实际控制人根据中国证监会的有关规定及要求，就公司本 次发行涉及的每股收益即期回报被摊薄的填补回报措施等有关事项作出如下确认及 承诺：</w:t>
            </w:r>
          </w:p>
          <w:p>
            <w:pPr>
              <w:pStyle w:val="Style27"/>
              <w:keepNext w:val="0"/>
              <w:keepLines w:val="0"/>
              <w:widowControl w:val="0"/>
              <w:shd w:val="clear" w:color="auto" w:fill="auto"/>
              <w:tabs>
                <w:tab w:pos="264"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本人承诺忠实、勤勉地履行职责，维护公司和全体股东的合法权益。</w:t>
            </w:r>
          </w:p>
          <w:p>
            <w:pPr>
              <w:pStyle w:val="Style27"/>
              <w:keepNext w:val="0"/>
              <w:keepLines w:val="0"/>
              <w:widowControl w:val="0"/>
              <w:shd w:val="clear" w:color="auto" w:fill="auto"/>
              <w:tabs>
                <w:tab w:pos="27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本人承诺不得越权干预公司经营管理活动，不得侵占公司利益。</w:t>
            </w:r>
          </w:p>
          <w:p>
            <w:pPr>
              <w:pStyle w:val="Style27"/>
              <w:keepNext w:val="0"/>
              <w:keepLines w:val="0"/>
              <w:widowControl w:val="0"/>
              <w:shd w:val="clear" w:color="auto" w:fill="auto"/>
              <w:tabs>
                <w:tab w:pos="245"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本人承诺不无偿或以不公平条件向其他单位或者个人输送利益，也不得采用其他 方式损害公司利益。</w:t>
            </w:r>
          </w:p>
          <w:p>
            <w:pPr>
              <w:pStyle w:val="Style27"/>
              <w:keepNext w:val="0"/>
              <w:keepLines w:val="0"/>
              <w:widowControl w:val="0"/>
              <w:shd w:val="clear" w:color="auto" w:fill="auto"/>
              <w:tabs>
                <w:tab w:pos="254"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本人承诺对本人职务消费行为进行约束。</w:t>
            </w:r>
          </w:p>
          <w:p>
            <w:pPr>
              <w:pStyle w:val="Style27"/>
              <w:keepNext w:val="0"/>
              <w:keepLines w:val="0"/>
              <w:widowControl w:val="0"/>
              <w:shd w:val="clear" w:color="auto" w:fill="auto"/>
              <w:tabs>
                <w:tab w:pos="26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本人承诺不动用公司资产从事与其履行职责无关的投资、消费活动。</w:t>
            </w:r>
          </w:p>
          <w:p>
            <w:pPr>
              <w:pStyle w:val="Style27"/>
              <w:keepNext w:val="0"/>
              <w:keepLines w:val="0"/>
              <w:widowControl w:val="0"/>
              <w:shd w:val="clear" w:color="auto" w:fill="auto"/>
              <w:tabs>
                <w:tab w:pos="27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本人承诺在自身职责和权限范围内，全力促使公司董事会或者薪酬与考核委员会 制定的薪酬制度与公司填补回报措施的执行情况相挂钩，并对公司董事会和股东大会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234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9" w:lineRule="exact"/>
              <w:ind w:left="0" w:right="0" w:firstLine="0"/>
              <w:jc w:val="both"/>
            </w:pPr>
            <w:r>
              <w:rPr>
                <w:color w:val="000000"/>
                <w:spacing w:val="0"/>
                <w:w w:val="100"/>
                <w:position w:val="0"/>
              </w:rPr>
              <w:t>审议的相关议案投票赞成（如有表决权）。</w:t>
            </w:r>
          </w:p>
          <w:p>
            <w:pPr>
              <w:pStyle w:val="Style27"/>
              <w:keepNext w:val="0"/>
              <w:keepLines w:val="0"/>
              <w:widowControl w:val="0"/>
              <w:shd w:val="clear" w:color="auto" w:fill="auto"/>
              <w:tabs>
                <w:tab w:pos="274" w:val="left"/>
              </w:tabs>
              <w:bidi w:val="0"/>
              <w:spacing w:before="0" w:after="40" w:line="319"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如公司拟实施股权激励，本人承诺在自身职责和权限范围内，全力促使公司拟公 布的股权激励行权条件与公司填补回报措施的执行情况相挂钩，并对公司董事会和股 东大会审议的相关议案投票赞成（如有表决权）。</w:t>
            </w:r>
          </w:p>
          <w:p>
            <w:pPr>
              <w:pStyle w:val="Style27"/>
              <w:keepNext w:val="0"/>
              <w:keepLines w:val="0"/>
              <w:widowControl w:val="0"/>
              <w:shd w:val="clear" w:color="auto" w:fill="auto"/>
              <w:tabs>
                <w:tab w:pos="269"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若中国证监会或深圳证券交易所对本人有关确保本次发行摊薄即期回报事项的填 补回报措施得以切实履行的承诺有不同要求的，本人将自愿无条件按照中国证监会或 深圳证券交易所的要求予以承诺。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4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深圳市金溢科 技股份有限公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公司将严格履行本公司就首次公开发行股票并上市所作出的所有公开承诺事项，积 极接受社会监督。如未能履行、确已无法履行或无法按期履行其在招股说明书中所作 出的相关承诺，其将按照所作出的承诺采取如下措施：</w:t>
            </w:r>
          </w:p>
          <w:p>
            <w:pPr>
              <w:pStyle w:val="Style27"/>
              <w:keepNext w:val="0"/>
              <w:keepLines w:val="0"/>
              <w:widowControl w:val="0"/>
              <w:shd w:val="clear" w:color="auto" w:fill="auto"/>
              <w:tabs>
                <w:tab w:pos="259"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在股东大会及中国证监会指定报刊上公开说明未履行的具体原因并向股东和社会 公众投资者道歉。</w:t>
            </w:r>
          </w:p>
          <w:p>
            <w:pPr>
              <w:pStyle w:val="Style27"/>
              <w:keepNext w:val="0"/>
              <w:keepLines w:val="0"/>
              <w:widowControl w:val="0"/>
              <w:shd w:val="clear" w:color="auto" w:fill="auto"/>
              <w:tabs>
                <w:tab w:pos="278"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给投资者造成损失的，本公司将向投资者依法承担赔偿责任。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3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蔡福春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甘云龙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厚军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 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深圳市敏 行电子有限公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王明宽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郑映虹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失信补救措施承诺：公司第一大股东敏行电子，实际控制人罗瑞发、王明宽、李朝 莉、李娜、杨成、刘咏平，董事郑映虹，监事甘云龙和钟勇，以及高级管理人员蔡福 春和刘厚军如未能履行、确已无法履行或无法按期履行其在招股说明书中所作出的相 关承诺，其将按照所作出的承诺采取如下措施：</w:t>
            </w:r>
          </w:p>
          <w:p>
            <w:pPr>
              <w:pStyle w:val="Style27"/>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在股东大会及中国证监会指定报刊上公开说明未履行的具体原因并向股东和社会 公众投资者道歉。</w:t>
            </w:r>
          </w:p>
          <w:p>
            <w:pPr>
              <w:pStyle w:val="Style27"/>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不得转让公司股份。</w:t>
            </w:r>
          </w:p>
          <w:p>
            <w:pPr>
              <w:pStyle w:val="Style27"/>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暂不领取公司的现金分红。</w:t>
            </w:r>
          </w:p>
          <w:p>
            <w:pPr>
              <w:pStyle w:val="Style27"/>
              <w:keepNext w:val="0"/>
              <w:keepLines w:val="0"/>
              <w:widowControl w:val="0"/>
              <w:shd w:val="clear" w:color="auto" w:fill="auto"/>
              <w:tabs>
                <w:tab w:pos="29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以发行上市当年以及以后年度分红、及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或以发行上市当年以及以后年度从发行人 处领取的薪酬（税后）作为履行相关承诺的履约担保。</w:t>
            </w:r>
          </w:p>
          <w:p>
            <w:pPr>
              <w:pStyle w:val="Style27"/>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因未履行相关承诺事项而获得收益的，所获收益归公司所有。</w:t>
            </w:r>
          </w:p>
          <w:p>
            <w:pPr>
              <w:pStyle w:val="Style27"/>
              <w:keepNext w:val="0"/>
              <w:keepLines w:val="0"/>
              <w:widowControl w:val="0"/>
              <w:shd w:val="clear" w:color="auto" w:fill="auto"/>
              <w:tabs>
                <w:tab w:pos="274" w:val="left"/>
              </w:tabs>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给投资者造成损失的，依法赔偿投资者损失，但本人能够证明自己没有过错的除 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关志超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翁小雄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许岳明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周海荣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失信补救措施承诺：独立董事许岳明、翁小雄、关志超及监事周海荣如未能履行、 确已无法履行或无法按期履行其在招股说明书中所作出的相关承诺，其将按照所作出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172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的承诺采取如下措施：</w:t>
            </w:r>
          </w:p>
          <w:p>
            <w:pPr>
              <w:pStyle w:val="Style27"/>
              <w:keepNext w:val="0"/>
              <w:keepLines w:val="0"/>
              <w:widowControl w:val="0"/>
              <w:shd w:val="clear" w:color="auto" w:fill="auto"/>
              <w:tabs>
                <w:tab w:pos="278"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以发行上市当年以及以后年度从发行人处领取的薪酬（税后）作为履行相关承诺 的履约担保。</w:t>
            </w:r>
          </w:p>
          <w:p>
            <w:pPr>
              <w:pStyle w:val="Style27"/>
              <w:keepNext w:val="0"/>
              <w:keepLines w:val="0"/>
              <w:widowControl w:val="0"/>
              <w:shd w:val="clear" w:color="auto" w:fill="auto"/>
              <w:tabs>
                <w:tab w:pos="278" w:val="left"/>
              </w:tabs>
              <w:bidi w:val="0"/>
              <w:spacing w:before="0" w:after="4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给投资者造成损失的，依法赔偿投资者损失，但本人能够证明自己没有过错的除 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7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明宽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实际控制人关于补缴员工社会保险基金、住房公积金的承诺：</w:t>
            </w:r>
          </w:p>
          <w:p>
            <w:pPr>
              <w:pStyle w:val="Style27"/>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7"/>
                <w:szCs w:val="17"/>
              </w:rPr>
              <w:t>若日后公司或其分公司所在地社会保险基金、住房公积金主管部门要求公司对以前年 度的员工社会保险基金、住房公积金进行补缴，则承诺人将按主管部门核定的金额， 以连带责任方式，无条件全额承担公司在上市前应补缴的金额及因此所产生的所有相 关费用，以避免给公司或公司其他股东尤其是未来的社会公众股东造成损失或影响。 如承诺人违反上述承诺，承诺人将在公司股东大会及中国证监会指定报刊上公开说明 未履行上述承诺的原因并向公司股东和社会公众投资者道歉，并以违反上述承诺发生 之日起当年度或以后年度公司利润分配方案中承诺人享有的现金分红作为履约担保， 同时在履行承诺前，承诺人持有的公司股份将不得转让。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9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咏平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圳市敏行电子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王明 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第一大股东敏行电子、实际控制人罗瑞发、王明宽、杨成、刘咏平、李朝莉、李娜 关于信息披露责任的承诺：</w:t>
            </w:r>
          </w:p>
          <w:p>
            <w:pPr>
              <w:pStyle w:val="Style27"/>
              <w:keepNext w:val="0"/>
              <w:keepLines w:val="0"/>
              <w:widowControl w:val="0"/>
              <w:shd w:val="clear" w:color="auto" w:fill="auto"/>
              <w:bidi w:val="0"/>
              <w:spacing w:before="0" w:after="40" w:line="341"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本人承诺本次发行上市的《招股说明书》及其摘要不存在虚假记载、误导性 陈述或重大遗漏，并对其真实性、准确性和完整性承担个别和连带的法律责任。</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若在发行人首次公开发行的股票上市交易后，因发行人本次发行上市的《招股说明书》 及其摘要有虚假记载、误导性陈述或者重大遗漏，导致对判断发行人是否符合法律规 定的发行条件构成重大、实质影响的，本公司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本人将督促公司依法回购本次发行的 全部新股。</w:t>
            </w:r>
          </w:p>
          <w:p>
            <w:pPr>
              <w:pStyle w:val="Style27"/>
              <w:keepNext w:val="0"/>
              <w:keepLines w:val="0"/>
              <w:widowControl w:val="0"/>
              <w:shd w:val="clear" w:color="auto" w:fill="auto"/>
              <w:bidi w:val="0"/>
              <w:spacing w:before="0" w:after="40" w:line="298" w:lineRule="exact"/>
              <w:ind w:left="0" w:right="0" w:firstLine="0"/>
              <w:jc w:val="left"/>
            </w:pPr>
            <w:r>
              <w:rPr>
                <w:color w:val="000000"/>
                <w:spacing w:val="0"/>
                <w:w w:val="100"/>
                <w:position w:val="0"/>
              </w:rPr>
              <w:t>若因发行人本次发行上市的《招股说明书》及其摘要有虚假记载、误导性陈述或者重 大遗漏，致使投资者在证券交易中遭受损失的，本公司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本人将依法赔偿投资者损失, 但本公司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本人能够证明自己没有过错的除外。</w:t>
            </w:r>
          </w:p>
          <w:p>
            <w:pPr>
              <w:pStyle w:val="Style27"/>
              <w:keepNext w:val="0"/>
              <w:keepLines w:val="0"/>
              <w:widowControl w:val="0"/>
              <w:shd w:val="clear" w:color="auto" w:fill="auto"/>
              <w:bidi w:val="0"/>
              <w:spacing w:before="0" w:after="40" w:line="314" w:lineRule="exact"/>
              <w:ind w:left="0" w:right="0" w:firstLine="0"/>
              <w:jc w:val="left"/>
            </w:pPr>
            <w:r>
              <w:rPr>
                <w:color w:val="000000"/>
                <w:spacing w:val="0"/>
                <w:w w:val="100"/>
                <w:position w:val="0"/>
              </w:rPr>
              <w:t>在该等违法事实被中国证监会、证券交易所或司法机关认定后，本公司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本人将本着 主动沟通、尽快赔偿、切实保障投资者特别是中小投资者利益的原则，按照投资者在 证券交易中直接遭受的可测算的经济损失选择与投资者沟通赔偿，通过设立投资者赔 偿基金等方式积极赔偿投资者由此遭受的直接经济损失。该等损失的赔偿金额以投资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598"/>
        <w:gridCol w:w="1277"/>
        <w:gridCol w:w="989"/>
        <w:gridCol w:w="6662"/>
        <w:gridCol w:w="1138"/>
        <w:gridCol w:w="1133"/>
        <w:gridCol w:w="1238"/>
      </w:tblGrid>
      <w:tr>
        <w:trPr>
          <w:trHeight w:val="16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5" w:lineRule="exact"/>
              <w:ind w:left="0" w:right="0" w:firstLine="0"/>
              <w:jc w:val="both"/>
            </w:pPr>
            <w:r>
              <w:rPr>
                <w:color w:val="000000"/>
                <w:spacing w:val="0"/>
                <w:w w:val="100"/>
                <w:position w:val="0"/>
              </w:rPr>
              <w:t>者因此而实际发生的直接损失为限。具体的赔偿标准、赔偿主体范围、赔偿金额等细 节内容待上述情形实际发生时，依据最终确定的赔偿方案为准。</w:t>
            </w:r>
          </w:p>
          <w:p>
            <w:pPr>
              <w:pStyle w:val="Style27"/>
              <w:keepNext w:val="0"/>
              <w:keepLines w:val="0"/>
              <w:widowControl w:val="0"/>
              <w:shd w:val="clear" w:color="auto" w:fill="auto"/>
              <w:bidi w:val="0"/>
              <w:spacing w:before="0" w:after="0" w:line="325" w:lineRule="exact"/>
              <w:ind w:left="0" w:right="0" w:firstLine="0"/>
              <w:jc w:val="both"/>
              <w:rPr>
                <w:sz w:val="18"/>
                <w:szCs w:val="18"/>
              </w:rPr>
            </w:pP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本人以发行人发行上市当年及以后年度利润分配方案中应享有的分红作为履 约担保。此外，若本公司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本人未履行上述赔偿义务，则在履行承诺前，本公司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 直接或间接所持的发行人股份均不得转让。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蔡福春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甘云龙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关志超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李朝莉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刘厚军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刘咏平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罗瑞发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王明宽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翁小雄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许岳明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郑映虹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周海荣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董事罗瑞发、杨成、李朝莉、郑映虹、关志超、许岳明和翁小雄，监事周海荣、甘 云龙和钟勇，其他高级管理人员刘咏平、王明宽、蔡福春和刘厚军关于信息披露责任 的承诺：</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本人承诺发行人本次发行上市的《招股说明书》及其摘要不存在虚假记载、误导性陈 述或重大遗漏，并对其真实性、准确性和完整性承担个别和连带的法律责任。</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若因发行人本次发行上市《招股说明书》及其摘要有虚假记载、误导性陈述或者重大 遗漏，致使投资者在证券交易中遭受损失的，本人将依法赔偿投资者损失，但本人能 够证明自己没有过错的除外。</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在该等违法事实被中国证监会、证券交易所或司法机关认定后，本人将本着主动沟通、 尽快赔偿、切实保障投资者特别是中小投资者利益的原则，按照投资者在证券交易中 直接遭受的可测算的经济损失选择与投资者沟通赔偿，通过设立投资者赔偿基金等方 式积极赔偿投资者由此遭受的直接经济损失。该等损失的赔偿金额以投资者因此而实 际发生的直接损失为限。具体的赔偿标准、赔偿主体范围、赔偿金额等细节内容待上 述情形实际发生时，依据最终确定的赔偿方案为准。</w:t>
            </w:r>
          </w:p>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本人以发行上市当年以及以后年度的从发行人处领取的薪酬（税后）作为上述承诺的 履约担保，此外，若本人未履行上述赔偿义务，则在履行承诺前，本人直接或间接所 持的发行人股份（如有）不得转让。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深圳市金溢科 技股份有限公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（一）公司将采取现金、或者股票、或者现金与股票相结合、或者法律法规允许的 其他方式分配利润。在符合现金分红的条件下，公司应当优先采取现金分红的方式进 行利润分配。公司原则上每年度进行一次利润分配；公司董事会还可以根据公司盈利 及资金状况提议公司进行中期分红。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headerReference w:type="default" r:id="rId11"/>
          <w:footerReference w:type="default" r:id="rId12"/>
          <w:footnotePr>
            <w:pos w:val="pageBottom"/>
            <w:numFmt w:val="decimal"/>
            <w:numRestart w:val="continuous"/>
          </w:footnotePr>
          <w:pgSz w:w="16840" w:h="11900" w:orient="landscape"/>
          <w:pgMar w:top="1096" w:right="1402" w:bottom="1204" w:left="1402" w:header="0" w:footer="3" w:gutter="0"/>
          <w:cols w:space="720"/>
          <w:noEndnote/>
          <w:rtlGutter w:val="0"/>
          <w:docGrid w:linePitch="360"/>
        </w:sectPr>
      </w:pPr>
    </w:p>
    <w:p>
      <w:pPr>
        <w:pStyle w:val="Style37"/>
        <w:keepNext/>
        <w:keepLines/>
        <w:widowControl w:val="0"/>
        <w:shd w:val="clear" w:color="auto" w:fill="auto"/>
        <w:bidi w:val="0"/>
        <w:spacing w:before="0" w:after="260" w:line="322" w:lineRule="exact"/>
        <w:ind w:left="0" w:right="0" w:firstLine="0"/>
        <w:jc w:val="both"/>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、公司资产或项目存在盈利预测，且报告期仍处在盈利预测期间，公司就资产或项目达到原盈利预测及 其原因做出说明</w:t>
      </w:r>
      <w:bookmarkEnd w:id="325"/>
      <w:bookmarkEnd w:id="326"/>
      <w:bookmarkEnd w:id="328"/>
    </w:p>
    <w:p>
      <w:pPr>
        <w:pStyle w:val="Style34"/>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3" w:val="left"/>
        </w:tabs>
        <w:bidi w:val="0"/>
        <w:spacing w:before="0" w:after="22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sz w:val="24"/>
          <w:szCs w:val="24"/>
        </w:rPr>
        <w:t>四</w:t>
      </w:r>
      <w:bookmarkEnd w:id="331"/>
      <w:r>
        <w:rPr>
          <w:color w:val="000000"/>
          <w:spacing w:val="0"/>
          <w:w w:val="100"/>
          <w:position w:val="0"/>
          <w:sz w:val="24"/>
          <w:szCs w:val="24"/>
        </w:rPr>
        <w:t>、</w:t>
        <w:tab/>
        <w:t>控股股东及其关联方对上市公司的非经营性占用资金情况</w:t>
      </w:r>
      <w:bookmarkEnd w:id="329"/>
      <w:bookmarkEnd w:id="330"/>
      <w:bookmarkEnd w:id="332"/>
    </w:p>
    <w:p>
      <w:pPr>
        <w:pStyle w:val="Style34"/>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公司报告期不存在控股股东及其关联方对上市公司的非经营性占用资金。</w:t>
      </w:r>
    </w:p>
    <w:p>
      <w:pPr>
        <w:pStyle w:val="Style30"/>
        <w:keepNext/>
        <w:keepLines/>
        <w:widowControl w:val="0"/>
        <w:shd w:val="clear" w:color="auto" w:fill="auto"/>
        <w:tabs>
          <w:tab w:pos="523" w:val="left"/>
        </w:tabs>
        <w:bidi w:val="0"/>
        <w:spacing w:before="0" w:after="260" w:line="240" w:lineRule="auto"/>
        <w:ind w:left="0" w:right="0" w:firstLine="0"/>
        <w:jc w:val="both"/>
      </w:pPr>
      <w:bookmarkStart w:id="333" w:name="bookmark333"/>
      <w:bookmarkStart w:id="334" w:name="bookmark334"/>
      <w:bookmarkStart w:id="335" w:name="bookmark335"/>
      <w:bookmarkStart w:id="336" w:name="bookmark336"/>
      <w:r>
        <w:rPr>
          <w:color w:val="000000"/>
          <w:spacing w:val="0"/>
          <w:w w:val="100"/>
          <w:position w:val="0"/>
          <w:sz w:val="24"/>
          <w:szCs w:val="24"/>
        </w:rPr>
        <w:t>五</w:t>
      </w:r>
      <w:bookmarkEnd w:id="33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3"/>
      <w:bookmarkEnd w:id="334"/>
      <w:bookmarkEnd w:id="336"/>
    </w:p>
    <w:p>
      <w:pPr>
        <w:pStyle w:val="Style34"/>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3" w:val="left"/>
        </w:tabs>
        <w:bidi w:val="0"/>
        <w:spacing w:before="0" w:after="2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六</w:t>
      </w:r>
      <w:bookmarkEnd w:id="339"/>
      <w:r>
        <w:rPr>
          <w:color w:val="000000"/>
          <w:spacing w:val="0"/>
          <w:w w:val="100"/>
          <w:position w:val="0"/>
          <w:sz w:val="24"/>
          <w:szCs w:val="24"/>
        </w:rPr>
        <w:t>、</w:t>
        <w:tab/>
        <w:t>与上年度财务报告相比，会计政策、会计估计和核算方法发生变化的情况说明</w:t>
      </w:r>
      <w:bookmarkEnd w:id="337"/>
      <w:bookmarkEnd w:id="338"/>
      <w:bookmarkEnd w:id="340"/>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360" w:line="314" w:lineRule="exact"/>
        <w:ind w:left="0" w:right="0" w:firstLine="40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号），根据 财政部要求，在境内外同时上市的企业以及在境外上市并采用国际财务报告准则或企业会计准则编制财务报表的企业，自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日起执行新收入准则，根据新旧准则转换的衔接规定，公司应当根据首次执行新收入准则的累积影响 数，调整首次执行新收入准则当年年初留存收益及财务报表其他相关项目金额，对可比期间信息不予调整。本次公司会计政 策变更预计不会对公司收入确认方式发生重大变化，对公司当期及前期的净利润、总资产和净资产等相关财务指标不产生重 大影响。</w:t>
      </w:r>
    </w:p>
    <w:p>
      <w:pPr>
        <w:pStyle w:val="Style30"/>
        <w:keepNext/>
        <w:keepLines/>
        <w:widowControl w:val="0"/>
        <w:shd w:val="clear" w:color="auto" w:fill="auto"/>
        <w:tabs>
          <w:tab w:pos="523" w:val="left"/>
        </w:tabs>
        <w:bidi w:val="0"/>
        <w:spacing w:before="0" w:after="220" w:line="240" w:lineRule="auto"/>
        <w:ind w:left="0" w:right="0" w:firstLine="0"/>
        <w:jc w:val="both"/>
      </w:pPr>
      <w:bookmarkStart w:id="341" w:name="bookmark341"/>
      <w:bookmarkStart w:id="342" w:name="bookmark342"/>
      <w:bookmarkStart w:id="343" w:name="bookmark343"/>
      <w:bookmarkStart w:id="344" w:name="bookmark344"/>
      <w:r>
        <w:rPr>
          <w:color w:val="000000"/>
          <w:spacing w:val="0"/>
          <w:w w:val="100"/>
          <w:position w:val="0"/>
          <w:sz w:val="24"/>
          <w:szCs w:val="24"/>
        </w:rPr>
        <w:t>七</w:t>
      </w:r>
      <w:bookmarkEnd w:id="343"/>
      <w:r>
        <w:rPr>
          <w:color w:val="000000"/>
          <w:spacing w:val="0"/>
          <w:w w:val="100"/>
          <w:position w:val="0"/>
          <w:sz w:val="24"/>
          <w:szCs w:val="24"/>
        </w:rPr>
        <w:t>、</w:t>
        <w:tab/>
        <w:t>报告期内发生重大会计差错更正需追溯重述的情况说明</w:t>
      </w:r>
      <w:bookmarkEnd w:id="341"/>
      <w:bookmarkEnd w:id="342"/>
      <w:bookmarkEnd w:id="344"/>
    </w:p>
    <w:p>
      <w:pPr>
        <w:pStyle w:val="Style34"/>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公司报告期无重大会计差错更正需追溯重述的情况。</w:t>
      </w:r>
    </w:p>
    <w:p>
      <w:pPr>
        <w:pStyle w:val="Style30"/>
        <w:keepNext/>
        <w:keepLines/>
        <w:widowControl w:val="0"/>
        <w:shd w:val="clear" w:color="auto" w:fill="auto"/>
        <w:tabs>
          <w:tab w:pos="523" w:val="left"/>
        </w:tabs>
        <w:bidi w:val="0"/>
        <w:spacing w:before="0" w:after="26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sz w:val="24"/>
          <w:szCs w:val="24"/>
        </w:rPr>
        <w:t>八</w:t>
      </w:r>
      <w:bookmarkEnd w:id="347"/>
      <w:r>
        <w:rPr>
          <w:color w:val="000000"/>
          <w:spacing w:val="0"/>
          <w:w w:val="100"/>
          <w:position w:val="0"/>
          <w:sz w:val="24"/>
          <w:szCs w:val="24"/>
        </w:rPr>
        <w:t>、</w:t>
        <w:tab/>
        <w:t>与上年度财务报告相比，合并报表范围发生变化的情况说明</w:t>
      </w:r>
      <w:bookmarkEnd w:id="345"/>
      <w:bookmarkEnd w:id="346"/>
      <w:bookmarkEnd w:id="348"/>
    </w:p>
    <w:p>
      <w:pPr>
        <w:pStyle w:val="Style3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752" w:val="left"/>
        </w:tabs>
        <w:bidi w:val="0"/>
        <w:spacing w:before="0" w:after="0" w:line="312" w:lineRule="exact"/>
        <w:ind w:left="0" w:right="0" w:firstLine="340"/>
        <w:jc w:val="both"/>
      </w:pPr>
      <w:bookmarkStart w:id="349" w:name="bookmark349"/>
      <w:r>
        <w:rPr>
          <w:color w:val="000000"/>
          <w:spacing w:val="0"/>
          <w:w w:val="100"/>
          <w:position w:val="0"/>
        </w:rPr>
        <w:t>（</w:t>
      </w:r>
      <w:bookmarkEnd w:id="3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月设立全资子公司福建金溢科技有限公司，注册资本</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日公司已出 资</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元，占期末实收资本的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月起纳入合并报表范围。</w:t>
      </w:r>
    </w:p>
    <w:p>
      <w:pPr>
        <w:pStyle w:val="Style34"/>
        <w:keepNext w:val="0"/>
        <w:keepLines w:val="0"/>
        <w:widowControl w:val="0"/>
        <w:shd w:val="clear" w:color="auto" w:fill="auto"/>
        <w:tabs>
          <w:tab w:pos="757" w:val="left"/>
        </w:tabs>
        <w:bidi w:val="0"/>
        <w:spacing w:before="0" w:after="360" w:line="312" w:lineRule="exact"/>
        <w:ind w:left="0" w:right="0" w:firstLine="340"/>
        <w:jc w:val="both"/>
      </w:pPr>
      <w:bookmarkStart w:id="350" w:name="bookmark350"/>
      <w:r>
        <w:rPr>
          <w:color w:val="000000"/>
          <w:spacing w:val="0"/>
          <w:w w:val="100"/>
          <w:position w:val="0"/>
        </w:rPr>
        <w:t>（</w:t>
      </w:r>
      <w:bookmarkEnd w:id="3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月转让原持有伟龙金溢科技（深圳）有限公司</w:t>
      </w:r>
      <w:r>
        <w:rPr>
          <w:rFonts w:ascii="Times New Roman" w:eastAsia="Times New Roman" w:hAnsi="Times New Roman" w:cs="Times New Roman"/>
          <w:color w:val="000000"/>
          <w:spacing w:val="0"/>
          <w:w w:val="100"/>
          <w:position w:val="0"/>
          <w:sz w:val="18"/>
          <w:szCs w:val="18"/>
        </w:rPr>
        <w:t>53.85%</w:t>
      </w:r>
      <w:r>
        <w:rPr>
          <w:color w:val="000000"/>
          <w:spacing w:val="0"/>
          <w:w w:val="100"/>
          <w:position w:val="0"/>
        </w:rPr>
        <w:t>的股权，转让后剩余持股比例为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,不再对该 子公司拥有控制权，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月起不再纳入合并范围。</w:t>
      </w:r>
    </w:p>
    <w:p>
      <w:pPr>
        <w:pStyle w:val="Style30"/>
        <w:keepNext/>
        <w:keepLines/>
        <w:widowControl w:val="0"/>
        <w:shd w:val="clear" w:color="auto" w:fill="auto"/>
        <w:tabs>
          <w:tab w:pos="523" w:val="left"/>
        </w:tabs>
        <w:bidi w:val="0"/>
        <w:spacing w:before="0" w:after="36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九</w:t>
      </w:r>
      <w:bookmarkEnd w:id="353"/>
      <w:r>
        <w:rPr>
          <w:color w:val="000000"/>
          <w:spacing w:val="0"/>
          <w:w w:val="100"/>
          <w:position w:val="0"/>
          <w:sz w:val="24"/>
          <w:szCs w:val="24"/>
        </w:rPr>
        <w:t>、</w:t>
        <w:tab/>
        <w:t>聘任、解聘会计师事务所情况</w:t>
      </w:r>
      <w:bookmarkEnd w:id="351"/>
      <w:bookmarkEnd w:id="352"/>
      <w:bookmarkEnd w:id="354"/>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tc>
      </w:tr>
    </w:tbl>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朱中伟，龙海燕</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朱中伟连续服务年限为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年，龙海燕连续服务年限为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pStyle w:val="Style3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当期是否改聘会计师事务所</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十、年度报告披露后面临退市情况</w:t>
      </w:r>
      <w:bookmarkEnd w:id="355"/>
      <w:bookmarkEnd w:id="356"/>
      <w:bookmarkEnd w:id="357"/>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十一、破产重整相关事项</w:t>
      </w:r>
      <w:bookmarkEnd w:id="358"/>
      <w:bookmarkEnd w:id="359"/>
      <w:bookmarkEnd w:id="360"/>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十二、重大诉讼、仲裁事项</w:t>
      </w:r>
      <w:bookmarkEnd w:id="361"/>
      <w:bookmarkEnd w:id="362"/>
      <w:bookmarkEnd w:id="363"/>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本报告期公司无重大诉讼、仲裁事项。</w:t>
      </w:r>
    </w:p>
    <w:p>
      <w:pPr>
        <w:pStyle w:val="Style30"/>
        <w:keepNext/>
        <w:keepLines/>
        <w:widowControl w:val="0"/>
        <w:shd w:val="clear" w:color="auto" w:fill="auto"/>
        <w:bidi w:val="0"/>
        <w:spacing w:before="0" w:after="36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十三、处罚及整改情况</w:t>
      </w:r>
      <w:bookmarkEnd w:id="364"/>
      <w:bookmarkEnd w:id="365"/>
      <w:bookmarkEnd w:id="366"/>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公司报告期不存在处罚及整改情况。</w:t>
      </w:r>
    </w:p>
    <w:p>
      <w:pPr>
        <w:pStyle w:val="Style30"/>
        <w:keepNext/>
        <w:keepLines/>
        <w:widowControl w:val="0"/>
        <w:shd w:val="clear" w:color="auto" w:fill="auto"/>
        <w:bidi w:val="0"/>
        <w:spacing w:before="0" w:after="36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十四、公司及其控股股东、实际控制人的诚信状况</w:t>
      </w:r>
      <w:bookmarkEnd w:id="367"/>
      <w:bookmarkEnd w:id="368"/>
      <w:bookmarkEnd w:id="369"/>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十五、公司股权激励计划、员工持股计划或其他员工激励措施的实施情况</w:t>
      </w:r>
      <w:bookmarkEnd w:id="370"/>
      <w:bookmarkEnd w:id="371"/>
      <w:bookmarkEnd w:id="372"/>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4" w:lineRule="exact"/>
        <w:ind w:left="0" w:right="0" w:firstLine="36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年限制性股票激励计划实施情况</w:t>
      </w:r>
    </w:p>
    <w:p>
      <w:pPr>
        <w:pStyle w:val="Style34"/>
        <w:keepNext w:val="0"/>
        <w:keepLines w:val="0"/>
        <w:widowControl w:val="0"/>
        <w:shd w:val="clear" w:color="auto" w:fill="auto"/>
        <w:tabs>
          <w:tab w:pos="694" w:val="left"/>
        </w:tabs>
        <w:bidi w:val="0"/>
        <w:spacing w:before="0" w:after="0" w:line="314" w:lineRule="exact"/>
        <w:ind w:left="0" w:right="0" w:firstLine="360"/>
        <w:jc w:val="left"/>
      </w:pPr>
      <w:bookmarkStart w:id="373" w:name="bookmark373"/>
      <w:r>
        <w:rPr>
          <w:rFonts w:ascii="Times New Roman" w:eastAsia="Times New Roman" w:hAnsi="Times New Roman" w:cs="Times New Roman"/>
          <w:color w:val="000000"/>
          <w:spacing w:val="0"/>
          <w:w w:val="100"/>
          <w:position w:val="0"/>
          <w:sz w:val="18"/>
          <w:szCs w:val="18"/>
        </w:rPr>
        <w:t>1</w:t>
      </w:r>
      <w:bookmarkEnd w:id="373"/>
      <w:r>
        <w:rPr>
          <w:color w:val="000000"/>
          <w:spacing w:val="0"/>
          <w:w w:val="100"/>
          <w:position w:val="0"/>
        </w:rPr>
        <w:t>、</w:t>
        <w:tab/>
        <w:t>报告期内激励对象的范围</w:t>
      </w:r>
    </w:p>
    <w:p>
      <w:pPr>
        <w:pStyle w:val="Style34"/>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）首次授予原激励对象共</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人，报告期内，激励计划规定的首次授 予限制性股票第一个锁定期于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日届满，首次授予限制性股票第一个解锁期解锁条件已经成就，符合解锁条件的 限制性股票激励对象有</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人，剩余</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人因解锁前离职或不再属于公司及控股子公司的员工，已不符合激励条件、失去本次 限制性股票激励资格。具体情况详见公司于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年限制性股票激励计划首次授予限制性股票第 一个解锁期解锁条件成就的公告》和《关于回购注销部分首次授予的限制性股票的公告》（公告编号：</w:t>
      </w:r>
      <w:r>
        <w:rPr>
          <w:rFonts w:ascii="Times New Roman" w:eastAsia="Times New Roman" w:hAnsi="Times New Roman" w:cs="Times New Roman"/>
          <w:color w:val="000000"/>
          <w:spacing w:val="0"/>
          <w:w w:val="100"/>
          <w:position w:val="0"/>
          <w:sz w:val="18"/>
          <w:szCs w:val="18"/>
        </w:rPr>
        <w:t>2020-084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2020-086</w:t>
      </w:r>
      <w:r>
        <w:rPr>
          <w:color w:val="000000"/>
          <w:spacing w:val="0"/>
          <w:w w:val="100"/>
          <w:position w:val="0"/>
        </w:rPr>
        <w:t>）。</w:t>
      </w:r>
    </w:p>
    <w:p>
      <w:pPr>
        <w:pStyle w:val="Style34"/>
        <w:keepNext w:val="0"/>
        <w:keepLines w:val="0"/>
        <w:widowControl w:val="0"/>
        <w:shd w:val="clear" w:color="auto" w:fill="auto"/>
        <w:tabs>
          <w:tab w:pos="714" w:val="left"/>
        </w:tabs>
        <w:bidi w:val="0"/>
        <w:spacing w:before="0" w:after="0" w:line="314" w:lineRule="exact"/>
        <w:ind w:left="0" w:right="0" w:firstLine="360"/>
        <w:jc w:val="both"/>
      </w:pPr>
      <w:bookmarkStart w:id="374" w:name="bookmark374"/>
      <w:r>
        <w:rPr>
          <w:rFonts w:ascii="Times New Roman" w:eastAsia="Times New Roman" w:hAnsi="Times New Roman" w:cs="Times New Roman"/>
          <w:color w:val="000000"/>
          <w:spacing w:val="0"/>
          <w:w w:val="100"/>
          <w:position w:val="0"/>
          <w:sz w:val="18"/>
          <w:szCs w:val="18"/>
        </w:rPr>
        <w:t>2</w:t>
      </w:r>
      <w:bookmarkEnd w:id="374"/>
      <w:r>
        <w:rPr>
          <w:color w:val="000000"/>
          <w:spacing w:val="0"/>
          <w:w w:val="100"/>
          <w:position w:val="0"/>
        </w:rPr>
        <w:t>、</w:t>
        <w:tab/>
        <w:t>报告期内授出、行使和失效的权益总额</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报告期内，公司未授出限制性股票。激励计划首次授予限制性股票第一个解锁期可解锁的股票数量为</w:t>
      </w:r>
      <w:r>
        <w:rPr>
          <w:rFonts w:ascii="Times New Roman" w:eastAsia="Times New Roman" w:hAnsi="Times New Roman" w:cs="Times New Roman"/>
          <w:color w:val="000000"/>
          <w:spacing w:val="0"/>
          <w:w w:val="100"/>
          <w:position w:val="0"/>
          <w:sz w:val="18"/>
          <w:szCs w:val="18"/>
        </w:rPr>
        <w:t>1,968,045</w:t>
      </w:r>
      <w:r>
        <w:rPr>
          <w:color w:val="000000"/>
          <w:spacing w:val="0"/>
          <w:w w:val="100"/>
          <w:position w:val="0"/>
        </w:rPr>
        <w:t xml:space="preserve">股；不符 </w:t>
      </w:r>
      <w:r>
        <w:rPr>
          <w:color w:val="000000"/>
          <w:spacing w:val="0"/>
          <w:w w:val="100"/>
          <w:position w:val="0"/>
        </w:rPr>
        <w:t>合解锁条件的</w:t>
      </w:r>
      <w:r>
        <w:rPr>
          <w:rFonts w:ascii="Times New Roman" w:eastAsia="Times New Roman" w:hAnsi="Times New Roman" w:cs="Times New Roman"/>
          <w:color w:val="000000"/>
          <w:spacing w:val="0"/>
          <w:w w:val="100"/>
          <w:position w:val="0"/>
          <w:sz w:val="18"/>
          <w:szCs w:val="18"/>
        </w:rPr>
        <w:t>141,144</w:t>
      </w:r>
      <w:r>
        <w:rPr>
          <w:color w:val="000000"/>
          <w:spacing w:val="0"/>
          <w:w w:val="100"/>
          <w:position w:val="0"/>
        </w:rPr>
        <w:t>股限制性股票由公司回购注销。鉴于激励计划预留授予的激励对象在激励计划经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个月内未确定，预留股份共</w:t>
      </w:r>
      <w:r>
        <w:rPr>
          <w:rFonts w:ascii="Times New Roman" w:eastAsia="Times New Roman" w:hAnsi="Times New Roman" w:cs="Times New Roman"/>
          <w:color w:val="000000"/>
          <w:spacing w:val="0"/>
          <w:w w:val="100"/>
          <w:position w:val="0"/>
          <w:sz w:val="18"/>
          <w:szCs w:val="18"/>
        </w:rPr>
        <w:t>438,628</w:t>
      </w:r>
      <w:r>
        <w:rPr>
          <w:color w:val="000000"/>
          <w:spacing w:val="0"/>
          <w:w w:val="100"/>
          <w:position w:val="0"/>
        </w:rPr>
        <w:t>股在规定时间内未授出，已自动失效。</w:t>
      </w:r>
    </w:p>
    <w:p>
      <w:pPr>
        <w:pStyle w:val="Style34"/>
        <w:keepNext w:val="0"/>
        <w:keepLines w:val="0"/>
        <w:widowControl w:val="0"/>
        <w:shd w:val="clear" w:color="auto" w:fill="auto"/>
        <w:tabs>
          <w:tab w:pos="684" w:val="left"/>
        </w:tabs>
        <w:bidi w:val="0"/>
        <w:spacing w:before="0" w:after="0" w:line="314" w:lineRule="exact"/>
        <w:ind w:left="0" w:right="0"/>
        <w:jc w:val="both"/>
      </w:pPr>
      <w:bookmarkStart w:id="375" w:name="bookmark375"/>
      <w:r>
        <w:rPr>
          <w:rFonts w:ascii="Times New Roman" w:eastAsia="Times New Roman" w:hAnsi="Times New Roman" w:cs="Times New Roman"/>
          <w:color w:val="000000"/>
          <w:spacing w:val="0"/>
          <w:w w:val="100"/>
          <w:position w:val="0"/>
          <w:sz w:val="18"/>
          <w:szCs w:val="18"/>
        </w:rPr>
        <w:t>3</w:t>
      </w:r>
      <w:bookmarkEnd w:id="375"/>
      <w:r>
        <w:rPr>
          <w:color w:val="000000"/>
          <w:spacing w:val="0"/>
          <w:w w:val="100"/>
          <w:position w:val="0"/>
        </w:rPr>
        <w:t>、</w:t>
        <w:tab/>
        <w:t>至报告期末累计已授出但尚未行使的权益总额</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至报告期末公司累计已授出但尚未解锁的限制性股票合计为</w:t>
      </w:r>
      <w:r>
        <w:rPr>
          <w:rFonts w:ascii="Times New Roman" w:eastAsia="Times New Roman" w:hAnsi="Times New Roman" w:cs="Times New Roman"/>
          <w:color w:val="000000"/>
          <w:spacing w:val="0"/>
          <w:w w:val="100"/>
          <w:position w:val="0"/>
          <w:sz w:val="18"/>
          <w:szCs w:val="18"/>
        </w:rPr>
        <w:t>1,968,052</w:t>
      </w:r>
      <w:r>
        <w:rPr>
          <w:color w:val="000000"/>
          <w:spacing w:val="0"/>
          <w:w w:val="100"/>
          <w:position w:val="0"/>
        </w:rPr>
        <w:t>股。</w:t>
      </w:r>
    </w:p>
    <w:p>
      <w:pPr>
        <w:pStyle w:val="Style34"/>
        <w:keepNext w:val="0"/>
        <w:keepLines w:val="0"/>
        <w:widowControl w:val="0"/>
        <w:shd w:val="clear" w:color="auto" w:fill="auto"/>
        <w:tabs>
          <w:tab w:pos="693" w:val="left"/>
        </w:tabs>
        <w:bidi w:val="0"/>
        <w:spacing w:before="0" w:after="0" w:line="314" w:lineRule="exact"/>
        <w:ind w:left="0" w:right="0"/>
        <w:jc w:val="both"/>
      </w:pPr>
      <w:bookmarkStart w:id="376" w:name="bookmark376"/>
      <w:r>
        <w:rPr>
          <w:rFonts w:ascii="Times New Roman" w:eastAsia="Times New Roman" w:hAnsi="Times New Roman" w:cs="Times New Roman"/>
          <w:color w:val="000000"/>
          <w:spacing w:val="0"/>
          <w:w w:val="100"/>
          <w:position w:val="0"/>
          <w:sz w:val="18"/>
          <w:szCs w:val="18"/>
        </w:rPr>
        <w:t>4</w:t>
      </w:r>
      <w:bookmarkEnd w:id="376"/>
      <w:r>
        <w:rPr>
          <w:color w:val="000000"/>
          <w:spacing w:val="0"/>
          <w:w w:val="100"/>
          <w:position w:val="0"/>
        </w:rPr>
        <w:t>、</w:t>
        <w:tab/>
        <w:t>报告期内权益价格、权益数量历次调整的情况以及经调整后的最新权益价格与权益数量</w:t>
      </w:r>
    </w:p>
    <w:p>
      <w:pPr>
        <w:pStyle w:val="Style34"/>
        <w:keepNext w:val="0"/>
        <w:keepLines w:val="0"/>
        <w:widowControl w:val="0"/>
        <w:shd w:val="clear" w:color="auto" w:fill="auto"/>
        <w:bidi w:val="0"/>
        <w:spacing w:before="0" w:after="0" w:line="314" w:lineRule="exact"/>
        <w:ind w:left="0" w:right="0"/>
        <w:jc w:val="both"/>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 施完毕，公司向全体股东以每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21.8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元（含税）的现金红利，并以资本公积金向全体股东每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股，故 首次授予激励对象持有的限制性股票数量相应发生变化，由</w:t>
      </w:r>
      <w:r>
        <w:rPr>
          <w:rFonts w:ascii="Times New Roman" w:eastAsia="Times New Roman" w:hAnsi="Times New Roman" w:cs="Times New Roman"/>
          <w:color w:val="000000"/>
          <w:spacing w:val="0"/>
          <w:w w:val="100"/>
          <w:position w:val="0"/>
          <w:sz w:val="18"/>
          <w:szCs w:val="18"/>
        </w:rPr>
        <w:t>2,718,161</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4,077,241</w:t>
      </w:r>
      <w:r>
        <w:rPr>
          <w:color w:val="000000"/>
          <w:spacing w:val="0"/>
          <w:w w:val="100"/>
          <w:position w:val="0"/>
        </w:rPr>
        <w:t>股。</w:t>
      </w:r>
    </w:p>
    <w:p>
      <w:pPr>
        <w:pStyle w:val="Style34"/>
        <w:keepNext w:val="0"/>
        <w:keepLines w:val="0"/>
        <w:widowControl w:val="0"/>
        <w:shd w:val="clear" w:color="auto" w:fill="auto"/>
        <w:bidi w:val="0"/>
        <w:spacing w:before="0" w:after="0" w:line="314" w:lineRule="exact"/>
        <w:ind w:left="0" w:right="0"/>
        <w:jc w:val="both"/>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日，公司分别召开第三届董事会第六次会议和第三届监事会第五次会议，审议通过了《关于调整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年限制性股票激励计划首次授予限制性股票回购价格的议案》，将激励计划激励对象已获授但尚未解除限售的限制性股票回 购价格调整为</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股加上银行同期存款利息之和，具体情况详见公司于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 票激励计划首次授予限制性股票回购价格的公告》（公告编号：</w:t>
      </w:r>
      <w:r>
        <w:rPr>
          <w:rFonts w:ascii="Times New Roman" w:eastAsia="Times New Roman" w:hAnsi="Times New Roman" w:cs="Times New Roman"/>
          <w:color w:val="000000"/>
          <w:spacing w:val="0"/>
          <w:w w:val="100"/>
          <w:position w:val="0"/>
          <w:sz w:val="18"/>
          <w:szCs w:val="18"/>
        </w:rPr>
        <w:t>2020-083</w:t>
      </w:r>
      <w:r>
        <w:rPr>
          <w:color w:val="000000"/>
          <w:spacing w:val="0"/>
          <w:w w:val="100"/>
          <w:position w:val="0"/>
        </w:rPr>
        <w:t>）。</w:t>
      </w:r>
    </w:p>
    <w:p>
      <w:pPr>
        <w:pStyle w:val="Style34"/>
        <w:keepNext w:val="0"/>
        <w:keepLines w:val="0"/>
        <w:widowControl w:val="0"/>
        <w:shd w:val="clear" w:color="auto" w:fill="auto"/>
        <w:tabs>
          <w:tab w:pos="693" w:val="left"/>
        </w:tabs>
        <w:bidi w:val="0"/>
        <w:spacing w:before="0" w:after="0" w:line="314" w:lineRule="exact"/>
        <w:ind w:left="0" w:right="0"/>
        <w:jc w:val="left"/>
      </w:pPr>
      <w:bookmarkStart w:id="379" w:name="bookmark379"/>
      <w:r>
        <w:rPr>
          <w:rFonts w:ascii="Times New Roman" w:eastAsia="Times New Roman" w:hAnsi="Times New Roman" w:cs="Times New Roman"/>
          <w:color w:val="000000"/>
          <w:spacing w:val="0"/>
          <w:w w:val="100"/>
          <w:position w:val="0"/>
          <w:sz w:val="18"/>
          <w:szCs w:val="18"/>
        </w:rPr>
        <w:t>5</w:t>
      </w:r>
      <w:bookmarkEnd w:id="379"/>
      <w:r>
        <w:rPr>
          <w:color w:val="000000"/>
          <w:spacing w:val="0"/>
          <w:w w:val="100"/>
          <w:position w:val="0"/>
        </w:rPr>
        <w:t>、</w:t>
        <w:tab/>
        <w:t>董事、高级管理人员各自的姓名、职务以及在报告期内历次获授、行使权益的情况和失效的权益数量</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公司原副总经理何宁先生此前因激励计划获授限制性股票</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股，因公司实施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年度权益分派持有的限制性股票 数量相应发生变化，增加至</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股。报告期内，根据激励对象绩效考核结果，何宁先生所持股权激励首次授予限制性股 票第一期</w:t>
      </w:r>
      <w:r>
        <w:rPr>
          <w:rFonts w:ascii="Times New Roman" w:eastAsia="Times New Roman" w:hAnsi="Times New Roman" w:cs="Times New Roman"/>
          <w:color w:val="000000"/>
          <w:spacing w:val="0"/>
          <w:w w:val="100"/>
          <w:position w:val="0"/>
          <w:sz w:val="18"/>
          <w:szCs w:val="18"/>
        </w:rPr>
        <w:t>75,000</w:t>
      </w:r>
      <w:r>
        <w:rPr>
          <w:color w:val="000000"/>
          <w:spacing w:val="0"/>
          <w:w w:val="100"/>
          <w:position w:val="0"/>
        </w:rPr>
        <w:t>股已全部解除限售。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日，何宁先生因个人原因辞去副总经理职务，其剩余</w:t>
      </w:r>
      <w:r>
        <w:rPr>
          <w:rFonts w:ascii="Times New Roman" w:eastAsia="Times New Roman" w:hAnsi="Times New Roman" w:cs="Times New Roman"/>
          <w:color w:val="000000"/>
          <w:spacing w:val="0"/>
          <w:w w:val="100"/>
          <w:position w:val="0"/>
          <w:sz w:val="18"/>
          <w:szCs w:val="18"/>
        </w:rPr>
        <w:t>75,000</w:t>
      </w:r>
      <w:r>
        <w:rPr>
          <w:color w:val="000000"/>
          <w:spacing w:val="0"/>
          <w:w w:val="100"/>
          <w:position w:val="0"/>
        </w:rPr>
        <w:t>股已授予但尚 未解除限售的股权激励限制性股票将由公司予以回购注销。</w:t>
      </w:r>
    </w:p>
    <w:p>
      <w:pPr>
        <w:pStyle w:val="Style34"/>
        <w:keepNext w:val="0"/>
        <w:keepLines w:val="0"/>
        <w:widowControl w:val="0"/>
        <w:shd w:val="clear" w:color="auto" w:fill="auto"/>
        <w:tabs>
          <w:tab w:pos="693" w:val="left"/>
        </w:tabs>
        <w:bidi w:val="0"/>
        <w:spacing w:before="0" w:after="0" w:line="314" w:lineRule="exact"/>
        <w:ind w:left="0" w:right="0"/>
        <w:jc w:val="left"/>
      </w:pPr>
      <w:bookmarkStart w:id="380" w:name="bookmark380"/>
      <w:r>
        <w:rPr>
          <w:rFonts w:ascii="Times New Roman" w:eastAsia="Times New Roman" w:hAnsi="Times New Roman" w:cs="Times New Roman"/>
          <w:color w:val="000000"/>
          <w:spacing w:val="0"/>
          <w:w w:val="100"/>
          <w:position w:val="0"/>
          <w:sz w:val="18"/>
          <w:szCs w:val="18"/>
        </w:rPr>
        <w:t>6</w:t>
      </w:r>
      <w:bookmarkEnd w:id="380"/>
      <w:r>
        <w:rPr>
          <w:color w:val="000000"/>
          <w:spacing w:val="0"/>
          <w:w w:val="100"/>
          <w:position w:val="0"/>
        </w:rPr>
        <w:t>、</w:t>
        <w:tab/>
        <w:t>因激励对象行使权益所引起的股本变动情况</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报告期内，鉴于公司激励计划首次授予限制性股票原激励对象</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名人员已不符合激励条件，失去本次限制性股票激励资 格，公司回购并注销其已获授但尚未解锁的合计</w:t>
      </w:r>
      <w:r>
        <w:rPr>
          <w:rFonts w:ascii="Times New Roman" w:eastAsia="Times New Roman" w:hAnsi="Times New Roman" w:cs="Times New Roman"/>
          <w:color w:val="000000"/>
          <w:spacing w:val="0"/>
          <w:w w:val="100"/>
          <w:position w:val="0"/>
          <w:sz w:val="18"/>
          <w:szCs w:val="18"/>
        </w:rPr>
        <w:t>141,144</w:t>
      </w:r>
      <w:r>
        <w:rPr>
          <w:color w:val="000000"/>
          <w:spacing w:val="0"/>
          <w:w w:val="100"/>
          <w:position w:val="0"/>
        </w:rPr>
        <w:t>股限制性股票。实施回购注销上述人员所持限制性股票后，公司总 股本由</w:t>
      </w:r>
      <w:r>
        <w:rPr>
          <w:rFonts w:ascii="Times New Roman" w:eastAsia="Times New Roman" w:hAnsi="Times New Roman" w:cs="Times New Roman"/>
          <w:color w:val="000000"/>
          <w:spacing w:val="0"/>
          <w:w w:val="100"/>
          <w:position w:val="0"/>
          <w:sz w:val="18"/>
          <w:szCs w:val="18"/>
        </w:rPr>
        <w:t>180,777,241</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股。具体情况详见公司于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日披露的《关于回购注销部分限制性股票减少注 册资本暨通知债权人公告》（公告编号：</w:t>
      </w:r>
      <w:r>
        <w:rPr>
          <w:rFonts w:ascii="Times New Roman" w:eastAsia="Times New Roman" w:hAnsi="Times New Roman" w:cs="Times New Roman"/>
          <w:color w:val="000000"/>
          <w:spacing w:val="0"/>
          <w:w w:val="100"/>
          <w:position w:val="0"/>
          <w:sz w:val="18"/>
          <w:szCs w:val="18"/>
        </w:rPr>
        <w:t>2020-096</w:t>
      </w:r>
      <w:r>
        <w:rPr>
          <w:color w:val="000000"/>
          <w:spacing w:val="0"/>
          <w:w w:val="100"/>
          <w:position w:val="0"/>
        </w:rPr>
        <w:t>）。</w:t>
      </w:r>
    </w:p>
    <w:p>
      <w:pPr>
        <w:pStyle w:val="Style34"/>
        <w:keepNext w:val="0"/>
        <w:keepLines w:val="0"/>
        <w:widowControl w:val="0"/>
        <w:shd w:val="clear" w:color="auto" w:fill="auto"/>
        <w:tabs>
          <w:tab w:pos="693" w:val="left"/>
        </w:tabs>
        <w:bidi w:val="0"/>
        <w:spacing w:before="0" w:after="0" w:line="314" w:lineRule="exact"/>
        <w:ind w:left="0" w:right="0"/>
        <w:jc w:val="left"/>
      </w:pPr>
      <w:bookmarkStart w:id="381" w:name="bookmark381"/>
      <w:r>
        <w:rPr>
          <w:rFonts w:ascii="Times New Roman" w:eastAsia="Times New Roman" w:hAnsi="Times New Roman" w:cs="Times New Roman"/>
          <w:color w:val="000000"/>
          <w:spacing w:val="0"/>
          <w:w w:val="100"/>
          <w:position w:val="0"/>
          <w:sz w:val="18"/>
          <w:szCs w:val="18"/>
        </w:rPr>
        <w:t>7</w:t>
      </w:r>
      <w:bookmarkEnd w:id="381"/>
      <w:r>
        <w:rPr>
          <w:color w:val="000000"/>
          <w:spacing w:val="0"/>
          <w:w w:val="100"/>
          <w:position w:val="0"/>
        </w:rPr>
        <w:t>、</w:t>
        <w:tab/>
        <w:t>股权激励的会计处理方法及股权激励费用对公司业绩的影响</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根据财政部发布的《企业会计准则第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号一股份支付》的相关规定，上述回购注销部分限制性股票的会计处理方式如 下：减少前期对此部分回购注销的限制性股票确认的回购义务形成的负债，并相应的减少库存股、股本以及资本公积。本次 回购注销部分限制性股票符合《上市公司股权激励管理办法》等相关规定，不会对公司的财务状况和经营成果产生重大影响， 也不会影响公司管理层和核心骨干的积极性和稳定性。</w:t>
      </w:r>
    </w:p>
    <w:p>
      <w:pPr>
        <w:pStyle w:val="Style34"/>
        <w:keepNext w:val="0"/>
        <w:keepLines w:val="0"/>
        <w:widowControl w:val="0"/>
        <w:shd w:val="clear" w:color="auto" w:fill="auto"/>
        <w:tabs>
          <w:tab w:pos="693" w:val="left"/>
        </w:tabs>
        <w:bidi w:val="0"/>
        <w:spacing w:before="0" w:after="0" w:line="314" w:lineRule="exact"/>
        <w:ind w:left="0" w:right="0"/>
        <w:jc w:val="left"/>
      </w:pPr>
      <w:bookmarkStart w:id="382" w:name="bookmark382"/>
      <w:r>
        <w:rPr>
          <w:rFonts w:ascii="Times New Roman" w:eastAsia="Times New Roman" w:hAnsi="Times New Roman" w:cs="Times New Roman"/>
          <w:color w:val="000000"/>
          <w:spacing w:val="0"/>
          <w:w w:val="100"/>
          <w:position w:val="0"/>
          <w:sz w:val="18"/>
          <w:szCs w:val="18"/>
        </w:rPr>
        <w:t>8</w:t>
      </w:r>
      <w:bookmarkEnd w:id="382"/>
      <w:r>
        <w:rPr>
          <w:color w:val="000000"/>
          <w:spacing w:val="0"/>
          <w:w w:val="100"/>
          <w:position w:val="0"/>
        </w:rPr>
        <w:t>、</w:t>
        <w:tab/>
        <w:t>报告期内激励对象获授权益、行使权益的条件是否成就的说明</w:t>
      </w:r>
    </w:p>
    <w:p>
      <w:pPr>
        <w:pStyle w:val="Style34"/>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日，公司分别召开第三届董事会第六次会议和第三届监事会第五次会议，审议通过了《关于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 股票激励计划首次授予限制性股票第一个解锁期解锁条件成就的议案》。公司独立董事发表了同意的独立意见。监事会对首 次授予限制性股票第一期解锁等事项进行了核查。律师出具了法律意见书。律师出具了法律意见书。</w:t>
      </w:r>
    </w:p>
    <w:p>
      <w:pPr>
        <w:pStyle w:val="Style34"/>
        <w:keepNext w:val="0"/>
        <w:keepLines w:val="0"/>
        <w:widowControl w:val="0"/>
        <w:shd w:val="clear" w:color="auto" w:fill="auto"/>
        <w:bidi w:val="0"/>
        <w:spacing w:before="0" w:after="360" w:line="310" w:lineRule="exact"/>
        <w:ind w:left="0" w:right="0"/>
        <w:jc w:val="left"/>
      </w:pPr>
      <w:r>
        <w:rPr>
          <w:color w:val="000000"/>
          <w:spacing w:val="0"/>
          <w:w w:val="100"/>
          <w:position w:val="0"/>
        </w:rPr>
        <w:t>公司激励计划首次授予限制性股票第一个解锁期解除限售股份上市流通日期为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日，符合解锁条件的限制性 股票激励对象共</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名，解除限售股份总数为</w:t>
      </w:r>
      <w:r>
        <w:rPr>
          <w:rFonts w:ascii="Times New Roman" w:eastAsia="Times New Roman" w:hAnsi="Times New Roman" w:cs="Times New Roman"/>
          <w:color w:val="000000"/>
          <w:spacing w:val="0"/>
          <w:w w:val="100"/>
          <w:position w:val="0"/>
          <w:sz w:val="18"/>
          <w:szCs w:val="18"/>
        </w:rPr>
        <w:t>1,968,045</w:t>
      </w:r>
      <w:r>
        <w:rPr>
          <w:color w:val="000000"/>
          <w:spacing w:val="0"/>
          <w:w w:val="100"/>
          <w:position w:val="0"/>
        </w:rPr>
        <w:t>股，占公司当时总股本的</w:t>
      </w:r>
      <w:r>
        <w:rPr>
          <w:rFonts w:ascii="Times New Roman" w:eastAsia="Times New Roman" w:hAnsi="Times New Roman" w:cs="Times New Roman"/>
          <w:color w:val="000000"/>
          <w:spacing w:val="0"/>
          <w:w w:val="100"/>
          <w:position w:val="0"/>
          <w:sz w:val="18"/>
          <w:szCs w:val="18"/>
        </w:rPr>
        <w:t>1.0895%</w:t>
      </w:r>
      <w:r>
        <w:rPr>
          <w:color w:val="000000"/>
          <w:spacing w:val="0"/>
          <w:w w:val="100"/>
          <w:position w:val="0"/>
        </w:rPr>
        <w:t>。具体情况详见公司于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年限制性股票激励计划首次授予限制性股票第一个解锁期解除限售股份上市流通的提示性公告》（公告 编号：</w:t>
      </w:r>
      <w:r>
        <w:rPr>
          <w:rFonts w:ascii="Times New Roman" w:eastAsia="Times New Roman" w:hAnsi="Times New Roman" w:cs="Times New Roman"/>
          <w:color w:val="000000"/>
          <w:spacing w:val="0"/>
          <w:w w:val="100"/>
          <w:position w:val="0"/>
          <w:sz w:val="18"/>
          <w:szCs w:val="18"/>
        </w:rPr>
        <w:t xml:space="preserve">2020-099 </w:t>
      </w:r>
      <w:r>
        <w:rPr>
          <w:color w:val="000000"/>
          <w:spacing w:val="0"/>
          <w:w w:val="100"/>
          <w:position w:val="0"/>
        </w:rPr>
        <w:t>）。</w:t>
      </w:r>
    </w:p>
    <w:p>
      <w:pPr>
        <w:pStyle w:val="Style30"/>
        <w:keepNext/>
        <w:keepLines/>
        <w:widowControl w:val="0"/>
        <w:shd w:val="clear" w:color="auto" w:fill="auto"/>
        <w:bidi w:val="0"/>
        <w:spacing w:before="0" w:after="36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十六、重大关联交易</w:t>
      </w:r>
      <w:bookmarkEnd w:id="383"/>
      <w:bookmarkEnd w:id="384"/>
      <w:bookmarkEnd w:id="385"/>
    </w:p>
    <w:p>
      <w:pPr>
        <w:pStyle w:val="Style37"/>
        <w:keepNext/>
        <w:keepLines/>
        <w:widowControl w:val="0"/>
        <w:shd w:val="clear" w:color="auto" w:fill="auto"/>
        <w:bidi w:val="0"/>
        <w:spacing w:before="0" w:after="26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、与日常经营相关的关联交易</w:t>
      </w:r>
      <w:bookmarkEnd w:id="386"/>
      <w:bookmarkEnd w:id="387"/>
      <w:bookmarkEnd w:id="389"/>
    </w:p>
    <w:p>
      <w:pPr>
        <w:pStyle w:val="Style34"/>
        <w:keepNext w:val="0"/>
        <w:keepLines w:val="0"/>
        <w:widowControl w:val="0"/>
        <w:shd w:val="clear" w:color="auto" w:fill="auto"/>
        <w:bidi w:val="0"/>
        <w:spacing w:before="0" w:after="80" w:line="314"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易价格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易金额</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占同类 交易金 额的比</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获批的 交易额 度（万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可获得 的同类 交易市</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山东高速 信威信息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参股公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相</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关设备</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市场化 定价原 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市场化 定价原 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27"/>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度日常 关联交 易预计 的公 告》（公 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w:t>
            </w:r>
          </w:p>
        </w:tc>
      </w:tr>
      <w:tr>
        <w:trPr>
          <w:trHeight w:val="53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山东高速 信联科技 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参股公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相</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关设备</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市场化 定价原 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市场化 定价原 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27"/>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度日常 关联交 易预计 的公 告》（公 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w:t>
            </w:r>
          </w:p>
        </w:tc>
      </w:tr>
      <w:tr>
        <w:trPr>
          <w:trHeight w:val="25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深圳宝溢 交通科技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参股公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相</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关设备</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市场化 定价原 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市场化 定价原 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w:t>
            </w:r>
          </w:p>
          <w:p>
            <w:pPr>
              <w:pStyle w:val="Style27"/>
              <w:keepNext w:val="0"/>
              <w:keepLines w:val="0"/>
              <w:widowControl w:val="0"/>
              <w:shd w:val="clear" w:color="auto" w:fill="auto"/>
              <w:bidi w:val="0"/>
              <w:spacing w:before="0" w:after="100" w:line="310"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 om.cn)</w:t>
            </w:r>
          </w:p>
          <w:p>
            <w:pPr>
              <w:pStyle w:val="Style27"/>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《关于</w:t>
            </w:r>
          </w:p>
          <w:p>
            <w:pPr>
              <w:pStyle w:val="Style27"/>
              <w:keepNext w:val="0"/>
              <w:keepLines w:val="0"/>
              <w:widowControl w:val="0"/>
              <w:shd w:val="clear" w:color="auto" w:fill="auto"/>
              <w:bidi w:val="0"/>
              <w:spacing w:before="0" w:after="10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2866"/>
        <w:gridCol w:w="4728"/>
        <w:gridCol w:w="1992"/>
      </w:tblGrid>
      <w:tr>
        <w:trPr>
          <w:trHeight w:val="2861"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312" w:lineRule="exact"/>
              <w:ind w:left="6100" w:right="0" w:firstLine="0"/>
              <w:jc w:val="left"/>
            </w:pPr>
            <w:r>
              <w:rPr>
                <w:color w:val="000000"/>
                <w:spacing w:val="0"/>
                <w:w w:val="100"/>
                <w:position w:val="0"/>
              </w:rPr>
              <w:t>度日常 关联交 易预计 的公 告》（公 告编</w:t>
            </w:r>
          </w:p>
          <w:p>
            <w:pPr>
              <w:pStyle w:val="Style27"/>
              <w:keepNext w:val="0"/>
              <w:keepLines w:val="0"/>
              <w:widowControl w:val="0"/>
              <w:shd w:val="clear" w:color="auto" w:fill="auto"/>
              <w:bidi w:val="0"/>
              <w:spacing w:before="0" w:after="120" w:line="312" w:lineRule="exact"/>
              <w:ind w:left="0" w:right="240" w:firstLine="0"/>
              <w:jc w:val="right"/>
            </w:pPr>
            <w:r>
              <w:rPr>
                <w:color w:val="000000"/>
                <w:spacing w:val="0"/>
                <w:w w:val="100"/>
                <w:position w:val="0"/>
              </w:rPr>
              <w:t>号：</w:t>
            </w:r>
          </w:p>
          <w:p>
            <w:pPr>
              <w:pStyle w:val="Style27"/>
              <w:keepNext w:val="0"/>
              <w:keepLines w:val="0"/>
              <w:widowControl w:val="0"/>
              <w:shd w:val="clear" w:color="auto" w:fill="auto"/>
              <w:bidi w:val="0"/>
              <w:spacing w:before="0" w:after="0" w:line="36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2020-0</w:t>
            </w:r>
          </w:p>
          <w:p>
            <w:pPr>
              <w:pStyle w:val="Style27"/>
              <w:keepNext w:val="0"/>
              <w:keepLines w:val="0"/>
              <w:widowControl w:val="0"/>
              <w:shd w:val="clear" w:color="auto" w:fill="auto"/>
              <w:bidi w:val="0"/>
              <w:spacing w:before="0" w:after="120" w:line="360" w:lineRule="auto"/>
              <w:ind w:left="0" w:right="240" w:firstLine="0"/>
              <w:jc w:val="righ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1,992.5</w:t>
            </w:r>
          </w:p>
          <w:p>
            <w:pPr>
              <w:pStyle w:val="Style27"/>
              <w:keepNext w:val="0"/>
              <w:keepLines w:val="0"/>
              <w:widowControl w:val="0"/>
              <w:shd w:val="clear" w:color="auto" w:fill="auto"/>
              <w:tabs>
                <w:tab w:pos="952" w:val="left"/>
                <w:tab w:pos="2301" w:val="left"/>
                <w:tab w:pos="2853" w:val="left"/>
                <w:tab w:pos="3650" w:val="left"/>
                <w:tab w:pos="4322" w:val="left"/>
                <w:tab w:pos="4998" w:val="left"/>
                <w:tab w:pos="5670" w:val="left"/>
                <w:tab w:pos="6328" w:val="left"/>
              </w:tabs>
              <w:bidi w:val="0"/>
              <w:spacing w:before="0" w:after="0" w:line="18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tab/>
              <w:t>--</w:t>
              <w:tab/>
              <w:t>--</w:t>
              <w:tab/>
            </w:r>
            <w:r>
              <w:rPr>
                <w:rFonts w:ascii="Times New Roman" w:eastAsia="Times New Roman" w:hAnsi="Times New Roman" w:cs="Times New Roman"/>
                <w:color w:val="000000"/>
                <w:spacing w:val="0"/>
                <w:w w:val="100"/>
                <w:position w:val="0"/>
                <w:sz w:val="18"/>
                <w:szCs w:val="18"/>
              </w:rPr>
              <w:t>32,000</w:t>
              <w:tab/>
            </w:r>
            <w:r>
              <w:rPr>
                <w:rFonts w:ascii="Times New Roman" w:eastAsia="Times New Roman" w:hAnsi="Times New Roman" w:cs="Times New Roman"/>
                <w:color w:val="000000"/>
                <w:spacing w:val="0"/>
                <w:w w:val="100"/>
                <w:position w:val="0"/>
                <w:sz w:val="18"/>
                <w:szCs w:val="18"/>
              </w:rPr>
              <w:t>--</w:t>
              <w:tab/>
              <w:t>--</w:t>
              <w:tab/>
              <w:t>--</w:t>
              <w:tab/>
              <w:t>--</w:t>
              <w:tab/>
              <w:t>-</w:t>
              <w:softHyphen/>
            </w:r>
          </w:p>
          <w:p>
            <w:pPr>
              <w:pStyle w:val="Style27"/>
              <w:keepNext w:val="0"/>
              <w:keepLines w:val="0"/>
              <w:widowControl w:val="0"/>
              <w:shd w:val="clear" w:color="auto" w:fill="auto"/>
              <w:bidi w:val="0"/>
              <w:spacing w:before="0" w:after="0" w:line="187"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39"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日，公司第二届董事会第三十六次会议审议通过了《关于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 常关联交易预计的议案》，预计公司与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年与公司发生关联交易的关联人主要有山 东高速信威信息科技有限公司、山东高速信联科技股份有限公司、深圳宝溢交通科技 有限公司，关联交易预计总金额不超过</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日，实际发生 金额为</w:t>
            </w:r>
            <w:r>
              <w:rPr>
                <w:rFonts w:ascii="Times New Roman" w:eastAsia="Times New Roman" w:hAnsi="Times New Roman" w:cs="Times New Roman"/>
                <w:color w:val="000000"/>
                <w:spacing w:val="0"/>
                <w:w w:val="100"/>
                <w:position w:val="0"/>
                <w:sz w:val="18"/>
                <w:szCs w:val="18"/>
              </w:rPr>
              <w:t>1,992.51</w:t>
            </w:r>
            <w:r>
              <w:rPr>
                <w:color w:val="000000"/>
                <w:spacing w:val="0"/>
                <w:w w:val="100"/>
                <w:position w:val="0"/>
              </w:rPr>
              <w:t>万元，未超过董事会批准的关联交易额度。公司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年实际发生的 日常关联交易总额与预计金额存在较大差异的原因为：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年，受疫情影响，交通 领域工程建设、业务开展、商务活动滞后，部分需求延后；疫情的发生和长期持续严 重影响了 </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标签的发行，线下推广工作趋于停滞；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年上半年高速公路暂时免</w:t>
            </w:r>
          </w:p>
        </w:tc>
      </w:tr>
      <w:tr>
        <w:trPr>
          <w:trHeight w:val="66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费通行政策的出台，也降低了车主安装</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标签的迫切性， 述单位设备采购需求下降。</w:t>
            </w:r>
          </w:p>
        </w:tc>
        <w:tc>
          <w:tcPr>
            <w:tcBorders>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以上因素导致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w:t>
            </w:r>
          </w:p>
        </w:tc>
      </w:tr>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的原因（如适用）</w:t>
            </w:r>
          </w:p>
        </w:tc>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、资产或股权收购、出售发生的关联交易</w:t>
      </w:r>
      <w:bookmarkEnd w:id="390"/>
      <w:bookmarkEnd w:id="391"/>
      <w:bookmarkEnd w:id="393"/>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w:t>
        <w:tab/>
        <w:t>共同对外投资的关联交易</w:t>
      </w:r>
      <w:bookmarkEnd w:id="394"/>
      <w:bookmarkEnd w:id="395"/>
      <w:bookmarkEnd w:id="397"/>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关联债权债务往来</w:t>
      </w:r>
      <w:bookmarkEnd w:id="398"/>
      <w:bookmarkEnd w:id="399"/>
      <w:bookmarkEnd w:id="401"/>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5</w:t>
      </w:r>
      <w:bookmarkEnd w:id="404"/>
      <w:r>
        <w:rPr>
          <w:color w:val="000000"/>
          <w:spacing w:val="0"/>
          <w:w w:val="100"/>
          <w:position w:val="0"/>
        </w:rPr>
        <w:t>、</w:t>
        <w:tab/>
        <w:t>其他重大关联交易</w:t>
      </w:r>
      <w:bookmarkEnd w:id="402"/>
      <w:bookmarkEnd w:id="403"/>
      <w:bookmarkEnd w:id="405"/>
    </w:p>
    <w:p>
      <w:pPr>
        <w:pStyle w:val="Style3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30"/>
        <w:keepNext/>
        <w:keepLines/>
        <w:widowControl w:val="0"/>
        <w:shd w:val="clear" w:color="auto" w:fill="auto"/>
        <w:bidi w:val="0"/>
        <w:spacing w:before="0" w:after="38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十七、重大合同及其履行情况</w:t>
      </w:r>
      <w:bookmarkEnd w:id="406"/>
      <w:bookmarkEnd w:id="407"/>
      <w:bookmarkEnd w:id="408"/>
    </w:p>
    <w:p>
      <w:pPr>
        <w:pStyle w:val="Style37"/>
        <w:keepNext/>
        <w:keepLines/>
        <w:widowControl w:val="0"/>
        <w:shd w:val="clear" w:color="auto" w:fill="auto"/>
        <w:tabs>
          <w:tab w:pos="368" w:val="left"/>
        </w:tabs>
        <w:bidi w:val="0"/>
        <w:spacing w:before="0" w:after="38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托管、承包、租赁事项情况</w:t>
      </w:r>
      <w:bookmarkEnd w:id="409"/>
      <w:bookmarkEnd w:id="410"/>
      <w:bookmarkEnd w:id="412"/>
    </w:p>
    <w:p>
      <w:pPr>
        <w:pStyle w:val="Style71"/>
        <w:keepNext/>
        <w:keepLines/>
        <w:widowControl w:val="0"/>
        <w:shd w:val="clear" w:color="auto" w:fill="auto"/>
        <w:tabs>
          <w:tab w:pos="493" w:val="left"/>
        </w:tabs>
        <w:bidi w:val="0"/>
        <w:spacing w:before="0" w:after="38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13"/>
      <w:bookmarkEnd w:id="414"/>
      <w:bookmarkEnd w:id="41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71"/>
        <w:keepNext/>
        <w:keepLines/>
        <w:widowControl w:val="0"/>
        <w:shd w:val="clear" w:color="auto" w:fill="auto"/>
        <w:tabs>
          <w:tab w:pos="493" w:val="left"/>
        </w:tabs>
        <w:bidi w:val="0"/>
        <w:spacing w:before="0" w:after="3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7"/>
      <w:bookmarkEnd w:id="418"/>
      <w:bookmarkEnd w:id="42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71"/>
        <w:keepNext/>
        <w:keepLines/>
        <w:widowControl w:val="0"/>
        <w:shd w:val="clear" w:color="auto" w:fill="auto"/>
        <w:tabs>
          <w:tab w:pos="493" w:val="left"/>
        </w:tabs>
        <w:bidi w:val="0"/>
        <w:spacing w:before="0" w:after="3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1"/>
      <w:bookmarkEnd w:id="422"/>
      <w:bookmarkEnd w:id="424"/>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报告期内，公司房屋租赁收入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万元，租赁支出</w:t>
      </w:r>
      <w:r>
        <w:rPr>
          <w:rFonts w:ascii="Times New Roman" w:eastAsia="Times New Roman" w:hAnsi="Times New Roman" w:cs="Times New Roman"/>
          <w:color w:val="000000"/>
          <w:spacing w:val="0"/>
          <w:w w:val="100"/>
          <w:position w:val="0"/>
          <w:sz w:val="18"/>
          <w:szCs w:val="18"/>
        </w:rPr>
        <w:t>1,704.53</w:t>
      </w:r>
      <w:r>
        <w:rPr>
          <w:color w:val="000000"/>
          <w:spacing w:val="0"/>
          <w:w w:val="100"/>
          <w:position w:val="0"/>
        </w:rPr>
        <w:t>万元。</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重大担保</w:t>
      </w:r>
      <w:bookmarkEnd w:id="425"/>
      <w:bookmarkEnd w:id="426"/>
      <w:bookmarkEnd w:id="428"/>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委托他人进行现金资产管理情况</w:t>
      </w:r>
      <w:bookmarkEnd w:id="429"/>
      <w:bookmarkEnd w:id="430"/>
      <w:bookmarkEnd w:id="432"/>
    </w:p>
    <w:p>
      <w:pPr>
        <w:pStyle w:val="Style71"/>
        <w:keepNext/>
        <w:keepLines/>
        <w:widowControl w:val="0"/>
        <w:shd w:val="clear" w:color="auto" w:fill="auto"/>
        <w:bidi w:val="0"/>
        <w:spacing w:before="0" w:after="38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3"/>
      <w:bookmarkEnd w:id="434"/>
      <w:bookmarkEnd w:id="43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受托 机构 名称</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（或 受托 人姓 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受托 机构 （或</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受托 人）类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资金 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预期 收益</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计提 减值 准备 金额</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事项 概述 及相 关查 询索 引（如 有）</w:t>
            </w:r>
          </w:p>
        </w:tc>
      </w:tr>
      <w:tr>
        <w:trPr>
          <w:trHeight w:val="91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 光大 银行 深圳 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 募集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保本 浮动 收益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 资讯 网</w:t>
            </w:r>
          </w:p>
          <w:p>
            <w:pPr>
              <w:pStyle w:val="Style27"/>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 w.cnin fo.co m.cn）</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于公 司及 全资 子公 司使 用部 分闲 置募 集资 金进 行现 金管 理进 展的 公告》</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w:t>
            </w:r>
          </w:p>
        </w:tc>
      </w:tr>
      <w:tr>
        <w:trPr>
          <w:trHeight w:val="19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 光大 银行 深圳 分行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结构性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 募集 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 理财 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保本 浮动 收益 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 资讯 网</w:t>
            </w:r>
          </w:p>
          <w:p>
            <w:pPr>
              <w:pStyle w:val="Style27"/>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w.cnin</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fo.co m.cn）</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于公 司及 全资 子公 司使 用部 分闲 置募 集资 金进 行现 金管 理进 展的 公告》</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w:t>
            </w:r>
          </w:p>
        </w:tc>
      </w:tr>
      <w:tr>
        <w:trPr>
          <w:trHeight w:val="413"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7"/>
      <w:bookmarkEnd w:id="438"/>
      <w:bookmarkEnd w:id="44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4</w:t>
      </w:r>
      <w:bookmarkEnd w:id="443"/>
      <w:r>
        <w:rPr>
          <w:color w:val="000000"/>
          <w:spacing w:val="0"/>
          <w:w w:val="100"/>
          <w:position w:val="0"/>
        </w:rPr>
        <w:t>、日常经营重大合同</w:t>
      </w:r>
      <w:bookmarkEnd w:id="441"/>
      <w:bookmarkEnd w:id="442"/>
      <w:bookmarkEnd w:id="444"/>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3"/>
        <w:gridCol w:w="1368"/>
        <w:gridCol w:w="1402"/>
        <w:gridCol w:w="1406"/>
        <w:gridCol w:w="1358"/>
        <w:gridCol w:w="131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合同订立公司方 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合同订立对方名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合同总金额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合同履行的进度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本期及累计确认 的销售收入金额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应收账款回款 情况</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深圳市金溢科技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江苏通行宝智慧 交通科技股份有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电子标签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合同约定的供货 义务已完成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本期确认收入</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 xml:space="preserve">万元，累计确认 收入 </w:t>
            </w:r>
            <w:r>
              <w:rPr>
                <w:rFonts w:ascii="Times New Roman" w:eastAsia="Times New Roman" w:hAnsi="Times New Roman" w:cs="Times New Roman"/>
                <w:color w:val="000000"/>
                <w:spacing w:val="0"/>
                <w:w w:val="100"/>
                <w:position w:val="0"/>
                <w:sz w:val="18"/>
                <w:szCs w:val="18"/>
              </w:rPr>
              <w:t xml:space="preserve">40,513.27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434,910,000.00</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山东高速信联支 付有限公司、山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蓝牙</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车载电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信联支付与公司 就协议履行过程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本期确认收入</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万元，累计确认</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615,392,500.00</w:t>
            </w:r>
          </w:p>
        </w:tc>
      </w:tr>
    </w:tbl>
    <w:p>
      <w:pPr>
        <w:spacing w:lineRule="exact" w:line="1"/>
        <w:rPr>
          <w:sz w:val="2"/>
          <w:szCs w:val="2"/>
        </w:rPr>
      </w:pPr>
      <w:r>
        <w:br w:type="page"/>
      </w:r>
    </w:p>
    <w:tbl>
      <w:tblPr>
        <w:tblOverlap w:val="never"/>
        <w:jc w:val="center"/>
        <w:tblLayout w:type="fixed"/>
      </w:tblPr>
      <w:tblGrid>
        <w:gridCol w:w="1378"/>
        <w:gridCol w:w="1363"/>
        <w:gridCol w:w="1368"/>
        <w:gridCol w:w="1402"/>
        <w:gridCol w:w="1406"/>
        <w:gridCol w:w="1358"/>
        <w:gridCol w:w="1310"/>
      </w:tblGrid>
      <w:tr>
        <w:trPr>
          <w:trHeight w:val="3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东高速信联科技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子标签（</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中供货完成情况 进行核对,双方确 认公司有</w:t>
            </w:r>
            <w:r>
              <w:rPr>
                <w:rFonts w:ascii="Times New Roman" w:eastAsia="Times New Roman" w:hAnsi="Times New Roman" w:cs="Times New Roman"/>
                <w:color w:val="000000"/>
                <w:spacing w:val="0"/>
                <w:w w:val="100"/>
                <w:position w:val="0"/>
                <w:sz w:val="18"/>
                <w:szCs w:val="18"/>
              </w:rPr>
              <w:t>85.63</w:t>
            </w:r>
            <w:r>
              <w:rPr>
                <w:color w:val="000000"/>
                <w:spacing w:val="0"/>
                <w:w w:val="100"/>
                <w:position w:val="0"/>
              </w:rPr>
              <w:t>万 台</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 xml:space="preserve">的供货时 间晚于协议约定 时间。根据公司与 信联支付签订的 协议，针对供货逾 期公司应向信联 支付赔偿违约金 </w:t>
            </w:r>
            <w:r>
              <w:rPr>
                <w:rFonts w:ascii="Times New Roman" w:eastAsia="Times New Roman" w:hAnsi="Times New Roman" w:cs="Times New Roman"/>
                <w:color w:val="000000"/>
                <w:spacing w:val="0"/>
                <w:w w:val="100"/>
                <w:position w:val="0"/>
                <w:sz w:val="18"/>
                <w:szCs w:val="18"/>
              </w:rPr>
              <w:t xml:space="preserve">4,281.50 </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收入 </w:t>
            </w:r>
            <w:r>
              <w:rPr>
                <w:rFonts w:ascii="Times New Roman" w:eastAsia="Times New Roman" w:hAnsi="Times New Roman" w:cs="Times New Roman"/>
                <w:color w:val="000000"/>
                <w:spacing w:val="0"/>
                <w:w w:val="100"/>
                <w:position w:val="0"/>
                <w:sz w:val="18"/>
                <w:szCs w:val="18"/>
              </w:rPr>
              <w:t>61,314.16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深圳市金溢科技 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江苏联网高速公 路相关各路（桥）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门架系统及 车道</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天线及 控制系统设备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262,240,200.00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合同约定的供货 义务已完成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本期确认收入</w:t>
            </w:r>
          </w:p>
          <w:p>
            <w:pPr>
              <w:pStyle w:val="Style27"/>
              <w:keepNext w:val="0"/>
              <w:keepLines w:val="0"/>
              <w:widowControl w:val="0"/>
              <w:shd w:val="clear" w:color="auto" w:fill="auto"/>
              <w:bidi w:val="0"/>
              <w:spacing w:before="0" w:after="10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23,141.43 </w:t>
            </w:r>
            <w:r>
              <w:rPr>
                <w:color w:val="000000"/>
                <w:spacing w:val="0"/>
                <w:w w:val="100"/>
                <w:position w:val="0"/>
              </w:rPr>
              <w:t>万元， 累计确认收入</w:t>
            </w:r>
          </w:p>
          <w:p>
            <w:pPr>
              <w:pStyle w:val="Style2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 xml:space="preserve">23,207.10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242,051,744.00</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5</w:t>
      </w:r>
      <w:bookmarkEnd w:id="447"/>
      <w:r>
        <w:rPr>
          <w:color w:val="000000"/>
          <w:spacing w:val="0"/>
          <w:w w:val="100"/>
          <w:position w:val="0"/>
        </w:rPr>
        <w:t>、其他重大合同</w:t>
      </w:r>
      <w:bookmarkEnd w:id="445"/>
      <w:bookmarkEnd w:id="446"/>
      <w:bookmarkEnd w:id="448"/>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1219"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立公司</w:t>
            </w:r>
          </w:p>
        </w:tc>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立对方</w:t>
            </w:r>
          </w:p>
        </w:tc>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的账面 价值</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的评估 价值</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评估机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构名称</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评估基</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准日</w:t>
            </w:r>
          </w:p>
        </w:tc>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交易价 格（万</w:t>
            </w:r>
          </w:p>
        </w:tc>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 告期末 的执行</w:t>
            </w:r>
          </w:p>
        </w:tc>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w:t>
            </w:r>
          </w:p>
        </w:tc>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引</w:t>
            </w:r>
          </w:p>
        </w:tc>
      </w:tr>
      <w:tr>
        <w:trPr>
          <w:trHeight w:val="158"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方名称</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名称</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vMerge/>
            <w:tcBorders>
              <w:left w:val="single" w:sz="4"/>
            </w:tcBorders>
            <w:shd w:val="clear" w:color="auto" w:fill="D3D3D3"/>
            <w:vAlign w:val="bottom"/>
          </w:tcPr>
          <w:p>
            <w:pPr/>
          </w:p>
        </w:tc>
        <w:tc>
          <w:tcPr>
            <w:tcBorders>
              <w:left w:val="single" w:sz="4"/>
              <w:right w:val="single" w:sz="4"/>
            </w:tcBorders>
            <w:shd w:val="clear" w:color="auto" w:fill="D3D3D3"/>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元）（如</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元）（如</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仅为框</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架性协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议，协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议项下</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的具体</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298"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金溢科</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重大产</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战略合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合作项</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目在经</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与深圳</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过各自</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市重大</w:t>
            </w:r>
          </w:p>
        </w:tc>
      </w:tr>
      <w:tr>
        <w:trPr>
          <w:trHeight w:val="317"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内部必</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产业投</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需的审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资集团</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批程序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司签署</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过后方</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战略合</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可实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作协议</w:t>
            </w:r>
          </w:p>
        </w:tc>
      </w:tr>
    </w:tbl>
    <w:p>
      <w:pPr>
        <w:spacing w:lineRule="exact" w:line="1"/>
        <w:rPr>
          <w:sz w:val="2"/>
          <w:szCs w:val="2"/>
        </w:rPr>
      </w:pPr>
      <w:r>
        <w:br w:type="page"/>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308" w:lineRule="exact"/>
              <w:ind w:left="0" w:right="0" w:firstLine="0"/>
              <w:jc w:val="both"/>
              <w:rPr>
                <w:sz w:val="18"/>
                <w:szCs w:val="18"/>
              </w:rPr>
            </w:pPr>
            <w:r>
              <w:rPr>
                <w:color w:val="000000"/>
                <w:spacing w:val="0"/>
                <w:w w:val="100"/>
                <w:position w:val="0"/>
                <w:sz w:val="17"/>
                <w:szCs w:val="17"/>
              </w:rPr>
              <w:t xml:space="preserve">的公 告》（公 告编 号： </w:t>
            </w:r>
            <w:r>
              <w:rPr>
                <w:rFonts w:ascii="Times New Roman" w:eastAsia="Times New Roman" w:hAnsi="Times New Roman" w:cs="Times New Roman"/>
                <w:color w:val="000000"/>
                <w:spacing w:val="0"/>
                <w:w w:val="100"/>
                <w:position w:val="0"/>
                <w:sz w:val="18"/>
                <w:szCs w:val="18"/>
              </w:rPr>
              <w:t>2020-0</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w:t>
            </w:r>
          </w:p>
        </w:tc>
      </w:tr>
      <w:tr>
        <w:trPr>
          <w:trHeight w:val="6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金溢科 技股份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腾讯科 技（深 圳）有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战略合</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本协议 为双方 合作的 原则性 约定， 具体合 作事项 尚待双 方另行 签署相 关协议 依据以 实施。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27"/>
              <w:keepNext w:val="0"/>
              <w:keepLines w:val="0"/>
              <w:widowControl w:val="0"/>
              <w:shd w:val="clear" w:color="auto" w:fill="auto"/>
              <w:bidi w:val="0"/>
              <w:spacing w:before="0" w:after="100" w:line="311"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 与腾讯 科技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 司签署 战略合 作框架 协议的 公告》</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2019-0 </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w:t>
            </w:r>
          </w:p>
        </w:tc>
      </w:tr>
      <w:tr>
        <w:trPr>
          <w:trHeight w:val="56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金溢科 技股份 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 度网讯 科技有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百度</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Apollo</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 通生态 合作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本协议 为双方 进行相 关合作 达成的 原则性 意见。</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双方在 开展具 体项目 合作 时，应 根据本 协议确 定的基 本原则 签订具 体的业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p>
          <w:p>
            <w:pPr>
              <w:pStyle w:val="Style27"/>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与北京 百度网 讯科技 有限公 司签署 合作框 架协议 的公 告》（公 告编 号：</w:t>
            </w:r>
          </w:p>
        </w:tc>
      </w:tr>
    </w:tbl>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务合作 协议， 具体合 作安排 以双方 正式签 署的业 务合作 协议为 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r>
        <w:rPr>
          <w:color w:val="000000"/>
          <w:spacing w:val="0"/>
          <w:w w:val="100"/>
          <w:position w:val="0"/>
          <w:sz w:val="24"/>
          <w:szCs w:val="24"/>
        </w:rPr>
        <w:t>十八、社会责任情况</w:t>
      </w:r>
      <w:bookmarkEnd w:id="449"/>
      <w:bookmarkEnd w:id="450"/>
      <w:bookmarkEnd w:id="451"/>
    </w:p>
    <w:p>
      <w:pPr>
        <w:pStyle w:val="Style37"/>
        <w:keepNext/>
        <w:keepLines/>
        <w:widowControl w:val="0"/>
        <w:shd w:val="clear" w:color="auto" w:fill="auto"/>
        <w:bidi w:val="0"/>
        <w:spacing w:before="0" w:after="24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、履行社会责任情况</w:t>
      </w:r>
      <w:bookmarkEnd w:id="452"/>
      <w:bookmarkEnd w:id="453"/>
      <w:bookmarkEnd w:id="455"/>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公司坚持着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聚焦客户、追求卓越；锐意创新，勇担责任；以人为本，合作共赢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的价值理念，持续履行社会责任，不断 为各利益相关者及社会创造价值。</w:t>
      </w:r>
    </w:p>
    <w:p>
      <w:pPr>
        <w:pStyle w:val="Style34"/>
        <w:keepNext w:val="0"/>
        <w:keepLines w:val="0"/>
        <w:widowControl w:val="0"/>
        <w:shd w:val="clear" w:color="auto" w:fill="auto"/>
        <w:bidi w:val="0"/>
        <w:spacing w:before="0" w:after="0" w:line="312" w:lineRule="exact"/>
        <w:ind w:left="0" w:right="0" w:firstLine="240"/>
        <w:jc w:val="left"/>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）股东和债权人权益保护</w:t>
      </w:r>
    </w:p>
    <w:p>
      <w:pPr>
        <w:pStyle w:val="Style34"/>
        <w:keepNext w:val="0"/>
        <w:keepLines w:val="0"/>
        <w:widowControl w:val="0"/>
        <w:numPr>
          <w:ilvl w:val="0"/>
          <w:numId w:val="23"/>
        </w:numPr>
        <w:shd w:val="clear" w:color="auto" w:fill="auto"/>
        <w:tabs>
          <w:tab w:pos="546" w:val="left"/>
        </w:tabs>
        <w:bidi w:val="0"/>
        <w:spacing w:before="0" w:after="0" w:line="313" w:lineRule="exact"/>
        <w:ind w:left="0" w:right="0" w:firstLine="300"/>
        <w:jc w:val="left"/>
      </w:pPr>
      <w:bookmarkStart w:id="457" w:name="bookmark457"/>
      <w:bookmarkEnd w:id="457"/>
      <w:r>
        <w:rPr>
          <w:color w:val="000000"/>
          <w:spacing w:val="0"/>
          <w:w w:val="100"/>
          <w:position w:val="0"/>
        </w:rPr>
        <w:t>完善公司治理结构、加强公司内控管理</w:t>
      </w:r>
    </w:p>
    <w:p>
      <w:pPr>
        <w:pStyle w:val="Style3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公司建立了完善的法人治理体系，严格按照现代企业管理制度、《公司法》、《证券法》及《上市公司治理准则》运行。 在此基础上，公司持续规范了相应制度，新修订了《公司章程》、《股东大会议事规则》、《董事会议事规则》、《独立董 事工作制度》、《对外担保管理制度》、《募集资金管理制度》、《投资管理制度》、《董事、监事选举办法》、《总经理 工作细则》、《董事会秘书工作细则》、《董事会提名委员会工作细则》、《董事会战略发展及投资审查委员会工作细则》、 《内部审计制度》、《投资者关系管理制度》、《信息披露管理制度》、《重大信息内部报告和保密制度》、《内幕信息知 情人登记制度》、《董事、监事和高级管理人员所持公司股份及其变动管理制度》、《董事和高级管理人员薪酬与考核管理 制度》、《防范控股股东、实际控制人及关联方资金占用管理制度》、《年报信息披露重大差错责任追究制度》、《审计及 预算审核委员会年报工作规程》，提升公司治理水平，为公司发展提供制度支持。</w:t>
      </w:r>
    </w:p>
    <w:p>
      <w:pPr>
        <w:pStyle w:val="Style34"/>
        <w:keepNext w:val="0"/>
        <w:keepLines w:val="0"/>
        <w:widowControl w:val="0"/>
        <w:numPr>
          <w:ilvl w:val="0"/>
          <w:numId w:val="23"/>
        </w:numPr>
        <w:shd w:val="clear" w:color="auto" w:fill="auto"/>
        <w:tabs>
          <w:tab w:pos="560" w:val="left"/>
        </w:tabs>
        <w:bidi w:val="0"/>
        <w:spacing w:before="0" w:after="0" w:line="313" w:lineRule="exact"/>
        <w:ind w:left="0" w:right="0" w:firstLine="300"/>
        <w:jc w:val="left"/>
      </w:pPr>
      <w:bookmarkStart w:id="458" w:name="bookmark458"/>
      <w:bookmarkEnd w:id="458"/>
      <w:r>
        <w:rPr>
          <w:color w:val="000000"/>
          <w:spacing w:val="0"/>
          <w:w w:val="100"/>
          <w:position w:val="0"/>
        </w:rPr>
        <w:t>提高信息披露透明度，做好投资者关系管理</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公司始终高度重视投资者关系保护工作，把投资者利益放在重要位置，严格按照监管机构的要求，履行信息披露义务， 保证信息披露质量。通过完善投资者关系管理制度，全面提升投资者关系的工作质量，做到信息化、标准化、常态化的三化 管理。公司成立的信息披露委员会有效发挥跨部门协调机制，进一步规范公司的信息披露管理，完善公司信息披露内控机制， 提升公司信息披露质量，保障公司信息披露的真实、准确、完整、及时和公平，确保披露内容基本涵盖了公司所有的重大事 项，使投资者能够迅速了解到公司发展状况，确保所有投资者和债权人公平地获取公司信息。公司依托深交所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 公司</w:t>
      </w:r>
      <w:r>
        <w:rPr>
          <w:rFonts w:ascii="Times New Roman" w:eastAsia="Times New Roman" w:hAnsi="Times New Roman" w:cs="Times New Roman"/>
          <w:color w:val="000000"/>
          <w:spacing w:val="0"/>
          <w:w w:val="100"/>
          <w:position w:val="0"/>
          <w:sz w:val="18"/>
          <w:szCs w:val="18"/>
        </w:rPr>
        <w:t>IR</w:t>
      </w:r>
      <w:r>
        <w:rPr>
          <w:color w:val="000000"/>
          <w:spacing w:val="0"/>
          <w:w w:val="100"/>
          <w:position w:val="0"/>
        </w:rPr>
        <w:t>邮箱、</w:t>
      </w:r>
      <w:r>
        <w:rPr>
          <w:rFonts w:ascii="Times New Roman" w:eastAsia="Times New Roman" w:hAnsi="Times New Roman" w:cs="Times New Roman"/>
          <w:color w:val="000000"/>
          <w:spacing w:val="0"/>
          <w:w w:val="100"/>
          <w:position w:val="0"/>
          <w:sz w:val="18"/>
          <w:szCs w:val="18"/>
        </w:rPr>
        <w:t>IR</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IR</w:t>
      </w:r>
      <w:r>
        <w:rPr>
          <w:color w:val="000000"/>
          <w:spacing w:val="0"/>
          <w:w w:val="100"/>
          <w:position w:val="0"/>
        </w:rPr>
        <w:t>网站、现场调研、业绩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专项说明会、策略会、路演等方式与投资者、媒体等进行信息交流及沟通, 持续增进与投资者多层次、全方位的互动与交流，提升公司信息透明度。</w:t>
      </w:r>
    </w:p>
    <w:p>
      <w:pPr>
        <w:pStyle w:val="Style34"/>
        <w:keepNext w:val="0"/>
        <w:keepLines w:val="0"/>
        <w:widowControl w:val="0"/>
        <w:numPr>
          <w:ilvl w:val="0"/>
          <w:numId w:val="23"/>
        </w:numPr>
        <w:shd w:val="clear" w:color="auto" w:fill="auto"/>
        <w:bidi w:val="0"/>
        <w:spacing w:before="0" w:after="0" w:line="312" w:lineRule="exact"/>
        <w:ind w:left="0" w:right="0"/>
        <w:jc w:val="both"/>
      </w:pPr>
      <w:bookmarkStart w:id="459" w:name="bookmark459"/>
      <w:bookmarkEnd w:id="459"/>
      <w:r>
        <w:rPr>
          <w:color w:val="000000"/>
          <w:spacing w:val="0"/>
          <w:w w:val="100"/>
          <w:position w:val="0"/>
        </w:rPr>
        <w:t>科学合理分红，回报投资者</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自上市以来，公司一直高度重视投资者和债权人保护工作，持续优化投资者回报长效机制，维护广大投资者的切身利益。 同时，公司注重给予投资者持续合理的投资回报，在确保利润分配政策的持续性和稳定性的前提下，兼顾公司的实际经营情 况及公司的长期战略发展，主动与广大投资者共享公司经营成果，在公司《首次公开发行人民币普通股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并上市后三年 股东分红回报规划》分红承诺期限（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年度）届满后，公司分别于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日召开第三届 董事会第二次会议和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年度股东大会，审议通过了《深圳市金溢科技股份有限公司未来三年（</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年）股东分红回 报规划》，对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年公司的利润分配形式、利润分配周期、利润分配比例和利润分配方案提出了明确的要求。</w:t>
      </w:r>
    </w:p>
    <w:p>
      <w:pPr>
        <w:pStyle w:val="Style34"/>
        <w:keepNext w:val="0"/>
        <w:keepLines w:val="0"/>
        <w:widowControl w:val="0"/>
        <w:shd w:val="clear" w:color="auto" w:fill="auto"/>
        <w:bidi w:val="0"/>
        <w:spacing w:before="0" w:after="0" w:line="312" w:lineRule="exact"/>
        <w:ind w:left="0" w:right="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）职工权益保护</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公司严格遵守《劳动法》、《劳动合同法》、《劳动合同法实施条例》、《社会保障法》以及当地相关法律法规，依 法维护员工的合法权益，并依此制定并不断完善公司的劳动用工管理制度。公司与全体员工均签订了劳动合同，建立了规范 的劳动用工关系。公司已按国家、地方的有关规定，参加社会保障体系，为员工购买了养老、医疗、生育、工伤、失业等保 险，由公司定期向社会保险统筹部门缴纳各项社会保险。同时，公司还根据《住房公积金管理条例》及地方政府相关规定建 立了住房公积金制度，依法为员工缴纳了住房公积金。</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公司严格执行国家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安全第一、预防为主、综合治理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的管理方针，严格执行国家安全生产的法律法规、规章制度要求， 建立、健全安全生产责任制，重视安全生产和劳动保护工作。公司已通过</w:t>
      </w:r>
      <w:r>
        <w:rPr>
          <w:rFonts w:ascii="Times New Roman" w:eastAsia="Times New Roman" w:hAnsi="Times New Roman" w:cs="Times New Roman"/>
          <w:color w:val="000000"/>
          <w:spacing w:val="0"/>
          <w:w w:val="100"/>
          <w:position w:val="0"/>
          <w:sz w:val="20"/>
          <w:szCs w:val="20"/>
        </w:rPr>
        <w:t>ISO450</w:t>
      </w:r>
      <w:r>
        <w:rPr>
          <w:rFonts w:ascii="Times New Roman" w:eastAsia="Times New Roman" w:hAnsi="Times New Roman" w:cs="Times New Roman"/>
          <w:color w:val="000000"/>
          <w:spacing w:val="0"/>
          <w:w w:val="100"/>
          <w:position w:val="0"/>
          <w:sz w:val="20"/>
          <w:szCs w:val="20"/>
        </w:rPr>
        <w:t>01</w:t>
      </w:r>
      <w:r>
        <w:rPr>
          <w:color w:val="000000"/>
          <w:spacing w:val="0"/>
          <w:w w:val="100"/>
          <w:position w:val="0"/>
        </w:rPr>
        <w:t>职业健康安全管理体系认证，建立完善 的职业健康安全管理程序，依法设置安全生产管理部门，设立环境及安全小组、应急救援小组，按照法定要求配置了各级专 兼职安全生产管理人员，有效推进安全生产管理各项工作落实。</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公司定期开展安全生产检查工作、组织员工安全生产培训。为实现员工与公司共同发展，为公司发展储备合格的人才, 同时也为员工提供必要的素质技能培训，公司根据整体经营战略，结合部门业务需求以及员工个人培训需求，每年制定培训 计划，从员工通用能力、专业能力、管理能力等方面组织开展培训课程。以新员工入职培训、企业内部培训、外部培训、委 托培训、内部交流、岗位辅导、外出参观和对外交流、员工自学等多种形式，提升全体员工岗位技能和专业知识。此外， 公司也在不断完善和规范员工的福利保障和管理制度，确保员工在公平、公正的环境中工作、发展。</w:t>
      </w:r>
    </w:p>
    <w:p>
      <w:pPr>
        <w:pStyle w:val="Style34"/>
        <w:keepNext w:val="0"/>
        <w:keepLines w:val="0"/>
        <w:widowControl w:val="0"/>
        <w:numPr>
          <w:ilvl w:val="0"/>
          <w:numId w:val="25"/>
        </w:numPr>
        <w:shd w:val="clear" w:color="auto" w:fill="auto"/>
        <w:tabs>
          <w:tab w:pos="765" w:val="left"/>
        </w:tabs>
        <w:bidi w:val="0"/>
        <w:spacing w:before="0" w:after="0" w:line="312" w:lineRule="exact"/>
        <w:ind w:left="0" w:right="0"/>
        <w:jc w:val="left"/>
      </w:pPr>
      <w:bookmarkStart w:id="461" w:name="bookmark461"/>
      <w:bookmarkEnd w:id="461"/>
      <w:r>
        <w:rPr>
          <w:color w:val="000000"/>
          <w:spacing w:val="0"/>
          <w:w w:val="100"/>
          <w:position w:val="0"/>
        </w:rPr>
        <w:t>供应商、客户和消费者权益保护</w:t>
      </w:r>
    </w:p>
    <w:p>
      <w:pPr>
        <w:pStyle w:val="Style34"/>
        <w:keepNext w:val="0"/>
        <w:keepLines w:val="0"/>
        <w:widowControl w:val="0"/>
        <w:shd w:val="clear" w:color="auto" w:fill="auto"/>
        <w:bidi w:val="0"/>
        <w:spacing w:before="0" w:after="0" w:line="315" w:lineRule="exact"/>
        <w:ind w:left="0" w:right="0" w:firstLine="320"/>
        <w:jc w:val="both"/>
      </w:pPr>
      <w:r>
        <w:rPr>
          <w:color w:val="000000"/>
          <w:spacing w:val="0"/>
          <w:w w:val="100"/>
          <w:position w:val="0"/>
        </w:rPr>
        <w:t>公司始终秉持诚信经营、互利共赢的原则和理念，注重建设有效的供应链体系，同时致力于为客户提供优质的产品和服 务，积极建立与供应商和客户的沟通诚信合作机制，承担对客户的责任，以客户需求为出发点，为客户创造价值，与客户共 同成长，全力保障对供应商、客户的权益，并通过自身的规范运作积极带动供应商及外协厂商不断规范经营，按协议结算并 支付货款，保障供应商利益不受损害，公司努力营造公平、健康的商业环境。</w:t>
      </w:r>
    </w:p>
    <w:p>
      <w:pPr>
        <w:pStyle w:val="Style34"/>
        <w:keepNext w:val="0"/>
        <w:keepLines w:val="0"/>
        <w:widowControl w:val="0"/>
        <w:numPr>
          <w:ilvl w:val="0"/>
          <w:numId w:val="25"/>
        </w:numPr>
        <w:shd w:val="clear" w:color="auto" w:fill="auto"/>
        <w:tabs>
          <w:tab w:pos="765" w:val="left"/>
        </w:tabs>
        <w:bidi w:val="0"/>
        <w:spacing w:before="0" w:after="0" w:line="312" w:lineRule="exact"/>
        <w:ind w:left="0" w:right="0"/>
        <w:jc w:val="both"/>
      </w:pPr>
      <w:bookmarkStart w:id="462" w:name="bookmark462"/>
      <w:bookmarkEnd w:id="462"/>
      <w:r>
        <w:rPr>
          <w:color w:val="000000"/>
          <w:spacing w:val="0"/>
          <w:w w:val="100"/>
          <w:position w:val="0"/>
        </w:rPr>
        <w:t>环境保护与可持续发展</w:t>
      </w:r>
    </w:p>
    <w:p>
      <w:pPr>
        <w:pStyle w:val="Style34"/>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公司响应国家环保政策，通过技术创新，致力于绿色环保、节能减排、节约资源的产品目标，坚持不懈的为社会和行业 的可持续发展做出积极贡献。公司秉持环境保护、可持续发展的理念，严格遵守国家环境保护法律法规。实行资源能源节约 管理，节约用纸、用水、用电。</w:t>
      </w:r>
    </w:p>
    <w:p>
      <w:pPr>
        <w:pStyle w:val="Style34"/>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公司选用低噪声设备并合理布局，采用隔离、减震等噪声治理措施，确保厂界噪声达到工业企业厂界噪声排放标准；合 理布局，对于环保设备定期维护确保其正常运转，生产区域绿化美化工作定期开展，便于空气流通与污染物的扩散；为减少 固体废弃物的产生，加强生产管理，制定相应作业指导书，定期进行员工环保意识培训，制定相关管理制度、指导书等文件 并实施监督巡查以减少固体废弃的产生量、能源的消耗量；推进各项环保的开展我公司持续推行环境管理体系</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 xml:space="preserve">, </w:t>
      </w:r>
      <w:r>
        <w:rPr>
          <w:color w:val="000000"/>
          <w:spacing w:val="0"/>
          <w:w w:val="100"/>
          <w:position w:val="0"/>
        </w:rPr>
        <w:t>设专人管理执行环保管理制度并不断完善健全环保管理制度。</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年公司各环保设备运转正常，责任部门定期巡检维护各环保设备设施确保各项环保设备设施正常运转，各项环保监 测生活废水、废气、噪声各项数据均做到达标排放，切实保证环境污染零事故；公司不存在环保未达标情况，未出现重大环 保事故，不存在被环保部门处罚或者被列入重点污染企业名单的情形。</w:t>
      </w:r>
    </w:p>
    <w:p>
      <w:pPr>
        <w:pStyle w:val="Style34"/>
        <w:keepNext w:val="0"/>
        <w:keepLines w:val="0"/>
        <w:widowControl w:val="0"/>
        <w:numPr>
          <w:ilvl w:val="0"/>
          <w:numId w:val="25"/>
        </w:numPr>
        <w:shd w:val="clear" w:color="auto" w:fill="auto"/>
        <w:tabs>
          <w:tab w:pos="765" w:val="left"/>
        </w:tabs>
        <w:bidi w:val="0"/>
        <w:spacing w:before="0" w:after="0" w:line="312" w:lineRule="exact"/>
        <w:ind w:left="0" w:right="0"/>
        <w:jc w:val="both"/>
      </w:pPr>
      <w:bookmarkStart w:id="463" w:name="bookmark463"/>
      <w:bookmarkEnd w:id="463"/>
      <w:r>
        <w:rPr>
          <w:color w:val="000000"/>
          <w:spacing w:val="0"/>
          <w:w w:val="100"/>
          <w:position w:val="0"/>
        </w:rPr>
        <w:t>公关关系与社会公益事业</w:t>
      </w:r>
    </w:p>
    <w:p>
      <w:pPr>
        <w:pStyle w:val="Style34"/>
        <w:keepNext w:val="0"/>
        <w:keepLines w:val="0"/>
        <w:widowControl w:val="0"/>
        <w:shd w:val="clear" w:color="auto" w:fill="auto"/>
        <w:bidi w:val="0"/>
        <w:spacing w:before="0" w:after="400" w:line="310" w:lineRule="exact"/>
        <w:ind w:left="0" w:right="0"/>
        <w:jc w:val="both"/>
      </w:pPr>
      <w:r>
        <w:rPr>
          <w:color w:val="000000"/>
          <w:spacing w:val="0"/>
          <w:w w:val="100"/>
          <w:position w:val="0"/>
        </w:rPr>
        <w:t>公司自成立以来，一直积极支持公益事业，坚持服务社会，开展各项慈善活动。公司始终将依法经营作为公司运行的基 本原则，注重企业经济效益与社会效益的同步共赢。自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年起，公司持续不断向壹基金进行捐赠活动。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月，进行 公安部交管局一线交警抗议支援，购买防护服</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件，由厂家出货后交管局统一分配至各省份一线交警；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月，向中 山大学教育发展基金会无偿捐赠人民币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万元整，支持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交通工程教育发展基金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，用于促进交通工程专业人才培养。</w:t>
      </w:r>
    </w:p>
    <w:p>
      <w:pPr>
        <w:pStyle w:val="Style37"/>
        <w:keepNext/>
        <w:keepLines/>
        <w:widowControl w:val="0"/>
        <w:shd w:val="clear" w:color="auto" w:fill="auto"/>
        <w:tabs>
          <w:tab w:pos="319" w:val="left"/>
        </w:tabs>
        <w:bidi w:val="0"/>
        <w:spacing w:before="0" w:after="2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履行精准扶贫社会责任情况</w:t>
      </w:r>
      <w:bookmarkEnd w:id="464"/>
      <w:bookmarkEnd w:id="465"/>
      <w:bookmarkEnd w:id="467"/>
    </w:p>
    <w:p>
      <w:pPr>
        <w:pStyle w:val="Style3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公司报告年度暂未开展精准扶贫工作，也暂无后续精准扶贫计划。</w:t>
      </w:r>
    </w:p>
    <w:p>
      <w:pPr>
        <w:pStyle w:val="Style37"/>
        <w:keepNext/>
        <w:keepLines/>
        <w:widowControl w:val="0"/>
        <w:shd w:val="clear" w:color="auto" w:fill="auto"/>
        <w:tabs>
          <w:tab w:pos="319" w:val="left"/>
        </w:tabs>
        <w:bidi w:val="0"/>
        <w:spacing w:before="0" w:after="40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3</w:t>
      </w:r>
      <w:bookmarkEnd w:id="470"/>
      <w:r>
        <w:rPr>
          <w:color w:val="000000"/>
          <w:spacing w:val="0"/>
          <w:w w:val="100"/>
          <w:position w:val="0"/>
        </w:rPr>
        <w:t>、</w:t>
        <w:tab/>
        <w:t>环境保护相关的情况</w:t>
      </w:r>
      <w:bookmarkEnd w:id="468"/>
      <w:bookmarkEnd w:id="469"/>
      <w:bookmarkEnd w:id="471"/>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4"/>
        <w:keepNext w:val="0"/>
        <w:keepLines w:val="0"/>
        <w:widowControl w:val="0"/>
        <w:shd w:val="clear" w:color="auto" w:fill="auto"/>
        <w:tabs>
          <w:tab w:pos="794" w:val="left"/>
        </w:tabs>
        <w:bidi w:val="0"/>
        <w:spacing w:before="0" w:after="0" w:line="314" w:lineRule="exact"/>
        <w:ind w:left="0" w:right="0" w:firstLine="360"/>
        <w:jc w:val="both"/>
      </w:pPr>
      <w:bookmarkStart w:id="472" w:name="bookmark472"/>
      <w:r>
        <w:rPr>
          <w:b/>
          <w:bCs/>
          <w:color w:val="000000"/>
          <w:spacing w:val="0"/>
          <w:w w:val="100"/>
          <w:position w:val="0"/>
        </w:rPr>
        <w:t>（</w:t>
      </w:r>
      <w:bookmarkEnd w:id="47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排污信息</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经核查，公司及各子公司不属于环境保护部门公布的重点排污单位。公司及各子公司在日常生产经营中认真执行《中华 人民共和国环境保护法》、《中华人民共和国水污染防治法》、《中华人民共和国大气污染防治法》、《中华人民共和国环 境噪声污染防治法》、《中华人民共和国固体废物污染防治法》等环保方面的法律法规，报告期内未出现因违法违规而受到 处罚的情况。</w:t>
      </w:r>
    </w:p>
    <w:p>
      <w:pPr>
        <w:pStyle w:val="Style34"/>
        <w:keepNext w:val="0"/>
        <w:keepLines w:val="0"/>
        <w:widowControl w:val="0"/>
        <w:shd w:val="clear" w:color="auto" w:fill="auto"/>
        <w:tabs>
          <w:tab w:pos="794" w:val="left"/>
        </w:tabs>
        <w:bidi w:val="0"/>
        <w:spacing w:before="0" w:after="0" w:line="314" w:lineRule="exact"/>
        <w:ind w:left="0" w:right="0" w:firstLine="360"/>
        <w:jc w:val="both"/>
      </w:pPr>
      <w:bookmarkStart w:id="473" w:name="bookmark473"/>
      <w:r>
        <w:rPr>
          <w:b/>
          <w:bCs/>
          <w:color w:val="000000"/>
          <w:spacing w:val="0"/>
          <w:w w:val="100"/>
          <w:position w:val="0"/>
        </w:rPr>
        <w:t>（</w:t>
      </w:r>
      <w:bookmarkEnd w:id="47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防治污染设施的建设和运行情况</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公司一直重视环境保护，严格遵守国家环保法律法规要求，认真落实污染治理、节能减排等各项环保措施，有效合理解 决废水、废气、固体废物等方面污染源的问题。公司选用低噪声设备并合理布局，采用隔离、减震等噪声治理措施，确保厂 界噪声达到工业企业厂界噪声排放标准；合理布局，对于环保设备定期维护确保其正常运转，生产区域绿化美化工作定期开 展；加强生产管理，制定相应制度及作业指导书，定期进行员工环保意识培训，并实施监督巡查以减少固体废弃的产生量、 能源的消耗量；对环保设施持续进行改造，严格执行国家排放标准，确保废水、废气等污染物达标排放。</w:t>
      </w:r>
    </w:p>
    <w:p>
      <w:pPr>
        <w:pStyle w:val="Style34"/>
        <w:keepNext w:val="0"/>
        <w:keepLines w:val="0"/>
        <w:widowControl w:val="0"/>
        <w:shd w:val="clear" w:color="auto" w:fill="auto"/>
        <w:tabs>
          <w:tab w:pos="794" w:val="left"/>
        </w:tabs>
        <w:bidi w:val="0"/>
        <w:spacing w:before="0" w:after="0" w:line="314" w:lineRule="exact"/>
        <w:ind w:left="0" w:right="0" w:firstLine="360"/>
        <w:jc w:val="both"/>
      </w:pPr>
      <w:bookmarkStart w:id="474" w:name="bookmark474"/>
      <w:r>
        <w:rPr>
          <w:b/>
          <w:bCs/>
          <w:color w:val="000000"/>
          <w:spacing w:val="0"/>
          <w:w w:val="100"/>
          <w:position w:val="0"/>
        </w:rPr>
        <w:t>（</w:t>
      </w:r>
      <w:bookmarkEnd w:id="47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建设项目环境影响评价及其他环境保护行政许可情况</w:t>
      </w:r>
    </w:p>
    <w:p>
      <w:pPr>
        <w:pStyle w:val="Style34"/>
        <w:keepNext w:val="0"/>
        <w:keepLines w:val="0"/>
        <w:widowControl w:val="0"/>
        <w:shd w:val="clear" w:color="auto" w:fill="auto"/>
        <w:bidi w:val="0"/>
        <w:spacing w:before="0" w:after="0" w:line="302" w:lineRule="exact"/>
        <w:ind w:left="0" w:right="0" w:firstLine="360"/>
        <w:jc w:val="both"/>
      </w:pPr>
      <w:r>
        <w:rPr>
          <w:color w:val="000000"/>
          <w:spacing w:val="0"/>
          <w:w w:val="100"/>
          <w:position w:val="0"/>
        </w:rPr>
        <w:t>公司严格遵守环保相关法律法规要求，相关建设项目实施中严格执行环境影响评价制度和环保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制度。公司广州 分公司、佛山金溢已取得《排污登记表》。</w:t>
      </w:r>
    </w:p>
    <w:p>
      <w:pPr>
        <w:pStyle w:val="Style34"/>
        <w:keepNext w:val="0"/>
        <w:keepLines w:val="0"/>
        <w:widowControl w:val="0"/>
        <w:shd w:val="clear" w:color="auto" w:fill="auto"/>
        <w:tabs>
          <w:tab w:pos="794" w:val="left"/>
        </w:tabs>
        <w:bidi w:val="0"/>
        <w:spacing w:before="0" w:after="0" w:line="314" w:lineRule="exact"/>
        <w:ind w:left="0" w:right="0" w:firstLine="360"/>
        <w:jc w:val="both"/>
      </w:pPr>
      <w:bookmarkStart w:id="475" w:name="bookmark475"/>
      <w:r>
        <w:rPr>
          <w:b/>
          <w:bCs/>
          <w:color w:val="000000"/>
          <w:spacing w:val="0"/>
          <w:w w:val="100"/>
          <w:position w:val="0"/>
        </w:rPr>
        <w:t>（</w:t>
      </w:r>
      <w:bookmarkEnd w:id="47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突发环境事件应急预案</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公司制定了《环境运行控制规范》、《环境和职业健康安全管理程序》</w:t>
      </w:r>
      <w:r>
        <w:rPr>
          <w:color w:val="000000"/>
          <w:spacing w:val="0"/>
          <w:w w:val="100"/>
          <w:position w:val="0"/>
          <w:sz w:val="18"/>
          <w:szCs w:val="18"/>
        </w:rPr>
        <w:t>，</w:t>
      </w:r>
      <w:r>
        <w:rPr>
          <w:color w:val="000000"/>
          <w:spacing w:val="0"/>
          <w:w w:val="100"/>
          <w:position w:val="0"/>
        </w:rPr>
        <w:t>为突发事件的应对提供制度程序支持，预备了 各项突发环境事件应急预案，对危险化学品、危险废物、废气及废水污染等方面均有配套预案，公司定期组织应急处理演练， 演练内容包括联系落实附近医院及急救车辆、毒气中毒伤员运送、人员紧急疏散、防护措施的使用等，以确保有效应对突发 安全事故，切实提高了企业应对突发环境事件的应急响应能力和处置能力。</w:t>
      </w:r>
    </w:p>
    <w:p>
      <w:pPr>
        <w:pStyle w:val="Style34"/>
        <w:keepNext w:val="0"/>
        <w:keepLines w:val="0"/>
        <w:widowControl w:val="0"/>
        <w:shd w:val="clear" w:color="auto" w:fill="auto"/>
        <w:tabs>
          <w:tab w:pos="794" w:val="left"/>
        </w:tabs>
        <w:bidi w:val="0"/>
        <w:spacing w:before="0" w:after="0" w:line="314" w:lineRule="exact"/>
        <w:ind w:left="0" w:right="0" w:firstLine="360"/>
        <w:jc w:val="both"/>
      </w:pPr>
      <w:bookmarkStart w:id="476" w:name="bookmark476"/>
      <w:r>
        <w:rPr>
          <w:b/>
          <w:bCs/>
          <w:color w:val="000000"/>
          <w:spacing w:val="0"/>
          <w:w w:val="100"/>
          <w:position w:val="0"/>
        </w:rPr>
        <w:t>（</w:t>
      </w:r>
      <w:bookmarkEnd w:id="476"/>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环境自行监测方案</w:t>
      </w:r>
    </w:p>
    <w:p>
      <w:pPr>
        <w:pStyle w:val="Style34"/>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公司严格遵守国家及地方法律、法规和相关规定，公司推进各项环保措施的开展，持续推行环境管理体系</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并 设专人管理执行环保管理制度，定期对废水、废气等进行检测。</w:t>
      </w:r>
    </w:p>
    <w:p>
      <w:pPr>
        <w:pStyle w:val="Style30"/>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十九、其他重大事项的说明</w:t>
      </w:r>
      <w:bookmarkEnd w:id="477"/>
      <w:bookmarkEnd w:id="478"/>
      <w:bookmarkEnd w:id="479"/>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77"/>
        <w:gridCol w:w="2496"/>
        <w:gridCol w:w="4704"/>
      </w:tblGrid>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重要事项概述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临时报告披露网站查询索引</w:t>
            </w:r>
          </w:p>
        </w:tc>
      </w:tr>
      <w:tr>
        <w:trPr>
          <w:trHeight w:val="658"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变更公司经营范围暨修改《公司 章程》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《第三届董事会第四</w:t>
            </w:r>
            <w:r>
              <w:rPr>
                <w:color w:val="000000"/>
                <w:spacing w:val="0"/>
                <w:w w:val="100"/>
                <w:position w:val="0"/>
              </w:rPr>
              <w:t xml:space="preserve"> 次会议决议公告》（公告编号：</w:t>
            </w:r>
            <w:r>
              <w:rPr>
                <w:rFonts w:ascii="Times New Roman" w:eastAsia="Times New Roman" w:hAnsi="Times New Roman" w:cs="Times New Roman"/>
                <w:color w:val="000000"/>
                <w:spacing w:val="0"/>
                <w:w w:val="100"/>
                <w:position w:val="0"/>
                <w:sz w:val="18"/>
                <w:szCs w:val="18"/>
              </w:rPr>
              <w:t>2020-069</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w:t>
            </w:r>
            <w:r>
              <w:rPr>
                <w:color w:val="000000"/>
                <w:spacing w:val="0"/>
                <w:w w:val="100"/>
                <w:position w:val="0"/>
              </w:rPr>
              <w:t xml:space="preserve"> 股东大会决议公告》（公告编号：</w:t>
            </w:r>
            <w:r>
              <w:rPr>
                <w:rFonts w:ascii="Times New Roman" w:eastAsia="Times New Roman" w:hAnsi="Times New Roman" w:cs="Times New Roman"/>
                <w:color w:val="000000"/>
                <w:spacing w:val="0"/>
                <w:w w:val="100"/>
                <w:position w:val="0"/>
                <w:sz w:val="18"/>
                <w:szCs w:val="18"/>
              </w:rPr>
              <w:t>2020-080</w:t>
            </w:r>
            <w:r>
              <w:rPr>
                <w:color w:val="000000"/>
                <w:spacing w:val="0"/>
                <w:w w:val="100"/>
                <w:position w:val="0"/>
              </w:rPr>
              <w:t>）</w:t>
            </w:r>
          </w:p>
        </w:tc>
      </w:tr>
      <w:tr>
        <w:trPr>
          <w:trHeight w:val="1277"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控股子公司伟龙金溢股权转让 暨债务重组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《关于控股子公司股</w:t>
            </w:r>
            <w:r>
              <w:rPr>
                <w:color w:val="000000"/>
                <w:spacing w:val="0"/>
                <w:w w:val="100"/>
                <w:position w:val="0"/>
              </w:rPr>
              <w:t xml:space="preserve"> 权转让暨关联交易的公告》（公告编号：</w:t>
            </w:r>
            <w:r>
              <w:rPr>
                <w:rFonts w:ascii="Times New Roman" w:eastAsia="Times New Roman" w:hAnsi="Times New Roman" w:cs="Times New Roman"/>
                <w:color w:val="000000"/>
                <w:spacing w:val="0"/>
                <w:w w:val="100"/>
                <w:position w:val="0"/>
                <w:sz w:val="18"/>
                <w:szCs w:val="18"/>
              </w:rPr>
              <w:t>2020-078</w:t>
            </w:r>
            <w:r>
              <w:rPr>
                <w:color w:val="000000"/>
                <w:spacing w:val="0"/>
                <w:w w:val="100"/>
                <w:position w:val="0"/>
              </w:rPr>
              <w:t xml:space="preserve">）、《关 于控股子公司债务重组暨关联交易的公告》（公告编号： </w:t>
            </w:r>
            <w:r>
              <w:rPr>
                <w:rFonts w:ascii="Times New Roman" w:eastAsia="Times New Roman" w:hAnsi="Times New Roman" w:cs="Times New Roman"/>
                <w:color w:val="000000"/>
                <w:spacing w:val="0"/>
                <w:w w:val="100"/>
                <w:position w:val="0"/>
                <w:sz w:val="18"/>
                <w:szCs w:val="18"/>
              </w:rPr>
              <w:t>2020-079</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《关于控股子公司股</w:t>
            </w:r>
            <w:r>
              <w:rPr>
                <w:color w:val="000000"/>
                <w:spacing w:val="0"/>
                <w:w w:val="100"/>
                <w:position w:val="0"/>
              </w:rPr>
              <w:t xml:space="preserve"> 权转让暨关联交易的进展公告》（公告编号：</w:t>
            </w:r>
            <w:r>
              <w:rPr>
                <w:rFonts w:ascii="Times New Roman" w:eastAsia="Times New Roman" w:hAnsi="Times New Roman" w:cs="Times New Roman"/>
                <w:color w:val="000000"/>
                <w:spacing w:val="0"/>
                <w:w w:val="100"/>
                <w:position w:val="0"/>
                <w:sz w:val="18"/>
                <w:szCs w:val="18"/>
              </w:rPr>
              <w:t>2020-094</w:t>
            </w:r>
            <w:r>
              <w:rPr>
                <w:color w:val="000000"/>
                <w:spacing w:val="0"/>
                <w:w w:val="100"/>
                <w:position w:val="0"/>
              </w:rPr>
              <w:t>）</w:t>
            </w:r>
          </w:p>
        </w:tc>
      </w:tr>
      <w:tr>
        <w:trPr>
          <w:trHeight w:val="65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年度日常关联交易预计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w:t>
            </w:r>
            <w:r>
              <w:rPr>
                <w:color w:val="000000"/>
                <w:spacing w:val="0"/>
                <w:w w:val="100"/>
                <w:position w:val="0"/>
              </w:rPr>
              <w:t xml:space="preserve"> 关联交易预计的公告》（公告编号：</w:t>
            </w:r>
            <w:r>
              <w:rPr>
                <w:rFonts w:ascii="Times New Roman" w:eastAsia="Times New Roman" w:hAnsi="Times New Roman" w:cs="Times New Roman"/>
                <w:color w:val="000000"/>
                <w:spacing w:val="0"/>
                <w:w w:val="100"/>
                <w:position w:val="0"/>
                <w:sz w:val="18"/>
                <w:szCs w:val="18"/>
              </w:rPr>
              <w:t>2020-006</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日常经营重大合同履行进展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《关于公司日常经营</w:t>
            </w:r>
          </w:p>
        </w:tc>
      </w:tr>
    </w:tbl>
    <w:p>
      <w:pPr>
        <w:spacing w:lineRule="exact" w:line="1"/>
        <w:rPr>
          <w:sz w:val="2"/>
          <w:szCs w:val="2"/>
        </w:rPr>
      </w:pPr>
      <w:r>
        <w:br w:type="page"/>
      </w:r>
    </w:p>
    <w:tbl>
      <w:tblPr>
        <w:tblOverlap w:val="never"/>
        <w:jc w:val="center"/>
        <w:tblLayout w:type="fixed"/>
      </w:tblPr>
      <w:tblGrid>
        <w:gridCol w:w="2477"/>
        <w:gridCol w:w="2496"/>
        <w:gridCol w:w="4704"/>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重大合同履行进展的公告》（公告编号：</w:t>
            </w:r>
            <w:r>
              <w:rPr>
                <w:rFonts w:ascii="Times New Roman" w:eastAsia="Times New Roman" w:hAnsi="Times New Roman" w:cs="Times New Roman"/>
                <w:color w:val="000000"/>
                <w:spacing w:val="0"/>
                <w:w w:val="100"/>
                <w:position w:val="0"/>
                <w:sz w:val="18"/>
                <w:szCs w:val="18"/>
              </w:rPr>
              <w:t>2020-125</w:t>
            </w:r>
            <w:r>
              <w:rPr>
                <w:color w:val="000000"/>
                <w:spacing w:val="0"/>
                <w:w w:val="100"/>
                <w:position w:val="0"/>
              </w:rPr>
              <w:t>）</w:t>
            </w:r>
          </w:p>
        </w:tc>
      </w:tr>
      <w:tr>
        <w:trPr>
          <w:trHeight w:val="96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董事会、监事会换届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）《第二届董事会第 三十六次会议决议公告》（公告编号：</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r>
              <w:rPr>
                <w:color w:val="000000"/>
                <w:spacing w:val="0"/>
                <w:w w:val="100"/>
                <w:position w:val="0"/>
              </w:rPr>
              <w:t>、《第二 届监事会第十九次会议决议公告》（公告编号：</w:t>
            </w:r>
            <w:r>
              <w:rPr>
                <w:rFonts w:ascii="Times New Roman" w:eastAsia="Times New Roman" w:hAnsi="Times New Roman" w:cs="Times New Roman"/>
                <w:color w:val="000000"/>
                <w:spacing w:val="0"/>
                <w:w w:val="100"/>
                <w:position w:val="0"/>
                <w:sz w:val="18"/>
                <w:szCs w:val="18"/>
              </w:rPr>
              <w:t>2020-004</w:t>
            </w:r>
            <w:r>
              <w:rPr>
                <w:color w:val="000000"/>
                <w:spacing w:val="0"/>
                <w:w w:val="100"/>
                <w:position w:val="0"/>
              </w:rPr>
              <w:t>）</w:t>
            </w:r>
          </w:p>
        </w:tc>
      </w:tr>
      <w:tr>
        <w:trPr>
          <w:trHeight w:val="9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 时股东大会决议公告》（公告编号：</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）、《关于选 举职工代表监事的公告》（公告编号：</w:t>
            </w:r>
            <w:r>
              <w:rPr>
                <w:rFonts w:ascii="Times New Roman" w:eastAsia="Times New Roman" w:hAnsi="Times New Roman" w:cs="Times New Roman"/>
                <w:color w:val="000000"/>
                <w:spacing w:val="0"/>
                <w:w w:val="100"/>
                <w:position w:val="0"/>
                <w:sz w:val="18"/>
                <w:szCs w:val="18"/>
              </w:rPr>
              <w:t>2020-021</w:t>
            </w:r>
            <w:r>
              <w:rPr>
                <w:color w:val="000000"/>
                <w:spacing w:val="0"/>
                <w:w w:val="100"/>
                <w:position w:val="0"/>
              </w:rPr>
              <w:t>）</w:t>
            </w:r>
          </w:p>
        </w:tc>
      </w:tr>
      <w:tr>
        <w:trPr>
          <w:trHeight w:val="658"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高级管理人员换届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）《金溢科技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关于公</w:t>
            </w:r>
            <w:r>
              <w:rPr>
                <w:color w:val="000000"/>
                <w:spacing w:val="0"/>
                <w:w w:val="100"/>
                <w:position w:val="0"/>
              </w:rPr>
              <w:t xml:space="preserve"> 司高级管理人员延期换届的公告》（公告编号：</w:t>
            </w:r>
            <w:r>
              <w:rPr>
                <w:rFonts w:ascii="Times New Roman" w:eastAsia="Times New Roman" w:hAnsi="Times New Roman" w:cs="Times New Roman"/>
                <w:color w:val="000000"/>
                <w:spacing w:val="0"/>
                <w:w w:val="100"/>
                <w:position w:val="0"/>
                <w:sz w:val="18"/>
                <w:szCs w:val="18"/>
              </w:rPr>
              <w:t>2020-024</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）《第三届董事会第</w:t>
            </w:r>
            <w:r>
              <w:rPr>
                <w:color w:val="000000"/>
                <w:spacing w:val="0"/>
                <w:w w:val="100"/>
                <w:position w:val="0"/>
              </w:rPr>
              <w:t xml:space="preserve"> 三次会议决议公告》（公告编号：</w:t>
            </w:r>
            <w:r>
              <w:rPr>
                <w:rFonts w:ascii="Times New Roman" w:eastAsia="Times New Roman" w:hAnsi="Times New Roman" w:cs="Times New Roman"/>
                <w:color w:val="000000"/>
                <w:spacing w:val="0"/>
                <w:w w:val="100"/>
                <w:position w:val="0"/>
                <w:sz w:val="18"/>
                <w:szCs w:val="18"/>
              </w:rPr>
              <w:t>2020-066</w:t>
            </w:r>
            <w:r>
              <w:rPr>
                <w:color w:val="000000"/>
                <w:spacing w:val="0"/>
                <w:w w:val="100"/>
                <w:position w:val="0"/>
              </w:rPr>
              <w:t>）</w:t>
            </w:r>
          </w:p>
        </w:tc>
      </w:tr>
      <w:tr>
        <w:trPr>
          <w:trHeight w:val="653"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董事、高级管理人员变动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《关于董事辞职的 公告》（公告编号：</w:t>
            </w:r>
            <w:r>
              <w:rPr>
                <w:rFonts w:ascii="Times New Roman" w:eastAsia="Times New Roman" w:hAnsi="Times New Roman" w:cs="Times New Roman"/>
                <w:color w:val="000000"/>
                <w:spacing w:val="0"/>
                <w:w w:val="100"/>
                <w:position w:val="0"/>
                <w:sz w:val="18"/>
                <w:szCs w:val="18"/>
              </w:rPr>
              <w:t>2020-074</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）《关于高级管理人</w:t>
            </w:r>
            <w:r>
              <w:rPr>
                <w:color w:val="000000"/>
                <w:spacing w:val="0"/>
                <w:w w:val="100"/>
                <w:position w:val="0"/>
              </w:rPr>
              <w:t xml:space="preserve"> 员辞职的公告》（公告编号：</w:t>
            </w:r>
            <w:r>
              <w:rPr>
                <w:rFonts w:ascii="Times New Roman" w:eastAsia="Times New Roman" w:hAnsi="Times New Roman" w:cs="Times New Roman"/>
                <w:color w:val="000000"/>
                <w:spacing w:val="0"/>
                <w:w w:val="100"/>
                <w:position w:val="0"/>
                <w:sz w:val="18"/>
                <w:szCs w:val="18"/>
              </w:rPr>
              <w:t>2020-104</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）《关于高级管理人</w:t>
            </w:r>
            <w:r>
              <w:rPr>
                <w:color w:val="000000"/>
                <w:spacing w:val="0"/>
                <w:w w:val="100"/>
                <w:position w:val="0"/>
              </w:rPr>
              <w:t xml:space="preserve"> 员辞职的公告》（公告编号：</w:t>
            </w:r>
            <w:r>
              <w:rPr>
                <w:rFonts w:ascii="Times New Roman" w:eastAsia="Times New Roman" w:hAnsi="Times New Roman" w:cs="Times New Roman"/>
                <w:color w:val="000000"/>
                <w:spacing w:val="0"/>
                <w:w w:val="100"/>
                <w:position w:val="0"/>
                <w:sz w:val="18"/>
                <w:szCs w:val="18"/>
              </w:rPr>
              <w:t>2020-106</w:t>
            </w:r>
            <w:r>
              <w:rPr>
                <w:color w:val="000000"/>
                <w:spacing w:val="0"/>
                <w:w w:val="100"/>
                <w:position w:val="0"/>
              </w:rPr>
              <w:t>）</w:t>
            </w:r>
          </w:p>
        </w:tc>
      </w:tr>
      <w:tr>
        <w:trPr>
          <w:trHeight w:val="65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实际控制人变更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）《关于股东权益变</w:t>
            </w:r>
            <w:r>
              <w:rPr>
                <w:color w:val="000000"/>
                <w:spacing w:val="0"/>
                <w:w w:val="100"/>
                <w:position w:val="0"/>
              </w:rPr>
              <w:t xml:space="preserve"> 动暨公司实际控制人变更的公告》（公告编号：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p>
        </w:tc>
      </w:tr>
      <w:tr>
        <w:trPr>
          <w:trHeight w:val="65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股东王丽娟减持至持股低于</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《关于公司持股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以上股东权益变动的提示性公告》（公告编号：</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w:t>
            </w:r>
          </w:p>
        </w:tc>
      </w:tr>
      <w:tr>
        <w:trPr>
          <w:trHeight w:val="341"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以上股东减持股份比例</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达到</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2020-06-29</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tabs>
                <w:tab w:pos="456" w:val="left"/>
              </w:tabs>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）《关于大股东减持</w:t>
            </w:r>
            <w:r>
              <w:rPr>
                <w:color w:val="000000"/>
                <w:spacing w:val="0"/>
                <w:w w:val="100"/>
                <w:position w:val="0"/>
              </w:rPr>
              <w:t xml:space="preserve"> 股份比例达到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2020-06-30</w:t>
            </w:r>
          </w:p>
        </w:tc>
        <w:tc>
          <w:tcPr>
            <w:vMerge/>
            <w:tcBorders>
              <w:left w:val="single" w:sz="4"/>
              <w:right w:val="single" w:sz="4"/>
            </w:tcBorders>
            <w:shd w:val="clear" w:color="auto" w:fill="FFFFFF"/>
            <w:vAlign w:val="top"/>
          </w:tcPr>
          <w:p>
            <w:pP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2020-07-09</w:t>
            </w:r>
          </w:p>
        </w:tc>
        <w:tc>
          <w:tcPr>
            <w:vMerge/>
            <w:tcBorders>
              <w:left w:val="single" w:sz="4"/>
              <w:right w:val="single" w:sz="4"/>
            </w:tcBorders>
            <w:shd w:val="clear" w:color="auto" w:fill="FFFFFF"/>
            <w:vAlign w:val="top"/>
          </w:tcPr>
          <w:p>
            <w:pP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2020-09-23</w:t>
            </w:r>
          </w:p>
        </w:tc>
        <w:tc>
          <w:tcPr>
            <w:vMerge/>
            <w:tcBorders>
              <w:left w:val="single" w:sz="4"/>
              <w:right w:val="single" w:sz="4"/>
            </w:tcBorders>
            <w:shd w:val="clear" w:color="auto" w:fill="FFFFFF"/>
            <w:vAlign w:val="top"/>
          </w:tcPr>
          <w:p>
            <w:pP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2020-11-11</w:t>
            </w:r>
          </w:p>
        </w:tc>
        <w:tc>
          <w:tcPr>
            <w:vMerge/>
            <w:tcBorders>
              <w:left w:val="single" w:sz="4"/>
              <w:right w:val="single" w:sz="4"/>
            </w:tcBorders>
            <w:shd w:val="clear" w:color="auto" w:fill="FFFFFF"/>
            <w:vAlign w:val="top"/>
          </w:tcPr>
          <w:p>
            <w:pPr/>
          </w:p>
        </w:tc>
      </w:tr>
      <w:tr>
        <w:trPr>
          <w:trHeight w:val="658"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 润分配预案的公告》（公告编号：</w:t>
            </w:r>
            <w:r>
              <w:rPr>
                <w:rFonts w:ascii="Times New Roman" w:eastAsia="Times New Roman" w:hAnsi="Times New Roman" w:cs="Times New Roman"/>
                <w:color w:val="000000"/>
                <w:spacing w:val="0"/>
                <w:w w:val="100"/>
                <w:position w:val="0"/>
                <w:sz w:val="18"/>
                <w:szCs w:val="18"/>
              </w:rPr>
              <w:t>2020-031</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 权益分派实施的公告》（公告编号：</w:t>
            </w:r>
            <w:r>
              <w:rPr>
                <w:rFonts w:ascii="Times New Roman" w:eastAsia="Times New Roman" w:hAnsi="Times New Roman" w:cs="Times New Roman"/>
                <w:color w:val="000000"/>
                <w:spacing w:val="0"/>
                <w:w w:val="100"/>
                <w:position w:val="0"/>
                <w:sz w:val="18"/>
                <w:szCs w:val="18"/>
              </w:rPr>
              <w:t>2020-050</w:t>
            </w:r>
            <w:r>
              <w:rPr>
                <w:color w:val="000000"/>
                <w:spacing w:val="0"/>
                <w:w w:val="100"/>
                <w:position w:val="0"/>
              </w:rPr>
              <w:t>）</w:t>
            </w:r>
          </w:p>
        </w:tc>
      </w:tr>
      <w:tr>
        <w:trPr>
          <w:trHeight w:val="96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 施进展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限制性股票激励计划首次授予限制性股票回购价格的公告》 （公告编号：</w:t>
            </w:r>
            <w:r>
              <w:rPr>
                <w:rFonts w:ascii="Times New Roman" w:eastAsia="Times New Roman" w:hAnsi="Times New Roman" w:cs="Times New Roman"/>
                <w:color w:val="000000"/>
                <w:spacing w:val="0"/>
                <w:w w:val="100"/>
                <w:position w:val="0"/>
                <w:sz w:val="18"/>
                <w:szCs w:val="18"/>
              </w:rPr>
              <w:t>2020-083</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《关于回购注销部 分首次授予的限制性股票的公告》（公告编号：</w:t>
            </w:r>
            <w:r>
              <w:rPr>
                <w:rFonts w:ascii="Times New Roman" w:eastAsia="Times New Roman" w:hAnsi="Times New Roman" w:cs="Times New Roman"/>
                <w:color w:val="000000"/>
                <w:spacing w:val="0"/>
                <w:w w:val="100"/>
                <w:position w:val="0"/>
                <w:sz w:val="18"/>
                <w:szCs w:val="18"/>
              </w:rPr>
              <w:t>2020-084</w:t>
            </w:r>
            <w:r>
              <w:rPr>
                <w:color w:val="000000"/>
                <w:spacing w:val="0"/>
                <w:w w:val="100"/>
                <w:position w:val="0"/>
              </w:rPr>
              <w:t>）</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性股票激励计划首次授予限制性股票第一个解锁期解锁条 件成就的公告》（公告编号：</w:t>
            </w:r>
            <w:r>
              <w:rPr>
                <w:rFonts w:ascii="Times New Roman" w:eastAsia="Times New Roman" w:hAnsi="Times New Roman" w:cs="Times New Roman"/>
                <w:color w:val="000000"/>
                <w:spacing w:val="0"/>
                <w:w w:val="100"/>
                <w:position w:val="0"/>
                <w:sz w:val="18"/>
                <w:szCs w:val="18"/>
              </w:rPr>
              <w:t>2020-086</w:t>
            </w:r>
            <w:r>
              <w:rPr>
                <w:color w:val="000000"/>
                <w:spacing w:val="0"/>
                <w:w w:val="100"/>
                <w:position w:val="0"/>
              </w:rPr>
              <w:t>）</w:t>
            </w:r>
          </w:p>
        </w:tc>
      </w:tr>
      <w:tr>
        <w:trPr>
          <w:trHeight w:val="9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 xml:space="preserve">《关于回购注销部 分限制性股票减少注册资本暨通知债权人公告》（公告编号: </w:t>
            </w:r>
            <w:r>
              <w:rPr>
                <w:rFonts w:ascii="Times New Roman" w:eastAsia="Times New Roman" w:hAnsi="Times New Roman" w:cs="Times New Roman"/>
                <w:color w:val="000000"/>
                <w:spacing w:val="0"/>
                <w:w w:val="100"/>
                <w:position w:val="0"/>
                <w:sz w:val="18"/>
                <w:szCs w:val="18"/>
              </w:rPr>
              <w:t>2020-096</w:t>
            </w:r>
            <w:r>
              <w:rPr>
                <w:color w:val="000000"/>
                <w:spacing w:val="0"/>
                <w:w w:val="100"/>
                <w:position w:val="0"/>
              </w:rPr>
              <w:t>）</w:t>
            </w:r>
          </w:p>
        </w:tc>
      </w:tr>
      <w:tr>
        <w:trPr>
          <w:trHeight w:val="3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）《关于首次授予的</w:t>
            </w:r>
          </w:p>
        </w:tc>
      </w:tr>
    </w:tbl>
    <w:p>
      <w:pPr>
        <w:spacing w:lineRule="exact" w:line="1"/>
        <w:rPr>
          <w:sz w:val="2"/>
          <w:szCs w:val="2"/>
        </w:rPr>
      </w:pPr>
      <w:r>
        <w:br w:type="page"/>
      </w:r>
    </w:p>
    <w:tbl>
      <w:tblPr>
        <w:tblOverlap w:val="never"/>
        <w:jc w:val="center"/>
        <w:tblLayout w:type="fixed"/>
      </w:tblPr>
      <w:tblGrid>
        <w:gridCol w:w="2477"/>
        <w:gridCol w:w="2496"/>
        <w:gridCol w:w="4704"/>
      </w:tblGrid>
      <w:tr>
        <w:trPr>
          <w:trHeight w:val="34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部分限制性股票回购注销完成的公告》（公告编号：</w:t>
            </w:r>
            <w:r>
              <w:rPr>
                <w:rFonts w:ascii="Times New Roman" w:eastAsia="Times New Roman" w:hAnsi="Times New Roman" w:cs="Times New Roman"/>
                <w:color w:val="000000"/>
                <w:spacing w:val="0"/>
                <w:w w:val="100"/>
                <w:position w:val="0"/>
                <w:sz w:val="18"/>
                <w:szCs w:val="18"/>
              </w:rPr>
              <w:t>2020-098</w:t>
            </w:r>
            <w:r>
              <w:rPr>
                <w:color w:val="000000"/>
                <w:spacing w:val="0"/>
                <w:w w:val="100"/>
                <w:position w:val="0"/>
              </w:rPr>
              <w:t>）</w:t>
            </w:r>
          </w:p>
        </w:tc>
      </w:tr>
      <w:tr>
        <w:trPr>
          <w:trHeight w:val="9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性股票激励计划首次授予限制性股票第一个解锁期解除限 售股份上市流通的提示性公告》（公告编号：</w:t>
            </w:r>
            <w:r>
              <w:rPr>
                <w:rFonts w:ascii="Times New Roman" w:eastAsia="Times New Roman" w:hAnsi="Times New Roman" w:cs="Times New Roman"/>
                <w:color w:val="000000"/>
                <w:spacing w:val="0"/>
                <w:w w:val="100"/>
                <w:position w:val="0"/>
                <w:sz w:val="18"/>
                <w:szCs w:val="18"/>
              </w:rPr>
              <w:t>2020-099</w:t>
            </w:r>
            <w:r>
              <w:rPr>
                <w:color w:val="000000"/>
                <w:spacing w:val="0"/>
                <w:w w:val="100"/>
                <w:position w:val="0"/>
              </w:rPr>
              <w:t>）</w:t>
            </w:r>
          </w:p>
        </w:tc>
      </w:tr>
      <w:tr>
        <w:trPr>
          <w:trHeight w:val="653"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大股东股份质押和解除质押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2020-05-29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）《股东股份质押的</w:t>
            </w:r>
            <w:r>
              <w:rPr>
                <w:color w:val="000000"/>
                <w:spacing w:val="0"/>
                <w:w w:val="100"/>
                <w:position w:val="0"/>
              </w:rPr>
              <w:t xml:space="preserve"> 公告》（公告编号：</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）《股东股份解除质</w:t>
            </w:r>
            <w:r>
              <w:rPr>
                <w:color w:val="000000"/>
                <w:spacing w:val="0"/>
                <w:w w:val="100"/>
                <w:position w:val="0"/>
              </w:rPr>
              <w:t xml:space="preserve"> 押的公告》（公告编号：</w:t>
            </w:r>
            <w:r>
              <w:rPr>
                <w:rFonts w:ascii="Times New Roman" w:eastAsia="Times New Roman" w:hAnsi="Times New Roman" w:cs="Times New Roman"/>
                <w:color w:val="000000"/>
                <w:spacing w:val="0"/>
                <w:w w:val="100"/>
                <w:position w:val="0"/>
                <w:sz w:val="18"/>
                <w:szCs w:val="18"/>
              </w:rPr>
              <w:t>2020-047</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2020-07-01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）《股东股份解除质</w:t>
            </w:r>
            <w:r>
              <w:rPr>
                <w:color w:val="000000"/>
                <w:spacing w:val="0"/>
                <w:w w:val="100"/>
                <w:position w:val="0"/>
              </w:rPr>
              <w:t xml:space="preserve"> 押的公告》（公告编号：</w:t>
            </w:r>
            <w:r>
              <w:rPr>
                <w:rFonts w:ascii="Times New Roman" w:eastAsia="Times New Roman" w:hAnsi="Times New Roman" w:cs="Times New Roman"/>
                <w:color w:val="000000"/>
                <w:spacing w:val="0"/>
                <w:w w:val="100"/>
                <w:position w:val="0"/>
                <w:sz w:val="18"/>
                <w:szCs w:val="18"/>
              </w:rPr>
              <w:t>2020-057</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2020-07-08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）《股东股份解除质</w:t>
            </w:r>
            <w:r>
              <w:rPr>
                <w:color w:val="000000"/>
                <w:spacing w:val="0"/>
                <w:w w:val="100"/>
                <w:position w:val="0"/>
              </w:rPr>
              <w:t xml:space="preserve"> 押的公告》（公告编号：</w:t>
            </w:r>
            <w:r>
              <w:rPr>
                <w:rFonts w:ascii="Times New Roman" w:eastAsia="Times New Roman" w:hAnsi="Times New Roman" w:cs="Times New Roman"/>
                <w:color w:val="000000"/>
                <w:spacing w:val="0"/>
                <w:w w:val="100"/>
                <w:position w:val="0"/>
                <w:sz w:val="18"/>
                <w:szCs w:val="18"/>
              </w:rPr>
              <w:t>2020-059</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2020-07-31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）《股东股份质押的</w:t>
            </w:r>
            <w:r>
              <w:rPr>
                <w:color w:val="000000"/>
                <w:spacing w:val="0"/>
                <w:w w:val="100"/>
                <w:position w:val="0"/>
              </w:rPr>
              <w:t xml:space="preserve"> 公告》（公告编号：</w:t>
            </w:r>
            <w:r>
              <w:rPr>
                <w:rFonts w:ascii="Times New Roman" w:eastAsia="Times New Roman" w:hAnsi="Times New Roman" w:cs="Times New Roman"/>
                <w:color w:val="000000"/>
                <w:spacing w:val="0"/>
                <w:w w:val="100"/>
                <w:position w:val="0"/>
                <w:sz w:val="18"/>
                <w:szCs w:val="18"/>
              </w:rPr>
              <w:t>2020-072</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）《股东股份解除质</w:t>
            </w:r>
            <w:r>
              <w:rPr>
                <w:color w:val="000000"/>
                <w:spacing w:val="0"/>
                <w:w w:val="100"/>
                <w:position w:val="0"/>
              </w:rPr>
              <w:t xml:space="preserve"> 押的公告》（公告编号：</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）《股东股份解除质</w:t>
            </w:r>
            <w:r>
              <w:rPr>
                <w:color w:val="000000"/>
                <w:spacing w:val="0"/>
                <w:w w:val="100"/>
                <w:position w:val="0"/>
              </w:rPr>
              <w:t xml:space="preserve"> 押和再质押的公告》（公告编号：</w:t>
            </w:r>
            <w:r>
              <w:rPr>
                <w:rFonts w:ascii="Times New Roman" w:eastAsia="Times New Roman" w:hAnsi="Times New Roman" w:cs="Times New Roman"/>
                <w:color w:val="000000"/>
                <w:spacing w:val="0"/>
                <w:w w:val="100"/>
                <w:position w:val="0"/>
                <w:sz w:val="18"/>
                <w:szCs w:val="18"/>
              </w:rPr>
              <w:t>2020-105</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）《股东股份解除质</w:t>
            </w:r>
            <w:r>
              <w:rPr>
                <w:color w:val="000000"/>
                <w:spacing w:val="0"/>
                <w:w w:val="100"/>
                <w:position w:val="0"/>
              </w:rPr>
              <w:t xml:space="preserve"> 押、股票质押回购延期购回的公告》（公告编号：</w:t>
            </w:r>
            <w:r>
              <w:rPr>
                <w:rFonts w:ascii="Times New Roman" w:eastAsia="Times New Roman" w:hAnsi="Times New Roman" w:cs="Times New Roman"/>
                <w:color w:val="000000"/>
                <w:spacing w:val="0"/>
                <w:w w:val="100"/>
                <w:position w:val="0"/>
                <w:sz w:val="18"/>
                <w:szCs w:val="18"/>
              </w:rPr>
              <w:t>2020-107</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）《股东股份质押的</w:t>
            </w:r>
            <w:r>
              <w:rPr>
                <w:color w:val="000000"/>
                <w:spacing w:val="0"/>
                <w:w w:val="100"/>
                <w:position w:val="0"/>
              </w:rPr>
              <w:t xml:space="preserve"> 公告》（公告编号：</w:t>
            </w:r>
            <w:r>
              <w:rPr>
                <w:rFonts w:ascii="Times New Roman" w:eastAsia="Times New Roman" w:hAnsi="Times New Roman" w:cs="Times New Roman"/>
                <w:color w:val="000000"/>
                <w:spacing w:val="0"/>
                <w:w w:val="100"/>
                <w:position w:val="0"/>
                <w:sz w:val="18"/>
                <w:szCs w:val="18"/>
              </w:rPr>
              <w:t>2020-109</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）《股东股份解除质</w:t>
            </w:r>
            <w:r>
              <w:rPr>
                <w:color w:val="000000"/>
                <w:spacing w:val="0"/>
                <w:w w:val="100"/>
                <w:position w:val="0"/>
              </w:rPr>
              <w:t xml:space="preserve"> 押和再质押的公告》（公告编号：</w:t>
            </w:r>
            <w:r>
              <w:rPr>
                <w:rFonts w:ascii="Times New Roman" w:eastAsia="Times New Roman" w:hAnsi="Times New Roman" w:cs="Times New Roman"/>
                <w:color w:val="000000"/>
                <w:spacing w:val="0"/>
                <w:w w:val="100"/>
                <w:position w:val="0"/>
                <w:sz w:val="18"/>
                <w:szCs w:val="18"/>
              </w:rPr>
              <w:t>2020-111</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）《股东股份解除质</w:t>
            </w:r>
            <w:r>
              <w:rPr>
                <w:color w:val="000000"/>
                <w:spacing w:val="0"/>
                <w:w w:val="100"/>
                <w:position w:val="0"/>
              </w:rPr>
              <w:t xml:space="preserve"> 押的公告》（公告编号：</w:t>
            </w:r>
            <w:r>
              <w:rPr>
                <w:rFonts w:ascii="Times New Roman" w:eastAsia="Times New Roman" w:hAnsi="Times New Roman" w:cs="Times New Roman"/>
                <w:color w:val="000000"/>
                <w:spacing w:val="0"/>
                <w:w w:val="100"/>
                <w:position w:val="0"/>
                <w:sz w:val="18"/>
                <w:szCs w:val="18"/>
              </w:rPr>
              <w:t>2020-112</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）《股东股份质押的</w:t>
            </w:r>
            <w:r>
              <w:rPr>
                <w:color w:val="000000"/>
                <w:spacing w:val="0"/>
                <w:w w:val="100"/>
                <w:position w:val="0"/>
              </w:rPr>
              <w:t xml:space="preserve"> 公告》（公告编号：</w:t>
            </w:r>
            <w:r>
              <w:rPr>
                <w:rFonts w:ascii="Times New Roman" w:eastAsia="Times New Roman" w:hAnsi="Times New Roman" w:cs="Times New Roman"/>
                <w:color w:val="000000"/>
                <w:spacing w:val="0"/>
                <w:w w:val="100"/>
                <w:position w:val="0"/>
                <w:sz w:val="18"/>
                <w:szCs w:val="18"/>
              </w:rPr>
              <w:t>2020-113</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）《股东股份质押的</w:t>
            </w:r>
            <w:r>
              <w:rPr>
                <w:color w:val="000000"/>
                <w:spacing w:val="0"/>
                <w:w w:val="100"/>
                <w:position w:val="0"/>
              </w:rPr>
              <w:t xml:space="preserve"> 公告》（公告编号：</w:t>
            </w:r>
            <w:r>
              <w:rPr>
                <w:rFonts w:ascii="Times New Roman" w:eastAsia="Times New Roman" w:hAnsi="Times New Roman" w:cs="Times New Roman"/>
                <w:color w:val="000000"/>
                <w:spacing w:val="0"/>
                <w:w w:val="100"/>
                <w:position w:val="0"/>
                <w:sz w:val="18"/>
                <w:szCs w:val="18"/>
              </w:rPr>
              <w:t>2020-114</w:t>
            </w:r>
            <w:r>
              <w:rPr>
                <w:color w:val="000000"/>
                <w:spacing w:val="0"/>
                <w:w w:val="100"/>
                <w:position w:val="0"/>
              </w:rPr>
              <w:t>）</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）《股东股份质押的</w:t>
            </w:r>
            <w:r>
              <w:rPr>
                <w:color w:val="000000"/>
                <w:spacing w:val="0"/>
                <w:w w:val="100"/>
                <w:position w:val="0"/>
              </w:rPr>
              <w:t xml:space="preserve"> 公告》（公告编号：</w:t>
            </w:r>
            <w:r>
              <w:rPr>
                <w:rFonts w:ascii="Times New Roman" w:eastAsia="Times New Roman" w:hAnsi="Times New Roman" w:cs="Times New Roman"/>
                <w:color w:val="000000"/>
                <w:spacing w:val="0"/>
                <w:w w:val="100"/>
                <w:position w:val="0"/>
                <w:sz w:val="18"/>
                <w:szCs w:val="18"/>
              </w:rPr>
              <w:t>2020-126</w:t>
            </w:r>
            <w:r>
              <w:rPr>
                <w:color w:val="000000"/>
                <w:spacing w:val="0"/>
                <w:w w:val="100"/>
                <w:position w:val="0"/>
              </w:rPr>
              <w:t>）</w:t>
            </w:r>
          </w:p>
        </w:tc>
      </w:tr>
      <w:tr>
        <w:trPr>
          <w:trHeight w:val="653"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获得政府补助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）《关于获得政府补</w:t>
            </w:r>
            <w:r>
              <w:rPr>
                <w:color w:val="000000"/>
                <w:spacing w:val="0"/>
                <w:w w:val="100"/>
                <w:position w:val="0"/>
              </w:rPr>
              <w:t xml:space="preserve"> 助的进展公告》（公告编号：</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）《关于获得政府补</w:t>
            </w:r>
            <w:r>
              <w:rPr>
                <w:color w:val="000000"/>
                <w:spacing w:val="0"/>
                <w:w w:val="100"/>
                <w:position w:val="0"/>
              </w:rPr>
              <w:t xml:space="preserve"> 助的公告》（公告编号：</w:t>
            </w:r>
            <w:r>
              <w:rPr>
                <w:rFonts w:ascii="Times New Roman" w:eastAsia="Times New Roman" w:hAnsi="Times New Roman" w:cs="Times New Roman"/>
                <w:color w:val="000000"/>
                <w:spacing w:val="0"/>
                <w:w w:val="100"/>
                <w:position w:val="0"/>
                <w:sz w:val="18"/>
                <w:szCs w:val="18"/>
              </w:rPr>
              <w:t>2020-019</w:t>
            </w:r>
            <w:r>
              <w:rPr>
                <w:color w:val="000000"/>
                <w:spacing w:val="0"/>
                <w:w w:val="100"/>
                <w:position w:val="0"/>
              </w:rPr>
              <w:t>）</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）《关于获得政府补</w:t>
            </w:r>
            <w:r>
              <w:rPr>
                <w:color w:val="000000"/>
                <w:spacing w:val="0"/>
                <w:w w:val="100"/>
                <w:position w:val="0"/>
              </w:rPr>
              <w:t xml:space="preserve"> 助的公告》（公告编号：</w:t>
            </w:r>
            <w:r>
              <w:rPr>
                <w:rFonts w:ascii="Times New Roman" w:eastAsia="Times New Roman" w:hAnsi="Times New Roman" w:cs="Times New Roman"/>
                <w:color w:val="000000"/>
                <w:spacing w:val="0"/>
                <w:w w:val="100"/>
                <w:position w:val="0"/>
                <w:sz w:val="18"/>
                <w:szCs w:val="18"/>
              </w:rPr>
              <w:t>2020-025</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会计政策变更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《关于会计政策变 更的公告》（公告编号：</w:t>
            </w:r>
            <w:r>
              <w:rPr>
                <w:rFonts w:ascii="Times New Roman" w:eastAsia="Times New Roman" w:hAnsi="Times New Roman" w:cs="Times New Roman"/>
                <w:color w:val="000000"/>
                <w:spacing w:val="0"/>
                <w:w w:val="100"/>
                <w:position w:val="0"/>
                <w:sz w:val="18"/>
                <w:szCs w:val="18"/>
              </w:rPr>
              <w:t>2020-030</w:t>
            </w: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年度计提信用减值准备和 资产减值准备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2020-01-20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年度计 提信用减值准备和资产减值准备的公告》（公告编号：</w:t>
            </w:r>
          </w:p>
        </w:tc>
      </w:tr>
    </w:tbl>
    <w:tbl>
      <w:tblPr>
        <w:tblOverlap w:val="never"/>
        <w:jc w:val="center"/>
        <w:tblLayout w:type="fixed"/>
      </w:tblPr>
      <w:tblGrid>
        <w:gridCol w:w="2477"/>
        <w:gridCol w:w="2496"/>
        <w:gridCol w:w="4704"/>
      </w:tblGrid>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2020-007</w:t>
            </w: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二十、公司子公司重大事项</w:t>
      </w:r>
      <w:bookmarkEnd w:id="480"/>
      <w:bookmarkEnd w:id="481"/>
      <w:bookmarkEnd w:id="482"/>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7"/>
        <w:keepNext/>
        <w:keepLines/>
        <w:widowControl w:val="0"/>
        <w:shd w:val="clear" w:color="auto" w:fill="auto"/>
        <w:bidi w:val="0"/>
        <w:spacing w:before="0" w:line="240" w:lineRule="auto"/>
        <w:ind w:left="0" w:right="0" w:firstLine="0"/>
        <w:jc w:val="center"/>
      </w:pPr>
      <w:bookmarkStart w:id="483" w:name="bookmark483"/>
      <w:bookmarkStart w:id="484" w:name="bookmark484"/>
      <w:bookmarkStart w:id="485" w:name="bookmark485"/>
      <w:r>
        <w:rPr>
          <w:color w:val="000000"/>
          <w:spacing w:val="0"/>
          <w:w w:val="100"/>
          <w:position w:val="0"/>
        </w:rPr>
        <w:t>第六节股份变动及股东情况</w:t>
      </w:r>
      <w:bookmarkEnd w:id="483"/>
      <w:bookmarkEnd w:id="484"/>
      <w:bookmarkEnd w:id="485"/>
    </w:p>
    <w:p>
      <w:pPr>
        <w:pStyle w:val="Style30"/>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bookmarkStart w:id="489" w:name="bookmark489"/>
      <w:bookmarkStart w:id="490" w:name="bookmark490"/>
      <w:r>
        <w:rPr>
          <w:color w:val="000000"/>
          <w:spacing w:val="0"/>
          <w:w w:val="100"/>
          <w:position w:val="0"/>
          <w:sz w:val="24"/>
          <w:szCs w:val="24"/>
        </w:rPr>
        <w:t>一</w:t>
      </w:r>
      <w:bookmarkEnd w:id="489"/>
      <w:r>
        <w:rPr>
          <w:color w:val="000000"/>
          <w:spacing w:val="0"/>
          <w:w w:val="100"/>
          <w:position w:val="0"/>
          <w:sz w:val="24"/>
          <w:szCs w:val="24"/>
        </w:rPr>
        <w:t>、股份变动情况</w:t>
      </w:r>
      <w:bookmarkEnd w:id="487"/>
      <w:bookmarkEnd w:id="488"/>
      <w:bookmarkEnd w:id="490"/>
      <w:bookmarkEnd w:id="486"/>
    </w:p>
    <w:p>
      <w:pPr>
        <w:pStyle w:val="Style37"/>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、股份变动情况</w:t>
      </w:r>
      <w:bookmarkEnd w:id="491"/>
      <w:bookmarkEnd w:id="492"/>
      <w:bookmarkEnd w:id="49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74,527,18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31,467,22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15,023,03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-58,082,9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-43,059,9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31,467,22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61.84%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19.58%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50,927,18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31,467,22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45,990,98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149,168,8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45,236,04</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57,941,84</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103,177,8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149,168,8</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38.16%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60,259,08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60,117,93</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180,636,0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334" w:val="left"/>
        </w:tabs>
        <w:bidi w:val="0"/>
        <w:spacing w:before="0" w:after="120" w:line="240" w:lineRule="auto"/>
        <w:ind w:left="0" w:right="0" w:firstLine="0"/>
        <w:jc w:val="left"/>
      </w:pPr>
      <w:bookmarkStart w:id="495" w:name="bookmark495"/>
      <w:r>
        <w:rPr>
          <w:rFonts w:ascii="Times New Roman" w:eastAsia="Times New Roman" w:hAnsi="Times New Roman" w:cs="Times New Roman"/>
          <w:color w:val="000000"/>
          <w:spacing w:val="0"/>
          <w:w w:val="100"/>
          <w:position w:val="0"/>
          <w:sz w:val="18"/>
          <w:szCs w:val="18"/>
        </w:rPr>
        <w:t>1</w:t>
      </w:r>
      <w:bookmarkEnd w:id="49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日公司首次公开发行前已发行股份</w:t>
      </w:r>
      <w:r>
        <w:rPr>
          <w:rFonts w:ascii="Times New Roman" w:eastAsia="Times New Roman" w:hAnsi="Times New Roman" w:cs="Times New Roman"/>
          <w:color w:val="000000"/>
          <w:spacing w:val="0"/>
          <w:w w:val="100"/>
          <w:position w:val="0"/>
          <w:sz w:val="18"/>
          <w:szCs w:val="18"/>
        </w:rPr>
        <w:t>66,800,000</w:t>
      </w:r>
      <w:r>
        <w:rPr>
          <w:color w:val="000000"/>
          <w:spacing w:val="0"/>
          <w:w w:val="100"/>
          <w:position w:val="0"/>
        </w:rPr>
        <w:t>股解除限售并上市流通。</w:t>
      </w:r>
    </w:p>
    <w:p>
      <w:pPr>
        <w:pStyle w:val="Style34"/>
        <w:keepNext w:val="0"/>
        <w:keepLines w:val="0"/>
        <w:widowControl w:val="0"/>
        <w:shd w:val="clear" w:color="auto" w:fill="auto"/>
        <w:bidi w:val="0"/>
        <w:spacing w:before="0" w:after="0" w:line="240" w:lineRule="auto"/>
        <w:ind w:left="0" w:right="0" w:firstLine="0"/>
        <w:jc w:val="left"/>
      </w:pPr>
      <w:bookmarkStart w:id="496" w:name="bookmark496"/>
      <w:r>
        <w:rPr>
          <w:rFonts w:ascii="Times New Roman" w:eastAsia="Times New Roman" w:hAnsi="Times New Roman" w:cs="Times New Roman"/>
          <w:color w:val="000000"/>
          <w:spacing w:val="0"/>
          <w:w w:val="100"/>
          <w:position w:val="0"/>
          <w:sz w:val="18"/>
          <w:szCs w:val="18"/>
        </w:rPr>
        <w:t>2</w:t>
      </w:r>
      <w:bookmarkEnd w:id="49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年度权益分派实施完毕，公司以资本公积金向全体股东每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股，公司总股本由</w:t>
      </w:r>
      <w:r>
        <w:rPr>
          <w:rFonts w:ascii="Times New Roman" w:eastAsia="Times New Roman" w:hAnsi="Times New Roman" w:cs="Times New Roman"/>
          <w:color w:val="000000"/>
          <w:spacing w:val="0"/>
          <w:w w:val="100"/>
          <w:position w:val="0"/>
          <w:sz w:val="18"/>
          <w:szCs w:val="18"/>
        </w:rPr>
        <w:t xml:space="preserve">120,518,161 </w:t>
      </w:r>
      <w:r>
        <w:rPr>
          <w:rStyle w:val="CharStyle28"/>
        </w:rPr>
        <w:t>股增加至</w:t>
      </w:r>
      <w:r>
        <w:rPr>
          <w:rStyle w:val="CharStyle28"/>
          <w:rFonts w:ascii="Times New Roman" w:eastAsia="Times New Roman" w:hAnsi="Times New Roman" w:cs="Times New Roman"/>
          <w:sz w:val="18"/>
          <w:szCs w:val="18"/>
        </w:rPr>
        <w:t>180,777,241</w:t>
      </w:r>
      <w:r>
        <w:rPr>
          <w:rStyle w:val="CharStyle28"/>
        </w:rPr>
        <w:t>股。</w:t>
      </w:r>
    </w:p>
    <w:p>
      <w:pPr>
        <w:pStyle w:val="Style34"/>
        <w:keepNext w:val="0"/>
        <w:keepLines w:val="0"/>
        <w:widowControl w:val="0"/>
        <w:shd w:val="clear" w:color="auto" w:fill="auto"/>
        <w:tabs>
          <w:tab w:pos="344" w:val="left"/>
        </w:tabs>
        <w:bidi w:val="0"/>
        <w:spacing w:before="0" w:after="0" w:line="312" w:lineRule="exact"/>
        <w:ind w:left="0" w:right="0" w:firstLine="0"/>
        <w:jc w:val="left"/>
      </w:pPr>
      <w:bookmarkStart w:id="497" w:name="bookmark497"/>
      <w:r>
        <w:rPr>
          <w:rFonts w:ascii="Times New Roman" w:eastAsia="Times New Roman" w:hAnsi="Times New Roman" w:cs="Times New Roman"/>
          <w:color w:val="000000"/>
          <w:spacing w:val="0"/>
          <w:w w:val="100"/>
          <w:position w:val="0"/>
          <w:sz w:val="18"/>
          <w:szCs w:val="18"/>
        </w:rPr>
        <w:t>3</w:t>
      </w:r>
      <w:bookmarkEnd w:id="49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年第三次临时股东大会审议通过《关于回购注销部分首次授予的限制性股票的议案》。对已不符 合激励条件、失去激励资格的</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名人员已获授但尚未解锁的合计</w:t>
      </w:r>
      <w:r>
        <w:rPr>
          <w:rFonts w:ascii="Times New Roman" w:eastAsia="Times New Roman" w:hAnsi="Times New Roman" w:cs="Times New Roman"/>
          <w:color w:val="000000"/>
          <w:spacing w:val="0"/>
          <w:w w:val="100"/>
          <w:position w:val="0"/>
          <w:sz w:val="18"/>
          <w:szCs w:val="18"/>
        </w:rPr>
        <w:t>141,144</w:t>
      </w:r>
      <w:r>
        <w:rPr>
          <w:color w:val="000000"/>
          <w:spacing w:val="0"/>
          <w:w w:val="100"/>
          <w:position w:val="0"/>
        </w:rPr>
        <w:t>股限制性股票予以回购注销。回购注销实施完成后， 公司总股本由</w:t>
      </w:r>
      <w:r>
        <w:rPr>
          <w:rFonts w:ascii="Times New Roman" w:eastAsia="Times New Roman" w:hAnsi="Times New Roman" w:cs="Times New Roman"/>
          <w:color w:val="000000"/>
          <w:spacing w:val="0"/>
          <w:w w:val="100"/>
          <w:position w:val="0"/>
          <w:sz w:val="18"/>
          <w:szCs w:val="18"/>
        </w:rPr>
        <w:t>180,777,241</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w:t>
      </w:r>
    </w:p>
    <w:p>
      <w:pPr>
        <w:pStyle w:val="Style34"/>
        <w:keepNext w:val="0"/>
        <w:keepLines w:val="0"/>
        <w:widowControl w:val="0"/>
        <w:shd w:val="clear" w:color="auto" w:fill="auto"/>
        <w:tabs>
          <w:tab w:pos="354" w:val="left"/>
        </w:tabs>
        <w:bidi w:val="0"/>
        <w:spacing w:before="0" w:after="0" w:line="312" w:lineRule="exact"/>
        <w:ind w:left="0" w:right="0" w:firstLine="0"/>
        <w:jc w:val="left"/>
      </w:pPr>
      <w:bookmarkStart w:id="498" w:name="bookmark498"/>
      <w:r>
        <w:rPr>
          <w:rFonts w:ascii="Times New Roman" w:eastAsia="Times New Roman" w:hAnsi="Times New Roman" w:cs="Times New Roman"/>
          <w:color w:val="000000"/>
          <w:spacing w:val="0"/>
          <w:w w:val="100"/>
          <w:position w:val="0"/>
          <w:sz w:val="18"/>
          <w:szCs w:val="18"/>
        </w:rPr>
        <w:t>4</w:t>
      </w:r>
      <w:bookmarkEnd w:id="49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年限制性股票激励计划首次授予限制性股票第一个解锁期解锁条件成就，解除限售股份总数为 </w:t>
      </w:r>
      <w:r>
        <w:rPr>
          <w:rFonts w:ascii="Times New Roman" w:eastAsia="Times New Roman" w:hAnsi="Times New Roman" w:cs="Times New Roman"/>
          <w:color w:val="000000"/>
          <w:spacing w:val="0"/>
          <w:w w:val="100"/>
          <w:position w:val="0"/>
          <w:sz w:val="18"/>
          <w:szCs w:val="18"/>
        </w:rPr>
        <w:t xml:space="preserve">1,968,045 </w:t>
      </w:r>
      <w:r>
        <w:rPr>
          <w:color w:val="000000"/>
          <w:spacing w:val="0"/>
          <w:w w:val="100"/>
          <w:position w:val="0"/>
        </w:rPr>
        <w:t>股。</w:t>
      </w:r>
    </w:p>
    <w:p>
      <w:pPr>
        <w:pStyle w:val="Style34"/>
        <w:keepNext w:val="0"/>
        <w:keepLines w:val="0"/>
        <w:widowControl w:val="0"/>
        <w:shd w:val="clear" w:color="auto" w:fill="auto"/>
        <w:tabs>
          <w:tab w:pos="354" w:val="left"/>
        </w:tabs>
        <w:bidi w:val="0"/>
        <w:spacing w:before="0" w:after="0" w:line="312" w:lineRule="exact"/>
        <w:ind w:left="0" w:right="0" w:firstLine="0"/>
        <w:jc w:val="left"/>
      </w:pPr>
      <w:bookmarkStart w:id="499" w:name="bookmark499"/>
      <w:r>
        <w:rPr>
          <w:rFonts w:ascii="Times New Roman" w:eastAsia="Times New Roman" w:hAnsi="Times New Roman" w:cs="Times New Roman"/>
          <w:color w:val="000000"/>
          <w:spacing w:val="0"/>
          <w:w w:val="100"/>
          <w:position w:val="0"/>
          <w:sz w:val="18"/>
          <w:szCs w:val="18"/>
        </w:rPr>
        <w:t>5</w:t>
      </w:r>
      <w:bookmarkEnd w:id="499"/>
      <w:r>
        <w:rPr>
          <w:color w:val="000000"/>
          <w:spacing w:val="0"/>
          <w:w w:val="100"/>
          <w:position w:val="0"/>
        </w:rPr>
        <w:t>、</w:t>
        <w:tab/>
        <w:t>其他股份变动原因：因董监高股东任职变动导致报告期内高管锁定股数量相应发生变化。</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股份变动的批准情况</w:t>
      </w:r>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4" w:lineRule="exact"/>
        <w:ind w:left="0" w:right="0" w:firstLine="0"/>
        <w:jc w:val="left"/>
      </w:pPr>
      <w:bookmarkStart w:id="500" w:name="bookmark500"/>
      <w:r>
        <w:rPr>
          <w:rFonts w:ascii="Times New Roman" w:eastAsia="Times New Roman" w:hAnsi="Times New Roman" w:cs="Times New Roman"/>
          <w:color w:val="000000"/>
          <w:spacing w:val="0"/>
          <w:w w:val="100"/>
          <w:position w:val="0"/>
          <w:sz w:val="18"/>
          <w:szCs w:val="18"/>
        </w:rPr>
        <w:t>1</w:t>
      </w:r>
      <w:bookmarkEnd w:id="50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日公司分别召开第三届董事会第二次会议和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 分配预案》，同意以公司现有总股本</w:t>
      </w:r>
      <w:r>
        <w:rPr>
          <w:rFonts w:ascii="Times New Roman" w:eastAsia="Times New Roman" w:hAnsi="Times New Roman" w:cs="Times New Roman"/>
          <w:color w:val="000000"/>
          <w:spacing w:val="0"/>
          <w:w w:val="100"/>
          <w:position w:val="0"/>
          <w:sz w:val="18"/>
          <w:szCs w:val="18"/>
        </w:rPr>
        <w:t>120,518,161</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21.8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元（含税）的现金红利， 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34"/>
        <w:keepNext w:val="0"/>
        <w:keepLines w:val="0"/>
        <w:widowControl w:val="0"/>
        <w:shd w:val="clear" w:color="auto" w:fill="auto"/>
        <w:tabs>
          <w:tab w:pos="354" w:val="left"/>
        </w:tabs>
        <w:bidi w:val="0"/>
        <w:spacing w:before="0" w:after="0" w:line="312" w:lineRule="exact"/>
        <w:ind w:left="0" w:right="0" w:firstLine="0"/>
        <w:jc w:val="left"/>
      </w:pPr>
      <w:bookmarkStart w:id="501" w:name="bookmark501"/>
      <w:r>
        <w:rPr>
          <w:rFonts w:ascii="Times New Roman" w:eastAsia="Times New Roman" w:hAnsi="Times New Roman" w:cs="Times New Roman"/>
          <w:color w:val="000000"/>
          <w:spacing w:val="0"/>
          <w:w w:val="100"/>
          <w:position w:val="0"/>
          <w:sz w:val="18"/>
          <w:szCs w:val="18"/>
        </w:rPr>
        <w:t>2</w:t>
      </w:r>
      <w:bookmarkEnd w:id="5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日公司分别召开第三届董事会第六次会议、第三届监事会第五次会议和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 东大会，审议通过《关于回购注销部分首次授予的限制性股票的议案》和《关于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 股票第一个解锁期解锁条件成就的议案》，同意公司回购并注销已不符合激励条件、失去本次限制性股票激励资格的</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名人 员已获授但尚未解锁的合计</w:t>
      </w:r>
      <w:r>
        <w:rPr>
          <w:rFonts w:ascii="Times New Roman" w:eastAsia="Times New Roman" w:hAnsi="Times New Roman" w:cs="Times New Roman"/>
          <w:color w:val="000000"/>
          <w:spacing w:val="0"/>
          <w:w w:val="100"/>
          <w:position w:val="0"/>
          <w:sz w:val="18"/>
          <w:szCs w:val="18"/>
        </w:rPr>
        <w:t>141,144</w:t>
      </w:r>
      <w:r>
        <w:rPr>
          <w:color w:val="000000"/>
          <w:spacing w:val="0"/>
          <w:w w:val="100"/>
          <w:position w:val="0"/>
        </w:rPr>
        <w:t>股限制性股票，同意公司根据公司《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年限制性股票激励计划（草案）》的相关规定 和公司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年第三次临时股东大会的授权，办理激励计划首次授予限制性股票第一个解锁期解除限售的相关事宜。</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股份变动的过户情况</w:t>
      </w:r>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股份回购的实施进展情况</w:t>
      </w:r>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年度权益分派实施完毕后，公司总股本由</w:t>
      </w:r>
      <w:r>
        <w:rPr>
          <w:rFonts w:ascii="Times New Roman" w:eastAsia="Times New Roman" w:hAnsi="Times New Roman" w:cs="Times New Roman"/>
          <w:color w:val="000000"/>
          <w:spacing w:val="0"/>
          <w:w w:val="100"/>
          <w:position w:val="0"/>
          <w:sz w:val="18"/>
          <w:szCs w:val="18"/>
        </w:rPr>
        <w:t>120,518,161</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180,777,241</w:t>
      </w:r>
      <w:r>
        <w:rPr>
          <w:color w:val="000000"/>
          <w:spacing w:val="0"/>
          <w:w w:val="100"/>
          <w:position w:val="0"/>
        </w:rPr>
        <w:t>股；股权激励计划限制性股票回购 注销实施完成后，公司总股本由</w:t>
      </w:r>
      <w:r>
        <w:rPr>
          <w:rFonts w:ascii="Times New Roman" w:eastAsia="Times New Roman" w:hAnsi="Times New Roman" w:cs="Times New Roman"/>
          <w:color w:val="000000"/>
          <w:spacing w:val="0"/>
          <w:w w:val="100"/>
          <w:position w:val="0"/>
          <w:sz w:val="18"/>
          <w:szCs w:val="18"/>
        </w:rPr>
        <w:t>180,777,241</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股。股份变动后，报告期基本每股收益为</w:t>
      </w:r>
      <w:r>
        <w:rPr>
          <w:rFonts w:ascii="Times New Roman" w:eastAsia="Times New Roman" w:hAnsi="Times New Roman" w:cs="Times New Roman"/>
          <w:color w:val="000000"/>
          <w:spacing w:val="0"/>
          <w:w w:val="100"/>
          <w:position w:val="0"/>
          <w:sz w:val="18"/>
          <w:szCs w:val="18"/>
        </w:rPr>
        <w:t>3.53</w:t>
      </w:r>
      <w:r>
        <w:rPr>
          <w:color w:val="000000"/>
          <w:spacing w:val="0"/>
          <w:w w:val="100"/>
          <w:position w:val="0"/>
        </w:rPr>
        <w:t>元，较上年同 期的</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元减少</w:t>
      </w:r>
      <w:r>
        <w:rPr>
          <w:rFonts w:ascii="Times New Roman" w:eastAsia="Times New Roman" w:hAnsi="Times New Roman" w:cs="Times New Roman"/>
          <w:color w:val="000000"/>
          <w:spacing w:val="0"/>
          <w:w w:val="100"/>
          <w:position w:val="0"/>
          <w:sz w:val="18"/>
          <w:szCs w:val="18"/>
        </w:rPr>
        <w:t>28.69%</w:t>
      </w:r>
      <w:r>
        <w:rPr>
          <w:color w:val="000000"/>
          <w:spacing w:val="0"/>
          <w:w w:val="100"/>
          <w:position w:val="0"/>
        </w:rPr>
        <w:t>,稀释每股收益为</w:t>
      </w:r>
      <w:r>
        <w:rPr>
          <w:rFonts w:ascii="Times New Roman" w:eastAsia="Times New Roman" w:hAnsi="Times New Roman" w:cs="Times New Roman"/>
          <w:color w:val="000000"/>
          <w:spacing w:val="0"/>
          <w:w w:val="100"/>
          <w:position w:val="0"/>
          <w:sz w:val="18"/>
          <w:szCs w:val="18"/>
        </w:rPr>
        <w:t>3.53</w:t>
      </w:r>
      <w:r>
        <w:rPr>
          <w:color w:val="000000"/>
          <w:spacing w:val="0"/>
          <w:w w:val="100"/>
          <w:position w:val="0"/>
        </w:rPr>
        <w:t>元，较上年同期的</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元减少</w:t>
      </w:r>
      <w:r>
        <w:rPr>
          <w:rFonts w:ascii="Times New Roman" w:eastAsia="Times New Roman" w:hAnsi="Times New Roman" w:cs="Times New Roman"/>
          <w:color w:val="000000"/>
          <w:spacing w:val="0"/>
          <w:w w:val="100"/>
          <w:position w:val="0"/>
          <w:sz w:val="18"/>
          <w:szCs w:val="18"/>
        </w:rPr>
        <w:t>28.69%</w:t>
      </w:r>
      <w:r>
        <w:rPr>
          <w:color w:val="000000"/>
          <w:spacing w:val="0"/>
          <w:w w:val="100"/>
          <w:position w:val="0"/>
        </w:rPr>
        <w:t>,报告期末归属于公司普通股股东的每股 净资产为</w:t>
      </w:r>
      <w:r>
        <w:rPr>
          <w:rFonts w:ascii="Times New Roman" w:eastAsia="Times New Roman" w:hAnsi="Times New Roman" w:cs="Times New Roman"/>
          <w:color w:val="000000"/>
          <w:spacing w:val="0"/>
          <w:w w:val="100"/>
          <w:position w:val="0"/>
          <w:sz w:val="18"/>
          <w:szCs w:val="18"/>
        </w:rPr>
        <w:t>13.12</w:t>
      </w:r>
      <w:r>
        <w:rPr>
          <w:color w:val="000000"/>
          <w:spacing w:val="0"/>
          <w:w w:val="100"/>
          <w:position w:val="0"/>
        </w:rPr>
        <w:t>元，较上年同期末的</w:t>
      </w:r>
      <w:r>
        <w:rPr>
          <w:rFonts w:ascii="Times New Roman" w:eastAsia="Times New Roman" w:hAnsi="Times New Roman" w:cs="Times New Roman"/>
          <w:color w:val="000000"/>
          <w:spacing w:val="0"/>
          <w:w w:val="100"/>
          <w:position w:val="0"/>
          <w:sz w:val="18"/>
          <w:szCs w:val="18"/>
        </w:rPr>
        <w:t xml:space="preserve">10.5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元增加</w:t>
      </w:r>
      <w:r>
        <w:rPr>
          <w:rFonts w:ascii="Times New Roman" w:eastAsia="Times New Roman" w:hAnsi="Times New Roman" w:cs="Times New Roman"/>
          <w:color w:val="000000"/>
          <w:spacing w:val="0"/>
          <w:w w:val="100"/>
          <w:position w:val="0"/>
          <w:sz w:val="18"/>
          <w:szCs w:val="18"/>
        </w:rPr>
        <w:t>24.69%</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、限售股份变动情况</w:t>
      </w:r>
      <w:bookmarkEnd w:id="502"/>
      <w:bookmarkEnd w:id="503"/>
      <w:bookmarkEnd w:id="505"/>
    </w:p>
    <w:p>
      <w:pPr>
        <w:pStyle w:val="Style34"/>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9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深圳市敏行电子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23,600,000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首发前限售股份</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w:t>
            </w:r>
            <w:r>
              <w:rPr>
                <w:color w:val="000000"/>
                <w:spacing w:val="0"/>
                <w:w w:val="100"/>
                <w:position w:val="0"/>
                <w:sz w:val="17"/>
                <w:szCs w:val="17"/>
              </w:rPr>
              <w:t>万股于</w:t>
            </w:r>
            <w:r>
              <w:rPr>
                <w:rFonts w:ascii="Times New Roman" w:eastAsia="Times New Roman" w:hAnsi="Times New Roman" w:cs="Times New Roman"/>
                <w:color w:val="000000"/>
                <w:spacing w:val="0"/>
                <w:w w:val="100"/>
                <w:position w:val="0"/>
                <w:sz w:val="18"/>
                <w:szCs w:val="18"/>
              </w:rPr>
              <w:t>2020</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日解</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首发前限售股、 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首发前限售股份 </w:t>
            </w:r>
            <w:r>
              <w:rPr>
                <w:rFonts w:ascii="Times New Roman" w:eastAsia="Times New Roman" w:hAnsi="Times New Roman" w:cs="Times New Roman"/>
                <w:color w:val="000000"/>
                <w:spacing w:val="0"/>
                <w:w w:val="100"/>
                <w:position w:val="0"/>
                <w:sz w:val="18"/>
                <w:szCs w:val="18"/>
              </w:rPr>
              <w:t>960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日解 限，根据本人董 监高任职情况实 际可上市流通数 量</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万股，根 据法规规定所持 高管锁定股后续 分期解锁。</w:t>
            </w:r>
          </w:p>
        </w:tc>
      </w:tr>
      <w:tr>
        <w:trPr>
          <w:trHeight w:val="414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首发前限售股、 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45" w:val="left"/>
              </w:tabs>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首发前限售股 份</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 xml:space="preserve">万股于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日解限，根据本 人董监高任职情 况实际可上市流 通数量</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万股；</w:t>
            </w:r>
          </w:p>
          <w:p>
            <w:pPr>
              <w:pStyle w:val="Style27"/>
              <w:keepNext w:val="0"/>
              <w:keepLines w:val="0"/>
              <w:widowControl w:val="0"/>
              <w:shd w:val="clear" w:color="auto" w:fill="auto"/>
              <w:tabs>
                <w:tab w:pos="288"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日离任第三 届董事会董事， 根据法规规定所 持高管锁定股后 续分期解锁。</w:t>
            </w:r>
          </w:p>
        </w:tc>
      </w:tr>
      <w:tr>
        <w:trPr>
          <w:trHeight w:val="3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首发前限售股、 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首发前限售股份 </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日解 限，根据本人董 监高任职情况实 际可上市流通数 量</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万股，根 据法规规定所持 高管锁定股后续 分期解锁。</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首发前限售股份 </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日解 限。</w:t>
            </w:r>
          </w:p>
        </w:tc>
      </w:tr>
      <w:tr>
        <w:trPr>
          <w:trHeight w:val="16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首发前限售股、 高管锁定股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、首发前限售股 份</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 xml:space="preserve">万股于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日解限，根据本 人董监高任职情</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况实际可上市流 通数量</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 xml:space="preserve">万股；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日离任第二 届董事会董事， 根据法规规定所 持高管锁定股后 续分期解锁，截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年末剩余 </w:t>
            </w:r>
            <w:r>
              <w:rPr>
                <w:rFonts w:ascii="Times New Roman" w:eastAsia="Times New Roman" w:hAnsi="Times New Roman" w:cs="Times New Roman"/>
                <w:color w:val="000000"/>
                <w:spacing w:val="0"/>
                <w:w w:val="100"/>
                <w:position w:val="0"/>
                <w:sz w:val="18"/>
                <w:szCs w:val="18"/>
              </w:rPr>
              <w:t>675</w:t>
            </w:r>
            <w:r>
              <w:rPr>
                <w:color w:val="000000"/>
                <w:spacing w:val="0"/>
                <w:w w:val="100"/>
                <w:position w:val="0"/>
              </w:rPr>
              <w:t>万股高管锁 定股已全部解除 限售。</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首发前限售股份 </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日解 限。</w:t>
            </w:r>
          </w:p>
        </w:tc>
      </w:tr>
      <w:tr>
        <w:trPr>
          <w:trHeight w:val="53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李朝莉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首发前限售股、 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45"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首发前限售股 份</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 xml:space="preserve">万股于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日解限，根据本 人董监高任职情 况实际可上市流 通数量</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万股；</w:t>
            </w:r>
          </w:p>
          <w:p>
            <w:pPr>
              <w:pStyle w:val="Style27"/>
              <w:keepNext w:val="0"/>
              <w:keepLines w:val="0"/>
              <w:widowControl w:val="0"/>
              <w:shd w:val="clear" w:color="auto" w:fill="auto"/>
              <w:tabs>
                <w:tab w:pos="28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日离任第二 届董事会董事， 根据法规规定所 持高管锁定股后 续分期解锁，截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年末剩余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万股高管锁定 股已全部解除限 售。</w:t>
            </w:r>
          </w:p>
        </w:tc>
      </w:tr>
      <w:tr>
        <w:trPr>
          <w:trHeight w:val="317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甘云龙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2,642,782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 xml:space="preserve">日离任公司第二 届监事会监事， 根据法规规定所 持高管锁定股后 续分期解锁，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 解除限售 </w:t>
            </w:r>
            <w:r>
              <w:rPr>
                <w:rFonts w:ascii="Times New Roman" w:eastAsia="Times New Roman" w:hAnsi="Times New Roman" w:cs="Times New Roman"/>
                <w:color w:val="000000"/>
                <w:spacing w:val="0"/>
                <w:w w:val="100"/>
                <w:position w:val="0"/>
                <w:sz w:val="18"/>
                <w:szCs w:val="18"/>
              </w:rPr>
              <w:t>480,506</w:t>
            </w:r>
            <w:r>
              <w:rPr>
                <w:color w:val="000000"/>
                <w:spacing w:val="0"/>
                <w:w w:val="100"/>
                <w:position w:val="0"/>
              </w:rPr>
              <w:t xml:space="preserve">股，截至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年末剩余</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2,162,276</w:t>
            </w:r>
            <w:r>
              <w:rPr>
                <w:color w:val="000000"/>
                <w:spacing w:val="0"/>
                <w:w w:val="100"/>
                <w:position w:val="0"/>
              </w:rPr>
              <w:t>股高管 锁定股已全部解 除限售。</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根据法规规定所 持高管锁定股后 续分期解锁，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 解除限售 </w:t>
            </w:r>
            <w:r>
              <w:rPr>
                <w:rFonts w:ascii="Times New Roman" w:eastAsia="Times New Roman" w:hAnsi="Times New Roman" w:cs="Times New Roman"/>
                <w:color w:val="000000"/>
                <w:spacing w:val="0"/>
                <w:w w:val="100"/>
                <w:position w:val="0"/>
                <w:sz w:val="18"/>
                <w:szCs w:val="18"/>
              </w:rPr>
              <w:t xml:space="preserve">262,500 </w:t>
            </w:r>
            <w:r>
              <w:rPr>
                <w:color w:val="000000"/>
                <w:spacing w:val="0"/>
                <w:w w:val="100"/>
                <w:position w:val="0"/>
              </w:rPr>
              <w:t>股。</w:t>
            </w:r>
          </w:p>
        </w:tc>
      </w:tr>
      <w:tr>
        <w:trPr>
          <w:trHeight w:val="414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日离任第二届 监事会职工代表 监事，根据法规 规定所持高管锁 定股后续分期解 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103,200</w:t>
            </w:r>
            <w:r>
              <w:rPr>
                <w:color w:val="000000"/>
                <w:spacing w:val="0"/>
                <w:w w:val="100"/>
                <w:position w:val="0"/>
              </w:rPr>
              <w:t xml:space="preserve">股，截至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年末剩余 </w:t>
            </w:r>
            <w:r>
              <w:rPr>
                <w:rFonts w:ascii="Times New Roman" w:eastAsia="Times New Roman" w:hAnsi="Times New Roman" w:cs="Times New Roman"/>
                <w:color w:val="000000"/>
                <w:spacing w:val="0"/>
                <w:w w:val="100"/>
                <w:position w:val="0"/>
                <w:sz w:val="18"/>
                <w:szCs w:val="18"/>
              </w:rPr>
              <w:t>1,645,200</w:t>
            </w:r>
            <w:r>
              <w:rPr>
                <w:color w:val="000000"/>
                <w:spacing w:val="0"/>
                <w:w w:val="100"/>
                <w:position w:val="0"/>
              </w:rPr>
              <w:t>股高管 锁定股已全部解 除限售。</w:t>
            </w:r>
          </w:p>
        </w:tc>
      </w:tr>
      <w:tr>
        <w:trPr>
          <w:trHeight w:val="3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刘厚军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日离任公司财 务总监，根据法 规规定所持高管 锁定股后续分期 解锁，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84,149</w:t>
            </w:r>
            <w:r>
              <w:rPr>
                <w:color w:val="000000"/>
                <w:spacing w:val="0"/>
                <w:w w:val="100"/>
                <w:position w:val="0"/>
              </w:rPr>
              <w:t xml:space="preserve">股，截至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年末剩余 </w:t>
            </w:r>
            <w:r>
              <w:rPr>
                <w:rFonts w:ascii="Times New Roman" w:eastAsia="Times New Roman" w:hAnsi="Times New Roman" w:cs="Times New Roman"/>
                <w:color w:val="000000"/>
                <w:spacing w:val="0"/>
                <w:w w:val="100"/>
                <w:position w:val="0"/>
                <w:sz w:val="18"/>
                <w:szCs w:val="18"/>
              </w:rPr>
              <w:t>378,672</w:t>
            </w:r>
            <w:r>
              <w:rPr>
                <w:color w:val="000000"/>
                <w:spacing w:val="0"/>
                <w:w w:val="100"/>
                <w:position w:val="0"/>
              </w:rPr>
              <w:t>股高管 锁定股已全部解 除限售。</w:t>
            </w:r>
          </w:p>
        </w:tc>
      </w:tr>
      <w:tr>
        <w:trPr>
          <w:trHeight w:val="287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翁小雄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日离任第二届 董事会独立董 事，根据法规规 定所持高管锁定 股后续分期解 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股高管 锁定股已全部解</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除限售。</w:t>
            </w:r>
          </w:p>
        </w:tc>
      </w:tr>
      <w:tr>
        <w:trPr>
          <w:trHeight w:val="53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 票计划首次授予 激励对象（不含 高管何宁）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限制性股票激励 计划第一个解锁 期符合解锁条件 股权激励限制性 股票合计 </w:t>
            </w:r>
            <w:r>
              <w:rPr>
                <w:rFonts w:ascii="Times New Roman" w:eastAsia="Times New Roman" w:hAnsi="Times New Roman" w:cs="Times New Roman"/>
                <w:color w:val="000000"/>
                <w:spacing w:val="0"/>
                <w:w w:val="100"/>
                <w:position w:val="0"/>
                <w:sz w:val="18"/>
                <w:szCs w:val="18"/>
              </w:rPr>
              <w:t xml:space="preserve">1,893,045 </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日解除限售并上 市流通。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、不符 合激励条件、丧 失激励资格人员 所持</w:t>
            </w:r>
            <w:r>
              <w:rPr>
                <w:rFonts w:ascii="Times New Roman" w:eastAsia="Times New Roman" w:hAnsi="Times New Roman" w:cs="Times New Roman"/>
                <w:color w:val="000000"/>
                <w:spacing w:val="0"/>
                <w:w w:val="100"/>
                <w:position w:val="0"/>
                <w:sz w:val="18"/>
                <w:szCs w:val="18"/>
              </w:rPr>
              <w:t>141,144</w:t>
            </w:r>
            <w:r>
              <w:rPr>
                <w:color w:val="000000"/>
                <w:spacing w:val="0"/>
                <w:w w:val="100"/>
                <w:position w:val="0"/>
              </w:rPr>
              <w:t xml:space="preserve">股 限制性股票于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月中旬 被公司回购注 销。</w:t>
            </w:r>
          </w:p>
        </w:tc>
      </w:tr>
      <w:tr>
        <w:trPr>
          <w:trHeight w:val="50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股权激励限售 股、高管锁定股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 股票激励计划获 授股权激励限制 性股票</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万股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日解限，根据本 人董监高任职情 况实际可上市流 通数量</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万 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日离 任公司副总经 理，根据法规规 定所持高管锁定 股后续分期解 锁。</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74,527,181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15,328,988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58,388,942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31,467,227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二</w:t>
      </w:r>
      <w:bookmarkEnd w:id="508"/>
      <w:r>
        <w:rPr>
          <w:color w:val="000000"/>
          <w:spacing w:val="0"/>
          <w:w w:val="100"/>
          <w:position w:val="0"/>
          <w:sz w:val="24"/>
          <w:szCs w:val="24"/>
        </w:rPr>
        <w:t>、证券发行与上市情况</w:t>
      </w:r>
      <w:bookmarkEnd w:id="506"/>
      <w:bookmarkEnd w:id="507"/>
      <w:bookmarkEnd w:id="509"/>
    </w:p>
    <w:p>
      <w:pPr>
        <w:pStyle w:val="Style37"/>
        <w:keepNext/>
        <w:keepLines/>
        <w:widowControl w:val="0"/>
        <w:shd w:val="clear" w:color="auto" w:fill="auto"/>
        <w:bidi w:val="0"/>
        <w:spacing w:before="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color w:val="000000"/>
          <w:spacing w:val="0"/>
          <w:w w:val="100"/>
          <w:position w:val="0"/>
        </w:rPr>
        <w:t>、报告期内证券发行（不含优先股）情况</w:t>
      </w:r>
      <w:bookmarkEnd w:id="510"/>
      <w:bookmarkEnd w:id="511"/>
      <w:bookmarkEnd w:id="513"/>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60" w:val="left"/>
        </w:tabs>
        <w:bidi w:val="0"/>
        <w:spacing w:before="0" w:after="280" w:line="240" w:lineRule="auto"/>
        <w:ind w:left="0" w:right="0" w:firstLine="0"/>
        <w:jc w:val="both"/>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2</w:t>
      </w:r>
      <w:bookmarkEnd w:id="516"/>
      <w:r>
        <w:rPr>
          <w:color w:val="000000"/>
          <w:spacing w:val="0"/>
          <w:w w:val="100"/>
          <w:position w:val="0"/>
        </w:rPr>
        <w:t>、</w:t>
        <w:tab/>
        <w:t>公司股份总数及股东结构的变动、公司资产和负债结构的变动情况说明</w:t>
      </w:r>
      <w:bookmarkEnd w:id="514"/>
      <w:bookmarkEnd w:id="515"/>
      <w:bookmarkEnd w:id="517"/>
    </w:p>
    <w:p>
      <w:pPr>
        <w:pStyle w:val="Style3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0"/>
        <w:jc w:val="both"/>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年度利润分配预案》，以公司现有总股本</w:t>
      </w:r>
      <w:r>
        <w:rPr>
          <w:rFonts w:ascii="Times New Roman" w:eastAsia="Times New Roman" w:hAnsi="Times New Roman" w:cs="Times New Roman"/>
          <w:color w:val="000000"/>
          <w:spacing w:val="0"/>
          <w:w w:val="100"/>
          <w:position w:val="0"/>
          <w:sz w:val="18"/>
          <w:szCs w:val="18"/>
        </w:rPr>
        <w:t>120,518,161</w:t>
      </w:r>
      <w:r>
        <w:rPr>
          <w:color w:val="000000"/>
          <w:spacing w:val="0"/>
          <w:w w:val="100"/>
          <w:position w:val="0"/>
        </w:rPr>
        <w:t>股为 基数，向全体股东以每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 xml:space="preserve">21.8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元（含税）的现金红利，合计派发现金红利</w:t>
      </w:r>
      <w:r>
        <w:rPr>
          <w:rFonts w:ascii="Times New Roman" w:eastAsia="Times New Roman" w:hAnsi="Times New Roman" w:cs="Times New Roman"/>
          <w:color w:val="000000"/>
          <w:spacing w:val="0"/>
          <w:w w:val="100"/>
          <w:position w:val="0"/>
          <w:sz w:val="18"/>
          <w:szCs w:val="18"/>
        </w:rPr>
        <w:t>262,729,590.98</w:t>
      </w:r>
      <w:r>
        <w:rPr>
          <w:color w:val="000000"/>
          <w:spacing w:val="0"/>
          <w:w w:val="100"/>
          <w:position w:val="0"/>
        </w:rPr>
        <w:t>元，并以资本公积金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股。本次权益分派股权登记日为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日。经上述资本公积转增 股本，公司股份总数由</w:t>
      </w:r>
      <w:r>
        <w:rPr>
          <w:rFonts w:ascii="Times New Roman" w:eastAsia="Times New Roman" w:hAnsi="Times New Roman" w:cs="Times New Roman"/>
          <w:color w:val="000000"/>
          <w:spacing w:val="0"/>
          <w:w w:val="100"/>
          <w:position w:val="0"/>
          <w:sz w:val="18"/>
          <w:szCs w:val="18"/>
        </w:rPr>
        <w:t>120,518,161</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180,777,241</w:t>
      </w:r>
      <w:r>
        <w:rPr>
          <w:color w:val="000000"/>
          <w:spacing w:val="0"/>
          <w:w w:val="100"/>
          <w:position w:val="0"/>
        </w:rPr>
        <w:t>股，资本公积转增注册资本</w:t>
      </w:r>
      <w:r>
        <w:rPr>
          <w:rFonts w:ascii="Times New Roman" w:eastAsia="Times New Roman" w:hAnsi="Times New Roman" w:cs="Times New Roman"/>
          <w:color w:val="000000"/>
          <w:spacing w:val="0"/>
          <w:w w:val="100"/>
          <w:position w:val="0"/>
          <w:sz w:val="18"/>
          <w:szCs w:val="18"/>
        </w:rPr>
        <w:t>60,259,080.00</w:t>
      </w:r>
      <w:r>
        <w:rPr>
          <w:color w:val="000000"/>
          <w:spacing w:val="0"/>
          <w:w w:val="100"/>
          <w:position w:val="0"/>
        </w:rPr>
        <w:t xml:space="preserve">元，变更后的注册资本人民 币 </w:t>
      </w:r>
      <w:r>
        <w:rPr>
          <w:rFonts w:ascii="Times New Roman" w:eastAsia="Times New Roman" w:hAnsi="Times New Roman" w:cs="Times New Roman"/>
          <w:color w:val="000000"/>
          <w:spacing w:val="0"/>
          <w:w w:val="100"/>
          <w:position w:val="0"/>
          <w:sz w:val="18"/>
          <w:szCs w:val="18"/>
        </w:rPr>
        <w:t xml:space="preserve">180,777,241.00 </w:t>
      </w:r>
      <w:r>
        <w:rPr>
          <w:color w:val="000000"/>
          <w:spacing w:val="0"/>
          <w:w w:val="100"/>
          <w:position w:val="0"/>
        </w:rPr>
        <w:t xml:space="preserve">元，累计实收股本 </w:t>
      </w:r>
      <w:r>
        <w:rPr>
          <w:rFonts w:ascii="Times New Roman" w:eastAsia="Times New Roman" w:hAnsi="Times New Roman" w:cs="Times New Roman"/>
          <w:color w:val="000000"/>
          <w:spacing w:val="0"/>
          <w:w w:val="100"/>
          <w:position w:val="0"/>
          <w:sz w:val="18"/>
          <w:szCs w:val="18"/>
        </w:rPr>
        <w:t>180,777,241.00</w:t>
      </w:r>
      <w:r>
        <w:rPr>
          <w:color w:val="000000"/>
          <w:spacing w:val="0"/>
          <w:w w:val="100"/>
          <w:position w:val="0"/>
        </w:rPr>
        <w:t>元。</w:t>
      </w:r>
    </w:p>
    <w:p>
      <w:pPr>
        <w:pStyle w:val="Style34"/>
        <w:keepNext w:val="0"/>
        <w:keepLines w:val="0"/>
        <w:widowControl w:val="0"/>
        <w:shd w:val="clear" w:color="auto" w:fill="auto"/>
        <w:tabs>
          <w:tab w:pos="503" w:val="left"/>
        </w:tabs>
        <w:bidi w:val="0"/>
        <w:spacing w:before="0" w:after="380" w:line="312" w:lineRule="exact"/>
        <w:ind w:left="0" w:right="0" w:firstLine="0"/>
        <w:jc w:val="both"/>
      </w:pPr>
      <w:bookmarkStart w:id="519" w:name="bookmark519"/>
      <w:r>
        <w:rPr>
          <w:color w:val="000000"/>
          <w:spacing w:val="0"/>
          <w:w w:val="100"/>
          <w:position w:val="0"/>
        </w:rPr>
        <w:t>（</w:t>
      </w:r>
      <w:bookmarkEnd w:id="5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日召开第三届董事会第六次会议、第三届监事会第五次会议和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 时股东大会，审议通过了《关于调整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年限制性股票激励计划首次授予限制性股票回购价格的议案》和《关于回购注销部 分首次授予的限制性股票的议案》，公司向不符合激励条件、失去激励资格的</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名激励对象回购并注销其已获授但尚未解锁 的合计</w:t>
      </w:r>
      <w:r>
        <w:rPr>
          <w:rFonts w:ascii="Times New Roman" w:eastAsia="Times New Roman" w:hAnsi="Times New Roman" w:cs="Times New Roman"/>
          <w:color w:val="000000"/>
          <w:spacing w:val="0"/>
          <w:w w:val="100"/>
          <w:position w:val="0"/>
          <w:sz w:val="18"/>
          <w:szCs w:val="18"/>
        </w:rPr>
        <w:t>141,144</w:t>
      </w:r>
      <w:r>
        <w:rPr>
          <w:color w:val="000000"/>
          <w:spacing w:val="0"/>
          <w:w w:val="100"/>
          <w:position w:val="0"/>
        </w:rPr>
        <w:t>股限制性股票，回购价格不高于</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股加上银行同期存款利息之和。公司于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日前以货币方式向 上述人员支付回购款共计人民币</w:t>
      </w:r>
      <w:r>
        <w:rPr>
          <w:rFonts w:ascii="Times New Roman" w:eastAsia="Times New Roman" w:hAnsi="Times New Roman" w:cs="Times New Roman"/>
          <w:color w:val="000000"/>
          <w:spacing w:val="0"/>
          <w:w w:val="100"/>
          <w:position w:val="0"/>
          <w:sz w:val="18"/>
          <w:szCs w:val="18"/>
        </w:rPr>
        <w:t>2,036,237.44</w:t>
      </w:r>
      <w:r>
        <w:rPr>
          <w:color w:val="000000"/>
          <w:spacing w:val="0"/>
          <w:w w:val="100"/>
          <w:position w:val="0"/>
        </w:rPr>
        <w:t>元（实际支付</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,831,108.16</w:t>
      </w:r>
      <w:r>
        <w:rPr>
          <w:color w:val="000000"/>
          <w:spacing w:val="0"/>
          <w:w w:val="100"/>
          <w:position w:val="0"/>
        </w:rPr>
        <w:t>元，已派发的现金红利</w:t>
      </w:r>
      <w:r>
        <w:rPr>
          <w:rFonts w:ascii="Times New Roman" w:eastAsia="Times New Roman" w:hAnsi="Times New Roman" w:cs="Times New Roman"/>
          <w:color w:val="000000"/>
          <w:spacing w:val="0"/>
          <w:w w:val="100"/>
          <w:position w:val="0"/>
          <w:sz w:val="18"/>
          <w:szCs w:val="18"/>
        </w:rPr>
        <w:t>205,129.28</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日完成限制性股票回购注销手续。本次回购限制性股票，公司股份总数由</w:t>
      </w:r>
      <w:r>
        <w:rPr>
          <w:rFonts w:ascii="Times New Roman" w:eastAsia="Times New Roman" w:hAnsi="Times New Roman" w:cs="Times New Roman"/>
          <w:color w:val="000000"/>
          <w:spacing w:val="0"/>
          <w:w w:val="100"/>
          <w:position w:val="0"/>
          <w:sz w:val="18"/>
          <w:szCs w:val="18"/>
        </w:rPr>
        <w:t>180,777,241</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股，减少 实收注册资本</w:t>
      </w:r>
      <w:r>
        <w:rPr>
          <w:rFonts w:ascii="Times New Roman" w:eastAsia="Times New Roman" w:hAnsi="Times New Roman" w:cs="Times New Roman"/>
          <w:color w:val="000000"/>
          <w:spacing w:val="0"/>
          <w:w w:val="100"/>
          <w:position w:val="0"/>
          <w:sz w:val="18"/>
          <w:szCs w:val="18"/>
        </w:rPr>
        <w:t>141,144.00</w:t>
      </w:r>
      <w:r>
        <w:rPr>
          <w:color w:val="000000"/>
          <w:spacing w:val="0"/>
          <w:w w:val="100"/>
          <w:position w:val="0"/>
        </w:rPr>
        <w:t>元，减少资本公积（股本溢价）</w:t>
      </w:r>
      <w:r>
        <w:rPr>
          <w:rFonts w:ascii="Times New Roman" w:eastAsia="Times New Roman" w:hAnsi="Times New Roman" w:cs="Times New Roman"/>
          <w:color w:val="000000"/>
          <w:spacing w:val="0"/>
          <w:w w:val="100"/>
          <w:position w:val="0"/>
          <w:sz w:val="18"/>
          <w:szCs w:val="18"/>
        </w:rPr>
        <w:t>1,895,093.44</w:t>
      </w:r>
      <w:r>
        <w:rPr>
          <w:color w:val="000000"/>
          <w:spacing w:val="0"/>
          <w:w w:val="100"/>
          <w:position w:val="0"/>
        </w:rPr>
        <w:t>元。变更后的注册资本人民币</w:t>
      </w:r>
      <w:r>
        <w:rPr>
          <w:rFonts w:ascii="Times New Roman" w:eastAsia="Times New Roman" w:hAnsi="Times New Roman" w:cs="Times New Roman"/>
          <w:color w:val="000000"/>
          <w:spacing w:val="0"/>
          <w:w w:val="100"/>
          <w:position w:val="0"/>
          <w:sz w:val="18"/>
          <w:szCs w:val="18"/>
        </w:rPr>
        <w:t>180,636,097.00</w:t>
      </w:r>
      <w:r>
        <w:rPr>
          <w:color w:val="000000"/>
          <w:spacing w:val="0"/>
          <w:w w:val="100"/>
          <w:position w:val="0"/>
        </w:rPr>
        <w:t>元，实收资 本人民币</w:t>
      </w:r>
      <w:r>
        <w:rPr>
          <w:rFonts w:ascii="Times New Roman" w:eastAsia="Times New Roman" w:hAnsi="Times New Roman" w:cs="Times New Roman"/>
          <w:color w:val="000000"/>
          <w:spacing w:val="0"/>
          <w:w w:val="100"/>
          <w:position w:val="0"/>
          <w:sz w:val="18"/>
          <w:szCs w:val="18"/>
        </w:rPr>
        <w:t>180,636,097.00</w:t>
      </w:r>
      <w:r>
        <w:rPr>
          <w:color w:val="000000"/>
          <w:spacing w:val="0"/>
          <w:w w:val="100"/>
          <w:position w:val="0"/>
        </w:rPr>
        <w:t>元。</w:t>
      </w:r>
    </w:p>
    <w:p>
      <w:pPr>
        <w:pStyle w:val="Style37"/>
        <w:keepNext/>
        <w:keepLines/>
        <w:widowControl w:val="0"/>
        <w:shd w:val="clear" w:color="auto" w:fill="auto"/>
        <w:tabs>
          <w:tab w:pos="360" w:val="left"/>
        </w:tabs>
        <w:bidi w:val="0"/>
        <w:spacing w:before="0" w:after="280" w:line="240" w:lineRule="auto"/>
        <w:ind w:left="0" w:right="0" w:firstLine="0"/>
        <w:jc w:val="both"/>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现存的内部职工股情况</w:t>
      </w:r>
      <w:bookmarkEnd w:id="520"/>
      <w:bookmarkEnd w:id="521"/>
      <w:bookmarkEnd w:id="523"/>
    </w:p>
    <w:p>
      <w:pPr>
        <w:pStyle w:val="Style34"/>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524" w:name="bookmark524"/>
      <w:bookmarkStart w:id="525" w:name="bookmark525"/>
      <w:bookmarkStart w:id="526" w:name="bookmark526"/>
      <w:bookmarkStart w:id="527" w:name="bookmark527"/>
      <w:r>
        <w:rPr>
          <w:color w:val="000000"/>
          <w:spacing w:val="0"/>
          <w:w w:val="100"/>
          <w:position w:val="0"/>
          <w:sz w:val="24"/>
          <w:szCs w:val="24"/>
        </w:rPr>
        <w:t>三</w:t>
      </w:r>
      <w:bookmarkEnd w:id="526"/>
      <w:r>
        <w:rPr>
          <w:color w:val="000000"/>
          <w:spacing w:val="0"/>
          <w:w w:val="100"/>
          <w:position w:val="0"/>
          <w:sz w:val="24"/>
          <w:szCs w:val="24"/>
        </w:rPr>
        <w:t>、股东和实际控制人情况</w:t>
      </w:r>
      <w:bookmarkEnd w:id="524"/>
      <w:bookmarkEnd w:id="525"/>
      <w:bookmarkEnd w:id="527"/>
    </w:p>
    <w:p>
      <w:pPr>
        <w:pStyle w:val="Style37"/>
        <w:keepNext/>
        <w:keepLines/>
        <w:widowControl w:val="0"/>
        <w:shd w:val="clear" w:color="auto" w:fill="auto"/>
        <w:bidi w:val="0"/>
        <w:spacing w:before="0" w:after="38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、公司股东数量及持股情况</w:t>
      </w:r>
      <w:bookmarkEnd w:id="528"/>
      <w:bookmarkEnd w:id="529"/>
      <w:bookmarkEnd w:id="53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06"/>
        <w:gridCol w:w="768"/>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32,697</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32,175</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深圳市敏行电子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32,421,20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32,421,20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12,596,80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2,996,800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1,796,800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910,714</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9,305,950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9,305,950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1,950,000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8,158,450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733,450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5,780,000</w:t>
            </w:r>
          </w:p>
        </w:tc>
      </w:tr>
      <w:tr>
        <w:trPr>
          <w:trHeight w:val="413"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王明宽</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8,097,300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2,097,300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8,097,300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2,520,000</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7,724,650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 限公司一华夏中 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通信主题交 易型开放式指数 证券投资基金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股东罗瑞发为股东深圳市敏行电子有限公司的控股股东、法定代表人，持有深圳市敏 行电子有限公司</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的股份，两者构成一致行动关系。股东王明宽与李娜系夫妻，属 于一致行动人。</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深圳市敏行电子有限公司</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32,421,200</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王明宽</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8,097,300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8,097,300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王丽娟</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7,724,650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7,724,650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李娜</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6,310,000</w:t>
            </w:r>
          </w:p>
        </w:tc>
      </w:tr>
      <w:tr>
        <w:trPr>
          <w:trHeight w:val="1027"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中国银行股份有限公司一华夏中证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通信主题交易型开放式指数证券 投资基金</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1,797,935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1,797,935</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刘咏平</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1,796,800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1,796,800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钟勇</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1,271,800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徐诚东</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1,003,388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1,003,388</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李朝莉</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901,500</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信达证券股份有限公司</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769,500</w:t>
            </w:r>
          </w:p>
        </w:tc>
      </w:tr>
      <w:tr>
        <w:trPr>
          <w:trHeight w:val="1339"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股东王明宽与李娜系夫妻，李朝莉与李娜系母女，三人属于一致行动人。除前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普通股股东提及的情况及上述情况外，公司前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名无限售条件普通股股东中公司无 法判断前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名无限售普通股股东和前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名普通股股东之间是否存在关联关系，也无法判断他们是否属于一致行动人。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、公司控股股东情况</w:t>
      </w:r>
      <w:bookmarkEnd w:id="532"/>
      <w:bookmarkEnd w:id="533"/>
      <w:bookmarkEnd w:id="53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深圳市敏行电子有限公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9144030007581835X2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对外股权投资</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深圳市敏行电子有限公司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《关于股东权益变动</w:t>
            </w:r>
            <w:r>
              <w:rPr>
                <w:color w:val="000000"/>
                <w:spacing w:val="0"/>
                <w:w w:val="100"/>
                <w:position w:val="0"/>
              </w:rPr>
              <w:t xml:space="preserve"> 暨公司实际控制人变更的公告》（公告编号：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3</w:t>
      </w:r>
      <w:bookmarkEnd w:id="538"/>
      <w:r>
        <w:rPr>
          <w:color w:val="000000"/>
          <w:spacing w:val="0"/>
          <w:w w:val="100"/>
          <w:position w:val="0"/>
        </w:rPr>
        <w:t>、公司实际控制人及其一致行动人</w:t>
      </w:r>
      <w:bookmarkEnd w:id="536"/>
      <w:bookmarkEnd w:id="537"/>
      <w:bookmarkEnd w:id="53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罗瑞发，男，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年出生，中国国籍，无境外永久居留权，硕士研究生学历，高级工程师 职称。本科毕业于华南理工大学，交通控制专业；硕士研究生毕业于中山大学，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专 业；同济大学交通信息与控制专业博士在读。曾任广州市埃特斯通讯设备有限公司部门经理 （总经理助理级）、深圳市金溢科技有限公司（以下简称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金溢有限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）总经理；现任公司董 事长兼总经理、代行董事会秘书、深圳立尊科技有限公司执行董事、深圳市敏行电子有限公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敏行电子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）执行董事、广州市华瑞腾科技有限公司执行董事、深圳市智慧交 通产业促进会会长。</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《关于股东权益变动</w:t>
            </w:r>
            <w:r>
              <w:rPr>
                <w:color w:val="000000"/>
                <w:spacing w:val="0"/>
                <w:w w:val="100"/>
                <w:position w:val="0"/>
              </w:rPr>
              <w:t xml:space="preserve"> 暨公司实际控制人变更的公告》(公告编号：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319" w:line="1" w:lineRule="exact"/>
      </w:pPr>
    </w:p>
    <w:p>
      <w:pPr>
        <w:widowControl w:val="0"/>
        <w:jc w:val="center"/>
        <w:rPr>
          <w:sz w:val="2"/>
          <w:szCs w:val="2"/>
        </w:rPr>
      </w:pPr>
      <w:r>
        <w:drawing>
          <wp:inline>
            <wp:extent cx="4572000" cy="246888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4572000" cy="2468880"/>
                    </a:xfrm>
                    <a:prstGeom prst="rect"/>
                  </pic:spPr>
                </pic:pic>
              </a:graphicData>
            </a:graphic>
          </wp:inline>
        </w:drawing>
      </w:r>
    </w:p>
    <w:p>
      <w:pPr>
        <w:widowControl w:val="0"/>
        <w:spacing w:after="31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4</w:t>
      </w:r>
      <w:bookmarkEnd w:id="54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40"/>
      <w:bookmarkEnd w:id="541"/>
      <w:bookmarkEnd w:id="543"/>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5</w:t>
      </w:r>
      <w:bookmarkEnd w:id="546"/>
      <w:r>
        <w:rPr>
          <w:color w:val="000000"/>
          <w:spacing w:val="0"/>
          <w:w w:val="100"/>
          <w:position w:val="0"/>
        </w:rPr>
        <w:t>、</w:t>
        <w:tab/>
        <w:t>控股股东、实际控制人、重组方及其他承诺主体股份限制减持情况</w:t>
      </w:r>
      <w:bookmarkEnd w:id="544"/>
      <w:bookmarkEnd w:id="545"/>
      <w:bookmarkEnd w:id="547"/>
    </w:p>
    <w:p>
      <w:pPr>
        <w:pStyle w:val="Style34"/>
        <w:keepNext w:val="0"/>
        <w:keepLines w:val="0"/>
        <w:widowControl w:val="0"/>
        <w:shd w:val="clear" w:color="auto" w:fill="auto"/>
        <w:bidi w:val="0"/>
        <w:spacing w:before="0" w:after="38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374" w:right="1069" w:bottom="1460"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2" behindDoc="0" locked="0" layoutInCell="1" allowOverlap="1">
                <wp:simplePos x="0" y="0"/>
                <wp:positionH relativeFrom="page">
                  <wp:posOffset>2691765</wp:posOffset>
                </wp:positionH>
                <wp:positionV relativeFrom="paragraph">
                  <wp:posOffset>0</wp:posOffset>
                </wp:positionV>
                <wp:extent cx="2170430" cy="243840"/>
                <wp:wrapTopAndBottom/>
                <wp:docPr id="27" name="Shape 2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48" w:name="bookmark548"/>
                            <w:bookmarkStart w:id="549" w:name="bookmark549"/>
                            <w:bookmarkStart w:id="550" w:name="bookmark550"/>
                            <w:r>
                              <w:rPr>
                                <w:color w:val="000000"/>
                                <w:spacing w:val="0"/>
                                <w:w w:val="100"/>
                                <w:position w:val="0"/>
                              </w:rPr>
                              <w:t>第七节优先股相关情况</w:t>
                            </w:r>
                            <w:bookmarkEnd w:id="548"/>
                            <w:bookmarkEnd w:id="549"/>
                            <w:bookmarkEnd w:id="550"/>
                          </w:p>
                        </w:txbxContent>
                      </wps:txbx>
                      <wps:bodyPr wrap="none" lIns="0" tIns="0" rIns="0" bIns="0">
                        <a:noAutoFit/>
                      </wps:bodyPr>
                    </wps:wsp>
                  </a:graphicData>
                </a:graphic>
              </wp:anchor>
            </w:drawing>
          </mc:Choice>
          <mc:Fallback>
            <w:pict>
              <v:shape id="_x0000_s1053" type="#_x0000_t202" style="position:absolute;margin-left:211.95000000000002pt;margin-top:0;width:170.90000000000001pt;height:19.199999999999999pt;z-index:-125829371;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48" w:name="bookmark548"/>
                      <w:bookmarkStart w:id="549" w:name="bookmark549"/>
                      <w:bookmarkStart w:id="550" w:name="bookmark550"/>
                      <w:r>
                        <w:rPr>
                          <w:color w:val="000000"/>
                          <w:spacing w:val="0"/>
                          <w:w w:val="100"/>
                          <w:position w:val="0"/>
                        </w:rPr>
                        <w:t>第七节优先股相关情况</w:t>
                      </w:r>
                      <w:bookmarkEnd w:id="548"/>
                      <w:bookmarkEnd w:id="549"/>
                      <w:bookmarkEnd w:id="550"/>
                    </w:p>
                  </w:txbxContent>
                </v:textbox>
                <w10:wrap type="topAndBottom" anchorx="page"/>
              </v:shape>
            </w:pict>
          </mc:Fallback>
        </mc:AlternateContent>
      </w:r>
    </w:p>
    <w:p>
      <w:pPr>
        <w:pStyle w:val="Style34"/>
        <w:keepNext w:val="0"/>
        <w:keepLines w:val="0"/>
        <w:widowControl w:val="0"/>
        <w:shd w:val="clear" w:color="auto" w:fill="auto"/>
        <w:bidi w:val="0"/>
        <w:spacing w:before="0" w:after="140" w:line="240" w:lineRule="auto"/>
        <w:ind w:left="0" w:right="0" w:firstLine="0"/>
        <w:jc w:val="left"/>
      </w:pPr>
      <w:bookmarkStart w:id="551" w:name="bookmark55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51"/>
    </w:p>
    <w:p>
      <w:pPr>
        <w:pStyle w:val="Style3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540" w:after="560" w:line="240" w:lineRule="auto"/>
        <w:ind w:left="0" w:right="0" w:firstLine="0"/>
        <w:jc w:val="center"/>
      </w:pPr>
      <w:bookmarkStart w:id="552" w:name="bookmark552"/>
      <w:bookmarkStart w:id="553" w:name="bookmark553"/>
      <w:bookmarkStart w:id="554" w:name="bookmark554"/>
      <w:r>
        <w:rPr>
          <w:color w:val="000000"/>
          <w:spacing w:val="0"/>
          <w:w w:val="100"/>
          <w:position w:val="0"/>
        </w:rPr>
        <w:t>第八节可转换公司债券相关情况</w:t>
      </w:r>
      <w:bookmarkEnd w:id="552"/>
      <w:bookmarkEnd w:id="553"/>
      <w:bookmarkEnd w:id="554"/>
    </w:p>
    <w:p>
      <w:pPr>
        <w:pStyle w:val="Style34"/>
        <w:keepNext w:val="0"/>
        <w:keepLines w:val="0"/>
        <w:widowControl w:val="0"/>
        <w:shd w:val="clear" w:color="auto" w:fill="auto"/>
        <w:bidi w:val="0"/>
        <w:spacing w:before="0" w:after="120" w:line="240" w:lineRule="auto"/>
        <w:ind w:left="0" w:right="0" w:firstLine="0"/>
        <w:jc w:val="left"/>
      </w:pPr>
      <w:bookmarkStart w:id="555" w:name="bookmark55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55"/>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20" w:line="240" w:lineRule="auto"/>
        <w:ind w:left="0" w:right="0" w:firstLine="0"/>
        <w:jc w:val="center"/>
      </w:pPr>
      <w:bookmarkStart w:id="556" w:name="bookmark556"/>
      <w:bookmarkStart w:id="557" w:name="bookmark557"/>
      <w:bookmarkStart w:id="558" w:name="bookmark558"/>
      <w:r>
        <w:rPr>
          <w:color w:val="000000"/>
          <w:spacing w:val="0"/>
          <w:w w:val="100"/>
          <w:position w:val="0"/>
        </w:rPr>
        <w:t>第九节董事、监事、高级管理人员和员工情况</w:t>
      </w:r>
      <w:bookmarkEnd w:id="556"/>
      <w:bookmarkEnd w:id="557"/>
      <w:bookmarkEnd w:id="558"/>
    </w:p>
    <w:p>
      <w:pPr>
        <w:pStyle w:val="Style30"/>
        <w:keepNext/>
        <w:keepLines/>
        <w:widowControl w:val="0"/>
        <w:shd w:val="clear" w:color="auto" w:fill="auto"/>
        <w:bidi w:val="0"/>
        <w:spacing w:before="0" w:after="320" w:line="240" w:lineRule="auto"/>
        <w:ind w:left="0" w:right="0" w:firstLine="0"/>
        <w:jc w:val="left"/>
      </w:pPr>
      <w:bookmarkStart w:id="559" w:name="bookmark559"/>
      <w:bookmarkStart w:id="560" w:name="bookmark560"/>
      <w:bookmarkStart w:id="561" w:name="bookmark561"/>
      <w:bookmarkStart w:id="562" w:name="bookmark562"/>
      <w:bookmarkStart w:id="563" w:name="bookmark563"/>
      <w:r>
        <w:rPr>
          <w:color w:val="000000"/>
          <w:spacing w:val="0"/>
          <w:w w:val="100"/>
          <w:position w:val="0"/>
          <w:sz w:val="24"/>
          <w:szCs w:val="24"/>
        </w:rPr>
        <w:t>一</w:t>
      </w:r>
      <w:bookmarkEnd w:id="562"/>
      <w:r>
        <w:rPr>
          <w:color w:val="000000"/>
          <w:spacing w:val="0"/>
          <w:w w:val="100"/>
          <w:position w:val="0"/>
          <w:sz w:val="24"/>
          <w:szCs w:val="24"/>
        </w:rPr>
        <w:t>、董事、监事和高级管理人员持股变动</w:t>
      </w:r>
      <w:bookmarkEnd w:id="560"/>
      <w:bookmarkEnd w:id="561"/>
      <w:bookmarkEnd w:id="563"/>
      <w:bookmarkEnd w:id="559"/>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董事长、 总经理、 董事会秘 书（代行）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8,158,450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副董事 长、高级 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关志超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向吉英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倪传宝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朱卫国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职工代表 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常务副总</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2,375,700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董事、常 务副总经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9,305,950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黄然婷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郑映虹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董事、董 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26,016,20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11,643,00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32,549,40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二</w:t>
      </w:r>
      <w:bookmarkEnd w:id="566"/>
      <w:r>
        <w:rPr>
          <w:color w:val="000000"/>
          <w:spacing w:val="0"/>
          <w:w w:val="100"/>
          <w:position w:val="0"/>
          <w:sz w:val="24"/>
          <w:szCs w:val="24"/>
        </w:rPr>
        <w:t>、公司董事、监事、高级管理人员变动情况</w:t>
      </w:r>
      <w:bookmarkEnd w:id="564"/>
      <w:bookmarkEnd w:id="565"/>
      <w:bookmarkEnd w:id="567"/>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黄然婷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 会，选举产生第三届董事会成员。黄然婷女士任期届 满离任。</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 会，选举产生第三届董事会成员。许岳明先生任期届 满离任。</w:t>
            </w:r>
          </w:p>
        </w:tc>
      </w:tr>
      <w:tr>
        <w:trPr>
          <w:trHeight w:val="9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 会，选举刘咏平先生为第三届董事会非独立董事。同 日召开第三届董事会第一次会议，选举刘咏平先生为</w:t>
            </w:r>
          </w:p>
        </w:tc>
      </w:tr>
    </w:tbl>
    <w:p>
      <w:pPr>
        <w:spacing w:lineRule="exact" w:line="1"/>
        <w:rPr>
          <w:sz w:val="2"/>
          <w:szCs w:val="2"/>
        </w:rPr>
      </w:pPr>
      <w:r>
        <w:br w:type="page"/>
      </w:r>
    </w:p>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第三届董事会副董事长。</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日公司召开第三届董事会第三次会议， 完成聘任新一届公司高级管理人员。刘咏平先生经换 届高管职务由副总经理变更为高级副总经理。</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关志超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 会，选举产生第三届董事会成员。关志超先生第二届 董事会独立董事职务任期届满离任，改任为第三届董 事会非独立董事。</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日公司召开第三届董事会第三次会议， 完成聘任新一届公司高级管理人员。罗瑞发先生经换 届担任公司总经理职务。</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董事会秘书（代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日，因原董事会秘书郑映虹女士离任， 在公司董事会秘书空缺期间，由董事长罗瑞发先生代 行董事会秘书职责。</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日公司召开第三届董事会第三次会议， 完成聘任新一届公司高级管理人员。蔡福春先生经换 届高管职务由副总经理变更为常务副总经理。</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日公司召开第三届董事会第三次会议， 完成聘任新一届公司高级管理人员。杨成先生经换届 不再任公司高管职务。</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日，杨成先生因个人原因，辞去公司第 三届董事会非独立董事职务，同时一并辞去董事会战 略发展及投资审查委员会委员职务。杨成先生的辞职 自送达董事会之日起生效。</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日，吴国庆先生因个人原因，申请辞 去公司副总经理职务。辞职后，吴国庆先生不再担任 公司任何职务。吴国庆先生的辞职自送达董事会之日 起生效。</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日，何宁先生因个人原因，申请辞去 公司副总经理职务。辞职后，何宁先生将担任公司顾 问。</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郑映虹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日，郑映虹女士因突发影响个人履职原 因，辞去公司第三届董事会非独立董事、董事会薪酬 与考核委员会委员、董事会秘书职务。辞职后郑映虹 女士将不在公司及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或其控股子公司任职。郑映虹女士 的辞职自辞职报告送达董事会之日起生效。</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三</w:t>
      </w:r>
      <w:bookmarkEnd w:id="570"/>
      <w:r>
        <w:rPr>
          <w:color w:val="000000"/>
          <w:spacing w:val="0"/>
          <w:w w:val="100"/>
          <w:position w:val="0"/>
          <w:sz w:val="24"/>
          <w:szCs w:val="24"/>
        </w:rPr>
        <w:t>、任职情况</w:t>
      </w:r>
      <w:bookmarkEnd w:id="568"/>
      <w:bookmarkEnd w:id="569"/>
      <w:bookmarkEnd w:id="57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300" w:line="240" w:lineRule="auto"/>
        <w:ind w:left="0" w:right="0" w:firstLine="0"/>
        <w:jc w:val="left"/>
      </w:pPr>
      <w:bookmarkStart w:id="572" w:name="bookmark572"/>
      <w:r>
        <w:rPr>
          <w:rFonts w:ascii="Times New Roman" w:eastAsia="Times New Roman" w:hAnsi="Times New Roman" w:cs="Times New Roman"/>
          <w:color w:val="000000"/>
          <w:spacing w:val="0"/>
          <w:w w:val="100"/>
          <w:position w:val="0"/>
          <w:sz w:val="18"/>
          <w:szCs w:val="18"/>
        </w:rPr>
        <w:t>1</w:t>
      </w:r>
      <w:bookmarkEnd w:id="572"/>
      <w:r>
        <w:rPr>
          <w:color w:val="000000"/>
          <w:spacing w:val="0"/>
          <w:w w:val="100"/>
          <w:position w:val="0"/>
        </w:rPr>
        <w:t>、董事会成员</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公司现任董事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w:t>
      </w:r>
    </w:p>
    <w:p>
      <w:pPr>
        <w:pStyle w:val="Style34"/>
        <w:keepNext w:val="0"/>
        <w:keepLines w:val="0"/>
        <w:widowControl w:val="0"/>
        <w:shd w:val="clear" w:color="auto" w:fill="auto"/>
        <w:bidi w:val="0"/>
        <w:spacing w:before="0" w:after="0" w:line="316" w:lineRule="exact"/>
        <w:ind w:left="0" w:right="0"/>
        <w:jc w:val="left"/>
      </w:pPr>
      <w:r>
        <w:rPr>
          <w:b/>
          <w:bCs/>
          <w:color w:val="000000"/>
          <w:spacing w:val="0"/>
          <w:w w:val="100"/>
          <w:position w:val="0"/>
        </w:rPr>
        <w:t>非独立董事：</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罗瑞发，男，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年出生，中国国籍，无境外永久居留权，硕士研究生学历，高级工程师职称。本科毕业于华南理工大 学，交通控制专业；硕士研究生毕业于中山大学，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专业；同济大学交通信息与控制专业博士在读。曾任广州市埃特斯 通讯设备有限公司部门经理（总经理助理级）、深圳市金溢科技有限公司（以下简称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金溢有限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）总经理；现任公司董事长 兼总经理、代行董事会秘书、深圳立尊科技有限公司执行董事、深圳市敏行电子有限公司（以下简称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敏行电子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）执行董事、 广州市华瑞腾科技有限公司执行董事、深圳市智慧交通产业促进会会长。</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刘咏平，男，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年出生，中国国籍，无境外永久居留权，高级工程师，博士研究生学历。曾任广东新粤交通投资有限 公司高级技术经理，金溢有限部门经理、总工程师，现任公司副董事长、高级副总经理、长安大学信息工程学院工程硕士导 师、深圳市钜湾科技有限公司监事、深圳宝溢交通科技有限公司董事。</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于海洋，男，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年出生，中国国籍，无境外永久居留权，硕士研究生学历，毕业于香港理工大学，工商管理专业。曾 任华测检测技术股份有限公司投资总监、深圳前海复星瑞哲资产管理有限公司投资总监、上海星景股权投资管理有限公司投 资高级总监、深圳市天地（集团）股份有限公司副总经理，现任深圳中检联检测有限公司副总裁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董事长助理、公司董事。</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关志超，男，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年出生，中国国籍，无境外永久居留权，博士研究生学历。曾任中科院长春物理所</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室技术副主任， 深圳市先科企业集团与中国人民保险公司合资公司董事总经理、（香港）航天科技电子实业公司副总经理、深圳市中兴通讯 股份有限公司智能化负责人、中国电信深圳公司通信网络分公司技术总监、深圳市城市交通规划研究中心副总工程师、深圳 市易行网交通科技有限公司董事、总经理；现任深圳市综合交通运行指挥中心总工程师、中兴智能交通股份有限公司监事、 公司董事。</w:t>
      </w:r>
    </w:p>
    <w:p>
      <w:pPr>
        <w:pStyle w:val="Style34"/>
        <w:keepNext w:val="0"/>
        <w:keepLines w:val="0"/>
        <w:widowControl w:val="0"/>
        <w:shd w:val="clear" w:color="auto" w:fill="auto"/>
        <w:bidi w:val="0"/>
        <w:spacing w:before="0" w:after="0" w:line="316" w:lineRule="exact"/>
        <w:ind w:left="0" w:right="0"/>
        <w:jc w:val="left"/>
      </w:pPr>
      <w:r>
        <w:rPr>
          <w:b/>
          <w:bCs/>
          <w:color w:val="000000"/>
          <w:spacing w:val="0"/>
          <w:w w:val="100"/>
          <w:position w:val="0"/>
        </w:rPr>
        <w:t>独立董事：</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陈君柱，男，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年出生，中国国籍，无境外永久居留权，本科学历，中国注册会计师、特许公认会计师</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w:t>
      </w:r>
      <w:r>
        <w:rPr>
          <w:color w:val="000000"/>
          <w:spacing w:val="0"/>
          <w:w w:val="100"/>
          <w:position w:val="0"/>
        </w:rPr>
        <w:t>曾 任暨南大学法学院助教，德勤华永会计师事务所高级审计师，沃尔玛（中国）投资有限公司内审部经理，安永华明会计师事 务所并购交易部经理，现任广东正源会计师事务所合伙人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副主任会计师、胜利油气管道控股有限公司独立董事、广州沛兴 科技有限责任公司执行董事兼总经理、深圳帕克斯智能科技有限公司董事、公司独立董事。</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向吉英，男，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年出生，中国国籍，无境外永久居留权，博士研究生学历。曾任湖南省龙山电力公司技术员、湖南省 社会科学院助理研究员、招商局蛇口工业区有限公司高级经理、招商局集团有限公司重大项目办公室高级经理、招商局集团 驻越南办事处高级经理；现任深圳职业技术学院教授、招商局港口国际学院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深职海丝分院常务副院长、公司独立董事。</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李夏，男，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年出生，中国国籍，无境外永久居留权，本科学历。曾任武汉工业大学（现武汉理工大学）分团委书记、 生产经营科长、教学科研管理办公室主任，深圳英特集团首席执行官，深圳市明海通电子有限公司总经理，深圳市智能交通 行业协会常务副会长兼秘书长，现任深圳市宝安区智慧宝安产业促进会秘书长、公司独立董事。</w:t>
      </w:r>
    </w:p>
    <w:p>
      <w:pPr>
        <w:pStyle w:val="Style34"/>
        <w:keepNext w:val="0"/>
        <w:keepLines w:val="0"/>
        <w:widowControl w:val="0"/>
        <w:shd w:val="clear" w:color="auto" w:fill="auto"/>
        <w:tabs>
          <w:tab w:pos="294" w:val="left"/>
        </w:tabs>
        <w:bidi w:val="0"/>
        <w:spacing w:before="0" w:after="0" w:line="316" w:lineRule="exact"/>
        <w:ind w:left="0" w:right="0" w:firstLine="0"/>
        <w:jc w:val="both"/>
      </w:pPr>
      <w:bookmarkStart w:id="573" w:name="bookmark573"/>
      <w:r>
        <w:rPr>
          <w:rFonts w:ascii="Times New Roman" w:eastAsia="Times New Roman" w:hAnsi="Times New Roman" w:cs="Times New Roman"/>
          <w:color w:val="000000"/>
          <w:spacing w:val="0"/>
          <w:w w:val="100"/>
          <w:position w:val="0"/>
          <w:sz w:val="18"/>
          <w:szCs w:val="18"/>
        </w:rPr>
        <w:t>2</w:t>
      </w:r>
      <w:bookmarkEnd w:id="573"/>
      <w:r>
        <w:rPr>
          <w:color w:val="000000"/>
          <w:spacing w:val="0"/>
          <w:w w:val="100"/>
          <w:position w:val="0"/>
        </w:rPr>
        <w:t>、</w:t>
        <w:tab/>
        <w:t>监事会成员</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公司现任监事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周海荣，男，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年出生，中国国籍，无境外永久居留权，博士研究生学历。毕业于武汉大学，国际私法专业。曾任深 圳市深华集团公司审计监察部副部长、法律部部长、深圳华业律师事务所合伙人律师、主任；现任广东晟典律师事务所高级 合伙人、公司监事会主席。</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倪传宝，男，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年出生，中国国籍，无境外永久居留权。本科学历，毕业于北京大学，法律学专业。曾任江苏省司法 厅科员、深圳市鹏基物业发展有限公司法律部部长、广东中安律师事务所专职律师、广东万乘律师事务所专职律师，现任广 东艾特朗律师事务所专职律师、公司监事。</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朱卫国，男，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年出生，中国国籍，无境外永久居留权，本科学历。财务管理专业，中级审计师职称，国际注册内审 师。曾任联合信用管理有限公司江西分公司信用评估专员、广州新中南会计师事务所审计员、中审亚太会计师事务所广东分 所审计员、深圳统信电路电子有限公司审计专员，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年加入深圳市金溢科技股份有限公司任高级审计专员，现任公司审计 与法务中心总经理、职工代表监事、山东高速信威信息科技有限公司监事。</w:t>
      </w:r>
    </w:p>
    <w:p>
      <w:pPr>
        <w:pStyle w:val="Style34"/>
        <w:keepNext w:val="0"/>
        <w:keepLines w:val="0"/>
        <w:widowControl w:val="0"/>
        <w:shd w:val="clear" w:color="auto" w:fill="auto"/>
        <w:tabs>
          <w:tab w:pos="294" w:val="left"/>
        </w:tabs>
        <w:bidi w:val="0"/>
        <w:spacing w:before="0" w:after="0" w:line="316" w:lineRule="exact"/>
        <w:ind w:left="0" w:right="0" w:firstLine="0"/>
        <w:jc w:val="both"/>
      </w:pPr>
      <w:bookmarkStart w:id="574" w:name="bookmark574"/>
      <w:r>
        <w:rPr>
          <w:rFonts w:ascii="Times New Roman" w:eastAsia="Times New Roman" w:hAnsi="Times New Roman" w:cs="Times New Roman"/>
          <w:color w:val="000000"/>
          <w:spacing w:val="0"/>
          <w:w w:val="100"/>
          <w:position w:val="0"/>
          <w:sz w:val="18"/>
          <w:szCs w:val="18"/>
        </w:rPr>
        <w:t>3</w:t>
      </w:r>
      <w:bookmarkEnd w:id="574"/>
      <w:r>
        <w:rPr>
          <w:color w:val="000000"/>
          <w:spacing w:val="0"/>
          <w:w w:val="100"/>
          <w:position w:val="0"/>
        </w:rPr>
        <w:t>、</w:t>
        <w:tab/>
        <w:t>高级管理人员</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公司现任高级管理人员包括总经理、副总经理、财务总监及董事会秘书，共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罗瑞发，总经理、代行董事会秘书，男，参见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蔡福春，常务副总经理，男，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年出生，中国国籍，无境外永久居留权，本科学历。曾任广州市天时和科技发展有限 公司销售工程师，金溢有限副总经理；现任公司常务副总经理、山东高速信威信息科技有限公司董事、深圳宝溢交通科技有 限公司副董事长。</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刘咏平，高级副总经理，男，参见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140" w:line="315" w:lineRule="exact"/>
        <w:ind w:left="0" w:right="0"/>
        <w:jc w:val="both"/>
      </w:pPr>
      <w:r>
        <w:rPr>
          <w:color w:val="000000"/>
          <w:spacing w:val="0"/>
          <w:w w:val="100"/>
          <w:position w:val="0"/>
        </w:rPr>
        <w:t>聂磊，财务总监，男，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年出生，中国国籍，无境外永久居留权，暨南大学会计学硕士，高级会计师职称，中国注册 会计师、美国注册管理会计师、国际会计师全权会员</w:t>
      </w:r>
      <w:r>
        <w:rPr>
          <w:rFonts w:ascii="Times New Roman" w:eastAsia="Times New Roman" w:hAnsi="Times New Roman" w:cs="Times New Roman"/>
          <w:color w:val="000000"/>
          <w:spacing w:val="0"/>
          <w:w w:val="100"/>
          <w:position w:val="0"/>
          <w:sz w:val="18"/>
          <w:szCs w:val="18"/>
        </w:rPr>
        <w:t>AAIA</w:t>
      </w:r>
      <w:r>
        <w:rPr>
          <w:color w:val="000000"/>
          <w:spacing w:val="0"/>
          <w:w w:val="100"/>
          <w:position w:val="0"/>
        </w:rPr>
        <w:t>。</w:t>
      </w:r>
      <w:r>
        <w:rPr>
          <w:color w:val="000000"/>
          <w:spacing w:val="0"/>
          <w:w w:val="100"/>
          <w:position w:val="0"/>
        </w:rPr>
        <w:t>曾任广东科达洁能股份有限公司成本会计、虎彩印艺股份有限 公司财务管理专员，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年加入深圳市金溢科技股份有限公司历任财务主管、预算经理兼财务副总经理、财务经理、财务中 心副总经理，现任财务总监、深圳宝溢交通科技有限公司监事。</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深圳市敏行电子有限公司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深圳立尊科技有限公司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广东省交通车联网（金溢）工程技术研究 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工程中心主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广州市华瑞腾科技有限公司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深圳市电子学会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中国互联网交通运输产业创新联盟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常务副理事 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交通运输部智能车路协同行业研发中心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深圳技术大学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客座教授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客座教授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第八届常委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深圳市智慧交通产业促进会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深圳市钜湾科技有限公司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长安大学信息工程学院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工程硕士导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深圳宝溢交通科技有限公司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上海星景股权投资管理有限公司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投资高级总 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深圳市天地（集团）股份有限公司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深圳中检联检测有限公司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长助理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关志超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深圳市综合交通运行指挥中心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关志超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中兴智能交通股份有限公司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向吉英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深圳职业技术学院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深圳市宝安区智慧宝安产业促进会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广东正源会计师事务所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任会计师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胜利油气管道控股有限公司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广州市沛兴科技有限责任公司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深圳帕克斯智能科技有限公司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广州齐天下体育发展有限公司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广州市浚壹投资合伙企业（有限合伙）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深圳市鑫沛资本管理有限公司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普保恒创（广州）科技有限公司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广东晟典律师事务所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高级合伙人、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倪传宝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广东万乘律师事务所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专职律师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倪传宝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广东艾特朗律师事务所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专职律师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深圳宝溢交通科技有限公司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深圳宝溢交通科技有限公司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朱卫国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山东高速信威信息科技有限公司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四</w:t>
      </w:r>
      <w:bookmarkEnd w:id="577"/>
      <w:r>
        <w:rPr>
          <w:color w:val="000000"/>
          <w:spacing w:val="0"/>
          <w:w w:val="100"/>
          <w:position w:val="0"/>
          <w:sz w:val="24"/>
          <w:szCs w:val="24"/>
        </w:rPr>
        <w:t>、董事、监事、高级管理人员报酬情况</w:t>
      </w:r>
      <w:bookmarkEnd w:id="575"/>
      <w:bookmarkEnd w:id="576"/>
      <w:bookmarkEnd w:id="578"/>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tabs>
          <w:tab w:pos="309" w:val="left"/>
        </w:tabs>
        <w:bidi w:val="0"/>
        <w:spacing w:before="0" w:after="0" w:line="313" w:lineRule="exact"/>
        <w:ind w:left="0" w:right="0" w:firstLine="0"/>
        <w:jc w:val="left"/>
      </w:pPr>
      <w:bookmarkStart w:id="579" w:name="bookmark579"/>
      <w:r>
        <w:rPr>
          <w:rFonts w:ascii="Times New Roman" w:eastAsia="Times New Roman" w:hAnsi="Times New Roman" w:cs="Times New Roman"/>
          <w:color w:val="000000"/>
          <w:spacing w:val="0"/>
          <w:w w:val="100"/>
          <w:position w:val="0"/>
          <w:sz w:val="18"/>
          <w:szCs w:val="18"/>
        </w:rPr>
        <w:t>1</w:t>
      </w:r>
      <w:bookmarkEnd w:id="57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日召开第二届董事会第三十八次会议和第二届监事会第二十次会议，并于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第一次临时股东大会，审议通过了《关于公司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年度董事长薪酬的议案》、《关于公司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年度高级管理人员薪酬的议案》 和第三届董事、监事薪酬方案，具体内容详见公司于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日在巨潮资讯网上披露的《第三届董事、监事薪酬方案》 和会议决议公告。公司于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日召开第三届监事会第八次会议，并于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 会，审议通过了《关于调整部分监事薪酬方案的议案》，同意将职工代表监事薪酬方案调整为：职工代表监事除按照其在公 司任职的职务与岗位职责确定其薪酬标准外，额外领取津贴，津贴标准为税前人民币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p>
      <w:pPr>
        <w:pStyle w:val="Style34"/>
        <w:keepNext w:val="0"/>
        <w:keepLines w:val="0"/>
        <w:widowControl w:val="0"/>
        <w:shd w:val="clear" w:color="auto" w:fill="auto"/>
        <w:tabs>
          <w:tab w:pos="314" w:val="left"/>
        </w:tabs>
        <w:bidi w:val="0"/>
        <w:spacing w:before="0" w:after="0" w:line="313" w:lineRule="exact"/>
        <w:ind w:left="0" w:right="0" w:firstLine="0"/>
        <w:jc w:val="left"/>
      </w:pPr>
      <w:bookmarkStart w:id="580" w:name="bookmark580"/>
      <w:r>
        <w:rPr>
          <w:rFonts w:ascii="Times New Roman" w:eastAsia="Times New Roman" w:hAnsi="Times New Roman" w:cs="Times New Roman"/>
          <w:color w:val="000000"/>
          <w:spacing w:val="0"/>
          <w:w w:val="100"/>
          <w:position w:val="0"/>
          <w:sz w:val="18"/>
          <w:szCs w:val="18"/>
        </w:rPr>
        <w:t>2</w:t>
      </w:r>
      <w:bookmarkEnd w:id="580"/>
      <w:r>
        <w:rPr>
          <w:color w:val="000000"/>
          <w:spacing w:val="0"/>
          <w:w w:val="100"/>
          <w:position w:val="0"/>
        </w:rPr>
        <w:t>、</w:t>
        <w:tab/>
        <w:t>公司严格按照董事、监事、高级管理人员薪酬的决策程序与确定依据支付薪酬。报告期末，全体董事、监事和高级管理 人员实际获得的报酬为</w:t>
      </w:r>
      <w:r>
        <w:rPr>
          <w:rFonts w:ascii="Times New Roman" w:eastAsia="Times New Roman" w:hAnsi="Times New Roman" w:cs="Times New Roman"/>
          <w:color w:val="000000"/>
          <w:spacing w:val="0"/>
          <w:w w:val="100"/>
          <w:position w:val="0"/>
          <w:sz w:val="18"/>
          <w:szCs w:val="18"/>
        </w:rPr>
        <w:t>744.63</w:t>
      </w:r>
      <w:r>
        <w:rPr>
          <w:color w:val="000000"/>
          <w:spacing w:val="0"/>
          <w:w w:val="100"/>
          <w:position w:val="0"/>
        </w:rPr>
        <w:t>万元。</w:t>
      </w:r>
    </w:p>
    <w:p>
      <w:pPr>
        <w:pStyle w:val="Style3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罗瑞发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董事长、总经理、 董事会秘书（代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副董事长、高级 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郑映虹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董事、董事会秘 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关志超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向吉英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倪传宝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朱卫国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蔡福春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黄然婷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董事、常务副总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744.63</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五</w:t>
      </w:r>
      <w:bookmarkEnd w:id="583"/>
      <w:r>
        <w:rPr>
          <w:color w:val="000000"/>
          <w:spacing w:val="0"/>
          <w:w w:val="100"/>
          <w:position w:val="0"/>
          <w:sz w:val="24"/>
          <w:szCs w:val="24"/>
        </w:rPr>
        <w:t>、公司员工情况</w:t>
      </w:r>
      <w:bookmarkEnd w:id="581"/>
      <w:bookmarkEnd w:id="582"/>
      <w:bookmarkEnd w:id="584"/>
    </w:p>
    <w:p>
      <w:pPr>
        <w:pStyle w:val="Style37"/>
        <w:keepNext/>
        <w:keepLines/>
        <w:widowControl w:val="0"/>
        <w:shd w:val="clear" w:color="auto" w:fill="auto"/>
        <w:bidi w:val="0"/>
        <w:spacing w:before="0" w:after="30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、员工数量、专业构成及教育程度</w:t>
      </w:r>
      <w:bookmarkEnd w:id="585"/>
      <w:bookmarkEnd w:id="586"/>
      <w:bookmarkEnd w:id="58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中专及中专以下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r>
    </w:tbl>
    <w:p>
      <w:pPr>
        <w:widowControl w:val="0"/>
        <w:spacing w:after="319" w:line="1" w:lineRule="exact"/>
      </w:pPr>
    </w:p>
    <w:p>
      <w:pPr>
        <w:pStyle w:val="Style37"/>
        <w:keepNext/>
        <w:keepLines/>
        <w:widowControl w:val="0"/>
        <w:shd w:val="clear" w:color="auto" w:fill="auto"/>
        <w:tabs>
          <w:tab w:pos="367" w:val="left"/>
        </w:tabs>
        <w:bidi w:val="0"/>
        <w:spacing w:before="0" w:after="260" w:line="240" w:lineRule="auto"/>
        <w:ind w:left="0" w:right="0" w:firstLine="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w:t>
        <w:tab/>
        <w:t>薪酬政策</w:t>
      </w:r>
      <w:bookmarkEnd w:id="589"/>
      <w:bookmarkEnd w:id="590"/>
      <w:bookmarkEnd w:id="592"/>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公司严格遵守《劳动法》、《劳动合同法》等法律法规，建立了完善的人力资源管理制度和流程，规范用工，切实保护 员工的权益。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公司遵循市场化原则，建立了具备市场竞争力的薪酬激励机制。公司的薪酬体系主要包括基本工资、岗位工资和绩效工 资三大方面，坚持公司与员工共同发展的原则，为员工提供公平和有竞争力的福利待遇，严格遵照劳动法及劳动合同法规定， 实行对全体员工劳动合同制，公司员工的工资、福利和劳动保护均按照国家和地方政府的有关规定执行。</w:t>
      </w:r>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公司积极探索并不断深化薪酬激励机制，未来将根据市场情况和行业发展趋势，对其进行适时调整，以不断提升公司人 才竞争优势。</w:t>
      </w:r>
    </w:p>
    <w:p>
      <w:pPr>
        <w:pStyle w:val="Style37"/>
        <w:keepNext/>
        <w:keepLines/>
        <w:widowControl w:val="0"/>
        <w:shd w:val="clear" w:color="auto" w:fill="auto"/>
        <w:tabs>
          <w:tab w:pos="367" w:val="left"/>
        </w:tabs>
        <w:bidi w:val="0"/>
        <w:spacing w:before="0" w:after="26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培训计划</w:t>
      </w:r>
      <w:bookmarkEnd w:id="593"/>
      <w:bookmarkEnd w:id="594"/>
      <w:bookmarkEnd w:id="596"/>
    </w:p>
    <w:p>
      <w:pPr>
        <w:pStyle w:val="Style34"/>
        <w:keepNext w:val="0"/>
        <w:keepLines w:val="0"/>
        <w:widowControl w:val="0"/>
        <w:shd w:val="clear" w:color="auto" w:fill="auto"/>
        <w:bidi w:val="0"/>
        <w:spacing w:before="0" w:after="700" w:line="312" w:lineRule="exact"/>
        <w:ind w:left="0" w:right="0"/>
        <w:jc w:val="both"/>
      </w:pPr>
      <w:r>
        <w:rPr>
          <w:color w:val="000000"/>
          <w:spacing w:val="0"/>
          <w:w w:val="100"/>
          <w:position w:val="0"/>
        </w:rPr>
        <w:t>公司注重员工培养和人才储备，制定了《人才发展手册》，建立了完善的培训体系，以新员工入职培训、企业内部培训、 外部培训、委托培训、内部交流、岗位辅导、外出参观和对外交流、员工自学等多种形式，提升全体员工岗位技能和专业知 识。公司每年会结合公司战略、年度工作重点及各层级员工培训需求调研结果拟定年度培训计划，设置不同类别的培训课程， 以保证公司业务发展对各层级员工发展的需要。</w:t>
      </w:r>
    </w:p>
    <w:p>
      <w:pPr>
        <w:pStyle w:val="Style37"/>
        <w:keepNext/>
        <w:keepLines/>
        <w:widowControl w:val="0"/>
        <w:shd w:val="clear" w:color="auto" w:fill="auto"/>
        <w:bidi w:val="0"/>
        <w:spacing w:before="0" w:after="380" w:line="240" w:lineRule="auto"/>
        <w:ind w:left="0" w:right="0" w:firstLine="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4</w:t>
      </w:r>
      <w:bookmarkEnd w:id="599"/>
      <w:r>
        <w:rPr>
          <w:color w:val="000000"/>
          <w:spacing w:val="0"/>
          <w:w w:val="100"/>
          <w:position w:val="0"/>
        </w:rPr>
        <w:t>、劳务外包情况</w:t>
      </w:r>
      <w:bookmarkEnd w:id="597"/>
      <w:bookmarkEnd w:id="598"/>
      <w:bookmarkEnd w:id="600"/>
    </w:p>
    <w:p>
      <w:pPr>
        <w:pStyle w:val="Style34"/>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83" w:right="1071" w:bottom="1460"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520" w:after="560" w:line="240" w:lineRule="auto"/>
        <w:ind w:left="0" w:right="0" w:firstLine="0"/>
        <w:jc w:val="center"/>
      </w:pPr>
      <w:bookmarkStart w:id="601" w:name="bookmark601"/>
      <w:bookmarkStart w:id="602" w:name="bookmark602"/>
      <w:bookmarkStart w:id="603" w:name="bookmark603"/>
      <w:r>
        <w:rPr>
          <w:color w:val="000000"/>
          <w:spacing w:val="0"/>
          <w:w w:val="100"/>
          <w:position w:val="0"/>
        </w:rPr>
        <w:t>第十节公司治理</w:t>
      </w:r>
      <w:bookmarkEnd w:id="601"/>
      <w:bookmarkEnd w:id="602"/>
      <w:bookmarkEnd w:id="603"/>
    </w:p>
    <w:p>
      <w:pPr>
        <w:pStyle w:val="Style30"/>
        <w:keepNext/>
        <w:keepLines/>
        <w:widowControl w:val="0"/>
        <w:shd w:val="clear" w:color="auto" w:fill="auto"/>
        <w:bidi w:val="0"/>
        <w:spacing w:before="0" w:after="240" w:line="240" w:lineRule="auto"/>
        <w:ind w:left="0" w:right="0" w:firstLine="0"/>
        <w:jc w:val="left"/>
      </w:pPr>
      <w:bookmarkStart w:id="604" w:name="bookmark604"/>
      <w:bookmarkStart w:id="605" w:name="bookmark605"/>
      <w:bookmarkStart w:id="606" w:name="bookmark606"/>
      <w:bookmarkStart w:id="607" w:name="bookmark607"/>
      <w:bookmarkStart w:id="608" w:name="bookmark608"/>
      <w:r>
        <w:rPr>
          <w:color w:val="000000"/>
          <w:spacing w:val="0"/>
          <w:w w:val="100"/>
          <w:position w:val="0"/>
          <w:sz w:val="24"/>
          <w:szCs w:val="24"/>
        </w:rPr>
        <w:t>一</w:t>
      </w:r>
      <w:bookmarkEnd w:id="607"/>
      <w:r>
        <w:rPr>
          <w:color w:val="000000"/>
          <w:spacing w:val="0"/>
          <w:w w:val="100"/>
          <w:position w:val="0"/>
          <w:sz w:val="24"/>
          <w:szCs w:val="24"/>
        </w:rPr>
        <w:t>、公司治理的基本状况</w:t>
      </w:r>
      <w:bookmarkEnd w:id="605"/>
      <w:bookmarkEnd w:id="606"/>
      <w:bookmarkEnd w:id="608"/>
      <w:bookmarkEnd w:id="604"/>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报告期内，公司严格按照《公司法》、《证券法》、《上市公司治理准则》、《深圳证券交易所股票上市规则》、《深 圳证券交易所上市公司规范运作指引》等法律法规、规范性文件的要求，不断完善公司治理结构，建立健全内部管理和控制 制度，进一步提高公司治理水平。截至报告期末，公司治理的实际状况符合前述有关上市公司治理的法律文件的要求，不存 在尚未解决的治理问题。</w:t>
      </w:r>
    </w:p>
    <w:p>
      <w:pPr>
        <w:pStyle w:val="Style34"/>
        <w:keepNext w:val="0"/>
        <w:keepLines w:val="0"/>
        <w:widowControl w:val="0"/>
        <w:shd w:val="clear" w:color="auto" w:fill="auto"/>
        <w:tabs>
          <w:tab w:pos="705" w:val="left"/>
        </w:tabs>
        <w:bidi w:val="0"/>
        <w:spacing w:before="0" w:after="0" w:line="315" w:lineRule="exact"/>
        <w:ind w:left="0" w:right="0"/>
        <w:jc w:val="both"/>
      </w:pPr>
      <w:bookmarkStart w:id="609" w:name="bookmark609"/>
      <w:r>
        <w:rPr>
          <w:rFonts w:ascii="Times New Roman" w:eastAsia="Times New Roman" w:hAnsi="Times New Roman" w:cs="Times New Roman"/>
          <w:b/>
          <w:bCs/>
          <w:color w:val="000000"/>
          <w:spacing w:val="0"/>
          <w:w w:val="100"/>
          <w:position w:val="0"/>
          <w:sz w:val="18"/>
          <w:szCs w:val="18"/>
        </w:rPr>
        <w:t>1</w:t>
      </w:r>
      <w:bookmarkEnd w:id="609"/>
      <w:r>
        <w:rPr>
          <w:b/>
          <w:bCs/>
          <w:color w:val="000000"/>
          <w:spacing w:val="0"/>
          <w:w w:val="100"/>
          <w:position w:val="0"/>
        </w:rPr>
        <w:t>、</w:t>
        <w:tab/>
        <w:t>关于股东与股东大会</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报告期内，公司严格按照《上市公司股东大会规则》、《公司章程》和《股东大会议事规则》等的规定和要求召集、召 开股东大会，并聘请律师对股东大会召集、召开程序的合法性、合规性出具法律意见书，确保全体股东特别是中小股东享有 平等地位，充分行使自己的权利。报告期内召开的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次股东大会均由公司董事会召集、召开，出席股东大会的人员资格及股 东大会的召开和表决程序合法。根据相关法律法规及《公司章程》的规定应由股东大会表决的事项均按照相应的权限审批后 提交股东大会审议，不存在越权审批或先实施后审议的情况。</w:t>
      </w:r>
    </w:p>
    <w:p>
      <w:pPr>
        <w:pStyle w:val="Style34"/>
        <w:keepNext w:val="0"/>
        <w:keepLines w:val="0"/>
        <w:widowControl w:val="0"/>
        <w:shd w:val="clear" w:color="auto" w:fill="auto"/>
        <w:tabs>
          <w:tab w:pos="720" w:val="left"/>
        </w:tabs>
        <w:bidi w:val="0"/>
        <w:spacing w:before="0" w:after="0" w:line="315" w:lineRule="exact"/>
        <w:ind w:left="0" w:right="0"/>
        <w:jc w:val="both"/>
      </w:pPr>
      <w:bookmarkStart w:id="610" w:name="bookmark610"/>
      <w:r>
        <w:rPr>
          <w:rFonts w:ascii="Times New Roman" w:eastAsia="Times New Roman" w:hAnsi="Times New Roman" w:cs="Times New Roman"/>
          <w:b/>
          <w:bCs/>
          <w:color w:val="000000"/>
          <w:spacing w:val="0"/>
          <w:w w:val="100"/>
          <w:position w:val="0"/>
          <w:sz w:val="18"/>
          <w:szCs w:val="18"/>
        </w:rPr>
        <w:t>2</w:t>
      </w:r>
      <w:bookmarkEnd w:id="610"/>
      <w:r>
        <w:rPr>
          <w:b/>
          <w:bCs/>
          <w:color w:val="000000"/>
          <w:spacing w:val="0"/>
          <w:w w:val="100"/>
          <w:position w:val="0"/>
        </w:rPr>
        <w:t>、</w:t>
        <w:tab/>
        <w:t>关于董事和董事会</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次董事会。根据《公司章程》的规定，董事会由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人。报告期末公 司共有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名董事（原董事杨成先生于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月辞去董事职务），其中独立董事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名，超过全体董事的三分之一，董事会的人 数及人员构成符合法律法规和《公司章程》的要求；董事会下设战略发展及投资审查、薪酬与考核、审计及预算审核、提名 四个专门委员会，各专门委员会的人员构成均符合有关法律法规的规定；公司全体董事能够按照《深圳证券交易所上市公司 规范运作指引》、《公司章程》和《董事会议事规则》等的要求开展工作，依法出席董事会和股东大会。</w:t>
      </w:r>
    </w:p>
    <w:p>
      <w:pPr>
        <w:pStyle w:val="Style34"/>
        <w:keepNext w:val="0"/>
        <w:keepLines w:val="0"/>
        <w:widowControl w:val="0"/>
        <w:shd w:val="clear" w:color="auto" w:fill="auto"/>
        <w:tabs>
          <w:tab w:pos="720" w:val="left"/>
        </w:tabs>
        <w:bidi w:val="0"/>
        <w:spacing w:before="0" w:after="0" w:line="315" w:lineRule="exact"/>
        <w:ind w:left="0" w:right="0"/>
        <w:jc w:val="both"/>
      </w:pPr>
      <w:bookmarkStart w:id="611" w:name="bookmark611"/>
      <w:r>
        <w:rPr>
          <w:rFonts w:ascii="Times New Roman" w:eastAsia="Times New Roman" w:hAnsi="Times New Roman" w:cs="Times New Roman"/>
          <w:b/>
          <w:bCs/>
          <w:color w:val="000000"/>
          <w:spacing w:val="0"/>
          <w:w w:val="100"/>
          <w:position w:val="0"/>
          <w:sz w:val="18"/>
          <w:szCs w:val="18"/>
        </w:rPr>
        <w:t>3</w:t>
      </w:r>
      <w:bookmarkEnd w:id="611"/>
      <w:r>
        <w:rPr>
          <w:b/>
          <w:bCs/>
          <w:color w:val="000000"/>
          <w:spacing w:val="0"/>
          <w:w w:val="100"/>
          <w:position w:val="0"/>
        </w:rPr>
        <w:t>、</w:t>
        <w:tab/>
        <w:t>关于监事与监事会</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次监事会。公司监事会目前由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名，监事会的人数及构成符 合法律法规和《公司章程》的要求。公司全体监事能够按照《公司章程》和《监事会议事规则》等的要求，认真履行自己的 职责，对公司重大事项、关联交易、财务状况、董事和高管的履职情况等进行有效监督并发表意见。</w:t>
      </w:r>
    </w:p>
    <w:p>
      <w:pPr>
        <w:pStyle w:val="Style34"/>
        <w:keepNext w:val="0"/>
        <w:keepLines w:val="0"/>
        <w:widowControl w:val="0"/>
        <w:shd w:val="clear" w:color="auto" w:fill="auto"/>
        <w:tabs>
          <w:tab w:pos="715" w:val="left"/>
        </w:tabs>
        <w:bidi w:val="0"/>
        <w:spacing w:before="0" w:after="0" w:line="315" w:lineRule="exact"/>
        <w:ind w:left="0" w:right="0"/>
        <w:jc w:val="both"/>
      </w:pPr>
      <w:bookmarkStart w:id="612" w:name="bookmark612"/>
      <w:r>
        <w:rPr>
          <w:rFonts w:ascii="Times New Roman" w:eastAsia="Times New Roman" w:hAnsi="Times New Roman" w:cs="Times New Roman"/>
          <w:b/>
          <w:bCs/>
          <w:color w:val="000000"/>
          <w:spacing w:val="0"/>
          <w:w w:val="100"/>
          <w:position w:val="0"/>
          <w:sz w:val="18"/>
          <w:szCs w:val="18"/>
        </w:rPr>
        <w:t>4</w:t>
      </w:r>
      <w:bookmarkEnd w:id="612"/>
      <w:r>
        <w:rPr>
          <w:b/>
          <w:bCs/>
          <w:color w:val="000000"/>
          <w:spacing w:val="0"/>
          <w:w w:val="100"/>
          <w:position w:val="0"/>
        </w:rPr>
        <w:t>、</w:t>
        <w:tab/>
        <w:t>关于绩效评价和激励约束机制</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公司已建立和完善了公正、透明的高级管理人员的绩效评价标准和激励约束机制，公司高级管理人员的聘任公开、透 明，符合法律法规的规定。</w:t>
      </w:r>
    </w:p>
    <w:p>
      <w:pPr>
        <w:pStyle w:val="Style34"/>
        <w:keepNext w:val="0"/>
        <w:keepLines w:val="0"/>
        <w:widowControl w:val="0"/>
        <w:shd w:val="clear" w:color="auto" w:fill="auto"/>
        <w:tabs>
          <w:tab w:pos="720" w:val="left"/>
        </w:tabs>
        <w:bidi w:val="0"/>
        <w:spacing w:before="0" w:after="0" w:line="315" w:lineRule="exact"/>
        <w:ind w:left="0" w:right="0"/>
        <w:jc w:val="both"/>
      </w:pPr>
      <w:bookmarkStart w:id="613" w:name="bookmark613"/>
      <w:r>
        <w:rPr>
          <w:rFonts w:ascii="Times New Roman" w:eastAsia="Times New Roman" w:hAnsi="Times New Roman" w:cs="Times New Roman"/>
          <w:b/>
          <w:bCs/>
          <w:color w:val="000000"/>
          <w:spacing w:val="0"/>
          <w:w w:val="100"/>
          <w:position w:val="0"/>
          <w:sz w:val="18"/>
          <w:szCs w:val="18"/>
        </w:rPr>
        <w:t>5</w:t>
      </w:r>
      <w:bookmarkEnd w:id="613"/>
      <w:r>
        <w:rPr>
          <w:b/>
          <w:bCs/>
          <w:color w:val="000000"/>
          <w:spacing w:val="0"/>
          <w:w w:val="100"/>
          <w:position w:val="0"/>
        </w:rPr>
        <w:t>、</w:t>
        <w:tab/>
        <w:t>关于相关利益者</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公司充分尊重和维护包括员工、债权人和客户在内的所有相关利益者的合法权益，积极与相关利益者合作，加强沟通 和交流，实现股东、员工、社会各方利益的均衡，共同推动公司持续、稳定、健康地发展。</w:t>
      </w:r>
    </w:p>
    <w:p>
      <w:pPr>
        <w:pStyle w:val="Style34"/>
        <w:keepNext w:val="0"/>
        <w:keepLines w:val="0"/>
        <w:widowControl w:val="0"/>
        <w:shd w:val="clear" w:color="auto" w:fill="auto"/>
        <w:tabs>
          <w:tab w:pos="720" w:val="left"/>
        </w:tabs>
        <w:bidi w:val="0"/>
        <w:spacing w:before="0" w:after="0" w:line="315" w:lineRule="exact"/>
        <w:ind w:left="0" w:right="0"/>
        <w:jc w:val="both"/>
      </w:pPr>
      <w:bookmarkStart w:id="614" w:name="bookmark614"/>
      <w:r>
        <w:rPr>
          <w:rFonts w:ascii="Times New Roman" w:eastAsia="Times New Roman" w:hAnsi="Times New Roman" w:cs="Times New Roman"/>
          <w:b/>
          <w:bCs/>
          <w:color w:val="000000"/>
          <w:spacing w:val="0"/>
          <w:w w:val="100"/>
          <w:position w:val="0"/>
          <w:sz w:val="18"/>
          <w:szCs w:val="18"/>
        </w:rPr>
        <w:t>6</w:t>
      </w:r>
      <w:bookmarkEnd w:id="614"/>
      <w:r>
        <w:rPr>
          <w:b/>
          <w:bCs/>
          <w:color w:val="000000"/>
          <w:spacing w:val="0"/>
          <w:w w:val="100"/>
          <w:position w:val="0"/>
        </w:rPr>
        <w:t>、</w:t>
        <w:tab/>
        <w:t>关于信息披露与透明度</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公司严格按照有关法律法规的规定和公司《信息披露管理制度》的要求，加强信息披露事务管理，强化重大事项的内 部报告，履行信息披露义务，并指定《证券时报》、《证券日报》、《中国证券报》、《上海证券报》和巨潮资讯网为公司 信息披露的报纸和网站，真实、准确、及时、完整地披露信息，确保所有投资者公平获取公司信息。</w:t>
      </w:r>
    </w:p>
    <w:p>
      <w:pPr>
        <w:pStyle w:val="Style34"/>
        <w:keepNext w:val="0"/>
        <w:keepLines w:val="0"/>
        <w:widowControl w:val="0"/>
        <w:shd w:val="clear" w:color="auto" w:fill="auto"/>
        <w:tabs>
          <w:tab w:pos="715" w:val="left"/>
        </w:tabs>
        <w:bidi w:val="0"/>
        <w:spacing w:before="0" w:after="0" w:line="315" w:lineRule="exact"/>
        <w:ind w:left="0" w:right="0"/>
        <w:jc w:val="both"/>
      </w:pPr>
      <w:bookmarkStart w:id="615" w:name="bookmark615"/>
      <w:r>
        <w:rPr>
          <w:rFonts w:ascii="Times New Roman" w:eastAsia="Times New Roman" w:hAnsi="Times New Roman" w:cs="Times New Roman"/>
          <w:b/>
          <w:bCs/>
          <w:color w:val="000000"/>
          <w:spacing w:val="0"/>
          <w:w w:val="100"/>
          <w:position w:val="0"/>
          <w:sz w:val="18"/>
          <w:szCs w:val="18"/>
        </w:rPr>
        <w:t>7</w:t>
      </w:r>
      <w:bookmarkEnd w:id="615"/>
      <w:r>
        <w:rPr>
          <w:b/>
          <w:bCs/>
          <w:color w:val="000000"/>
          <w:spacing w:val="0"/>
          <w:w w:val="100"/>
          <w:position w:val="0"/>
        </w:rPr>
        <w:t>、</w:t>
        <w:tab/>
        <w:t>关于投资者关系管理工作</w:t>
      </w:r>
    </w:p>
    <w:p>
      <w:pPr>
        <w:pStyle w:val="Style34"/>
        <w:keepNext w:val="0"/>
        <w:keepLines w:val="0"/>
        <w:widowControl w:val="0"/>
        <w:shd w:val="clear" w:color="auto" w:fill="auto"/>
        <w:tabs>
          <w:tab w:pos="806" w:val="left"/>
        </w:tabs>
        <w:bidi w:val="0"/>
        <w:spacing w:before="0" w:after="0" w:line="315" w:lineRule="exact"/>
        <w:ind w:left="0" w:right="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公司指定董事会秘书作为投资者关系管理负责人，安排专人作好投资者来访接待工作；</w:t>
      </w:r>
    </w:p>
    <w:p>
      <w:pPr>
        <w:pStyle w:val="Style34"/>
        <w:keepNext w:val="0"/>
        <w:keepLines w:val="0"/>
        <w:widowControl w:val="0"/>
        <w:shd w:val="clear" w:color="auto" w:fill="auto"/>
        <w:tabs>
          <w:tab w:pos="882" w:val="left"/>
        </w:tabs>
        <w:bidi w:val="0"/>
        <w:spacing w:before="0" w:after="0" w:line="315" w:lineRule="exact"/>
        <w:ind w:left="0" w:right="0"/>
        <w:jc w:val="both"/>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通过股东大会、投资者关系管理电话、电子信箱、传真、巨潮资讯网站、投资者关系互动平台等多种渠道与投资 者加强沟通，并尽可能解答投资者的疑问；</w:t>
      </w:r>
    </w:p>
    <w:p>
      <w:pPr>
        <w:pStyle w:val="Style34"/>
        <w:keepNext w:val="0"/>
        <w:keepLines w:val="0"/>
        <w:widowControl w:val="0"/>
        <w:shd w:val="clear" w:color="auto" w:fill="auto"/>
        <w:tabs>
          <w:tab w:pos="868" w:val="left"/>
        </w:tabs>
        <w:bidi w:val="0"/>
        <w:spacing w:before="0" w:after="0" w:line="315" w:lineRule="exact"/>
        <w:ind w:left="0" w:right="0"/>
        <w:jc w:val="both"/>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公司在接待特定对象调研前要求来访的特定对象签署承诺书，安排专人做好投资者来访接待工作，确保信息披露 的公平性。</w:t>
      </w:r>
    </w:p>
    <w:p>
      <w:pPr>
        <w:pStyle w:val="Style34"/>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bidi w:val="0"/>
        <w:spacing w:before="0" w:after="26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二</w:t>
      </w:r>
      <w:bookmarkEnd w:id="621"/>
      <w:r>
        <w:rPr>
          <w:color w:val="000000"/>
          <w:spacing w:val="0"/>
          <w:w w:val="100"/>
          <w:position w:val="0"/>
          <w:sz w:val="24"/>
          <w:szCs w:val="24"/>
        </w:rPr>
        <w:t>、公司相对于控股股东在业务、人员、资产、机构、财务等方面的独立情况</w:t>
      </w:r>
      <w:bookmarkEnd w:id="619"/>
      <w:bookmarkEnd w:id="620"/>
      <w:bookmarkEnd w:id="622"/>
    </w:p>
    <w:p>
      <w:pPr>
        <w:pStyle w:val="Style34"/>
        <w:keepNext w:val="0"/>
        <w:keepLines w:val="0"/>
        <w:widowControl w:val="0"/>
        <w:shd w:val="clear" w:color="auto" w:fill="auto"/>
        <w:bidi w:val="0"/>
        <w:spacing w:before="0" w:after="100" w:line="313" w:lineRule="exact"/>
        <w:ind w:left="0" w:right="0"/>
        <w:jc w:val="left"/>
      </w:pPr>
      <w:r>
        <w:rPr>
          <w:color w:val="000000"/>
          <w:spacing w:val="0"/>
          <w:w w:val="100"/>
          <w:position w:val="0"/>
        </w:rPr>
        <w:t>公司自成立以来，严格按照《公司法》、《证券法》等有关法律、法规和《公司章程》的要求规范运作，在资产、人员、 财务、机构和业务等方面与第一大股东（控股股东）、实际控制人及其控制的其他企业完全分开，具有完整的业务体系及面 向市场独立经营的能力。</w:t>
      </w:r>
    </w:p>
    <w:p>
      <w:pPr>
        <w:pStyle w:val="Style34"/>
        <w:keepNext w:val="0"/>
        <w:keepLines w:val="0"/>
        <w:widowControl w:val="0"/>
        <w:shd w:val="clear" w:color="auto" w:fill="auto"/>
        <w:tabs>
          <w:tab w:pos="654" w:val="left"/>
        </w:tabs>
        <w:bidi w:val="0"/>
        <w:spacing w:before="0" w:after="0" w:line="360" w:lineRule="auto"/>
        <w:ind w:left="0" w:right="0"/>
        <w:jc w:val="left"/>
      </w:pPr>
      <w:bookmarkStart w:id="623" w:name="bookmark623"/>
      <w:r>
        <w:rPr>
          <w:rFonts w:ascii="Times New Roman" w:eastAsia="Times New Roman" w:hAnsi="Times New Roman" w:cs="Times New Roman"/>
          <w:color w:val="000000"/>
          <w:spacing w:val="0"/>
          <w:w w:val="100"/>
          <w:position w:val="0"/>
          <w:sz w:val="18"/>
          <w:szCs w:val="18"/>
        </w:rPr>
        <w:t>1</w:t>
      </w:r>
      <w:bookmarkEnd w:id="623"/>
      <w:r>
        <w:rPr>
          <w:color w:val="000000"/>
          <w:spacing w:val="0"/>
          <w:w w:val="100"/>
          <w:position w:val="0"/>
        </w:rPr>
        <w:t>、</w:t>
        <w:tab/>
        <w:t>资产独立情况</w:t>
      </w:r>
    </w:p>
    <w:p>
      <w:pPr>
        <w:pStyle w:val="Style34"/>
        <w:keepNext w:val="0"/>
        <w:keepLines w:val="0"/>
        <w:widowControl w:val="0"/>
        <w:shd w:val="clear" w:color="auto" w:fill="auto"/>
        <w:bidi w:val="0"/>
        <w:spacing w:before="0" w:after="100" w:line="313" w:lineRule="exact"/>
        <w:ind w:left="0" w:right="0"/>
        <w:jc w:val="left"/>
      </w:pPr>
      <w:r>
        <w:rPr>
          <w:color w:val="000000"/>
          <w:spacing w:val="0"/>
          <w:w w:val="100"/>
          <w:position w:val="0"/>
        </w:rPr>
        <w:t>公司拥有完整的产品生产的工艺流程、完整的生产经营性资产、相关生产技术和配套设施、独立完整的采购和销售系统 等，合法拥有与生产经营有关的土地、厂房、机器设备以及商标、专利等资产的所有权或使用权。公司与股东之间的资产产 权界定清晰，生产经营场所独立，不存在依靠股东的生产经营场所进行生产经营的情况。公司不存在以公司资产、信用为第 一大股东（控股股东）、实际控制人及其控制的其他企业进行违规担保的情形，不存在资金被第一大股东（控股股东）、实 际控制人及其控制的其他企业以借款、代偿债务、代垫款项或者其他方式占用的情形。</w:t>
      </w:r>
    </w:p>
    <w:p>
      <w:pPr>
        <w:pStyle w:val="Style34"/>
        <w:keepNext w:val="0"/>
        <w:keepLines w:val="0"/>
        <w:widowControl w:val="0"/>
        <w:shd w:val="clear" w:color="auto" w:fill="auto"/>
        <w:tabs>
          <w:tab w:pos="674" w:val="left"/>
        </w:tabs>
        <w:bidi w:val="0"/>
        <w:spacing w:before="0" w:after="0" w:line="360" w:lineRule="auto"/>
        <w:ind w:left="0" w:right="0"/>
        <w:jc w:val="left"/>
      </w:pPr>
      <w:bookmarkStart w:id="624" w:name="bookmark624"/>
      <w:r>
        <w:rPr>
          <w:rFonts w:ascii="Times New Roman" w:eastAsia="Times New Roman" w:hAnsi="Times New Roman" w:cs="Times New Roman"/>
          <w:color w:val="000000"/>
          <w:spacing w:val="0"/>
          <w:w w:val="100"/>
          <w:position w:val="0"/>
          <w:sz w:val="18"/>
          <w:szCs w:val="18"/>
        </w:rPr>
        <w:t>2</w:t>
      </w:r>
      <w:bookmarkEnd w:id="624"/>
      <w:r>
        <w:rPr>
          <w:color w:val="000000"/>
          <w:spacing w:val="0"/>
          <w:w w:val="100"/>
          <w:position w:val="0"/>
        </w:rPr>
        <w:t>、</w:t>
        <w:tab/>
        <w:t>人员独立情况</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公司拥有独立、完整的人事管理体系，拥有生产经营所需的研发技术人员、管理人员及相应的生产技术人员和销售人员 等，员工均与公司签订了劳动聘用合同，工资发放、福利支出与股东及其关联人严格分离。公司建立了独立的人事档案、人 事聘用和任免制度、考核和奖惩制度，拥有独立的薪酬管理、福利与社会保障体系。</w:t>
      </w:r>
    </w:p>
    <w:p>
      <w:pPr>
        <w:pStyle w:val="Style34"/>
        <w:keepNext w:val="0"/>
        <w:keepLines w:val="0"/>
        <w:widowControl w:val="0"/>
        <w:shd w:val="clear" w:color="auto" w:fill="auto"/>
        <w:bidi w:val="0"/>
        <w:spacing w:before="0" w:after="100" w:line="313" w:lineRule="exact"/>
        <w:ind w:left="0" w:right="0"/>
        <w:jc w:val="left"/>
      </w:pPr>
      <w:r>
        <w:rPr>
          <w:color w:val="000000"/>
          <w:spacing w:val="0"/>
          <w:w w:val="100"/>
          <w:position w:val="0"/>
        </w:rPr>
        <w:t>公司的董事、监事及高级管理人员的选举和聘任均严格按照《公司法》和《公司章程》的有关规定执行，不存在受其他 机构或个人干预的情形。公司总经理、副总经理、财务总监、董事会秘书等高级管理人员均专职在公司工作并领取薪酬，没 有在控股股东担任除董事、监事以外的任何职务，亦没有在与公司业务相同或相近的其他企业任职的情况。公司董事、监事、 高级管理人员及其父母、配偶、子女、兄弟姐妹、兄弟姐妹的配偶等均未从事与公司利益相冲突的工作。</w:t>
      </w:r>
    </w:p>
    <w:p>
      <w:pPr>
        <w:pStyle w:val="Style34"/>
        <w:keepNext w:val="0"/>
        <w:keepLines w:val="0"/>
        <w:widowControl w:val="0"/>
        <w:shd w:val="clear" w:color="auto" w:fill="auto"/>
        <w:tabs>
          <w:tab w:pos="664" w:val="left"/>
        </w:tabs>
        <w:bidi w:val="0"/>
        <w:spacing w:before="0" w:after="0" w:line="360" w:lineRule="auto"/>
        <w:ind w:left="0" w:right="0"/>
        <w:jc w:val="left"/>
      </w:pPr>
      <w:bookmarkStart w:id="625" w:name="bookmark625"/>
      <w:r>
        <w:rPr>
          <w:rFonts w:ascii="Times New Roman" w:eastAsia="Times New Roman" w:hAnsi="Times New Roman" w:cs="Times New Roman"/>
          <w:color w:val="000000"/>
          <w:spacing w:val="0"/>
          <w:w w:val="100"/>
          <w:position w:val="0"/>
          <w:sz w:val="18"/>
          <w:szCs w:val="18"/>
        </w:rPr>
        <w:t>3</w:t>
      </w:r>
      <w:bookmarkEnd w:id="625"/>
      <w:r>
        <w:rPr>
          <w:color w:val="000000"/>
          <w:spacing w:val="0"/>
          <w:w w:val="100"/>
          <w:position w:val="0"/>
        </w:rPr>
        <w:t>、</w:t>
        <w:tab/>
        <w:t>财务独立情况</w:t>
      </w:r>
    </w:p>
    <w:p>
      <w:pPr>
        <w:pStyle w:val="Style34"/>
        <w:keepNext w:val="0"/>
        <w:keepLines w:val="0"/>
        <w:widowControl w:val="0"/>
        <w:shd w:val="clear" w:color="auto" w:fill="auto"/>
        <w:bidi w:val="0"/>
        <w:spacing w:before="0" w:after="100" w:line="313" w:lineRule="exact"/>
        <w:ind w:left="0" w:right="0"/>
        <w:jc w:val="left"/>
      </w:pPr>
      <w:r>
        <w:rPr>
          <w:color w:val="000000"/>
          <w:spacing w:val="0"/>
          <w:w w:val="100"/>
          <w:position w:val="0"/>
        </w:rPr>
        <w:t>公司已按照《企业会计准则》的要求建立了一套独立、完整、规范的财务会计核算体系和财务管理制度，实施严格管理。 公司设立了独立的财务部门，配备了专职财务人员；公司在银行拥有独立的银行账户，不存在与第一大股东（控股股东）、 实际控制人及其控制的其他企业共用银行账户的情形，亦不存在货币资金或其他资产被第一大股东（控股股东）、实际控制 人或其他关联方以任何名义占用的情况，也不存在为第一大股东（控股股东）及其关联方提供担保的情况；公司办理了独立 的税务登记证并独立申报纳税，不存在与股东单位混合纳税的情形；公司依据《公司章程》及自身情况做出财务决策，完全 自主决定资金使用，不存在第一大股东（控股股东）、实际控制人干预公司资金使用的情况。</w:t>
      </w:r>
    </w:p>
    <w:p>
      <w:pPr>
        <w:pStyle w:val="Style34"/>
        <w:keepNext w:val="0"/>
        <w:keepLines w:val="0"/>
        <w:widowControl w:val="0"/>
        <w:shd w:val="clear" w:color="auto" w:fill="auto"/>
        <w:tabs>
          <w:tab w:pos="674" w:val="left"/>
        </w:tabs>
        <w:bidi w:val="0"/>
        <w:spacing w:before="0" w:after="0" w:line="360" w:lineRule="auto"/>
        <w:ind w:left="0" w:right="0"/>
        <w:jc w:val="both"/>
      </w:pPr>
      <w:bookmarkStart w:id="626" w:name="bookmark626"/>
      <w:r>
        <w:rPr>
          <w:rFonts w:ascii="Times New Roman" w:eastAsia="Times New Roman" w:hAnsi="Times New Roman" w:cs="Times New Roman"/>
          <w:color w:val="000000"/>
          <w:spacing w:val="0"/>
          <w:w w:val="100"/>
          <w:position w:val="0"/>
          <w:sz w:val="18"/>
          <w:szCs w:val="18"/>
        </w:rPr>
        <w:t>4</w:t>
      </w:r>
      <w:bookmarkEnd w:id="626"/>
      <w:r>
        <w:rPr>
          <w:color w:val="000000"/>
          <w:spacing w:val="0"/>
          <w:w w:val="100"/>
          <w:position w:val="0"/>
        </w:rPr>
        <w:t>、</w:t>
        <w:tab/>
        <w:t>机构独立情况</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公司按照《公司法》、《公司章程》的规定，设立了股东大会、董事会、监事会等议事、决策、监督机构，聘任了高级 管理人员，并制定了相适应的股东大会、董事会、监事会议事规则，以及独立董事、董事会各专门委员会和总经理工作细则 等。</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根据业务经营需要，公司设置了包括营销与服务体系、研发体系、供应链体系、管理支持体系、质量中心在内的职能部 门，建立健全了公司内部各部门的规章制度。公司内部经营管理机构与第一大股东（控股股东）、实际控制人及其控制的其 他企业完全分开，独立行使经营管理职权，不存在与第一大股东（控股股东）、实际控制人及其控制的其他企业共用管理机 构、混合经营、合署办公等机构混同的情形，亦不存在股东单位直接干预公司生产经营活动的情况。</w:t>
      </w:r>
    </w:p>
    <w:p>
      <w:pPr>
        <w:pStyle w:val="Style34"/>
        <w:keepNext w:val="0"/>
        <w:keepLines w:val="0"/>
        <w:widowControl w:val="0"/>
        <w:shd w:val="clear" w:color="auto" w:fill="auto"/>
        <w:tabs>
          <w:tab w:pos="664" w:val="left"/>
        </w:tabs>
        <w:bidi w:val="0"/>
        <w:spacing w:before="0" w:after="0" w:line="360" w:lineRule="auto"/>
        <w:ind w:left="0" w:right="0"/>
        <w:jc w:val="both"/>
      </w:pPr>
      <w:bookmarkStart w:id="627" w:name="bookmark627"/>
      <w:r>
        <w:rPr>
          <w:rFonts w:ascii="Times New Roman" w:eastAsia="Times New Roman" w:hAnsi="Times New Roman" w:cs="Times New Roman"/>
          <w:color w:val="000000"/>
          <w:spacing w:val="0"/>
          <w:w w:val="100"/>
          <w:position w:val="0"/>
          <w:sz w:val="18"/>
          <w:szCs w:val="18"/>
        </w:rPr>
        <w:t>5</w:t>
      </w:r>
      <w:bookmarkEnd w:id="627"/>
      <w:r>
        <w:rPr>
          <w:color w:val="000000"/>
          <w:spacing w:val="0"/>
          <w:w w:val="100"/>
          <w:position w:val="0"/>
        </w:rPr>
        <w:t>、</w:t>
        <w:tab/>
        <w:t>业务独立情况</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目前公司已具有独立完整的研发、采购、生产、销售体系，具有面向市场自主经营业务的能力，主营业务收入和主营业 务利润不存在依赖于股东及其他关联方的关联交易的情况，同时也不存在受制于股东及其他关联方的情况。</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公司在业务上与第一大股东（控股股东）、实际控制人及其控制的其他公司之间不存在同业竞争及显失公允的关联交易。</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综上所述，公司目前已建立了独立完整的研发、采购、生产和销售系统，在资产、人员、财务、机构和业务等方面与第 一大股东（控股股东）、实际控制人及其控制的其他企业完全分开，实现了独立运作，具有独立完整的业务体系及面向市场 自主开发独立经营的能力。</w:t>
      </w:r>
      <w:r>
        <w:br w:type="page"/>
      </w:r>
    </w:p>
    <w:p>
      <w:pPr>
        <w:pStyle w:val="Style30"/>
        <w:keepNext/>
        <w:keepLines/>
        <w:widowControl w:val="0"/>
        <w:shd w:val="clear" w:color="auto" w:fill="auto"/>
        <w:bidi w:val="0"/>
        <w:spacing w:before="0" w:after="360" w:line="240" w:lineRule="auto"/>
        <w:ind w:left="0" w:right="0" w:firstLine="0"/>
        <w:jc w:val="both"/>
      </w:pPr>
      <w:bookmarkStart w:id="628" w:name="bookmark628"/>
      <w:bookmarkStart w:id="629" w:name="bookmark629"/>
      <w:bookmarkStart w:id="630" w:name="bookmark630"/>
      <w:bookmarkStart w:id="631" w:name="bookmark631"/>
      <w:r>
        <w:rPr>
          <w:color w:val="000000"/>
          <w:spacing w:val="0"/>
          <w:w w:val="100"/>
          <w:position w:val="0"/>
          <w:sz w:val="24"/>
          <w:szCs w:val="24"/>
        </w:rPr>
        <w:t>三</w:t>
      </w:r>
      <w:bookmarkEnd w:id="630"/>
      <w:r>
        <w:rPr>
          <w:color w:val="000000"/>
          <w:spacing w:val="0"/>
          <w:w w:val="100"/>
          <w:position w:val="0"/>
          <w:sz w:val="24"/>
          <w:szCs w:val="24"/>
        </w:rPr>
        <w:t>、同业竞争情况</w:t>
      </w:r>
      <w:bookmarkEnd w:id="628"/>
      <w:bookmarkEnd w:id="629"/>
      <w:bookmarkEnd w:id="631"/>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632" w:name="bookmark632"/>
      <w:bookmarkStart w:id="633" w:name="bookmark633"/>
      <w:bookmarkStart w:id="634" w:name="bookmark634"/>
      <w:bookmarkStart w:id="635" w:name="bookmark635"/>
      <w:r>
        <w:rPr>
          <w:color w:val="000000"/>
          <w:spacing w:val="0"/>
          <w:w w:val="100"/>
          <w:position w:val="0"/>
          <w:sz w:val="24"/>
          <w:szCs w:val="24"/>
        </w:rPr>
        <w:t>四</w:t>
      </w:r>
      <w:bookmarkEnd w:id="634"/>
      <w:r>
        <w:rPr>
          <w:color w:val="000000"/>
          <w:spacing w:val="0"/>
          <w:w w:val="100"/>
          <w:position w:val="0"/>
          <w:sz w:val="24"/>
          <w:szCs w:val="24"/>
        </w:rPr>
        <w:t>、报告期内召开的年度股东大会和临时股东大会的有关情况</w:t>
      </w:r>
      <w:bookmarkEnd w:id="632"/>
      <w:bookmarkEnd w:id="633"/>
      <w:bookmarkEnd w:id="635"/>
    </w:p>
    <w:p>
      <w:pPr>
        <w:pStyle w:val="Style37"/>
        <w:keepNext/>
        <w:keepLines/>
        <w:widowControl w:val="0"/>
        <w:shd w:val="clear" w:color="auto" w:fill="auto"/>
        <w:bidi w:val="0"/>
        <w:spacing w:before="0" w:line="240" w:lineRule="auto"/>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、本报告期股东大会情况</w:t>
      </w:r>
      <w:bookmarkEnd w:id="636"/>
      <w:bookmarkEnd w:id="637"/>
      <w:bookmarkEnd w:id="639"/>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 一次临时股东大会 决议公告》(公告编 号：</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 股东大会决议公告》</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(公告编号：</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2020-043</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 二次临时股东大会 决议公告》(公告编 号：</w:t>
            </w:r>
            <w:r>
              <w:rPr>
                <w:rFonts w:ascii="Times New Roman" w:eastAsia="Times New Roman" w:hAnsi="Times New Roman" w:cs="Times New Roman"/>
                <w:color w:val="000000"/>
                <w:spacing w:val="0"/>
                <w:w w:val="100"/>
                <w:position w:val="0"/>
                <w:sz w:val="18"/>
                <w:szCs w:val="18"/>
              </w:rPr>
              <w:t>2020-080</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 三次临时股东大会 决议公告》(公告编 号：</w:t>
            </w:r>
            <w:r>
              <w:rPr>
                <w:rFonts w:ascii="Times New Roman" w:eastAsia="Times New Roman" w:hAnsi="Times New Roman" w:cs="Times New Roman"/>
                <w:color w:val="000000"/>
                <w:spacing w:val="0"/>
                <w:w w:val="100"/>
                <w:position w:val="0"/>
                <w:sz w:val="18"/>
                <w:szCs w:val="18"/>
              </w:rPr>
              <w:t>2020-095</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年第 四次临时股东大会 决议公告》(公告编 号：</w:t>
            </w:r>
            <w:r>
              <w:rPr>
                <w:rFonts w:ascii="Times New Roman" w:eastAsia="Times New Roman" w:hAnsi="Times New Roman" w:cs="Times New Roman"/>
                <w:color w:val="000000"/>
                <w:spacing w:val="0"/>
                <w:w w:val="100"/>
                <w:position w:val="0"/>
                <w:sz w:val="18"/>
                <w:szCs w:val="18"/>
              </w:rPr>
              <w:t>2020-127</w:t>
            </w:r>
            <w:r>
              <w:rPr>
                <w:color w:val="000000"/>
                <w:spacing w:val="0"/>
                <w:w w:val="100"/>
                <w:position w:val="0"/>
              </w:rPr>
              <w:t>)</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、表决权恢复的优先股股东请求召开临时股东大会</w:t>
      </w:r>
      <w:bookmarkEnd w:id="640"/>
      <w:bookmarkEnd w:id="641"/>
      <w:bookmarkEnd w:id="643"/>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五</w:t>
      </w:r>
      <w:bookmarkEnd w:id="646"/>
      <w:r>
        <w:rPr>
          <w:color w:val="000000"/>
          <w:spacing w:val="0"/>
          <w:w w:val="100"/>
          <w:position w:val="0"/>
          <w:sz w:val="24"/>
          <w:szCs w:val="24"/>
        </w:rPr>
        <w:t>、报告期内独立董事履行职责的情况</w:t>
      </w:r>
      <w:bookmarkEnd w:id="644"/>
      <w:bookmarkEnd w:id="645"/>
      <w:bookmarkEnd w:id="647"/>
    </w:p>
    <w:p>
      <w:pPr>
        <w:pStyle w:val="Style37"/>
        <w:keepNext/>
        <w:keepLines/>
        <w:widowControl w:val="0"/>
        <w:shd w:val="clear" w:color="auto" w:fill="auto"/>
        <w:bidi w:val="0"/>
        <w:spacing w:before="0" w:after="30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、独立董事出席董事会及股东大会的情况</w:t>
      </w:r>
      <w:bookmarkEnd w:id="648"/>
      <w:bookmarkEnd w:id="649"/>
      <w:bookmarkEnd w:id="65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陈君柱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向吉英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关志超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许岳明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37"/>
        <w:keepNext/>
        <w:keepLines/>
        <w:widowControl w:val="0"/>
        <w:shd w:val="clear" w:color="auto" w:fill="auto"/>
        <w:tabs>
          <w:tab w:pos="378" w:val="left"/>
        </w:tabs>
        <w:bidi w:val="0"/>
        <w:spacing w:before="0" w:after="26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w:t>
        <w:tab/>
        <w:t>独立董事对公司有关事项提出异议的情况</w:t>
      </w:r>
      <w:bookmarkEnd w:id="652"/>
      <w:bookmarkEnd w:id="653"/>
      <w:bookmarkEnd w:id="655"/>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after="26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3</w:t>
      </w:r>
      <w:bookmarkEnd w:id="658"/>
      <w:r>
        <w:rPr>
          <w:color w:val="000000"/>
          <w:spacing w:val="0"/>
          <w:w w:val="100"/>
          <w:position w:val="0"/>
        </w:rPr>
        <w:t>、</w:t>
        <w:tab/>
        <w:t>独立董事履行职责的其他说明</w:t>
      </w:r>
      <w:bookmarkEnd w:id="656"/>
      <w:bookmarkEnd w:id="657"/>
      <w:bookmarkEnd w:id="659"/>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80" w:line="313" w:lineRule="exact"/>
        <w:ind w:left="0" w:right="0"/>
        <w:jc w:val="left"/>
      </w:pPr>
      <w:r>
        <w:rPr>
          <w:color w:val="000000"/>
          <w:spacing w:val="0"/>
          <w:w w:val="100"/>
          <w:position w:val="0"/>
        </w:rPr>
        <w:t>陈君柱先生、向吉英先生、李夏先生（第三届董事会独立董事）和关志超先生、许岳明先生（第二届董事会独立董事） 在担任公司独立董事期间，严格按照《公司法》、《关于在上市公司建立独立董事的指导意见》、《深圳证券交易所上市公 司规范运作指引》及《公司章程》等法律法规的相关规定履行独立董事职责，深入了解公司经营情况和财务状况，认真研究 议案相关材料，运用自身的知识背景，为公司的科学决策和风险防范提供意见和建议，就公司募投项目延期、结项和募集资 金使用、董事会和高级管理人员换届、新一届董事薪酬方案、股权激励实施、日常经营、关联交易、权益分派、定期报告等 事项进行审核，并独立、客观地发表了意见，保证了公司董事会决议的公正性，维护公司和广大股东尤其是中小股东的利益， 促进了公司的规范运作和持续发展。</w:t>
      </w:r>
    </w:p>
    <w:p>
      <w:pPr>
        <w:pStyle w:val="Style30"/>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六</w:t>
      </w:r>
      <w:bookmarkEnd w:id="662"/>
      <w:r>
        <w:rPr>
          <w:color w:val="000000"/>
          <w:spacing w:val="0"/>
          <w:w w:val="100"/>
          <w:position w:val="0"/>
          <w:sz w:val="24"/>
          <w:szCs w:val="24"/>
        </w:rPr>
        <w:t>、董事会下设专门委员会在报告期内履行职责情况</w:t>
      </w:r>
      <w:bookmarkEnd w:id="660"/>
      <w:bookmarkEnd w:id="661"/>
      <w:bookmarkEnd w:id="663"/>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公司董事会下设立四个专门委员会，分别为审计及预算审核委员会、薪酬与考核委员会、提名委员会以及战略发展及投 资审查委员会。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年，各专门委员会本着勤勉尽责的原则，按照有关法律法规、公司章程及各专门委员会工作细则的有关 规定开展相关工作。报告期内，各专门委员会履行情况如下：</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、审计及预算审核委员会的履职情况</w:t>
      </w:r>
    </w:p>
    <w:p>
      <w:pPr>
        <w:pStyle w:val="Style34"/>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报告期内，审计及预算审核委员会认真履行职责，按照公司《内部审计制度》、《董事会审计及预算审核委员会工作细 </w:t>
      </w:r>
      <w:r>
        <w:rPr>
          <w:color w:val="000000"/>
          <w:spacing w:val="0"/>
          <w:w w:val="100"/>
          <w:position w:val="0"/>
        </w:rPr>
        <w:t>则》、《审计及预算审核委员会年报工作规程》的要求开展各项工作。报告期内，公司董事会审计及预算审核委员会详细了 解公司财务状况和经营情况，讨论审议了公司定期报告、内审部门日常审计工作报告和审计工作计划、审查审计机构资质和 工作情况并向董事会提议续聘年度审计机构、审查公司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年度利润分配预案和公司未来三年（</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年）股东分红回 报规划、会计政策变更、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年度日常关联交易执行情况和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年度日常关联交易预计情况，对公司内控制度和内部审计制 度的实施进行了有效监督和指导。</w:t>
      </w:r>
    </w:p>
    <w:p>
      <w:pPr>
        <w:pStyle w:val="Style34"/>
        <w:keepNext w:val="0"/>
        <w:keepLines w:val="0"/>
        <w:widowControl w:val="0"/>
        <w:shd w:val="clear" w:color="auto" w:fill="auto"/>
        <w:tabs>
          <w:tab w:pos="707" w:val="left"/>
        </w:tabs>
        <w:bidi w:val="0"/>
        <w:spacing w:before="0" w:after="0" w:line="360" w:lineRule="auto"/>
        <w:ind w:left="0" w:right="0"/>
        <w:jc w:val="both"/>
      </w:pPr>
      <w:bookmarkStart w:id="664" w:name="bookmark664"/>
      <w:r>
        <w:rPr>
          <w:rFonts w:ascii="Times New Roman" w:eastAsia="Times New Roman" w:hAnsi="Times New Roman" w:cs="Times New Roman"/>
          <w:color w:val="000000"/>
          <w:spacing w:val="0"/>
          <w:w w:val="100"/>
          <w:position w:val="0"/>
          <w:sz w:val="18"/>
          <w:szCs w:val="18"/>
        </w:rPr>
        <w:t>2</w:t>
      </w:r>
      <w:bookmarkEnd w:id="664"/>
      <w:r>
        <w:rPr>
          <w:color w:val="000000"/>
          <w:spacing w:val="0"/>
          <w:w w:val="100"/>
          <w:position w:val="0"/>
        </w:rPr>
        <w:t>、</w:t>
        <w:tab/>
        <w:t>薪酬与考核委员会的履职情况</w:t>
      </w:r>
    </w:p>
    <w:p>
      <w:pPr>
        <w:pStyle w:val="Style34"/>
        <w:keepNext w:val="0"/>
        <w:keepLines w:val="0"/>
        <w:widowControl w:val="0"/>
        <w:shd w:val="clear" w:color="auto" w:fill="auto"/>
        <w:bidi w:val="0"/>
        <w:spacing w:before="0" w:after="120" w:line="312" w:lineRule="exact"/>
        <w:ind w:left="0" w:right="0"/>
        <w:jc w:val="both"/>
      </w:pPr>
      <w:r>
        <w:rPr>
          <w:color w:val="000000"/>
          <w:spacing w:val="0"/>
          <w:w w:val="100"/>
          <w:position w:val="0"/>
        </w:rPr>
        <w:t>报告期内，薪酬与考核委员按照《董事会薪酬与考核委员会工作细则》的要求开展工作，对公司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年度董事长和高级 管理人员薪酬、第三届董事会董事薪酬方案等事项进行了审核，认为薪酬标准和年度薪酬总额的确定符合公司相关薪酬管理 制度的规定，同意提交公司董事会审议。审议通过了公司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年限制性股票激励计划首次授予限制性股票第一个解锁期解锁 条件成就的议案并同意提交公司董事会审议。</w:t>
      </w:r>
    </w:p>
    <w:p>
      <w:pPr>
        <w:pStyle w:val="Style34"/>
        <w:keepNext w:val="0"/>
        <w:keepLines w:val="0"/>
        <w:widowControl w:val="0"/>
        <w:shd w:val="clear" w:color="auto" w:fill="auto"/>
        <w:tabs>
          <w:tab w:pos="707" w:val="left"/>
        </w:tabs>
        <w:bidi w:val="0"/>
        <w:spacing w:before="0" w:after="0" w:line="360" w:lineRule="auto"/>
        <w:ind w:left="0" w:right="0"/>
        <w:jc w:val="both"/>
      </w:pPr>
      <w:bookmarkStart w:id="665" w:name="bookmark665"/>
      <w:r>
        <w:rPr>
          <w:rFonts w:ascii="Times New Roman" w:eastAsia="Times New Roman" w:hAnsi="Times New Roman" w:cs="Times New Roman"/>
          <w:color w:val="000000"/>
          <w:spacing w:val="0"/>
          <w:w w:val="100"/>
          <w:position w:val="0"/>
          <w:sz w:val="18"/>
          <w:szCs w:val="18"/>
        </w:rPr>
        <w:t>3</w:t>
      </w:r>
      <w:bookmarkEnd w:id="665"/>
      <w:r>
        <w:rPr>
          <w:color w:val="000000"/>
          <w:spacing w:val="0"/>
          <w:w w:val="100"/>
          <w:position w:val="0"/>
        </w:rPr>
        <w:t>、</w:t>
        <w:tab/>
        <w:t>提名委员会的履职情况</w:t>
      </w:r>
    </w:p>
    <w:p>
      <w:pPr>
        <w:pStyle w:val="Style34"/>
        <w:keepNext w:val="0"/>
        <w:keepLines w:val="0"/>
        <w:widowControl w:val="0"/>
        <w:shd w:val="clear" w:color="auto" w:fill="auto"/>
        <w:bidi w:val="0"/>
        <w:spacing w:before="0" w:after="120" w:line="312" w:lineRule="exact"/>
        <w:ind w:left="0" w:right="0"/>
        <w:jc w:val="both"/>
      </w:pPr>
      <w:r>
        <w:rPr>
          <w:color w:val="000000"/>
          <w:spacing w:val="0"/>
          <w:w w:val="100"/>
          <w:position w:val="0"/>
        </w:rPr>
        <w:t>报告期内，提名委员会按照《董事会提名委员会工作细则》的要求开展工作，对公司第三届董事会董事候选人和新一届 高级管理人员的任职资格进行认真审查，认为候选人符合《公司法》等相关法律法规及《公司章程》的有关规定，未发现其 有《公司法》规定不得任职的情形以及被中国证监会确定为市场禁入者并且尚未解除的情况，同意提交董事会审议。</w:t>
      </w:r>
    </w:p>
    <w:p>
      <w:pPr>
        <w:pStyle w:val="Style34"/>
        <w:keepNext w:val="0"/>
        <w:keepLines w:val="0"/>
        <w:widowControl w:val="0"/>
        <w:shd w:val="clear" w:color="auto" w:fill="auto"/>
        <w:tabs>
          <w:tab w:pos="707" w:val="left"/>
        </w:tabs>
        <w:bidi w:val="0"/>
        <w:spacing w:before="0" w:after="0" w:line="360" w:lineRule="auto"/>
        <w:ind w:left="0" w:right="0"/>
        <w:jc w:val="both"/>
      </w:pPr>
      <w:bookmarkStart w:id="666" w:name="bookmark666"/>
      <w:r>
        <w:rPr>
          <w:rFonts w:ascii="Times New Roman" w:eastAsia="Times New Roman" w:hAnsi="Times New Roman" w:cs="Times New Roman"/>
          <w:color w:val="000000"/>
          <w:spacing w:val="0"/>
          <w:w w:val="100"/>
          <w:position w:val="0"/>
          <w:sz w:val="18"/>
          <w:szCs w:val="18"/>
        </w:rPr>
        <w:t>4</w:t>
      </w:r>
      <w:bookmarkEnd w:id="666"/>
      <w:r>
        <w:rPr>
          <w:color w:val="000000"/>
          <w:spacing w:val="0"/>
          <w:w w:val="100"/>
          <w:position w:val="0"/>
        </w:rPr>
        <w:t>、</w:t>
        <w:tab/>
        <w:t>战略发展及投资审查委员会的履职情况</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报告期内，战略及投资审查委员会严格按照相关法律法规和公司《董事会战略与投资审查委员会工作细则》的要求，结 合宏观经济环境变化、行业趋势的发展变化及公司经营现状、发展战略，组织和领导相关人员对延长部分募集资金项目的实 施期限、首次公开发行股票募集资金投资项目结项及终止并将节余募集资金永久补充流动资金、控股子公司伟龙金溢股权转 让和债务重组等事项进行了讨论和研究，制定出符合公司未来发展的战略和规划，并报董事会审议。</w:t>
      </w:r>
    </w:p>
    <w:p>
      <w:pPr>
        <w:pStyle w:val="Style30"/>
        <w:keepNext/>
        <w:keepLines/>
        <w:widowControl w:val="0"/>
        <w:shd w:val="clear" w:color="auto" w:fill="auto"/>
        <w:tabs>
          <w:tab w:pos="495" w:val="left"/>
        </w:tabs>
        <w:bidi w:val="0"/>
        <w:spacing w:before="0" w:after="2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七</w:t>
      </w:r>
      <w:bookmarkEnd w:id="669"/>
      <w:r>
        <w:rPr>
          <w:color w:val="000000"/>
          <w:spacing w:val="0"/>
          <w:w w:val="100"/>
          <w:position w:val="0"/>
          <w:sz w:val="24"/>
          <w:szCs w:val="24"/>
        </w:rPr>
        <w:t>、</w:t>
        <w:tab/>
        <w:t>监事会工作情况</w:t>
      </w:r>
      <w:bookmarkEnd w:id="667"/>
      <w:bookmarkEnd w:id="668"/>
      <w:bookmarkEnd w:id="670"/>
    </w:p>
    <w:p>
      <w:pPr>
        <w:pStyle w:val="Style3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tabs>
          <w:tab w:pos="495" w:val="left"/>
        </w:tabs>
        <w:bidi w:val="0"/>
        <w:spacing w:before="0" w:after="26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sz w:val="24"/>
          <w:szCs w:val="24"/>
        </w:rPr>
        <w:t>八</w:t>
      </w:r>
      <w:bookmarkEnd w:id="673"/>
      <w:r>
        <w:rPr>
          <w:color w:val="000000"/>
          <w:spacing w:val="0"/>
          <w:w w:val="100"/>
          <w:position w:val="0"/>
          <w:sz w:val="24"/>
          <w:szCs w:val="24"/>
        </w:rPr>
        <w:t>、</w:t>
        <w:tab/>
        <w:t>高级管理人员的考评及激励情况</w:t>
      </w:r>
      <w:bookmarkEnd w:id="671"/>
      <w:bookmarkEnd w:id="672"/>
      <w:bookmarkEnd w:id="674"/>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公司建立了完善的高级管理人员绩效考核和薪酬管理制度，董事会下设薪酬与考核委员会负责制定高级管理人员年度薪 酬方案。高级管理人员年度薪酬由基本薪酬和绩效薪酬两部分构成，薪酬与考核委员会根据企业效益、高管个人贡献系数和 年度绩效考核系数，围绕工作业绩、工作质量、领导能力、职责履行、经营管理能力等方面进行考核，采取年度考评的方式， 评定高级管理人员年度绩效奖金。</w:t>
      </w:r>
    </w:p>
    <w:p>
      <w:pPr>
        <w:pStyle w:val="Style34"/>
        <w:keepNext w:val="0"/>
        <w:keepLines w:val="0"/>
        <w:widowControl w:val="0"/>
        <w:shd w:val="clear" w:color="auto" w:fill="auto"/>
        <w:bidi w:val="0"/>
        <w:spacing w:before="0" w:after="36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日召开第三届董事会第六次会议，审议通过了《关于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 票第一个解锁期解锁条件成就的议案》，同意根据公司《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年限制性股票激励计划（草案）》的相关规定和公司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 三次临时股东大会的授权,对高级管理人员何宁及公司核心骨干员工办理激励计划首次授予限制性股票第一个解锁期解除限 售的相关事宜，详情可见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第五节公司股权激励计划、员工持股计划或其他员工激励措施的实施情况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95" w:val="left"/>
        </w:tabs>
        <w:bidi w:val="0"/>
        <w:spacing w:before="0" w:after="360" w:line="240" w:lineRule="auto"/>
        <w:ind w:left="0" w:right="0" w:firstLine="0"/>
        <w:jc w:val="both"/>
      </w:pPr>
      <w:bookmarkStart w:id="675" w:name="bookmark675"/>
      <w:bookmarkStart w:id="676" w:name="bookmark676"/>
      <w:bookmarkStart w:id="677" w:name="bookmark677"/>
      <w:bookmarkStart w:id="678" w:name="bookmark678"/>
      <w:r>
        <w:rPr>
          <w:color w:val="000000"/>
          <w:spacing w:val="0"/>
          <w:w w:val="100"/>
          <w:position w:val="0"/>
          <w:sz w:val="24"/>
          <w:szCs w:val="24"/>
        </w:rPr>
        <w:t>九</w:t>
      </w:r>
      <w:bookmarkEnd w:id="677"/>
      <w:r>
        <w:rPr>
          <w:color w:val="000000"/>
          <w:spacing w:val="0"/>
          <w:w w:val="100"/>
          <w:position w:val="0"/>
          <w:sz w:val="24"/>
          <w:szCs w:val="24"/>
        </w:rPr>
        <w:t>、</w:t>
        <w:tab/>
        <w:t>内部控制评价报告</w:t>
      </w:r>
      <w:bookmarkEnd w:id="675"/>
      <w:bookmarkEnd w:id="676"/>
      <w:bookmarkEnd w:id="678"/>
    </w:p>
    <w:p>
      <w:pPr>
        <w:pStyle w:val="Style37"/>
        <w:keepNext/>
        <w:keepLines/>
        <w:widowControl w:val="0"/>
        <w:shd w:val="clear" w:color="auto" w:fill="auto"/>
        <w:bidi w:val="0"/>
        <w:spacing w:before="0" w:line="240" w:lineRule="auto"/>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、报告期内发现的内部控制重大缺陷的具体情况</w:t>
      </w:r>
      <w:bookmarkEnd w:id="679"/>
      <w:bookmarkEnd w:id="680"/>
      <w:bookmarkEnd w:id="682"/>
    </w:p>
    <w:p>
      <w:pPr>
        <w:pStyle w:val="Style3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7"/>
        <w:keepNext/>
        <w:keepLines/>
        <w:widowControl w:val="0"/>
        <w:shd w:val="clear" w:color="auto" w:fill="auto"/>
        <w:bidi w:val="0"/>
        <w:spacing w:before="0" w:after="34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、内控自我评价报告</w:t>
      </w:r>
      <w:bookmarkEnd w:id="683"/>
      <w:bookmarkEnd w:id="684"/>
      <w:bookmarkEnd w:id="686"/>
    </w:p>
    <w:tbl>
      <w:tblPr>
        <w:tblOverlap w:val="never"/>
        <w:jc w:val="center"/>
        <w:tblLayout w:type="fixed"/>
      </w:tblPr>
      <w:tblGrid>
        <w:gridCol w:w="3288"/>
        <w:gridCol w:w="3283"/>
        <w:gridCol w:w="329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988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）董事、监事和高级管理 人员舞弊，给公司造成重大损失；（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已披露的财务报告和会计信息严重不准 确、不公允；（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）企业审计委员会和内 部审计机构对内部控制的监督无效。</w:t>
            </w:r>
          </w:p>
          <w:p>
            <w:pPr>
              <w:pStyle w:val="Style27"/>
              <w:keepNext w:val="0"/>
              <w:keepLines w:val="0"/>
              <w:widowControl w:val="0"/>
              <w:shd w:val="clear" w:color="auto" w:fill="auto"/>
              <w:bidi w:val="0"/>
              <w:spacing w:before="0" w:after="40" w:line="313" w:lineRule="exact"/>
              <w:ind w:left="0" w:right="0" w:firstLine="0"/>
              <w:jc w:val="both"/>
            </w:pP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）已披露的财务报告和会 计信息存在较大不准确、不公允；（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企业监事会、审计委员会或内部审计部 门对内部控制监督不到位；（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）未建立 反舞弊程序和控制措施。</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一般缺陷：除以上缺陷外其他认定为一 般缺陷。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重大缺陷：严重违反法律、法规、规章、 政府政策、其他规范性文件等，导致中 央政府或监管机构的调查，并被限令行 业退出、吊销营业执照、强制关闭等； 战略与运营目标或关键业绩指标的执行 不合理，严重偏离且存在方向性错误， 对战略与运营目标的实现产生严重负面 作用。</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除上述定性指标外，另外明确了通常表 明非财务报告内部控制可能存在重大缺 陷的迹象：（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）企业缺乏民主决策程序， 如缺乏“三重一大”决策程序；（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 业决策程序不科学，如决策失误，导致 并购不成功；（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）违犯国家法律、法规， 如环境污染；（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）管理人员或技术人员 纷纷流失；（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）媒体负面新闻频现；（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内部控制评价的结果特别是重大或重要 缺陷未得到整改</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）重要业务缺乏制 度控制或制度系统性失效。</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重要缺陷：违反法律、法规、规章、政 府政策、其他规范性文件等，导致地方 政府或监管机构的调查，并责令停业整 顿等；战略与运营目标或关键业绩指标 执行不合理，严重偏离，对战略与运营 目标的实现产生明显的消极作用。</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一般缺陷：违反法律、法规、规章政府 政策、其他规范性文件等，导致地方政 府或监管机构的调查，并被处以罚款或 罚金；战略与运营目标或关键业绩的执 行存在较小范围的不合理，目标偏离， 对战略与运营目标的实现影响轻微。</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重大缺陷：利润总额潜在错报的金额</w:t>
            </w:r>
            <w:r>
              <w:rPr>
                <w:color w:val="000000"/>
                <w:spacing w:val="0"/>
                <w:w w:val="100"/>
                <w:position w:val="0"/>
                <w:sz w:val="17"/>
                <w:szCs w:val="17"/>
              </w:rPr>
              <w:t>N</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重大缺陷：利润总额潜在错报的金额</w:t>
            </w:r>
            <w:r>
              <w:rPr>
                <w:color w:val="000000"/>
                <w:spacing w:val="0"/>
                <w:w w:val="100"/>
                <w:position w:val="0"/>
                <w:sz w:val="17"/>
                <w:szCs w:val="17"/>
              </w:rPr>
              <w:t>N</w:t>
            </w:r>
          </w:p>
        </w:tc>
      </w:tr>
    </w:tbl>
    <w:p>
      <w:pPr>
        <w:spacing w:lineRule="exact" w:line="1"/>
        <w:rPr>
          <w:sz w:val="2"/>
          <w:szCs w:val="2"/>
        </w:rPr>
      </w:pPr>
      <w:r>
        <w:br w:type="page"/>
      </w:r>
    </w:p>
    <w:tbl>
      <w:tblPr>
        <w:tblOverlap w:val="never"/>
        <w:jc w:val="center"/>
        <w:tblLayout w:type="fixed"/>
      </w:tblPr>
      <w:tblGrid>
        <w:gridCol w:w="3288"/>
        <w:gridCol w:w="3283"/>
        <w:gridCol w:w="3298"/>
      </w:tblGrid>
      <w:tr>
        <w:trPr>
          <w:trHeight w:val="6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合并会计报表利润总额的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 额潜在错报的金额</w:t>
            </w:r>
            <w:r>
              <w:rPr>
                <w:color w:val="000000"/>
                <w:spacing w:val="0"/>
                <w:w w:val="100"/>
                <w:position w:val="0"/>
                <w:sz w:val="17"/>
                <w:szCs w:val="17"/>
              </w:rPr>
              <w:t>N</w:t>
            </w:r>
            <w:r>
              <w:rPr>
                <w:color w:val="000000"/>
                <w:spacing w:val="0"/>
                <w:w w:val="100"/>
                <w:position w:val="0"/>
              </w:rPr>
              <w:t>合并会计报表资产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；经营收入潜在错报的金额 </w:t>
            </w:r>
            <w:r>
              <w:rPr>
                <w:color w:val="000000"/>
                <w:spacing w:val="0"/>
                <w:w w:val="100"/>
                <w:position w:val="0"/>
                <w:sz w:val="17"/>
                <w:szCs w:val="17"/>
              </w:rPr>
              <w:t>N</w:t>
            </w:r>
            <w:r>
              <w:rPr>
                <w:color w:val="000000"/>
                <w:spacing w:val="0"/>
                <w:w w:val="100"/>
                <w:position w:val="0"/>
              </w:rPr>
              <w:t>合并会计报表主营业务收入或营业收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重要缺陷:合并会计报表利润总额的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w:t>
            </w:r>
            <w:r>
              <w:rPr>
                <w:color w:val="000000"/>
                <w:spacing w:val="0"/>
                <w:w w:val="100"/>
                <w:position w:val="0"/>
              </w:rPr>
              <w:t xml:space="preserve">利润总额潜在错报的金额〈合并会计 报表利润总额的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；合并会计报表资 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＜资产总额潜在错报的 金额〈合并会计报表资产总额的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合并会计报表主营业务收入或营业收入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w:t>
            </w:r>
            <w:r>
              <w:rPr>
                <w:color w:val="000000"/>
                <w:spacing w:val="0"/>
                <w:w w:val="100"/>
                <w:position w:val="0"/>
              </w:rPr>
              <w:t xml:space="preserve">经营收入潜在错报的金额〈合 并会计报表主营业务收入或营业收入的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一般缺陷：利润总额潜在错报的金额＜ 合并会计报表利润总额的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；资产总 额潜在错报的金额〈合并会计报表资产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；经营收入潜在错报的金额 〈合并会计报表主营业务收入或营业收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合并会计报表利润总额的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；资产总 额潜在错报的金额</w:t>
            </w:r>
            <w:r>
              <w:rPr>
                <w:color w:val="000000"/>
                <w:spacing w:val="0"/>
                <w:w w:val="100"/>
                <w:position w:val="0"/>
                <w:sz w:val="17"/>
                <w:szCs w:val="17"/>
              </w:rPr>
              <w:t>N</w:t>
            </w:r>
            <w:r>
              <w:rPr>
                <w:color w:val="000000"/>
                <w:spacing w:val="0"/>
                <w:w w:val="100"/>
                <w:position w:val="0"/>
              </w:rPr>
              <w:t>合并会计报表资产 总额的</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；经营收入潜在错报的金额 </w:t>
            </w:r>
            <w:r>
              <w:rPr>
                <w:color w:val="000000"/>
                <w:spacing w:val="0"/>
                <w:w w:val="100"/>
                <w:position w:val="0"/>
                <w:sz w:val="17"/>
                <w:szCs w:val="17"/>
              </w:rPr>
              <w:t>N</w:t>
            </w:r>
            <w:r>
              <w:rPr>
                <w:color w:val="000000"/>
                <w:spacing w:val="0"/>
                <w:w w:val="100"/>
                <w:position w:val="0"/>
              </w:rPr>
              <w:t>合并会计报表主营业务收入或营业收 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重要缺陷:合并会计报表利润总额的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W</w:t>
            </w:r>
            <w:r>
              <w:rPr>
                <w:color w:val="000000"/>
                <w:spacing w:val="0"/>
                <w:w w:val="100"/>
                <w:position w:val="0"/>
              </w:rPr>
              <w:t>利润总额潜在错报的金额〈合并会计 报表利润总额的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；合并会计报表资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w:t>
            </w:r>
            <w:r>
              <w:rPr>
                <w:color w:val="000000"/>
                <w:spacing w:val="0"/>
                <w:w w:val="100"/>
                <w:position w:val="0"/>
              </w:rPr>
              <w:t>资产总额潜在错报的金 额〈合并会计报表资产总额的</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；合 并会计报表主营业务收入或营业收入的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w:t>
            </w:r>
            <w:r>
              <w:rPr>
                <w:color w:val="000000"/>
                <w:spacing w:val="0"/>
                <w:w w:val="100"/>
                <w:position w:val="0"/>
              </w:rPr>
              <w:t xml:space="preserve">经营收入潜在错报的金额〈合并 会计报表主营业务收入或营业收入的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一般缺陷：利润总额潜在错报的金额＜ 合并会计报表利润总额的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 额潜在错报的金额〈合并会计报表资产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；经营收入潜在错报的金额 〈合并会计报表主营业务收入或营业收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687" w:name="bookmark687"/>
      <w:bookmarkStart w:id="688" w:name="bookmark688"/>
      <w:bookmarkStart w:id="689" w:name="bookmark689"/>
      <w:r>
        <w:rPr>
          <w:color w:val="000000"/>
          <w:spacing w:val="0"/>
          <w:w w:val="100"/>
          <w:position w:val="0"/>
          <w:sz w:val="24"/>
          <w:szCs w:val="24"/>
        </w:rPr>
        <w:t>十、内部控制审计报告或鉴证报告</w:t>
      </w:r>
      <w:bookmarkEnd w:id="687"/>
      <w:bookmarkEnd w:id="688"/>
      <w:bookmarkEnd w:id="689"/>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我们认为，金溢科技公司按照《深圳证券交易所上市公司规范运作指引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 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会计师事务所是否出具非标准意见的内部控制鉴证报告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keepLines/>
        <w:widowControl w:val="0"/>
        <w:shd w:val="clear" w:color="auto" w:fill="auto"/>
        <w:bidi w:val="0"/>
        <w:spacing w:before="0" w:after="600" w:line="240" w:lineRule="auto"/>
        <w:ind w:left="0" w:right="0" w:firstLine="0"/>
        <w:jc w:val="center"/>
      </w:pPr>
      <w:bookmarkStart w:id="690" w:name="bookmark690"/>
      <w:bookmarkStart w:id="691" w:name="bookmark691"/>
      <w:bookmarkStart w:id="692" w:name="bookmark692"/>
      <w:r>
        <w:rPr>
          <w:color w:val="000000"/>
          <w:spacing w:val="0"/>
          <w:w w:val="100"/>
          <w:position w:val="0"/>
        </w:rPr>
        <w:t>第十一节公司债券相关情况</w:t>
      </w:r>
      <w:bookmarkEnd w:id="690"/>
      <w:bookmarkEnd w:id="691"/>
      <w:bookmarkEnd w:id="692"/>
    </w:p>
    <w:p>
      <w:pPr>
        <w:pStyle w:val="Style34"/>
        <w:keepNext w:val="0"/>
        <w:keepLines w:val="0"/>
        <w:widowControl w:val="0"/>
        <w:shd w:val="clear" w:color="auto" w:fill="auto"/>
        <w:bidi w:val="0"/>
        <w:spacing w:before="0" w:after="140" w:line="240" w:lineRule="auto"/>
        <w:ind w:left="0" w:right="0" w:firstLine="0"/>
        <w:jc w:val="left"/>
      </w:pPr>
      <w:bookmarkStart w:id="693" w:name="bookmark693"/>
      <w:r>
        <w:rPr>
          <w:color w:val="000000"/>
          <w:spacing w:val="0"/>
          <w:w w:val="100"/>
          <w:position w:val="0"/>
        </w:rPr>
        <w:t>公司是否存在公开发行并在证券交易所上市，且在年度报告批准报出日未到期或到期未能全额兑付的公司债券</w:t>
      </w:r>
      <w:bookmarkEnd w:id="693"/>
    </w:p>
    <w:p>
      <w:pPr>
        <w:pStyle w:val="Style3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01" w:bottom="1450" w:left="1030"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520" w:after="560" w:line="240" w:lineRule="auto"/>
        <w:ind w:left="0" w:right="0" w:firstLine="0"/>
        <w:jc w:val="center"/>
      </w:pPr>
      <w:bookmarkStart w:id="694" w:name="bookmark694"/>
      <w:bookmarkStart w:id="695" w:name="bookmark695"/>
      <w:bookmarkStart w:id="696" w:name="bookmark696"/>
      <w:r>
        <w:rPr>
          <w:color w:val="000000"/>
          <w:spacing w:val="0"/>
          <w:w w:val="100"/>
          <w:position w:val="0"/>
        </w:rPr>
        <w:t>第十二节财务报告</w:t>
      </w:r>
      <w:bookmarkEnd w:id="694"/>
      <w:bookmarkEnd w:id="695"/>
      <w:bookmarkEnd w:id="696"/>
    </w:p>
    <w:p>
      <w:pPr>
        <w:pStyle w:val="Style30"/>
        <w:keepNext/>
        <w:keepLines/>
        <w:widowControl w:val="0"/>
        <w:shd w:val="clear" w:color="auto" w:fill="auto"/>
        <w:bidi w:val="0"/>
        <w:spacing w:before="0" w:after="320" w:line="240" w:lineRule="auto"/>
        <w:ind w:left="0" w:right="0" w:firstLine="0"/>
        <w:jc w:val="both"/>
      </w:pPr>
      <w:bookmarkStart w:id="697" w:name="bookmark697"/>
      <w:bookmarkStart w:id="698" w:name="bookmark698"/>
      <w:bookmarkStart w:id="699" w:name="bookmark699"/>
      <w:bookmarkStart w:id="700" w:name="bookmark700"/>
      <w:bookmarkStart w:id="701" w:name="bookmark701"/>
      <w:r>
        <w:rPr>
          <w:color w:val="000000"/>
          <w:spacing w:val="0"/>
          <w:w w:val="100"/>
          <w:position w:val="0"/>
          <w:sz w:val="24"/>
          <w:szCs w:val="24"/>
        </w:rPr>
        <w:t>一</w:t>
      </w:r>
      <w:bookmarkEnd w:id="700"/>
      <w:r>
        <w:rPr>
          <w:color w:val="000000"/>
          <w:spacing w:val="0"/>
          <w:w w:val="100"/>
          <w:position w:val="0"/>
          <w:sz w:val="24"/>
          <w:szCs w:val="24"/>
        </w:rPr>
        <w:t>、审计报告</w:t>
      </w:r>
      <w:bookmarkEnd w:id="698"/>
      <w:bookmarkEnd w:id="699"/>
      <w:bookmarkEnd w:id="701"/>
      <w:bookmarkEnd w:id="69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1258" w:val="left"/>
              </w:tabs>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3-325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朱中伟、龙海燕</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19" w:line="1" w:lineRule="exact"/>
      </w:pPr>
    </w:p>
    <w:p>
      <w:pPr>
        <w:pStyle w:val="Style34"/>
        <w:keepNext w:val="0"/>
        <w:keepLines w:val="0"/>
        <w:widowControl w:val="0"/>
        <w:shd w:val="clear" w:color="auto" w:fill="auto"/>
        <w:bidi w:val="0"/>
        <w:spacing w:before="0" w:after="320" w:line="313" w:lineRule="exact"/>
        <w:ind w:left="0" w:right="0" w:firstLine="0"/>
        <w:jc w:val="both"/>
      </w:pPr>
      <w:r>
        <w:rPr>
          <w:color w:val="000000"/>
          <w:spacing w:val="0"/>
          <w:w w:val="100"/>
          <w:position w:val="0"/>
        </w:rPr>
        <w:t>深圳市金溢科技股份有限公司全体股东：</w:t>
      </w:r>
    </w:p>
    <w:p>
      <w:pPr>
        <w:pStyle w:val="Style34"/>
        <w:keepNext w:val="0"/>
        <w:keepLines w:val="0"/>
        <w:widowControl w:val="0"/>
        <w:shd w:val="clear" w:color="auto" w:fill="auto"/>
        <w:tabs>
          <w:tab w:pos="819" w:val="left"/>
        </w:tabs>
        <w:bidi w:val="0"/>
        <w:spacing w:before="0" w:after="0" w:line="314" w:lineRule="exact"/>
        <w:ind w:left="0" w:right="0"/>
        <w:jc w:val="left"/>
      </w:pPr>
      <w:bookmarkStart w:id="702" w:name="bookmark702"/>
      <w:r>
        <w:rPr>
          <w:b/>
          <w:bCs/>
          <w:color w:val="000000"/>
          <w:spacing w:val="0"/>
          <w:w w:val="100"/>
          <w:position w:val="0"/>
        </w:rPr>
        <w:t>一</w:t>
      </w:r>
      <w:bookmarkEnd w:id="702"/>
      <w:r>
        <w:rPr>
          <w:b/>
          <w:bCs/>
          <w:color w:val="000000"/>
          <w:spacing w:val="0"/>
          <w:w w:val="100"/>
          <w:position w:val="0"/>
        </w:rPr>
        <w:t>、</w:t>
        <w:tab/>
        <w:t>审计意见</w:t>
      </w:r>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我们审计了深圳市金溢科技股份有限公司（以下简称金溢科技公司）财务报表，包括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 表附注。</w:t>
      </w:r>
    </w:p>
    <w:p>
      <w:pPr>
        <w:pStyle w:val="Style34"/>
        <w:keepNext w:val="0"/>
        <w:keepLines w:val="0"/>
        <w:widowControl w:val="0"/>
        <w:shd w:val="clear" w:color="auto" w:fill="auto"/>
        <w:bidi w:val="0"/>
        <w:spacing w:before="0" w:after="320" w:line="314" w:lineRule="exact"/>
        <w:ind w:left="0" w:right="0"/>
        <w:jc w:val="left"/>
      </w:pPr>
      <w:r>
        <w:rPr>
          <w:color w:val="000000"/>
          <w:spacing w:val="0"/>
          <w:w w:val="100"/>
          <w:position w:val="0"/>
        </w:rPr>
        <w:t>我们认为，后附的财务报表在所有重大方面按照企业会计准则的规定编制，公允反映了金溢科技公司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4"/>
        <w:keepNext w:val="0"/>
        <w:keepLines w:val="0"/>
        <w:widowControl w:val="0"/>
        <w:shd w:val="clear" w:color="auto" w:fill="auto"/>
        <w:tabs>
          <w:tab w:pos="819" w:val="left"/>
        </w:tabs>
        <w:bidi w:val="0"/>
        <w:spacing w:before="0" w:after="0" w:line="312" w:lineRule="exact"/>
        <w:ind w:left="0" w:right="0"/>
        <w:jc w:val="left"/>
      </w:pPr>
      <w:bookmarkStart w:id="703" w:name="bookmark703"/>
      <w:r>
        <w:rPr>
          <w:b/>
          <w:bCs/>
          <w:color w:val="000000"/>
          <w:spacing w:val="0"/>
          <w:w w:val="100"/>
          <w:position w:val="0"/>
        </w:rPr>
        <w:t>二</w:t>
      </w:r>
      <w:bookmarkEnd w:id="703"/>
      <w:r>
        <w:rPr>
          <w:b/>
          <w:bCs/>
          <w:color w:val="000000"/>
          <w:spacing w:val="0"/>
          <w:w w:val="100"/>
          <w:position w:val="0"/>
        </w:rPr>
        <w:t>、</w:t>
        <w:tab/>
        <w:t>形成审计意见的基础</w:t>
      </w:r>
    </w:p>
    <w:p>
      <w:pPr>
        <w:pStyle w:val="Style34"/>
        <w:keepNext w:val="0"/>
        <w:keepLines w:val="0"/>
        <w:widowControl w:val="0"/>
        <w:shd w:val="clear" w:color="auto" w:fill="auto"/>
        <w:bidi w:val="0"/>
        <w:spacing w:before="0" w:after="320" w:line="312" w:lineRule="exact"/>
        <w:ind w:left="0" w:right="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阐述了我们在这些准则下的责任。按照中国注册会计师职业道德守则，我们独立于金溢科技公司，并履行了职业道德方面的 其他责任。我们相信，我们获取的审计证据是充分、适当的，为发表审计意见提供了基础。</w:t>
      </w:r>
    </w:p>
    <w:p>
      <w:pPr>
        <w:pStyle w:val="Style34"/>
        <w:keepNext w:val="0"/>
        <w:keepLines w:val="0"/>
        <w:widowControl w:val="0"/>
        <w:shd w:val="clear" w:color="auto" w:fill="auto"/>
        <w:tabs>
          <w:tab w:pos="824" w:val="left"/>
        </w:tabs>
        <w:bidi w:val="0"/>
        <w:spacing w:before="0" w:after="0" w:line="313" w:lineRule="exact"/>
        <w:ind w:left="0" w:right="0"/>
        <w:jc w:val="left"/>
      </w:pPr>
      <w:bookmarkStart w:id="704" w:name="bookmark704"/>
      <w:r>
        <w:rPr>
          <w:b/>
          <w:bCs/>
          <w:color w:val="000000"/>
          <w:spacing w:val="0"/>
          <w:w w:val="100"/>
          <w:position w:val="0"/>
        </w:rPr>
        <w:t>三</w:t>
      </w:r>
      <w:bookmarkEnd w:id="704"/>
      <w:r>
        <w:rPr>
          <w:b/>
          <w:bCs/>
          <w:color w:val="000000"/>
          <w:spacing w:val="0"/>
          <w:w w:val="100"/>
          <w:position w:val="0"/>
        </w:rPr>
        <w:t>、</w:t>
        <w:tab/>
        <w:t>关键审计事项</w:t>
      </w:r>
    </w:p>
    <w:p>
      <w:pPr>
        <w:pStyle w:val="Style34"/>
        <w:keepNext w:val="0"/>
        <w:keepLines w:val="0"/>
        <w:widowControl w:val="0"/>
        <w:shd w:val="clear" w:color="auto" w:fill="auto"/>
        <w:bidi w:val="0"/>
        <w:spacing w:before="0" w:after="120" w:line="313" w:lineRule="exact"/>
        <w:ind w:left="0" w:right="0"/>
        <w:jc w:val="left"/>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4"/>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收入确认</w:t>
      </w:r>
    </w:p>
    <w:p>
      <w:pPr>
        <w:pStyle w:val="Style34"/>
        <w:keepNext w:val="0"/>
        <w:keepLines w:val="0"/>
        <w:widowControl w:val="0"/>
        <w:numPr>
          <w:ilvl w:val="0"/>
          <w:numId w:val="27"/>
        </w:numPr>
        <w:shd w:val="clear" w:color="auto" w:fill="auto"/>
        <w:bidi w:val="0"/>
        <w:spacing w:before="0" w:after="0" w:line="360" w:lineRule="auto"/>
        <w:ind w:left="0" w:right="0"/>
        <w:jc w:val="left"/>
      </w:pPr>
      <w:bookmarkStart w:id="705" w:name="bookmark705"/>
      <w:bookmarkEnd w:id="705"/>
      <w:r>
        <w:rPr>
          <w:color w:val="000000"/>
          <w:spacing w:val="0"/>
          <w:w w:val="100"/>
          <w:position w:val="0"/>
        </w:rPr>
        <w:t>事项描述</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sz w:val="18"/>
          <w:szCs w:val="18"/>
        </w:rPr>
        <w:t>（39 ）</w:t>
      </w:r>
      <w:r>
        <w:rPr>
          <w:color w:val="000000"/>
          <w:spacing w:val="0"/>
          <w:w w:val="100"/>
          <w:position w:val="0"/>
        </w:rPr>
        <w:t>收入及财务报表附注七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营业收入。</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金溢科技公司的营业收入主要来自于</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及相关业务产品的销售及服务。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年度，金溢科技公司营业收入金额为人民 币 </w:t>
      </w:r>
      <w:r>
        <w:rPr>
          <w:rFonts w:ascii="Times New Roman" w:eastAsia="Times New Roman" w:hAnsi="Times New Roman" w:cs="Times New Roman"/>
          <w:color w:val="000000"/>
          <w:spacing w:val="0"/>
          <w:w w:val="100"/>
          <w:position w:val="0"/>
          <w:sz w:val="18"/>
          <w:szCs w:val="18"/>
        </w:rPr>
        <w:t>1,563,646,033.4</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w:t>
      </w:r>
    </w:p>
    <w:p>
      <w:pPr>
        <w:pStyle w:val="Style34"/>
        <w:keepNext w:val="0"/>
        <w:keepLines w:val="0"/>
        <w:widowControl w:val="0"/>
        <w:shd w:val="clear" w:color="auto" w:fill="auto"/>
        <w:bidi w:val="0"/>
        <w:spacing w:before="0" w:after="0" w:line="313" w:lineRule="exact"/>
        <w:ind w:left="0" w:right="0"/>
        <w:jc w:val="left"/>
      </w:pPr>
      <w:r>
        <w:rPr>
          <w:color w:val="000000"/>
          <w:spacing w:val="0"/>
          <w:w w:val="100"/>
          <w:position w:val="0"/>
        </w:rPr>
        <w:t>公司主要销售与不停车收费系统相关的</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停车场收费系统产品等，属于在某一时点履行的履约义务。 内销产品收入确认需满足以下条件：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公司已根据合同约定将产品交付给购货方，取得客户签收或验收的相关凭证；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未取 得客户签收或验收的相关凭证的，满足合同约定视同接受产品条件或客户实际接受产品；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客户实际接受产品、产品销售 收入金额已确定、已收取价款或取得收款权利且相关的经济利益很可能流入时确认。外销产品收入在公司已根据合同约定将 产品交付给承运人并报关，取得报关单和提单，且产品销售收入金额已确定，已收取货款或取得了收款权力且相关的经济利 益很可能流入时确认。</w:t>
      </w:r>
    </w:p>
    <w:p>
      <w:pPr>
        <w:pStyle w:val="Style34"/>
        <w:keepNext w:val="0"/>
        <w:keepLines w:val="0"/>
        <w:widowControl w:val="0"/>
        <w:shd w:val="clear" w:color="auto" w:fill="auto"/>
        <w:bidi w:val="0"/>
        <w:spacing w:before="0" w:after="100" w:line="313" w:lineRule="exact"/>
        <w:ind w:left="0" w:right="0"/>
        <w:jc w:val="left"/>
      </w:pPr>
      <w:r>
        <w:rPr>
          <w:color w:val="000000"/>
          <w:spacing w:val="0"/>
          <w:w w:val="100"/>
          <w:position w:val="0"/>
        </w:rPr>
        <w:t xml:space="preserve">由于营业收入是金溢科技公司关键业绩指标之一，可能存在金溢科技公司管理层（以下简称管理层）通过不恰当的收入 </w:t>
      </w:r>
      <w:r>
        <w:rPr>
          <w:color w:val="000000"/>
          <w:spacing w:val="0"/>
          <w:w w:val="100"/>
          <w:position w:val="0"/>
        </w:rPr>
        <w:t>确认以达到特定目标或预期的固有风险。因此，我们将收入确认确定为关键审计事项。</w:t>
      </w:r>
    </w:p>
    <w:p>
      <w:pPr>
        <w:pStyle w:val="Style34"/>
        <w:keepNext w:val="0"/>
        <w:keepLines w:val="0"/>
        <w:widowControl w:val="0"/>
        <w:numPr>
          <w:ilvl w:val="0"/>
          <w:numId w:val="27"/>
        </w:numPr>
        <w:shd w:val="clear" w:color="auto" w:fill="auto"/>
        <w:bidi w:val="0"/>
        <w:spacing w:before="0" w:after="0" w:line="360" w:lineRule="auto"/>
        <w:ind w:left="0" w:right="0"/>
        <w:jc w:val="both"/>
      </w:pPr>
      <w:bookmarkStart w:id="706" w:name="bookmark706"/>
      <w:bookmarkEnd w:id="706"/>
      <w:r>
        <w:rPr>
          <w:color w:val="000000"/>
          <w:spacing w:val="0"/>
          <w:w w:val="100"/>
          <w:position w:val="0"/>
        </w:rPr>
        <w:t>审计应对</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针对收入确认，我们实施的审计程序主要包括：</w:t>
      </w:r>
    </w:p>
    <w:p>
      <w:pPr>
        <w:pStyle w:val="Style34"/>
        <w:keepNext w:val="0"/>
        <w:keepLines w:val="0"/>
        <w:widowControl w:val="0"/>
        <w:numPr>
          <w:ilvl w:val="0"/>
          <w:numId w:val="29"/>
        </w:numPr>
        <w:shd w:val="clear" w:color="auto" w:fill="auto"/>
        <w:tabs>
          <w:tab w:pos="762" w:val="left"/>
        </w:tabs>
        <w:bidi w:val="0"/>
        <w:spacing w:before="0" w:after="100" w:line="314" w:lineRule="exact"/>
        <w:ind w:left="0" w:right="0"/>
        <w:jc w:val="both"/>
      </w:pPr>
      <w:bookmarkStart w:id="707" w:name="bookmark707"/>
      <w:bookmarkEnd w:id="707"/>
      <w:r>
        <w:rPr>
          <w:color w:val="000000"/>
          <w:spacing w:val="0"/>
          <w:w w:val="100"/>
          <w:position w:val="0"/>
        </w:rPr>
        <w:t>了解与收入确认相关的关键内部控制，评价这些控制的设计，确定其是否得到执行，并测试相关内部控制的运行有 效性；</w:t>
      </w:r>
    </w:p>
    <w:p>
      <w:pPr>
        <w:pStyle w:val="Style34"/>
        <w:keepNext w:val="0"/>
        <w:keepLines w:val="0"/>
        <w:widowControl w:val="0"/>
        <w:numPr>
          <w:ilvl w:val="0"/>
          <w:numId w:val="29"/>
        </w:numPr>
        <w:shd w:val="clear" w:color="auto" w:fill="auto"/>
        <w:tabs>
          <w:tab w:pos="786" w:val="left"/>
        </w:tabs>
        <w:bidi w:val="0"/>
        <w:spacing w:before="0" w:after="0" w:line="360" w:lineRule="auto"/>
        <w:ind w:left="0" w:right="0"/>
        <w:jc w:val="both"/>
      </w:pPr>
      <w:bookmarkStart w:id="708" w:name="bookmark708"/>
      <w:bookmarkEnd w:id="708"/>
      <w:r>
        <w:rPr>
          <w:color w:val="000000"/>
          <w:spacing w:val="0"/>
          <w:w w:val="100"/>
          <w:position w:val="0"/>
        </w:rPr>
        <w:t>检查销售合同，了解主要合同条款或条件，评价收入确认方法是否适当；</w:t>
      </w:r>
    </w:p>
    <w:p>
      <w:pPr>
        <w:pStyle w:val="Style34"/>
        <w:keepNext w:val="0"/>
        <w:keepLines w:val="0"/>
        <w:widowControl w:val="0"/>
        <w:numPr>
          <w:ilvl w:val="0"/>
          <w:numId w:val="29"/>
        </w:numPr>
        <w:shd w:val="clear" w:color="auto" w:fill="auto"/>
        <w:tabs>
          <w:tab w:pos="786" w:val="left"/>
        </w:tabs>
        <w:bidi w:val="0"/>
        <w:spacing w:before="0" w:after="0" w:line="314" w:lineRule="exact"/>
        <w:ind w:left="0" w:right="0"/>
        <w:jc w:val="both"/>
      </w:pPr>
      <w:bookmarkStart w:id="709" w:name="bookmark709"/>
      <w:bookmarkEnd w:id="709"/>
      <w:r>
        <w:rPr>
          <w:color w:val="000000"/>
          <w:spacing w:val="0"/>
          <w:w w:val="100"/>
          <w:position w:val="0"/>
        </w:rPr>
        <w:t>对营业收入及毛利率按月度、产品、客户等实施实质性分析程序，识别是否存在重大或异常波动，并查明波动原因；</w:t>
      </w:r>
    </w:p>
    <w:p>
      <w:pPr>
        <w:pStyle w:val="Style34"/>
        <w:keepNext w:val="0"/>
        <w:keepLines w:val="0"/>
        <w:widowControl w:val="0"/>
        <w:numPr>
          <w:ilvl w:val="0"/>
          <w:numId w:val="29"/>
        </w:numPr>
        <w:shd w:val="clear" w:color="auto" w:fill="auto"/>
        <w:tabs>
          <w:tab w:pos="762" w:val="left"/>
        </w:tabs>
        <w:bidi w:val="0"/>
        <w:spacing w:before="0" w:after="100" w:line="314" w:lineRule="exact"/>
        <w:ind w:left="0" w:right="0"/>
        <w:jc w:val="both"/>
      </w:pPr>
      <w:bookmarkStart w:id="710" w:name="bookmark710"/>
      <w:bookmarkEnd w:id="710"/>
      <w:r>
        <w:rPr>
          <w:color w:val="000000"/>
          <w:spacing w:val="0"/>
          <w:w w:val="100"/>
          <w:position w:val="0"/>
        </w:rPr>
        <w:t>对于内销收入，以抽样方式检查与收入确认相关的支持性文件，包括销售合同、销售发票、出库单、物流单及客户 签收单等支持性文件；对于出口收入，以抽样方式检查销售合同、出口报关单、货运提单、销售发票等支持性文件；</w:t>
      </w:r>
    </w:p>
    <w:p>
      <w:pPr>
        <w:pStyle w:val="Style34"/>
        <w:keepNext w:val="0"/>
        <w:keepLines w:val="0"/>
        <w:widowControl w:val="0"/>
        <w:numPr>
          <w:ilvl w:val="0"/>
          <w:numId w:val="29"/>
        </w:numPr>
        <w:shd w:val="clear" w:color="auto" w:fill="auto"/>
        <w:tabs>
          <w:tab w:pos="786" w:val="left"/>
        </w:tabs>
        <w:bidi w:val="0"/>
        <w:spacing w:before="0" w:after="0" w:line="360" w:lineRule="auto"/>
        <w:ind w:left="0" w:right="0"/>
        <w:jc w:val="both"/>
      </w:pPr>
      <w:bookmarkStart w:id="711" w:name="bookmark711"/>
      <w:bookmarkEnd w:id="711"/>
      <w:r>
        <w:rPr>
          <w:color w:val="000000"/>
          <w:spacing w:val="0"/>
          <w:w w:val="100"/>
          <w:position w:val="0"/>
        </w:rPr>
        <w:t>结合应收账款函证，以抽样方式向主要客户函证本期销售额；</w:t>
      </w:r>
    </w:p>
    <w:p>
      <w:pPr>
        <w:pStyle w:val="Style34"/>
        <w:keepNext w:val="0"/>
        <w:keepLines w:val="0"/>
        <w:widowControl w:val="0"/>
        <w:numPr>
          <w:ilvl w:val="0"/>
          <w:numId w:val="29"/>
        </w:numPr>
        <w:shd w:val="clear" w:color="auto" w:fill="auto"/>
        <w:tabs>
          <w:tab w:pos="786" w:val="left"/>
        </w:tabs>
        <w:bidi w:val="0"/>
        <w:spacing w:before="0" w:after="100" w:line="314" w:lineRule="exact"/>
        <w:ind w:left="0" w:right="0"/>
        <w:jc w:val="both"/>
      </w:pPr>
      <w:bookmarkStart w:id="712" w:name="bookmark712"/>
      <w:bookmarkEnd w:id="712"/>
      <w:r>
        <w:rPr>
          <w:color w:val="000000"/>
          <w:spacing w:val="0"/>
          <w:w w:val="100"/>
          <w:position w:val="0"/>
        </w:rPr>
        <w:t>对资产负债表日前后确认的营业收入实施截止测试，评价营业收入是否在恰当期间确认；</w:t>
      </w:r>
    </w:p>
    <w:p>
      <w:pPr>
        <w:pStyle w:val="Style34"/>
        <w:keepNext w:val="0"/>
        <w:keepLines w:val="0"/>
        <w:widowControl w:val="0"/>
        <w:numPr>
          <w:ilvl w:val="0"/>
          <w:numId w:val="29"/>
        </w:numPr>
        <w:shd w:val="clear" w:color="auto" w:fill="auto"/>
        <w:tabs>
          <w:tab w:pos="786" w:val="left"/>
        </w:tabs>
        <w:bidi w:val="0"/>
        <w:spacing w:before="0" w:after="0" w:line="360" w:lineRule="auto"/>
        <w:ind w:left="0" w:right="0"/>
        <w:jc w:val="both"/>
      </w:pPr>
      <w:bookmarkStart w:id="713" w:name="bookmark713"/>
      <w:bookmarkEnd w:id="713"/>
      <w:r>
        <w:rPr>
          <w:color w:val="000000"/>
          <w:spacing w:val="0"/>
          <w:w w:val="100"/>
          <w:position w:val="0"/>
        </w:rPr>
        <w:t>检查与营业收入相关的信息是否已在财务报表中作出恰当列报。</w:t>
      </w:r>
    </w:p>
    <w:p>
      <w:pPr>
        <w:pStyle w:val="Style34"/>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应收账款减值</w:t>
      </w:r>
    </w:p>
    <w:p>
      <w:pPr>
        <w:pStyle w:val="Style34"/>
        <w:keepNext w:val="0"/>
        <w:keepLines w:val="0"/>
        <w:widowControl w:val="0"/>
        <w:numPr>
          <w:ilvl w:val="0"/>
          <w:numId w:val="31"/>
        </w:numPr>
        <w:shd w:val="clear" w:color="auto" w:fill="auto"/>
        <w:tabs>
          <w:tab w:pos="681" w:val="left"/>
        </w:tabs>
        <w:bidi w:val="0"/>
        <w:spacing w:before="0" w:after="0" w:line="360" w:lineRule="auto"/>
        <w:ind w:left="0" w:right="0"/>
        <w:jc w:val="both"/>
      </w:pPr>
      <w:bookmarkStart w:id="714" w:name="bookmark714"/>
      <w:bookmarkEnd w:id="714"/>
      <w:r>
        <w:rPr>
          <w:color w:val="000000"/>
          <w:spacing w:val="0"/>
          <w:w w:val="100"/>
          <w:position w:val="0"/>
        </w:rPr>
        <w:t>事项描述</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及附注七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日，金溢科技公司应收账款账面余额为人民币</w:t>
      </w:r>
      <w:r>
        <w:rPr>
          <w:rFonts w:ascii="Times New Roman" w:eastAsia="Times New Roman" w:hAnsi="Times New Roman" w:cs="Times New Roman"/>
          <w:color w:val="000000"/>
          <w:spacing w:val="0"/>
          <w:w w:val="100"/>
          <w:position w:val="0"/>
          <w:sz w:val="18"/>
          <w:szCs w:val="18"/>
        </w:rPr>
        <w:t>521,519,591.68</w:t>
      </w:r>
      <w:r>
        <w:rPr>
          <w:color w:val="000000"/>
          <w:spacing w:val="0"/>
          <w:w w:val="100"/>
          <w:position w:val="0"/>
        </w:rPr>
        <w:t>元，坏账准备为人民币</w:t>
      </w:r>
      <w:r>
        <w:rPr>
          <w:rFonts w:ascii="Times New Roman" w:eastAsia="Times New Roman" w:hAnsi="Times New Roman" w:cs="Times New Roman"/>
          <w:color w:val="000000"/>
          <w:spacing w:val="0"/>
          <w:w w:val="100"/>
          <w:position w:val="0"/>
          <w:sz w:val="18"/>
          <w:szCs w:val="18"/>
        </w:rPr>
        <w:t>73,535,347.86</w:t>
      </w:r>
      <w:r>
        <w:rPr>
          <w:color w:val="000000"/>
          <w:spacing w:val="0"/>
          <w:w w:val="100"/>
          <w:position w:val="0"/>
        </w:rPr>
        <w:t>元， 账面价值为人民币</w:t>
      </w:r>
      <w:r>
        <w:rPr>
          <w:rFonts w:ascii="Times New Roman" w:eastAsia="Times New Roman" w:hAnsi="Times New Roman" w:cs="Times New Roman"/>
          <w:color w:val="000000"/>
          <w:spacing w:val="0"/>
          <w:w w:val="100"/>
          <w:position w:val="0"/>
          <w:sz w:val="18"/>
          <w:szCs w:val="18"/>
        </w:rPr>
        <w:t>447,984,243.8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管理层根据各项应收账款的信用风险特征，以单项应收账款或应收账款组合为基础，按照相当于整个存续期内的预期信 用损失金额计量其损失准备。对于以单项为基础计量预期信用损失的应收账款，管理层综合考虑有关过去事项、当前状况以 及未来经济状况预测的合理且有依据的信息，估计预期收取的现金流量，据此确定应计提的坏账准备；对于以组合为基础计 量预期信用损失的应收账款，管理层以货款账龄和质保金逾期天数为依据划分组合，参照历史信用损失经验，并根据前瞻性 估计予以调整，编制应收账款货款账龄和质保金逾期天数与预期信用损失率对照表，据此确定应计提的坏账准备。</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由于应收账款金额重大，且应收账款减值涉及重大管理层判断，我们将应收账款减值确定为关键审计事项。</w:t>
      </w:r>
    </w:p>
    <w:p>
      <w:pPr>
        <w:pStyle w:val="Style34"/>
        <w:keepNext w:val="0"/>
        <w:keepLines w:val="0"/>
        <w:widowControl w:val="0"/>
        <w:numPr>
          <w:ilvl w:val="0"/>
          <w:numId w:val="31"/>
        </w:numPr>
        <w:shd w:val="clear" w:color="auto" w:fill="auto"/>
        <w:tabs>
          <w:tab w:pos="700" w:val="left"/>
        </w:tabs>
        <w:bidi w:val="0"/>
        <w:spacing w:before="0" w:after="0" w:line="360" w:lineRule="auto"/>
        <w:ind w:left="0" w:right="0"/>
        <w:jc w:val="both"/>
      </w:pPr>
      <w:bookmarkStart w:id="715" w:name="bookmark715"/>
      <w:bookmarkEnd w:id="715"/>
      <w:r>
        <w:rPr>
          <w:color w:val="000000"/>
          <w:spacing w:val="0"/>
          <w:w w:val="100"/>
          <w:position w:val="0"/>
        </w:rPr>
        <w:t>审计应对</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针对应收账款减值，我们实施的审计程序主要包括：</w:t>
      </w:r>
    </w:p>
    <w:p>
      <w:pPr>
        <w:pStyle w:val="Style34"/>
        <w:keepNext w:val="0"/>
        <w:keepLines w:val="0"/>
        <w:widowControl w:val="0"/>
        <w:numPr>
          <w:ilvl w:val="0"/>
          <w:numId w:val="33"/>
        </w:numPr>
        <w:shd w:val="clear" w:color="auto" w:fill="auto"/>
        <w:tabs>
          <w:tab w:pos="757" w:val="left"/>
        </w:tabs>
        <w:bidi w:val="0"/>
        <w:spacing w:before="0" w:after="0" w:line="314" w:lineRule="exact"/>
        <w:ind w:left="0" w:right="0"/>
        <w:jc w:val="both"/>
      </w:pPr>
      <w:bookmarkStart w:id="716" w:name="bookmark716"/>
      <w:bookmarkEnd w:id="716"/>
      <w:r>
        <w:rPr>
          <w:color w:val="000000"/>
          <w:spacing w:val="0"/>
          <w:w w:val="100"/>
          <w:position w:val="0"/>
        </w:rPr>
        <w:t>了解与应收账款减值相关的关键内部控制，评价这些控制的设计，确定其是否得到执行，并测试相关内部控制的运 行有效性；</w:t>
      </w:r>
    </w:p>
    <w:p>
      <w:pPr>
        <w:pStyle w:val="Style34"/>
        <w:keepNext w:val="0"/>
        <w:keepLines w:val="0"/>
        <w:widowControl w:val="0"/>
        <w:numPr>
          <w:ilvl w:val="0"/>
          <w:numId w:val="33"/>
        </w:numPr>
        <w:shd w:val="clear" w:color="auto" w:fill="auto"/>
        <w:tabs>
          <w:tab w:pos="786" w:val="left"/>
        </w:tabs>
        <w:bidi w:val="0"/>
        <w:spacing w:before="0" w:after="0" w:line="314" w:lineRule="exact"/>
        <w:ind w:left="0" w:right="0"/>
        <w:jc w:val="both"/>
      </w:pPr>
      <w:bookmarkStart w:id="717" w:name="bookmark717"/>
      <w:bookmarkEnd w:id="717"/>
      <w:r>
        <w:rPr>
          <w:color w:val="000000"/>
          <w:spacing w:val="0"/>
          <w:w w:val="100"/>
          <w:position w:val="0"/>
        </w:rPr>
        <w:t>复核以前年度已计提坏账准备的应收账款的后续实际核销或转回情况，评价管理层过往预测的准确性；</w:t>
      </w:r>
    </w:p>
    <w:p>
      <w:pPr>
        <w:pStyle w:val="Style34"/>
        <w:keepNext w:val="0"/>
        <w:keepLines w:val="0"/>
        <w:widowControl w:val="0"/>
        <w:numPr>
          <w:ilvl w:val="0"/>
          <w:numId w:val="33"/>
        </w:numPr>
        <w:shd w:val="clear" w:color="auto" w:fill="auto"/>
        <w:tabs>
          <w:tab w:pos="752" w:val="left"/>
        </w:tabs>
        <w:bidi w:val="0"/>
        <w:spacing w:before="0" w:after="0" w:line="314" w:lineRule="exact"/>
        <w:ind w:left="0" w:right="0"/>
        <w:jc w:val="both"/>
      </w:pPr>
      <w:bookmarkStart w:id="718" w:name="bookmark718"/>
      <w:bookmarkEnd w:id="718"/>
      <w:r>
        <w:rPr>
          <w:color w:val="000000"/>
          <w:spacing w:val="0"/>
          <w:w w:val="100"/>
          <w:position w:val="0"/>
        </w:rPr>
        <w:t>复核管理层对应收账款进行信用风险评估的相关考虑和客观证据，评价管理层是否恰当识别各项应收账款的信用风 险特征；</w:t>
      </w:r>
    </w:p>
    <w:p>
      <w:pPr>
        <w:pStyle w:val="Style34"/>
        <w:keepNext w:val="0"/>
        <w:keepLines w:val="0"/>
        <w:widowControl w:val="0"/>
        <w:numPr>
          <w:ilvl w:val="0"/>
          <w:numId w:val="33"/>
        </w:numPr>
        <w:shd w:val="clear" w:color="auto" w:fill="auto"/>
        <w:tabs>
          <w:tab w:pos="762" w:val="left"/>
        </w:tabs>
        <w:bidi w:val="0"/>
        <w:spacing w:before="0" w:after="0" w:line="314" w:lineRule="exact"/>
        <w:ind w:left="0" w:right="0"/>
        <w:jc w:val="both"/>
      </w:pPr>
      <w:bookmarkStart w:id="719" w:name="bookmark719"/>
      <w:bookmarkEnd w:id="719"/>
      <w:r>
        <w:rPr>
          <w:color w:val="000000"/>
          <w:spacing w:val="0"/>
          <w:w w:val="100"/>
          <w:position w:val="0"/>
        </w:rPr>
        <w:t>对于以单项为基础计量预期信用损失的应收账款，获取并检查管理层对预期收取现金流量的预测，评价在预测中使 用的关键假设的合理性和数据的准确性，并与获取的外部证据进行核对；</w:t>
      </w:r>
    </w:p>
    <w:p>
      <w:pPr>
        <w:pStyle w:val="Style34"/>
        <w:keepNext w:val="0"/>
        <w:keepLines w:val="0"/>
        <w:widowControl w:val="0"/>
        <w:numPr>
          <w:ilvl w:val="0"/>
          <w:numId w:val="33"/>
        </w:numPr>
        <w:shd w:val="clear" w:color="auto" w:fill="auto"/>
        <w:tabs>
          <w:tab w:pos="762" w:val="left"/>
        </w:tabs>
        <w:bidi w:val="0"/>
        <w:spacing w:before="0" w:after="100" w:line="314" w:lineRule="exact"/>
        <w:ind w:left="0" w:right="0"/>
        <w:jc w:val="both"/>
      </w:pPr>
      <w:bookmarkStart w:id="720" w:name="bookmark720"/>
      <w:bookmarkEnd w:id="720"/>
      <w:r>
        <w:rPr>
          <w:color w:val="000000"/>
          <w:spacing w:val="0"/>
          <w:w w:val="100"/>
          <w:position w:val="0"/>
        </w:rPr>
        <w:t>对于以组合为基础计量预期信用损失的应收账款，评价管理层按信用风险特征划分组合的合理性；评价管理层根据 历史信用损失经验及前瞻性估计确定的应收账款货款账龄和质保金逾期天数与预期信用损失率对照表的合理性;测试管理层 使用数据(包括应收账款货款账龄、应收账款质保金逾期天数、历史损失率、迁徙率等)的准确性和完整性以及对坏账准备 的计算是否准确；</w:t>
      </w:r>
    </w:p>
    <w:p>
      <w:pPr>
        <w:pStyle w:val="Style34"/>
        <w:keepNext w:val="0"/>
        <w:keepLines w:val="0"/>
        <w:widowControl w:val="0"/>
        <w:numPr>
          <w:ilvl w:val="0"/>
          <w:numId w:val="33"/>
        </w:numPr>
        <w:shd w:val="clear" w:color="auto" w:fill="auto"/>
        <w:tabs>
          <w:tab w:pos="786" w:val="left"/>
        </w:tabs>
        <w:bidi w:val="0"/>
        <w:spacing w:before="0" w:after="0" w:line="360" w:lineRule="auto"/>
        <w:ind w:left="0" w:right="0"/>
        <w:jc w:val="both"/>
      </w:pPr>
      <w:bookmarkStart w:id="721" w:name="bookmark721"/>
      <w:bookmarkEnd w:id="721"/>
      <w:r>
        <w:rPr>
          <w:color w:val="000000"/>
          <w:spacing w:val="0"/>
          <w:w w:val="100"/>
          <w:position w:val="0"/>
        </w:rPr>
        <w:t>检查应收账款的期后回款情况，评价管理层计提应收账款坏账准备的合理性；</w:t>
      </w:r>
    </w:p>
    <w:p>
      <w:pPr>
        <w:pStyle w:val="Style34"/>
        <w:keepNext w:val="0"/>
        <w:keepLines w:val="0"/>
        <w:widowControl w:val="0"/>
        <w:numPr>
          <w:ilvl w:val="0"/>
          <w:numId w:val="33"/>
        </w:numPr>
        <w:shd w:val="clear" w:color="auto" w:fill="auto"/>
        <w:tabs>
          <w:tab w:pos="786" w:val="left"/>
        </w:tabs>
        <w:bidi w:val="0"/>
        <w:spacing w:before="0" w:after="200" w:line="360" w:lineRule="auto"/>
        <w:ind w:left="0" w:right="0"/>
        <w:jc w:val="both"/>
      </w:pPr>
      <w:bookmarkStart w:id="722" w:name="bookmark722"/>
      <w:bookmarkEnd w:id="722"/>
      <w:r>
        <w:rPr>
          <w:color w:val="000000"/>
          <w:spacing w:val="0"/>
          <w:w w:val="100"/>
          <w:position w:val="0"/>
        </w:rPr>
        <w:t>检查与应收账款减值相关的信息是否已在财务报表中作出恰当列报。</w:t>
      </w:r>
    </w:p>
    <w:p>
      <w:pPr>
        <w:pStyle w:val="Style34"/>
        <w:keepNext w:val="0"/>
        <w:keepLines w:val="0"/>
        <w:widowControl w:val="0"/>
        <w:shd w:val="clear" w:color="auto" w:fill="auto"/>
        <w:bidi w:val="0"/>
        <w:spacing w:before="0" w:after="0" w:line="312" w:lineRule="exact"/>
        <w:ind w:left="0" w:right="0"/>
        <w:jc w:val="both"/>
      </w:pPr>
      <w:bookmarkStart w:id="723" w:name="bookmark723"/>
      <w:r>
        <w:rPr>
          <w:b/>
          <w:bCs/>
          <w:color w:val="000000"/>
          <w:spacing w:val="0"/>
          <w:w w:val="100"/>
          <w:position w:val="0"/>
        </w:rPr>
        <w:t>四</w:t>
      </w:r>
      <w:bookmarkEnd w:id="723"/>
      <w:r>
        <w:rPr>
          <w:b/>
          <w:bCs/>
          <w:color w:val="000000"/>
          <w:spacing w:val="0"/>
          <w:w w:val="100"/>
          <w:position w:val="0"/>
        </w:rPr>
        <w:t>、其他信息</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管理层对其他信息负责。其他信息包括年度报告中涵盖的信息，但不包括财务报表和我们的审计报告。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4"/>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4"/>
        <w:keepNext w:val="0"/>
        <w:keepLines w:val="0"/>
        <w:widowControl w:val="0"/>
        <w:shd w:val="clear" w:color="auto" w:fill="auto"/>
        <w:tabs>
          <w:tab w:pos="792" w:val="left"/>
        </w:tabs>
        <w:bidi w:val="0"/>
        <w:spacing w:before="0" w:after="0" w:line="317" w:lineRule="exact"/>
        <w:ind w:left="0" w:right="0" w:firstLine="360"/>
        <w:jc w:val="both"/>
      </w:pPr>
      <w:bookmarkStart w:id="724" w:name="bookmark724"/>
      <w:r>
        <w:rPr>
          <w:b/>
          <w:bCs/>
          <w:color w:val="000000"/>
          <w:spacing w:val="0"/>
          <w:w w:val="100"/>
          <w:position w:val="0"/>
        </w:rPr>
        <w:t>五</w:t>
      </w:r>
      <w:bookmarkEnd w:id="724"/>
      <w:r>
        <w:rPr>
          <w:b/>
          <w:bCs/>
          <w:color w:val="000000"/>
          <w:spacing w:val="0"/>
          <w:w w:val="100"/>
          <w:position w:val="0"/>
        </w:rPr>
        <w:t>、</w:t>
        <w:tab/>
        <w:t>管理层和治理层对财务报表的责任</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在编制财务报表时，管理层负责评估金溢科技公司的持续经营能力，披露与持续经营相关的事项（如适用），并运用持 续经营假设，除非计划进行清算、终止运营或别无其他现实的选择。</w:t>
      </w:r>
    </w:p>
    <w:p>
      <w:pPr>
        <w:pStyle w:val="Style34"/>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金溢科技公司治理层（以下简称治理层）负责监督金溢科技公司的财务报告过程。</w:t>
      </w:r>
    </w:p>
    <w:p>
      <w:pPr>
        <w:pStyle w:val="Style34"/>
        <w:keepNext w:val="0"/>
        <w:keepLines w:val="0"/>
        <w:widowControl w:val="0"/>
        <w:shd w:val="clear" w:color="auto" w:fill="auto"/>
        <w:tabs>
          <w:tab w:pos="796" w:val="left"/>
        </w:tabs>
        <w:bidi w:val="0"/>
        <w:spacing w:before="0" w:after="0" w:line="313" w:lineRule="exact"/>
        <w:ind w:left="0" w:right="0" w:firstLine="360"/>
        <w:jc w:val="both"/>
      </w:pPr>
      <w:bookmarkStart w:id="725" w:name="bookmark725"/>
      <w:r>
        <w:rPr>
          <w:b/>
          <w:bCs/>
          <w:color w:val="000000"/>
          <w:spacing w:val="0"/>
          <w:w w:val="100"/>
          <w:position w:val="0"/>
        </w:rPr>
        <w:t>六</w:t>
      </w:r>
      <w:bookmarkEnd w:id="725"/>
      <w:r>
        <w:rPr>
          <w:b/>
          <w:bCs/>
          <w:color w:val="000000"/>
          <w:spacing w:val="0"/>
          <w:w w:val="100"/>
          <w:position w:val="0"/>
        </w:rPr>
        <w:t>、</w:t>
        <w:tab/>
        <w:t>注册会计师对财务报表审计的责任</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34"/>
        <w:keepNext w:val="0"/>
        <w:keepLines w:val="0"/>
        <w:widowControl w:val="0"/>
        <w:shd w:val="clear" w:color="auto" w:fill="auto"/>
        <w:bidi w:val="0"/>
        <w:spacing w:before="0" w:after="120" w:line="313" w:lineRule="exact"/>
        <w:ind w:left="0" w:right="0" w:firstLine="360"/>
        <w:jc w:val="both"/>
      </w:pPr>
      <w:bookmarkStart w:id="726" w:name="bookmark726"/>
      <w:r>
        <w:rPr>
          <w:rFonts w:ascii="Times New Roman" w:eastAsia="Times New Roman" w:hAnsi="Times New Roman" w:cs="Times New Roman"/>
          <w:color w:val="000000"/>
          <w:spacing w:val="0"/>
          <w:w w:val="100"/>
          <w:position w:val="0"/>
          <w:sz w:val="18"/>
          <w:szCs w:val="18"/>
        </w:rPr>
        <w:t>（</w:t>
      </w:r>
      <w:bookmarkEnd w:id="726"/>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4"/>
        <w:keepNext w:val="0"/>
        <w:keepLines w:val="0"/>
        <w:widowControl w:val="0"/>
        <w:shd w:val="clear" w:color="auto" w:fill="auto"/>
        <w:tabs>
          <w:tab w:pos="849" w:val="left"/>
        </w:tabs>
        <w:bidi w:val="0"/>
        <w:spacing w:before="0" w:after="0" w:line="360" w:lineRule="auto"/>
        <w:ind w:left="0" w:right="0" w:firstLine="360"/>
        <w:jc w:val="both"/>
      </w:pPr>
      <w:bookmarkStart w:id="727" w:name="bookmark727"/>
      <w:r>
        <w:rPr>
          <w:rFonts w:ascii="Times New Roman" w:eastAsia="Times New Roman" w:hAnsi="Times New Roman" w:cs="Times New Roman"/>
          <w:color w:val="000000"/>
          <w:spacing w:val="0"/>
          <w:w w:val="100"/>
          <w:position w:val="0"/>
          <w:sz w:val="18"/>
          <w:szCs w:val="18"/>
        </w:rPr>
        <w:t>（</w:t>
      </w:r>
      <w:bookmarkEnd w:id="727"/>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了解与审计相关的内部控制，以设计恰当的审计程序。</w:t>
      </w:r>
    </w:p>
    <w:p>
      <w:pPr>
        <w:pStyle w:val="Style34"/>
        <w:keepNext w:val="0"/>
        <w:keepLines w:val="0"/>
        <w:widowControl w:val="0"/>
        <w:shd w:val="clear" w:color="auto" w:fill="auto"/>
        <w:tabs>
          <w:tab w:pos="849" w:val="left"/>
        </w:tabs>
        <w:bidi w:val="0"/>
        <w:spacing w:before="0" w:after="0" w:line="360" w:lineRule="auto"/>
        <w:ind w:left="0" w:right="0" w:firstLine="360"/>
        <w:jc w:val="both"/>
      </w:pPr>
      <w:bookmarkStart w:id="728" w:name="bookmark728"/>
      <w:r>
        <w:rPr>
          <w:rFonts w:ascii="Times New Roman" w:eastAsia="Times New Roman" w:hAnsi="Times New Roman" w:cs="Times New Roman"/>
          <w:color w:val="000000"/>
          <w:spacing w:val="0"/>
          <w:w w:val="100"/>
          <w:position w:val="0"/>
          <w:sz w:val="18"/>
          <w:szCs w:val="18"/>
        </w:rPr>
        <w:t>（</w:t>
      </w:r>
      <w:bookmarkEnd w:id="728"/>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评价管理层选用会计政策的恰当性和作出会计估计及相关披露的合理性。</w:t>
      </w:r>
    </w:p>
    <w:p>
      <w:pPr>
        <w:pStyle w:val="Style34"/>
        <w:keepNext w:val="0"/>
        <w:keepLines w:val="0"/>
        <w:widowControl w:val="0"/>
        <w:shd w:val="clear" w:color="auto" w:fill="auto"/>
        <w:bidi w:val="0"/>
        <w:spacing w:before="0" w:after="120" w:line="313" w:lineRule="exact"/>
        <w:ind w:left="0" w:right="0" w:firstLine="360"/>
        <w:jc w:val="both"/>
      </w:pPr>
      <w:bookmarkStart w:id="729" w:name="bookmark729"/>
      <w:r>
        <w:rPr>
          <w:rFonts w:ascii="Times New Roman" w:eastAsia="Times New Roman" w:hAnsi="Times New Roman" w:cs="Times New Roman"/>
          <w:color w:val="000000"/>
          <w:spacing w:val="0"/>
          <w:w w:val="100"/>
          <w:position w:val="0"/>
          <w:sz w:val="18"/>
          <w:szCs w:val="18"/>
        </w:rPr>
        <w:t>（</w:t>
      </w:r>
      <w:bookmarkEnd w:id="729"/>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对管理层使用持续经营假设的恰当性得出结论。同时，根据获取的审计证据，就可能导致对金溢科技公司持续经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论基于截至审计报告日可获得的信息。然而，未来的事项或情况可能导致金溢科技公司不能持续经营。</w:t>
      </w:r>
    </w:p>
    <w:p>
      <w:pPr>
        <w:pStyle w:val="Style34"/>
        <w:keepNext w:val="0"/>
        <w:keepLines w:val="0"/>
        <w:widowControl w:val="0"/>
        <w:shd w:val="clear" w:color="auto" w:fill="auto"/>
        <w:tabs>
          <w:tab w:pos="849" w:val="left"/>
        </w:tabs>
        <w:bidi w:val="0"/>
        <w:spacing w:before="0" w:after="0" w:line="360" w:lineRule="auto"/>
        <w:ind w:left="0" w:right="0" w:firstLine="360"/>
        <w:jc w:val="both"/>
      </w:pPr>
      <w:bookmarkStart w:id="730" w:name="bookmark730"/>
      <w:r>
        <w:rPr>
          <w:rFonts w:ascii="Times New Roman" w:eastAsia="Times New Roman" w:hAnsi="Times New Roman" w:cs="Times New Roman"/>
          <w:color w:val="000000"/>
          <w:spacing w:val="0"/>
          <w:w w:val="100"/>
          <w:position w:val="0"/>
          <w:sz w:val="18"/>
          <w:szCs w:val="18"/>
        </w:rPr>
        <w:t>（</w:t>
      </w:r>
      <w:bookmarkEnd w:id="730"/>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评价财务报表的总体列报、结构和内容，并评价财务报表是否公允反映相关交易和事项。</w:t>
      </w:r>
    </w:p>
    <w:p>
      <w:pPr>
        <w:pStyle w:val="Style34"/>
        <w:keepNext w:val="0"/>
        <w:keepLines w:val="0"/>
        <w:widowControl w:val="0"/>
        <w:shd w:val="clear" w:color="auto" w:fill="auto"/>
        <w:bidi w:val="0"/>
        <w:spacing w:before="0" w:after="0" w:line="313" w:lineRule="exact"/>
        <w:ind w:left="0" w:right="0" w:firstLine="360"/>
        <w:jc w:val="both"/>
      </w:pPr>
      <w:bookmarkStart w:id="731" w:name="bookmark731"/>
      <w:r>
        <w:rPr>
          <w:rFonts w:ascii="Times New Roman" w:eastAsia="Times New Roman" w:hAnsi="Times New Roman" w:cs="Times New Roman"/>
          <w:color w:val="000000"/>
          <w:spacing w:val="0"/>
          <w:w w:val="100"/>
          <w:position w:val="0"/>
          <w:sz w:val="18"/>
          <w:szCs w:val="18"/>
        </w:rPr>
        <w:t>（</w:t>
      </w:r>
      <w:bookmarkEnd w:id="731"/>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就金溢科技公司中实体或业务活动的财务信息获取充分、适当的审计证据，以对财务报表发表审计意见。我们负 责指导、监督和执行集团审计，并对审计意见承担全部责任。</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4"/>
        <w:keepNext w:val="0"/>
        <w:keepLines w:val="0"/>
        <w:widowControl w:val="0"/>
        <w:shd w:val="clear" w:color="auto" w:fill="auto"/>
        <w:bidi w:val="0"/>
        <w:spacing w:before="0" w:after="104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4"/>
        <w:keepNext w:val="0"/>
        <w:keepLines w:val="0"/>
        <w:widowControl w:val="0"/>
        <w:shd w:val="clear" w:color="auto" w:fill="auto"/>
        <w:tabs>
          <w:tab w:pos="6746" w:val="left"/>
        </w:tabs>
        <w:bidi w:val="0"/>
        <w:spacing w:before="0" w:after="120" w:line="240" w:lineRule="auto"/>
        <w:ind w:left="0" w:right="0" w:firstLine="0"/>
        <w:jc w:val="both"/>
      </w:pPr>
      <w:r>
        <w:rPr>
          <w:color w:val="000000"/>
          <w:spacing w:val="0"/>
          <w:w w:val="100"/>
          <w:position w:val="0"/>
        </w:rPr>
        <w:t>天健会计师事务所（特殊普通合伙）</w:t>
        <w:tab/>
        <w:t>中国注册会计师：</w:t>
      </w:r>
    </w:p>
    <w:p>
      <w:pPr>
        <w:pStyle w:val="Style34"/>
        <w:keepNext w:val="0"/>
        <w:keepLines w:val="0"/>
        <w:widowControl w:val="0"/>
        <w:shd w:val="clear" w:color="auto" w:fill="auto"/>
        <w:bidi w:val="0"/>
        <w:spacing w:before="0" w:after="420" w:line="240" w:lineRule="auto"/>
        <w:ind w:left="6220" w:right="0" w:firstLine="0"/>
        <w:jc w:val="left"/>
      </w:pPr>
      <w:r>
        <w:rPr>
          <w:color w:val="000000"/>
          <w:spacing w:val="0"/>
          <w:w w:val="100"/>
          <w:position w:val="0"/>
        </w:rPr>
        <w:t>（项目合伙人）</w:t>
      </w:r>
    </w:p>
    <w:p>
      <w:pPr>
        <w:pStyle w:val="Style34"/>
        <w:keepNext w:val="0"/>
        <w:keepLines w:val="0"/>
        <w:widowControl w:val="0"/>
        <w:shd w:val="clear" w:color="auto" w:fill="auto"/>
        <w:tabs>
          <w:tab w:pos="6746" w:val="left"/>
        </w:tabs>
        <w:bidi w:val="0"/>
        <w:spacing w:before="0" w:after="420" w:line="240" w:lineRule="auto"/>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tab/>
        <w:t>中国注册会计师：</w:t>
      </w:r>
    </w:p>
    <w:p>
      <w:pPr>
        <w:pStyle w:val="Style34"/>
        <w:keepNext w:val="0"/>
        <w:keepLines w:val="0"/>
        <w:widowControl w:val="0"/>
        <w:shd w:val="clear" w:color="auto" w:fill="auto"/>
        <w:bidi w:val="0"/>
        <w:spacing w:before="0" w:after="200" w:line="240" w:lineRule="auto"/>
        <w:ind w:left="628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二一年四月二十七日</w:t>
      </w:r>
      <w:r>
        <w:br w:type="page"/>
      </w:r>
    </w:p>
    <w:p>
      <w:pPr>
        <w:pStyle w:val="Style30"/>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二</w:t>
      </w:r>
      <w:bookmarkEnd w:id="734"/>
      <w:r>
        <w:rPr>
          <w:color w:val="000000"/>
          <w:spacing w:val="0"/>
          <w:w w:val="100"/>
          <w:position w:val="0"/>
          <w:sz w:val="24"/>
          <w:szCs w:val="24"/>
        </w:rPr>
        <w:t>、财务报表</w:t>
      </w:r>
      <w:bookmarkEnd w:id="732"/>
      <w:bookmarkEnd w:id="733"/>
      <w:bookmarkEnd w:id="73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after="38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、合并资产负债表</w:t>
      </w:r>
      <w:bookmarkEnd w:id="736"/>
      <w:bookmarkEnd w:id="737"/>
      <w:bookmarkEnd w:id="73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编制单位：深圳市金溢科技股份有限公司</w:t>
      </w:r>
    </w:p>
    <w:p>
      <w:pPr>
        <w:pStyle w:val="Style27"/>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1,464,649,007.64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1,880,152,293.89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10,710,689.50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447,984,243.82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752,426,473.68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15,489,939.55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66,041,370.00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5,394,800.72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9,130,170.20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15,908,464.36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34,741,644.35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258,050,591.97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623,034,107.12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75,766,978.37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22,583,518.92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79,837,557.57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2,305,827,545.35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3,456,074,306.31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18,474,727.96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45,123,200.00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349,242,961.37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197,818,484.95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99,041,175.08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33,695,566.52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34,200,182.66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14,778,415.55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19,717,567.14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33,643,203.56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20,915,572.97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82,899,214.81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45,359,118.66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590,722,173.53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480,650,029.42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2,896,549,718.88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3,936,724,335.73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585,887,257.45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422,020,050.18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607,969,184.24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33,350,432.85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34,219,291.19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72,736,852.39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55,346,152.70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239,145,339.41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106,391,995.42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463,320,461.89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2,034,150,679.09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3,636,778.22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8,271,274.61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1,733,455.53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64,742,270.56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11,908,052.83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528,062,732.45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2,046,058,731.92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120,518,161.00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711,173,406.99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711,764,737.04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58,821,004.04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88,648,845.42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58,589,877.42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1,408,649,982.80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1,070,602,462.16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2,370,538,863.60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1,902,654,233.58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-2,051,877.17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-11,988,629.77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2,368,486,986.43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1,890,665,603.81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2,896,549,718.88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3,936,724,335.73</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4" behindDoc="0" locked="0" layoutInCell="1" allowOverlap="1">
                <wp:simplePos x="0" y="0"/>
                <wp:positionH relativeFrom="page">
                  <wp:posOffset>701040</wp:posOffset>
                </wp:positionH>
                <wp:positionV relativeFrom="margin">
                  <wp:posOffset>2051050</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wps:txbx>
                      <wps:bodyPr wrap="none" lIns="0" tIns="0" rIns="0" bIns="0">
                        <a:noAutoFit/>
                      </wps:bodyPr>
                    </wps:wsp>
                  </a:graphicData>
                </a:graphic>
              </wp:anchor>
            </w:drawing>
          </mc:Choice>
          <mc:Fallback>
            <w:pict>
              <v:shape id="_x0000_s1055" type="#_x0000_t202" style="position:absolute;margin-left:55.200000000000003pt;margin-top:161.5pt;width:83.049999999999997pt;height:11.75pt;z-index:-125829369;mso-wrap-distance-left:9.pt;mso-wrap-distance-top:12.pt;mso-wrap-distance-right:405.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v:textbox>
                <w10:wrap type="topAndBottom" anchorx="page" anchory="margin"/>
              </v:shape>
            </w:pict>
          </mc:Fallback>
        </mc:AlternateContent>
      </w:r>
      <w:r>
        <mc:AlternateContent>
          <mc:Choice Requires="wps">
            <w:drawing>
              <wp:anchor distT="152400" distB="3175" distL="2348230" distR="2574290" simplePos="0" relativeHeight="125829386" behindDoc="0" locked="0" layoutInCell="1" allowOverlap="1">
                <wp:simplePos x="0" y="0"/>
                <wp:positionH relativeFrom="page">
                  <wp:posOffset>2934970</wp:posOffset>
                </wp:positionH>
                <wp:positionV relativeFrom="margin">
                  <wp:posOffset>2051050</wp:posOffset>
                </wp:positionV>
                <wp:extent cx="1393190" cy="146050"/>
                <wp:wrapTopAndBottom/>
                <wp:docPr id="31" name="Shape 3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wps:txbx>
                      <wps:bodyPr wrap="none" lIns="0" tIns="0" rIns="0" bIns="0">
                        <a:noAutoFit/>
                      </wps:bodyPr>
                    </wps:wsp>
                  </a:graphicData>
                </a:graphic>
              </wp:anchor>
            </w:drawing>
          </mc:Choice>
          <mc:Fallback>
            <w:pict>
              <v:shape id="_x0000_s1057" type="#_x0000_t202" style="position:absolute;margin-left:231.09999999999999pt;margin-top:161.5pt;width:109.7pt;height:11.5pt;z-index:-125829367;mso-wrap-distance-left:184.90000000000001pt;mso-wrap-distance-top:12.pt;mso-wrap-distance-right:202.70000000000002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5501640</wp:posOffset>
                </wp:positionH>
                <wp:positionV relativeFrom="margin">
                  <wp:posOffset>2051050</wp:posOffset>
                </wp:positionV>
                <wp:extent cx="1286510" cy="149225"/>
                <wp:wrapTopAndBottom/>
                <wp:docPr id="33" name="Shape 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wps:txbx>
                      <wps:bodyPr wrap="none" lIns="0" tIns="0" rIns="0" bIns="0">
                        <a:noAutoFit/>
                      </wps:bodyPr>
                    </wps:wsp>
                  </a:graphicData>
                </a:graphic>
              </wp:anchor>
            </w:drawing>
          </mc:Choice>
          <mc:Fallback>
            <w:pict>
              <v:shape id="_x0000_s1059" type="#_x0000_t202" style="position:absolute;margin-left:433.19999999999999pt;margin-top:161.5pt;width:101.3pt;height:11.75pt;z-index:-125829365;mso-wrap-distance-left:387.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v:textbox>
                <w10:wrap type="topAndBottom" anchorx="page" anchory="margin"/>
              </v:shape>
            </w:pict>
          </mc:Fallback>
        </mc:AlternateContent>
      </w: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、母公司资产负债表</w:t>
      </w:r>
      <w:bookmarkEnd w:id="740"/>
      <w:bookmarkEnd w:id="741"/>
      <w:bookmarkEnd w:id="74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1,327,409,010.14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1,655,402,210.77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10,710,689.50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486,346,406.00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782,984,623.00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15,489,939.55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66,041,370.00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4,945,628.86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9,072,262.77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80,661,591.60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108,486,278.43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245,610,825.52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619,132,138.00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75,665,044.37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6,138,474.94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69,593,787.04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2,242,266,920.98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3,321,423,359.51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368,008,384.87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362,519,298.30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45,123,200.00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138,810,519.37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130,476,454.85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2,634,570.82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148,584.90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2,010,894.93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1,782,653.91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14,778,415.55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19,308,873.27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34,134,251.15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20,915,572.97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82,515,333.31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45,359,118.66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698,071,940.22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625,633,756.86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2,940,338,861.20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3,947,057,116.37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585,887,257.45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159,995,986.56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398,980,429.62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604,083,650.23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33,184,432.85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30,870,869.57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66,511,871.33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54,620,046.51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236,973,669.44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71,051,756.07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106,445,163.27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480,029,190.83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1,998,882,041.34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3,636,778.22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7,078,074.61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1,733,455.53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64,742,270.56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10,714,852.83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544,771,461.39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2,009,596,894.17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180,636,097.00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120,518,161.00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712,240,891.17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710,722,727.87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58,821,004.04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90,318,048.50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60,259,080.50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1,430,941,831.75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1,104,781,256.87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2,395,567,399.81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1,937,460,222.20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2,940,338,861.20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3,947,057,116.37</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90" behindDoc="0" locked="0" layoutInCell="1" allowOverlap="1">
                <wp:simplePos x="0" y="0"/>
                <wp:positionH relativeFrom="page">
                  <wp:posOffset>701040</wp:posOffset>
                </wp:positionH>
                <wp:positionV relativeFrom="margin">
                  <wp:posOffset>6900545</wp:posOffset>
                </wp:positionV>
                <wp:extent cx="1054735" cy="149225"/>
                <wp:wrapTopAndBottom/>
                <wp:docPr id="35" name="Shape 3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wps:txbx>
                      <wps:bodyPr wrap="none" lIns="0" tIns="0" rIns="0" bIns="0">
                        <a:noAutoFit/>
                      </wps:bodyPr>
                    </wps:wsp>
                  </a:graphicData>
                </a:graphic>
              </wp:anchor>
            </w:drawing>
          </mc:Choice>
          <mc:Fallback>
            <w:pict>
              <v:shape id="_x0000_s1061" type="#_x0000_t202" style="position:absolute;margin-left:55.200000000000003pt;margin-top:543.35000000000002pt;width:83.049999999999997pt;height:11.75pt;z-index:-125829363;mso-wrap-distance-left:9.pt;mso-wrap-distance-top:12.pt;mso-wrap-distance-right:405.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v:textbox>
                <w10:wrap type="topAndBottom" anchorx="page" anchory="margin"/>
              </v:shape>
            </w:pict>
          </mc:Fallback>
        </mc:AlternateContent>
      </w:r>
      <w:r>
        <mc:AlternateContent>
          <mc:Choice Requires="wps">
            <w:drawing>
              <wp:anchor distT="152400" distB="3175" distL="2348230" distR="2574290" simplePos="0" relativeHeight="125829392" behindDoc="0" locked="0" layoutInCell="1" allowOverlap="1">
                <wp:simplePos x="0" y="0"/>
                <wp:positionH relativeFrom="page">
                  <wp:posOffset>2934970</wp:posOffset>
                </wp:positionH>
                <wp:positionV relativeFrom="margin">
                  <wp:posOffset>6900545</wp:posOffset>
                </wp:positionV>
                <wp:extent cx="1393190" cy="146050"/>
                <wp:wrapTopAndBottom/>
                <wp:docPr id="37" name="Shape 3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wps:txbx>
                      <wps:bodyPr wrap="none" lIns="0" tIns="0" rIns="0" bIns="0">
                        <a:noAutoFit/>
                      </wps:bodyPr>
                    </wps:wsp>
                  </a:graphicData>
                </a:graphic>
              </wp:anchor>
            </w:drawing>
          </mc:Choice>
          <mc:Fallback>
            <w:pict>
              <v:shape id="_x0000_s1063" type="#_x0000_t202" style="position:absolute;margin-left:231.09999999999999pt;margin-top:543.35000000000002pt;width:109.7pt;height:11.5pt;z-index:-125829361;mso-wrap-distance-left:184.90000000000001pt;mso-wrap-distance-top:12.pt;mso-wrap-distance-right:202.70000000000002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v:textbox>
                <w10:wrap type="topAndBottom" anchorx="page" anchory="margin"/>
              </v:shape>
            </w:pict>
          </mc:Fallback>
        </mc:AlternateContent>
      </w:r>
      <w:r>
        <mc:AlternateContent>
          <mc:Choice Requires="wps">
            <w:drawing>
              <wp:anchor distT="152400" distB="0" distL="4914900" distR="114300" simplePos="0" relativeHeight="125829394" behindDoc="0" locked="0" layoutInCell="1" allowOverlap="1">
                <wp:simplePos x="0" y="0"/>
                <wp:positionH relativeFrom="page">
                  <wp:posOffset>5501640</wp:posOffset>
                </wp:positionH>
                <wp:positionV relativeFrom="margin">
                  <wp:posOffset>6900545</wp:posOffset>
                </wp:positionV>
                <wp:extent cx="1286510" cy="149225"/>
                <wp:wrapTopAndBottom/>
                <wp:docPr id="39" name="Shape 3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wps:txbx>
                      <wps:bodyPr wrap="none" lIns="0" tIns="0" rIns="0" bIns="0">
                        <a:noAutoFit/>
                      </wps:bodyPr>
                    </wps:wsp>
                  </a:graphicData>
                </a:graphic>
              </wp:anchor>
            </w:drawing>
          </mc:Choice>
          <mc:Fallback>
            <w:pict>
              <v:shape id="_x0000_s1065" type="#_x0000_t202" style="position:absolute;margin-left:433.19999999999999pt;margin-top:543.35000000000002pt;width:101.3pt;height:11.75pt;z-index:-125829359;mso-wrap-distance-left:387.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v:textbox>
                <w10:wrap type="topAndBottom" anchorx="page" anchory="margin"/>
              </v:shape>
            </w:pict>
          </mc:Fallback>
        </mc:AlternateContent>
      </w: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color w:val="000000"/>
          <w:spacing w:val="0"/>
          <w:w w:val="100"/>
          <w:position w:val="0"/>
        </w:rPr>
        <w:t>、合并利润表</w:t>
      </w:r>
      <w:bookmarkEnd w:id="744"/>
      <w:bookmarkEnd w:id="745"/>
      <w:bookmarkEnd w:id="74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2,860,155,936.39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2,860,155,936.39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882,797,287.91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1,871,371,742.29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578,587,732.24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1,491,224,575.50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-1,232,913.02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39,779,951.07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105,634,201.74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141,262,942.39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107,128,776.59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115,249,066.64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124,204,674.89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100,683,953.90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-31,525,184.53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-16,828,747.21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30,833,206.17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10,313,363.67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110,021,868.64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60,418,517.87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6,056,402.51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9,898,169.79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1,836,943.74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1,267,694.89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90,371.43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-30,289,819.43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-24,831,858.57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-9,099,990.75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19,667.96</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772,185,529.51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1,019,730,739.54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1,798,008.55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1,350,719.69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50,477,728.03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2,896,408.28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723,505,810.03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1,018,185,050.95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94,551,868.96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145,502,727.06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628,953,941.07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872,682,323.89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628,618,980.08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872,682,323.89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630,630,950.34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875,264,934.64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-1,677,009.27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-2,582,610.75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638,776,855.76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872,682,323.89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640,453,865.03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875,264,934.64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-1,677,009.27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-2,582,610.75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法定代表人：罗瑞发</w:t>
        <w:tab/>
        <w:t>主管会计工作负责人：聂磊</w:t>
        <w:tab/>
        <w:t>会计机构负责人：蔡伟明</w:t>
      </w:r>
    </w:p>
    <w:p>
      <w:pPr>
        <w:pStyle w:val="Style37"/>
        <w:keepNext/>
        <w:keepLines/>
        <w:widowControl w:val="0"/>
        <w:shd w:val="clear" w:color="auto" w:fill="auto"/>
        <w:bidi w:val="0"/>
        <w:spacing w:before="0" w:after="40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4</w:t>
      </w:r>
      <w:bookmarkEnd w:id="750"/>
      <w:r>
        <w:rPr>
          <w:color w:val="000000"/>
          <w:spacing w:val="0"/>
          <w:w w:val="100"/>
          <w:position w:val="0"/>
        </w:rPr>
        <w:t>、母公司利润表</w:t>
      </w:r>
      <w:bookmarkEnd w:id="748"/>
      <w:bookmarkEnd w:id="749"/>
      <w:bookmarkEnd w:id="75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1,587,244,232.31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2,845,259,943.10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607,925,715.56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1,489,400,825.35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-2,420,086.41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38,831,363.39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101,926,752.60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133,874,465.21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89,408,415.55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96,536,748.18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120,140,220.81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92,973,673.61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-27,929,238.71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-14,925,826.33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27,226,051.98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8,400,178.47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109,414,465.12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59,723,006.61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-14,371,873.68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2,535,585.79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-1,607,027.56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991,777.56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-6,957,068.77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-29,591,686.79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-24,811,396.00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-15,469,965.15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761,466,579.58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1,025,785,302.11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1,793,010.02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1,344,468.63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50,454,821.57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2,874,438.75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712,804,768.03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1,024,255,331.99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94,060,763.45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145,502,727.06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618,744,004.58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878,752,604.93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618,744,004.58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878,752,604.93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9,822,914.69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628,566,919.27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878,752,604.93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6675" simplePos="0" relativeHeight="125829396" behindDoc="0" locked="0" layoutInCell="1" allowOverlap="1">
                <wp:simplePos x="0" y="0"/>
                <wp:positionH relativeFrom="page">
                  <wp:posOffset>701040</wp:posOffset>
                </wp:positionH>
                <wp:positionV relativeFrom="margin">
                  <wp:posOffset>3639185</wp:posOffset>
                </wp:positionV>
                <wp:extent cx="1054735" cy="149225"/>
                <wp:wrapTopAndBottom/>
                <wp:docPr id="41" name="Shape 4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wps:txbx>
                      <wps:bodyPr wrap="none" lIns="0" tIns="0" rIns="0" bIns="0">
                        <a:noAutoFit/>
                      </wps:bodyPr>
                    </wps:wsp>
                  </a:graphicData>
                </a:graphic>
              </wp:anchor>
            </w:drawing>
          </mc:Choice>
          <mc:Fallback>
            <w:pict>
              <v:shape id="_x0000_s1067" type="#_x0000_t202" style="position:absolute;margin-left:55.200000000000003pt;margin-top:286.55000000000001pt;width:83.049999999999997pt;height:11.75pt;z-index:-125829357;mso-wrap-distance-left:9.pt;mso-wrap-distance-top:11.pt;mso-wrap-distance-right:405.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v:textbox>
                <w10:wrap type="topAndBottom" anchorx="page" anchory="margin"/>
              </v:shape>
            </w:pict>
          </mc:Fallback>
        </mc:AlternateContent>
      </w:r>
      <w:r>
        <mc:AlternateContent>
          <mc:Choice Requires="wps">
            <w:drawing>
              <wp:anchor distT="139700" distB="3175" distL="2348230" distR="2574290" simplePos="0" relativeHeight="125829398" behindDoc="0" locked="0" layoutInCell="1" allowOverlap="1">
                <wp:simplePos x="0" y="0"/>
                <wp:positionH relativeFrom="page">
                  <wp:posOffset>2934970</wp:posOffset>
                </wp:positionH>
                <wp:positionV relativeFrom="margin">
                  <wp:posOffset>3639185</wp:posOffset>
                </wp:positionV>
                <wp:extent cx="1393190" cy="146050"/>
                <wp:wrapTopAndBottom/>
                <wp:docPr id="43" name="Shape 4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wps:txbx>
                      <wps:bodyPr wrap="none" lIns="0" tIns="0" rIns="0" bIns="0">
                        <a:noAutoFit/>
                      </wps:bodyPr>
                    </wps:wsp>
                  </a:graphicData>
                </a:graphic>
              </wp:anchor>
            </w:drawing>
          </mc:Choice>
          <mc:Fallback>
            <w:pict>
              <v:shape id="_x0000_s1069" type="#_x0000_t202" style="position:absolute;margin-left:231.09999999999999pt;margin-top:286.55000000000001pt;width:109.7pt;height:11.5pt;z-index:-125829355;mso-wrap-distance-left:184.90000000000001pt;mso-wrap-distance-top:11.pt;mso-wrap-distance-right:202.70000000000002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v:textbox>
                <w10:wrap type="topAndBottom" anchorx="page" anchory="margin"/>
              </v:shape>
            </w:pict>
          </mc:Fallback>
        </mc:AlternateContent>
      </w:r>
      <w:r>
        <mc:AlternateContent>
          <mc:Choice Requires="wps">
            <w:drawing>
              <wp:anchor distT="139700" distB="0" distL="4914900" distR="114300" simplePos="0" relativeHeight="125829400" behindDoc="0" locked="0" layoutInCell="1" allowOverlap="1">
                <wp:simplePos x="0" y="0"/>
                <wp:positionH relativeFrom="page">
                  <wp:posOffset>5501640</wp:posOffset>
                </wp:positionH>
                <wp:positionV relativeFrom="margin">
                  <wp:posOffset>3639185</wp:posOffset>
                </wp:positionV>
                <wp:extent cx="1286510" cy="149225"/>
                <wp:wrapTopAndBottom/>
                <wp:docPr id="45" name="Shape 4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wps:txbx>
                      <wps:bodyPr wrap="none" lIns="0" tIns="0" rIns="0" bIns="0">
                        <a:noAutoFit/>
                      </wps:bodyPr>
                    </wps:wsp>
                  </a:graphicData>
                </a:graphic>
              </wp:anchor>
            </w:drawing>
          </mc:Choice>
          <mc:Fallback>
            <w:pict>
              <v:shape id="_x0000_s1071" type="#_x0000_t202" style="position:absolute;margin-left:433.19999999999999pt;margin-top:286.55000000000001pt;width:101.3pt;height:11.75pt;z-index:-125829353;mso-wrap-distance-left:387.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v:textbox>
                <w10:wrap type="topAndBottom" anchorx="page" anchory="margin"/>
              </v:shape>
            </w:pict>
          </mc:Fallback>
        </mc:AlternateContent>
      </w: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5</w:t>
      </w:r>
      <w:bookmarkEnd w:id="754"/>
      <w:r>
        <w:rPr>
          <w:color w:val="000000"/>
          <w:spacing w:val="0"/>
          <w:w w:val="100"/>
          <w:position w:val="0"/>
        </w:rPr>
        <w:t>、合并现金流量表</w:t>
      </w:r>
      <w:bookmarkEnd w:id="752"/>
      <w:bookmarkEnd w:id="753"/>
      <w:bookmarkEnd w:id="75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1,292,895,072.31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3,403,184,357.55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117,593,609.97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24,302,666.13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44,370,122.39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38,543,956.95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1,454,858,804.67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3,466,030,980.63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927,125,416.48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1,400,135,230.86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220,816,267.28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230,929,609.94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272,362,739.51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295,110,671.80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118,201,937.84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167,821,522.52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1,538,506,361.11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2,093,997,035.12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-83,647,556.44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1,372,033,945.51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6,810,278.47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8,630,474.90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45,886.50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196,876,154.17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578,676,361.40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92,186,073.21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53,682,695.22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103,682,318.66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191,464,753.74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283,650,826.95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532,365,013.88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-86,774,672.78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46,311,347.52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58,821,004.04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58,821,004.04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262,524,461.70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2,071,871.60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264,596,333.30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-264,596,333.30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51,753,004.04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-434,972,603.15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1,470,097,407.48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1,874,015,546.76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403,918,139.28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1,439,042,943.61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1,874,015,546.76</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02" behindDoc="0" locked="0" layoutInCell="1" allowOverlap="1">
                <wp:simplePos x="0" y="0"/>
                <wp:positionH relativeFrom="page">
                  <wp:posOffset>701040</wp:posOffset>
                </wp:positionH>
                <wp:positionV relativeFrom="margin">
                  <wp:posOffset>4404360</wp:posOffset>
                </wp:positionV>
                <wp:extent cx="1054735" cy="149225"/>
                <wp:wrapTopAndBottom/>
                <wp:docPr id="47" name="Shape 4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wps:txbx>
                      <wps:bodyPr wrap="none" lIns="0" tIns="0" rIns="0" bIns="0">
                        <a:noAutoFit/>
                      </wps:bodyPr>
                    </wps:wsp>
                  </a:graphicData>
                </a:graphic>
              </wp:anchor>
            </w:drawing>
          </mc:Choice>
          <mc:Fallback>
            <w:pict>
              <v:shape id="_x0000_s1073" type="#_x0000_t202" style="position:absolute;margin-left:55.200000000000003pt;margin-top:346.80000000000001pt;width:83.049999999999997pt;height:11.75pt;z-index:-125829351;mso-wrap-distance-left:9.pt;mso-wrap-distance-top:11.pt;mso-wrap-distance-right:405.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v:textbox>
                <w10:wrap type="topAndBottom" anchorx="page" anchory="margin"/>
              </v:shape>
            </w:pict>
          </mc:Fallback>
        </mc:AlternateContent>
      </w:r>
      <w:r>
        <mc:AlternateContent>
          <mc:Choice Requires="wps">
            <w:drawing>
              <wp:anchor distT="139700" distB="3175" distL="2348230" distR="2574290" simplePos="0" relativeHeight="125829404" behindDoc="0" locked="0" layoutInCell="1" allowOverlap="1">
                <wp:simplePos x="0" y="0"/>
                <wp:positionH relativeFrom="page">
                  <wp:posOffset>2934970</wp:posOffset>
                </wp:positionH>
                <wp:positionV relativeFrom="margin">
                  <wp:posOffset>4404360</wp:posOffset>
                </wp:positionV>
                <wp:extent cx="1393190" cy="146050"/>
                <wp:wrapTopAndBottom/>
                <wp:docPr id="49" name="Shape 4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wps:txbx>
                      <wps:bodyPr wrap="none" lIns="0" tIns="0" rIns="0" bIns="0">
                        <a:noAutoFit/>
                      </wps:bodyPr>
                    </wps:wsp>
                  </a:graphicData>
                </a:graphic>
              </wp:anchor>
            </w:drawing>
          </mc:Choice>
          <mc:Fallback>
            <w:pict>
              <v:shape id="_x0000_s1075" type="#_x0000_t202" style="position:absolute;margin-left:231.09999999999999pt;margin-top:346.80000000000001pt;width:109.7pt;height:11.5pt;z-index:-125829349;mso-wrap-distance-left:184.90000000000001pt;mso-wrap-distance-top:11.pt;mso-wrap-distance-right:202.70000000000002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v:textbox>
                <w10:wrap type="topAndBottom" anchorx="page" anchory="margin"/>
              </v:shape>
            </w:pict>
          </mc:Fallback>
        </mc:AlternateContent>
      </w:r>
      <w:r>
        <mc:AlternateContent>
          <mc:Choice Requires="wps">
            <w:drawing>
              <wp:anchor distT="139700" distB="0" distL="4914900" distR="114300" simplePos="0" relativeHeight="125829406" behindDoc="0" locked="0" layoutInCell="1" allowOverlap="1">
                <wp:simplePos x="0" y="0"/>
                <wp:positionH relativeFrom="page">
                  <wp:posOffset>5501640</wp:posOffset>
                </wp:positionH>
                <wp:positionV relativeFrom="margin">
                  <wp:posOffset>4404360</wp:posOffset>
                </wp:positionV>
                <wp:extent cx="1286510" cy="149225"/>
                <wp:wrapTopAndBottom/>
                <wp:docPr id="51" name="Shape 5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wps:txbx>
                      <wps:bodyPr wrap="none" lIns="0" tIns="0" rIns="0" bIns="0">
                        <a:noAutoFit/>
                      </wps:bodyPr>
                    </wps:wsp>
                  </a:graphicData>
                </a:graphic>
              </wp:anchor>
            </w:drawing>
          </mc:Choice>
          <mc:Fallback>
            <w:pict>
              <v:shape id="_x0000_s1077" type="#_x0000_t202" style="position:absolute;margin-left:433.19999999999999pt;margin-top:346.80000000000001pt;width:101.3pt;height:11.75pt;z-index:-125829347;mso-wrap-distance-left:387.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v:textbox>
                <w10:wrap type="topAndBottom" anchorx="page" anchory="margin"/>
              </v:shape>
            </w:pict>
          </mc:Fallback>
        </mc:AlternateContent>
      </w: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6</w:t>
      </w:r>
      <w:bookmarkEnd w:id="758"/>
      <w:r>
        <w:rPr>
          <w:color w:val="000000"/>
          <w:spacing w:val="0"/>
          <w:w w:val="100"/>
          <w:position w:val="0"/>
        </w:rPr>
        <w:t>、母公司现金流量表</w:t>
      </w:r>
      <w:bookmarkEnd w:id="756"/>
      <w:bookmarkEnd w:id="757"/>
      <w:bookmarkEnd w:id="75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1,281,531,793.33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3,379,789,585.94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117,593,609.97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24,029,871.72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50,159,606.42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189,695,173.58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1,449,285,009.72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3,593,514,631.24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928,429,798.42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1,396,385,075.80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198,762,975.25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212,849,785.74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270,801,418.86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292,514,565.40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110,691,950.99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327,942,255.82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1,508,686,143.52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2,229,691,682.76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-59,401,133.80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1,363,822,948.48</w:t>
            </w: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408" behindDoc="0" locked="0" layoutInCell="1" allowOverlap="1">
                <wp:simplePos x="0" y="0"/>
                <wp:positionH relativeFrom="page">
                  <wp:posOffset>723900</wp:posOffset>
                </wp:positionH>
                <wp:positionV relativeFrom="margin">
                  <wp:posOffset>8345170</wp:posOffset>
                </wp:positionV>
                <wp:extent cx="1054735" cy="149225"/>
                <wp:wrapTopAndBottom/>
                <wp:docPr id="53" name="Shape 5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wps:txbx>
                      <wps:bodyPr wrap="none" lIns="0" tIns="0" rIns="0" bIns="0">
                        <a:noAutoFit/>
                      </wps:bodyPr>
                    </wps:wsp>
                  </a:graphicData>
                </a:graphic>
              </wp:anchor>
            </w:drawing>
          </mc:Choice>
          <mc:Fallback>
            <w:pict>
              <v:shape id="_x0000_s1079" type="#_x0000_t202" style="position:absolute;margin-left:57.pt;margin-top:657.10000000000002pt;width:83.049999999999997pt;height:11.75pt;z-index:-125829345;mso-wrap-distance-left:9.pt;mso-wrap-distance-top:12.pt;mso-wrap-distance-right:405.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v:textbox>
                <w10:wrap type="topAndBottom" anchorx="page" anchory="margin"/>
              </v:shape>
            </w:pict>
          </mc:Fallback>
        </mc:AlternateContent>
      </w:r>
      <w:r>
        <mc:AlternateContent>
          <mc:Choice Requires="wps">
            <w:drawing>
              <wp:anchor distT="152400" distB="3175" distL="2348230" distR="2574290" simplePos="0" relativeHeight="125829410" behindDoc="0" locked="0" layoutInCell="1" allowOverlap="1">
                <wp:simplePos x="0" y="0"/>
                <wp:positionH relativeFrom="page">
                  <wp:posOffset>2957830</wp:posOffset>
                </wp:positionH>
                <wp:positionV relativeFrom="margin">
                  <wp:posOffset>8345170</wp:posOffset>
                </wp:positionV>
                <wp:extent cx="1393190" cy="146050"/>
                <wp:wrapTopAndBottom/>
                <wp:docPr id="55" name="Shape 5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wps:txbx>
                      <wps:bodyPr wrap="none" lIns="0" tIns="0" rIns="0" bIns="0">
                        <a:noAutoFit/>
                      </wps:bodyPr>
                    </wps:wsp>
                  </a:graphicData>
                </a:graphic>
              </wp:anchor>
            </w:drawing>
          </mc:Choice>
          <mc:Fallback>
            <w:pict>
              <v:shape id="_x0000_s1081" type="#_x0000_t202" style="position:absolute;margin-left:232.90000000000001pt;margin-top:657.10000000000002pt;width:109.7pt;height:11.5pt;z-index:-125829343;mso-wrap-distance-left:184.90000000000001pt;mso-wrap-distance-top:12.pt;mso-wrap-distance-right:202.70000000000002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v:textbox>
                <w10:wrap type="topAndBottom" anchorx="page" anchory="margin"/>
              </v:shape>
            </w:pict>
          </mc:Fallback>
        </mc:AlternateContent>
      </w:r>
      <w:r>
        <mc:AlternateContent>
          <mc:Choice Requires="wps">
            <w:drawing>
              <wp:anchor distT="152400" distB="0" distL="4914900" distR="114300" simplePos="0" relativeHeight="125829412" behindDoc="0" locked="0" layoutInCell="1" allowOverlap="1">
                <wp:simplePos x="0" y="0"/>
                <wp:positionH relativeFrom="page">
                  <wp:posOffset>5524500</wp:posOffset>
                </wp:positionH>
                <wp:positionV relativeFrom="margin">
                  <wp:posOffset>8345170</wp:posOffset>
                </wp:positionV>
                <wp:extent cx="1286510" cy="149225"/>
                <wp:wrapTopAndBottom/>
                <wp:docPr id="57" name="Shape 5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wps:txbx>
                      <wps:bodyPr wrap="none" lIns="0" tIns="0" rIns="0" bIns="0">
                        <a:noAutoFit/>
                      </wps:bodyPr>
                    </wps:wsp>
                  </a:graphicData>
                </a:graphic>
              </wp:anchor>
            </w:drawing>
          </mc:Choice>
          <mc:Fallback>
            <w:pict>
              <v:shape id="_x0000_s1083" type="#_x0000_t202" style="position:absolute;margin-left:435.pt;margin-top:657.10000000000002pt;width:101.3pt;height:11.75pt;z-index:-125829341;mso-wrap-distance-left:387.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5,131,540.50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1,543,808.23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1,866,326.33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6,997,867.83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181,588,778.23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27,508,877.63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14,485,007.29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103,682,318.66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30,508,877.63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253,167,325.95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-23,511,009.80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-71,578,547.72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58,821,004.04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58,821,004.04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262,524,461.70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7,068,000.00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2,071,871.60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264,596,333.30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7,068,000.00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-264,596,333.30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51,753,004.04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-347,462,517.53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1,343,996,515.21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1,649,265,463.64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305,268,948.43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1,301,802,946.11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1,649,265,463.64</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7</w:t>
      </w:r>
      <w:bookmarkEnd w:id="762"/>
      <w:r>
        <w:rPr>
          <w:color w:val="000000"/>
          <w:spacing w:val="0"/>
          <w:w w:val="100"/>
          <w:position w:val="0"/>
        </w:rPr>
        <w:t>、合并所有者权益变动表</w:t>
      </w:r>
      <w:bookmarkEnd w:id="760"/>
      <w:bookmarkEnd w:id="761"/>
      <w:bookmarkEnd w:id="76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w:t>
            </w:r>
          </w:p>
        </w:tc>
      </w:tr>
      <w:tr>
        <w:trPr>
          <w:trHeight w:val="240"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654,23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8,629.</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665,60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w:t>
            </w:r>
          </w:p>
        </w:tc>
      </w:tr>
      <w:tr>
        <w:trPr>
          <w:trHeight w:val="240"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654,23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8,629.</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665,60</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437"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467,88</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477,82</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r>
      <w:tr>
        <w:trPr>
          <w:trHeight w:val="139"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752.60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595"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630,63</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640,45</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-1,677,</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009.27</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92,064</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r>
      <w:tr>
        <w:trPr>
          <w:trHeight w:val="144" w:hRule="exact"/>
        </w:trPr>
        <w:tc>
          <w:tcPr>
            <w:vMerge w:val="restart"/>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,243.3</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,720.0</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22,392</w:t>
            </w:r>
          </w:p>
        </w:tc>
      </w:tr>
      <w:tr>
        <w:trPr>
          <w:trHeight w:val="154" w:hRule="exact"/>
        </w:trPr>
        <w:tc>
          <w:tcPr>
            <w:vMerge w:val="restart"/>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093.44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63,672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9,080</w:t>
            </w:r>
          </w:p>
          <w:p>
            <w:pPr>
              <w:pStyle w:val="Style2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9,080.</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9,080</w:t>
            </w:r>
          </w:p>
          <w:p>
            <w:pPr>
              <w:pStyle w:val="Style27"/>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9,080.</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711,17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9,822,</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630,15</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215,95</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999,543</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019.02</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-9,406,</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999,543</w:t>
            </w:r>
          </w:p>
        </w:tc>
      </w:tr>
      <w:tr>
        <w:trPr>
          <w:trHeight w:val="154" w:hRule="exact"/>
        </w:trPr>
        <w:tc>
          <w:tcPr>
            <w:vMerge w:val="restart"/>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949,28</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019.02</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49"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81,610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,854.2</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58,821</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854,64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891,122</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610.75</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,335.07</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875,26</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872,682</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610.75</w:t>
            </w: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,323.89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 投入和减少资</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81,610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58,821</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25,508,</w:t>
            </w:r>
          </w:p>
        </w:tc>
      </w:tr>
      <w:tr>
        <w:trPr>
          <w:trHeight w:val="149"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011.18</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56,102</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58,821</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25,508</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-20,61</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711,76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-11,988</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14" behindDoc="0" locked="0" layoutInCell="1" allowOverlap="1">
                <wp:simplePos x="0" y="0"/>
                <wp:positionH relativeFrom="page">
                  <wp:posOffset>701040</wp:posOffset>
                </wp:positionH>
                <wp:positionV relativeFrom="margin">
                  <wp:posOffset>914400</wp:posOffset>
                </wp:positionV>
                <wp:extent cx="1054735" cy="149225"/>
                <wp:wrapTopAndBottom/>
                <wp:docPr id="59" name="Shape 5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wps:txbx>
                      <wps:bodyPr wrap="none" lIns="0" tIns="0" rIns="0" bIns="0">
                        <a:noAutoFit/>
                      </wps:bodyPr>
                    </wps:wsp>
                  </a:graphicData>
                </a:graphic>
              </wp:anchor>
            </w:drawing>
          </mc:Choice>
          <mc:Fallback>
            <w:pict>
              <v:shape id="_x0000_s1085" type="#_x0000_t202" style="position:absolute;margin-left:55.200000000000003pt;margin-top:72.pt;width:83.049999999999997pt;height:11.75pt;z-index:-125829339;mso-wrap-distance-left:9.pt;mso-wrap-distance-top:11.pt;mso-wrap-distance-right:405.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法定代表人：罗瑞发</w:t>
                      </w:r>
                    </w:p>
                  </w:txbxContent>
                </v:textbox>
                <w10:wrap type="topAndBottom" anchorx="page" anchory="margin"/>
              </v:shape>
            </w:pict>
          </mc:Fallback>
        </mc:AlternateContent>
      </w:r>
      <w:r>
        <mc:AlternateContent>
          <mc:Choice Requires="wps">
            <w:drawing>
              <wp:anchor distT="139700" distB="3175" distL="2348230" distR="2574290" simplePos="0" relativeHeight="125829416" behindDoc="0" locked="0" layoutInCell="1" allowOverlap="1">
                <wp:simplePos x="0" y="0"/>
                <wp:positionH relativeFrom="page">
                  <wp:posOffset>2934970</wp:posOffset>
                </wp:positionH>
                <wp:positionV relativeFrom="margin">
                  <wp:posOffset>914400</wp:posOffset>
                </wp:positionV>
                <wp:extent cx="1393190" cy="146050"/>
                <wp:wrapTopAndBottom/>
                <wp:docPr id="61" name="Shape 6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wps:txbx>
                      <wps:bodyPr wrap="none" lIns="0" tIns="0" rIns="0" bIns="0">
                        <a:noAutoFit/>
                      </wps:bodyPr>
                    </wps:wsp>
                  </a:graphicData>
                </a:graphic>
              </wp:anchor>
            </w:drawing>
          </mc:Choice>
          <mc:Fallback>
            <w:pict>
              <v:shape id="_x0000_s1087" type="#_x0000_t202" style="position:absolute;margin-left:231.09999999999999pt;margin-top:72.pt;width:109.7pt;height:11.5pt;z-index:-125829337;mso-wrap-distance-left:184.90000000000001pt;mso-wrap-distance-top:11.pt;mso-wrap-distance-right:202.70000000000002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主管会计工作负责人：聂磊</w:t>
                      </w:r>
                    </w:p>
                  </w:txbxContent>
                </v:textbox>
                <w10:wrap type="topAndBottom" anchorx="page" anchory="margin"/>
              </v:shape>
            </w:pict>
          </mc:Fallback>
        </mc:AlternateContent>
      </w:r>
      <w:r>
        <mc:AlternateContent>
          <mc:Choice Requires="wps">
            <w:drawing>
              <wp:anchor distT="139700" distB="0" distL="4914900" distR="114300" simplePos="0" relativeHeight="125829418" behindDoc="0" locked="0" layoutInCell="1" allowOverlap="1">
                <wp:simplePos x="0" y="0"/>
                <wp:positionH relativeFrom="page">
                  <wp:posOffset>5501640</wp:posOffset>
                </wp:positionH>
                <wp:positionV relativeFrom="margin">
                  <wp:posOffset>914400</wp:posOffset>
                </wp:positionV>
                <wp:extent cx="1286510" cy="149225"/>
                <wp:wrapTopAndBottom/>
                <wp:docPr id="63" name="Shape 6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wps:txbx>
                      <wps:bodyPr wrap="none" lIns="0" tIns="0" rIns="0" bIns="0">
                        <a:noAutoFit/>
                      </wps:bodyPr>
                    </wps:wsp>
                  </a:graphicData>
                </a:graphic>
              </wp:anchor>
            </w:drawing>
          </mc:Choice>
          <mc:Fallback>
            <w:pict>
              <v:shape id="_x0000_s1089" type="#_x0000_t202" style="position:absolute;margin-left:433.19999999999999pt;margin-top:72.pt;width:101.3pt;height:11.75pt;z-index:-125829335;mso-wrap-distance-left:387.pt;mso-wrap-distance-top:11.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会计机构负责人：蔡伟明</w:t>
                      </w:r>
                    </w:p>
                  </w:txbxContent>
                </v:textbox>
                <w10:wrap type="topAndBottom" anchorx="page" anchory="margin"/>
              </v:shape>
            </w:pict>
          </mc:Fallback>
        </mc:AlternateContent>
      </w: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8</w:t>
      </w:r>
      <w:bookmarkEnd w:id="766"/>
      <w:r>
        <w:rPr>
          <w:color w:val="000000"/>
          <w:spacing w:val="0"/>
          <w:w w:val="100"/>
          <w:position w:val="0"/>
        </w:rPr>
        <w:t>、母公司所有者权益变动表</w:t>
      </w:r>
      <w:bookmarkEnd w:id="764"/>
      <w:bookmarkEnd w:id="765"/>
      <w:bookmarkEnd w:id="76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120,51</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8,161.0</w:t>
            </w:r>
          </w:p>
          <w:p>
            <w:pPr>
              <w:pStyle w:val="Style2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710,722,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60,259,0</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1,104,7</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81,256.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120,51</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8,161.0</w:t>
            </w:r>
          </w:p>
          <w:p>
            <w:pPr>
              <w:pStyle w:val="Style2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710,722,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60,259,0</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1,104,7</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81,256.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60,117,</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30,058,9</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326,16</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458,107,1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4,004.5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-141,14</w:t>
            </w:r>
          </w:p>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61,777,2</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92,064,72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-141,14</w:t>
            </w:r>
          </w:p>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63,672,3</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63,672,33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30,058,9</w:t>
            </w:r>
          </w:p>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-292,58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3,429.7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30,058,9</w:t>
            </w:r>
          </w:p>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-30,058</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-262,52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4,461.7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-60,259,</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60,259,</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-60,259,</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180,63</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712,240,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891.17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28,392,3</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90,318,0</w:t>
            </w:r>
          </w:p>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41,831.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2,395,567,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1714"/>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股</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52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1,040,267,6</w:t>
            </w:r>
          </w:p>
        </w:tc>
      </w:tr>
      <w:tr>
        <w:trPr>
          <w:trHeight w:val="499"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06.09</w:t>
            </w:r>
          </w:p>
        </w:tc>
      </w:tr>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1,040,267,6</w:t>
            </w:r>
          </w:p>
        </w:tc>
      </w:tr>
      <w:tr>
        <w:trPr>
          <w:trHeight w:val="499"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06.09</w:t>
            </w:r>
          </w:p>
        </w:tc>
      </w:tr>
      <w:tr>
        <w:trPr>
          <w:trHeight w:val="52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897,192,61</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854.22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878,752,60</w:t>
            </w:r>
          </w:p>
        </w:tc>
      </w:tr>
      <w:tr>
        <w:trPr>
          <w:trHeight w:val="346"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25,508,011.</w:t>
            </w:r>
          </w:p>
        </w:tc>
      </w:tr>
      <w:tr>
        <w:trPr>
          <w:trHeight w:val="346"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854.22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843.04</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25,508,</w:t>
            </w:r>
          </w:p>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25,508,011.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7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-7,068,000.</w:t>
            </w:r>
          </w:p>
        </w:tc>
      </w:tr>
      <w:tr>
        <w:trPr>
          <w:trHeight w:val="350"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120,51</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w:t>
            </w:r>
          </w:p>
          <w:p>
            <w:pPr>
              <w:pStyle w:val="Style27"/>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710,722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1,937,460,2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w:t>
            </w:r>
          </w:p>
        </w:tc>
      </w:tr>
    </w:tbl>
    <w:p>
      <w:pPr>
        <w:widowControl w:val="0"/>
        <w:spacing w:after="239" w:line="1" w:lineRule="exact"/>
      </w:pPr>
    </w:p>
    <w:p>
      <w:pPr>
        <w:pStyle w:val="Style34"/>
        <w:keepNext w:val="0"/>
        <w:keepLines w:val="0"/>
        <w:widowControl w:val="0"/>
        <w:shd w:val="clear" w:color="auto" w:fill="auto"/>
        <w:tabs>
          <w:tab w:pos="3514" w:val="left"/>
          <w:tab w:pos="7555" w:val="left"/>
        </w:tabs>
        <w:bidi w:val="0"/>
        <w:spacing w:before="0" w:after="320" w:line="310" w:lineRule="exact"/>
        <w:ind w:left="0" w:right="0" w:firstLine="0"/>
        <w:jc w:val="left"/>
      </w:pPr>
      <w:r>
        <w:rPr>
          <w:color w:val="000000"/>
          <w:spacing w:val="0"/>
          <w:w w:val="100"/>
          <w:position w:val="0"/>
        </w:rPr>
        <w:t>法定代表人：罗瑞发</w:t>
        <w:tab/>
        <w:t>主管会计工作负责人：聂磊</w:t>
        <w:tab/>
        <w:t>会计机构负责人：蔡伟明</w:t>
      </w:r>
    </w:p>
    <w:p>
      <w:pPr>
        <w:pStyle w:val="Style30"/>
        <w:keepNext/>
        <w:keepLines/>
        <w:widowControl w:val="0"/>
        <w:shd w:val="clear" w:color="auto" w:fill="auto"/>
        <w:bidi w:val="0"/>
        <w:spacing w:before="0" w:after="24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4"/>
          <w:szCs w:val="24"/>
        </w:rPr>
        <w:t>三</w:t>
      </w:r>
      <w:bookmarkEnd w:id="770"/>
      <w:r>
        <w:rPr>
          <w:color w:val="000000"/>
          <w:spacing w:val="0"/>
          <w:w w:val="100"/>
          <w:position w:val="0"/>
          <w:sz w:val="24"/>
          <w:szCs w:val="24"/>
        </w:rPr>
        <w:t>、公司基本情况</w:t>
      </w:r>
      <w:bookmarkEnd w:id="768"/>
      <w:bookmarkEnd w:id="769"/>
      <w:bookmarkEnd w:id="771"/>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深圳市金溢科技股份有限公司（以下简称公司或本公司）前身系原深圳市金溢科技有限公司（以下简称金溢有限公司）， 金溢有限公司系由深圳市金溢实业有限公司和广州市立尊电子科技有限公司共同出资组建，于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日在深圳市工商 行政管理局登记注册，金溢有限公司以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日为基准日，整体变更为股份有限公司，于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日在深圳市市 场监督管理局登记注册，总部位于广东省深圳市。公司现持有统一社会信用代码为</w:t>
      </w:r>
      <w:r>
        <w:rPr>
          <w:rFonts w:ascii="Times New Roman" w:eastAsia="Times New Roman" w:hAnsi="Times New Roman" w:cs="Times New Roman"/>
          <w:color w:val="000000"/>
          <w:spacing w:val="0"/>
          <w:w w:val="100"/>
          <w:position w:val="0"/>
          <w:sz w:val="18"/>
          <w:szCs w:val="18"/>
        </w:rPr>
        <w:t>91440300761987321E</w:t>
      </w:r>
      <w:r>
        <w:rPr>
          <w:color w:val="000000"/>
          <w:spacing w:val="0"/>
          <w:w w:val="100"/>
          <w:position w:val="0"/>
        </w:rPr>
        <w:t>的营业执照，注册 资本</w:t>
      </w:r>
      <w:r>
        <w:rPr>
          <w:rFonts w:ascii="Times New Roman" w:eastAsia="Times New Roman" w:hAnsi="Times New Roman" w:cs="Times New Roman"/>
          <w:color w:val="000000"/>
          <w:spacing w:val="0"/>
          <w:w w:val="100"/>
          <w:position w:val="0"/>
          <w:sz w:val="18"/>
          <w:szCs w:val="18"/>
        </w:rPr>
        <w:t>180,636,097.00</w:t>
      </w:r>
      <w:r>
        <w:rPr>
          <w:color w:val="000000"/>
          <w:spacing w:val="0"/>
          <w:w w:val="100"/>
          <w:position w:val="0"/>
        </w:rPr>
        <w:t>元，股份总数</w:t>
      </w:r>
      <w:r>
        <w:rPr>
          <w:rFonts w:ascii="Times New Roman" w:eastAsia="Times New Roman" w:hAnsi="Times New Roman" w:cs="Times New Roman"/>
          <w:color w:val="000000"/>
          <w:spacing w:val="0"/>
          <w:w w:val="100"/>
          <w:position w:val="0"/>
          <w:sz w:val="18"/>
          <w:szCs w:val="18"/>
        </w:rPr>
        <w:t>180,636,097</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31,467,227</w:t>
      </w:r>
      <w:r>
        <w:rPr>
          <w:color w:val="000000"/>
          <w:spacing w:val="0"/>
          <w:w w:val="100"/>
          <w:position w:val="0"/>
        </w:rPr>
        <w:t>股；无限售 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149,168,870</w:t>
      </w:r>
      <w:r>
        <w:rPr>
          <w:color w:val="000000"/>
          <w:spacing w:val="0"/>
          <w:w w:val="100"/>
          <w:position w:val="0"/>
        </w:rPr>
        <w:t>股。公司股票已于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日在深圳证券交易所挂牌交易。</w:t>
      </w:r>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本公司属计算机、通讯和其他电子设备制造行业。主要经营活动为无线收发设备、智能终端设备、网络与电子通信产品、 软件产品、计算机与电子信息的技术开发、设计、生产、销售、安装、技术服务及技术咨询。主要产品：车载电子标签（以 下简称</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color w:val="000000"/>
          <w:spacing w:val="0"/>
          <w:w w:val="100"/>
          <w:position w:val="0"/>
        </w:rPr>
        <w:t>微波读写天线（以下简称</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技术或</w:t>
      </w:r>
      <w:r>
        <w:rPr>
          <w:rFonts w:ascii="Times New Roman" w:eastAsia="Times New Roman" w:hAnsi="Times New Roman" w:cs="Times New Roman"/>
          <w:color w:val="000000"/>
          <w:spacing w:val="0"/>
          <w:w w:val="100"/>
          <w:position w:val="0"/>
          <w:sz w:val="18"/>
          <w:szCs w:val="18"/>
        </w:rPr>
        <w:t xml:space="preserve">ETC </w:t>
      </w:r>
      <w:r>
        <w:rPr>
          <w:color w:val="000000"/>
          <w:spacing w:val="0"/>
          <w:w w:val="100"/>
          <w:position w:val="0"/>
        </w:rPr>
        <w:t>（电子不停车收费系统）技术平台的路径识别产品 和手持终端设备。</w:t>
      </w:r>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日第三届董事会第十一次会议批准对外报出。</w:t>
      </w:r>
    </w:p>
    <w:p>
      <w:pPr>
        <w:pStyle w:val="Style34"/>
        <w:keepNext w:val="0"/>
        <w:keepLines w:val="0"/>
        <w:widowControl w:val="0"/>
        <w:shd w:val="clear" w:color="auto" w:fill="auto"/>
        <w:bidi w:val="0"/>
        <w:spacing w:before="0" w:after="240" w:line="310" w:lineRule="exact"/>
        <w:ind w:left="0" w:right="0"/>
        <w:jc w:val="left"/>
      </w:pPr>
      <w:r>
        <w:rPr>
          <w:color w:val="000000"/>
          <w:spacing w:val="0"/>
          <w:w w:val="100"/>
          <w:position w:val="0"/>
        </w:rPr>
        <w:t>本公司将北京中交金溢科技有限公司、青岛金溢科技有限公司、广东华信金溢信息技术有限公司、佛山金溢科技有限公 司、无锡金溢科技有限公司和福建金溢科技有限公司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家子公司纳入本期合并财务报表范围，情况详见本节财务报告附注八 和九之说明。</w:t>
      </w:r>
    </w:p>
    <w:p>
      <w:pPr>
        <w:pStyle w:val="Style30"/>
        <w:keepNext/>
        <w:keepLines/>
        <w:widowControl w:val="0"/>
        <w:shd w:val="clear" w:color="auto" w:fill="auto"/>
        <w:tabs>
          <w:tab w:pos="498" w:val="left"/>
        </w:tabs>
        <w:bidi w:val="0"/>
        <w:spacing w:before="0" w:after="380" w:line="240" w:lineRule="auto"/>
        <w:ind w:left="0" w:right="0" w:firstLine="0"/>
        <w:jc w:val="both"/>
      </w:pPr>
      <w:bookmarkStart w:id="772" w:name="bookmark772"/>
      <w:bookmarkStart w:id="773" w:name="bookmark773"/>
      <w:bookmarkStart w:id="774" w:name="bookmark774"/>
      <w:bookmarkStart w:id="775" w:name="bookmark775"/>
      <w:r>
        <w:rPr>
          <w:color w:val="000000"/>
          <w:spacing w:val="0"/>
          <w:w w:val="100"/>
          <w:position w:val="0"/>
          <w:sz w:val="24"/>
          <w:szCs w:val="24"/>
        </w:rPr>
        <w:t>四</w:t>
      </w:r>
      <w:bookmarkEnd w:id="774"/>
      <w:r>
        <w:rPr>
          <w:color w:val="000000"/>
          <w:spacing w:val="0"/>
          <w:w w:val="100"/>
          <w:position w:val="0"/>
          <w:sz w:val="24"/>
          <w:szCs w:val="24"/>
        </w:rPr>
        <w:t>、</w:t>
        <w:tab/>
        <w:t>财务报表的编制基础</w:t>
      </w:r>
      <w:bookmarkEnd w:id="772"/>
      <w:bookmarkEnd w:id="773"/>
      <w:bookmarkEnd w:id="775"/>
    </w:p>
    <w:p>
      <w:pPr>
        <w:pStyle w:val="Style37"/>
        <w:keepNext/>
        <w:keepLines/>
        <w:widowControl w:val="0"/>
        <w:shd w:val="clear" w:color="auto" w:fill="auto"/>
        <w:tabs>
          <w:tab w:pos="368" w:val="left"/>
        </w:tabs>
        <w:bidi w:val="0"/>
        <w:spacing w:before="0" w:after="260" w:line="240" w:lineRule="auto"/>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color w:val="000000"/>
          <w:spacing w:val="0"/>
          <w:w w:val="100"/>
          <w:position w:val="0"/>
        </w:rPr>
        <w:t>、</w:t>
        <w:tab/>
        <w:t>编制基础</w:t>
      </w:r>
      <w:bookmarkEnd w:id="776"/>
      <w:bookmarkEnd w:id="777"/>
      <w:bookmarkEnd w:id="779"/>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本公司财务报表以持续经营为编制基础。</w:t>
      </w:r>
    </w:p>
    <w:p>
      <w:pPr>
        <w:pStyle w:val="Style37"/>
        <w:keepNext/>
        <w:keepLines/>
        <w:widowControl w:val="0"/>
        <w:shd w:val="clear" w:color="auto" w:fill="auto"/>
        <w:tabs>
          <w:tab w:pos="378" w:val="left"/>
        </w:tabs>
        <w:bidi w:val="0"/>
        <w:spacing w:before="0" w:after="260" w:line="240"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2</w:t>
      </w:r>
      <w:bookmarkEnd w:id="782"/>
      <w:r>
        <w:rPr>
          <w:color w:val="000000"/>
          <w:spacing w:val="0"/>
          <w:w w:val="100"/>
          <w:position w:val="0"/>
        </w:rPr>
        <w:t>、</w:t>
        <w:tab/>
        <w:t>持续经营</w:t>
      </w:r>
      <w:bookmarkEnd w:id="780"/>
      <w:bookmarkEnd w:id="781"/>
      <w:bookmarkEnd w:id="783"/>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个月内的持续经营假设产生重大疑虑的事项或情况。</w:t>
      </w:r>
    </w:p>
    <w:p>
      <w:pPr>
        <w:pStyle w:val="Style30"/>
        <w:keepNext/>
        <w:keepLines/>
        <w:widowControl w:val="0"/>
        <w:shd w:val="clear" w:color="auto" w:fill="auto"/>
        <w:tabs>
          <w:tab w:pos="517" w:val="left"/>
        </w:tabs>
        <w:bidi w:val="0"/>
        <w:spacing w:before="0" w:after="26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sz w:val="24"/>
          <w:szCs w:val="24"/>
        </w:rPr>
        <w:t>五</w:t>
      </w:r>
      <w:bookmarkEnd w:id="786"/>
      <w:r>
        <w:rPr>
          <w:color w:val="000000"/>
          <w:spacing w:val="0"/>
          <w:w w:val="100"/>
          <w:position w:val="0"/>
          <w:sz w:val="24"/>
          <w:szCs w:val="24"/>
        </w:rPr>
        <w:t>、</w:t>
        <w:tab/>
        <w:t>重要会计政策及会计估计</w:t>
      </w:r>
      <w:bookmarkEnd w:id="784"/>
      <w:bookmarkEnd w:id="785"/>
      <w:bookmarkEnd w:id="787"/>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重要提示：本公司根据实际生产经营特点针对金融工具减值、固定资产折旧、无形资产摊销、收入确认等交易或事项 制定了具体会计政策和会计估计。</w:t>
      </w:r>
    </w:p>
    <w:p>
      <w:pPr>
        <w:pStyle w:val="Style37"/>
        <w:keepNext/>
        <w:keepLines/>
        <w:widowControl w:val="0"/>
        <w:shd w:val="clear" w:color="auto" w:fill="auto"/>
        <w:tabs>
          <w:tab w:pos="368" w:val="left"/>
        </w:tabs>
        <w:bidi w:val="0"/>
        <w:spacing w:before="0" w:after="26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color w:val="000000"/>
          <w:spacing w:val="0"/>
          <w:w w:val="100"/>
          <w:position w:val="0"/>
        </w:rPr>
        <w:t>、</w:t>
        <w:tab/>
        <w:t>遵循企业会计准则的声明</w:t>
      </w:r>
      <w:bookmarkEnd w:id="788"/>
      <w:bookmarkEnd w:id="789"/>
      <w:bookmarkEnd w:id="791"/>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本公司所编制的财务报表符合企业会计准则的要求，真实、完整地反映了公司的财务状况、经营成果和现金流量等有 关信息。</w:t>
      </w:r>
    </w:p>
    <w:p>
      <w:pPr>
        <w:pStyle w:val="Style37"/>
        <w:keepNext/>
        <w:keepLines/>
        <w:widowControl w:val="0"/>
        <w:shd w:val="clear" w:color="auto" w:fill="auto"/>
        <w:tabs>
          <w:tab w:pos="378" w:val="left"/>
        </w:tabs>
        <w:bidi w:val="0"/>
        <w:spacing w:before="0" w:after="26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2</w:t>
      </w:r>
      <w:bookmarkEnd w:id="794"/>
      <w:r>
        <w:rPr>
          <w:color w:val="000000"/>
          <w:spacing w:val="0"/>
          <w:w w:val="100"/>
          <w:position w:val="0"/>
        </w:rPr>
        <w:t>、</w:t>
        <w:tab/>
        <w:t>会计期间</w:t>
      </w:r>
      <w:bookmarkEnd w:id="792"/>
      <w:bookmarkEnd w:id="793"/>
      <w:bookmarkEnd w:id="795"/>
    </w:p>
    <w:p>
      <w:pPr>
        <w:pStyle w:val="Style34"/>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378" w:val="left"/>
        </w:tabs>
        <w:bidi w:val="0"/>
        <w:spacing w:before="0" w:after="26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3</w:t>
      </w:r>
      <w:bookmarkEnd w:id="798"/>
      <w:r>
        <w:rPr>
          <w:color w:val="000000"/>
          <w:spacing w:val="0"/>
          <w:w w:val="100"/>
          <w:position w:val="0"/>
        </w:rPr>
        <w:t>、</w:t>
        <w:tab/>
        <w:t>营业周期</w:t>
      </w:r>
      <w:bookmarkEnd w:id="796"/>
      <w:bookmarkEnd w:id="797"/>
      <w:bookmarkEnd w:id="799"/>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37"/>
        <w:keepNext/>
        <w:keepLines/>
        <w:widowControl w:val="0"/>
        <w:shd w:val="clear" w:color="auto" w:fill="auto"/>
        <w:tabs>
          <w:tab w:pos="378" w:val="left"/>
        </w:tabs>
        <w:bidi w:val="0"/>
        <w:spacing w:before="0" w:after="26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4</w:t>
      </w:r>
      <w:bookmarkEnd w:id="802"/>
      <w:r>
        <w:rPr>
          <w:color w:val="000000"/>
          <w:spacing w:val="0"/>
          <w:w w:val="100"/>
          <w:position w:val="0"/>
        </w:rPr>
        <w:t>、</w:t>
        <w:tab/>
        <w:t>记账本位币</w:t>
      </w:r>
      <w:bookmarkEnd w:id="800"/>
      <w:bookmarkEnd w:id="801"/>
      <w:bookmarkEnd w:id="803"/>
    </w:p>
    <w:p>
      <w:pPr>
        <w:pStyle w:val="Style3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采用人民币为记账本位币。</w:t>
      </w:r>
    </w:p>
    <w:p>
      <w:pPr>
        <w:pStyle w:val="Style37"/>
        <w:keepNext/>
        <w:keepLines/>
        <w:widowControl w:val="0"/>
        <w:shd w:val="clear" w:color="auto" w:fill="auto"/>
        <w:tabs>
          <w:tab w:pos="378" w:val="left"/>
        </w:tabs>
        <w:bidi w:val="0"/>
        <w:spacing w:before="0" w:after="26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5</w:t>
      </w:r>
      <w:bookmarkEnd w:id="806"/>
      <w:r>
        <w:rPr>
          <w:color w:val="000000"/>
          <w:spacing w:val="0"/>
          <w:w w:val="100"/>
          <w:position w:val="0"/>
        </w:rPr>
        <w:t>、</w:t>
        <w:tab/>
        <w:t>同一控制下和非同一控制下企业合并的会计处理方法</w:t>
      </w:r>
      <w:bookmarkEnd w:id="804"/>
      <w:bookmarkEnd w:id="805"/>
      <w:bookmarkEnd w:id="807"/>
    </w:p>
    <w:p>
      <w:pPr>
        <w:pStyle w:val="Style34"/>
        <w:keepNext w:val="0"/>
        <w:keepLines w:val="0"/>
        <w:widowControl w:val="0"/>
        <w:numPr>
          <w:ilvl w:val="0"/>
          <w:numId w:val="35"/>
        </w:numPr>
        <w:shd w:val="clear" w:color="auto" w:fill="auto"/>
        <w:tabs>
          <w:tab w:pos="741" w:val="left"/>
        </w:tabs>
        <w:bidi w:val="0"/>
        <w:spacing w:before="0" w:after="0" w:line="314" w:lineRule="exact"/>
        <w:ind w:left="0" w:right="0" w:firstLine="440"/>
        <w:jc w:val="both"/>
      </w:pPr>
      <w:bookmarkStart w:id="808" w:name="bookmark808"/>
      <w:bookmarkEnd w:id="808"/>
      <w:r>
        <w:rPr>
          <w:color w:val="000000"/>
          <w:spacing w:val="0"/>
          <w:w w:val="100"/>
          <w:position w:val="0"/>
        </w:rPr>
        <w:t>同一控制下企业合并的会计处理方法</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公司在企业合并中取得的资产和负债，按照合并日被合并方在最终控制方合并财务报表中的账面价值计量。公司按照 被合并方所有者权益在最终控制方合并财务报表中的账面价值份额与支付的合并对价账面价值或发行股份面值总额的差额， 调整资本公积；资本公积不足冲减的，调整留存收益。</w:t>
      </w:r>
    </w:p>
    <w:p>
      <w:pPr>
        <w:pStyle w:val="Style34"/>
        <w:keepNext w:val="0"/>
        <w:keepLines w:val="0"/>
        <w:widowControl w:val="0"/>
        <w:numPr>
          <w:ilvl w:val="0"/>
          <w:numId w:val="35"/>
        </w:numPr>
        <w:shd w:val="clear" w:color="auto" w:fill="auto"/>
        <w:tabs>
          <w:tab w:pos="760" w:val="left"/>
        </w:tabs>
        <w:bidi w:val="0"/>
        <w:spacing w:before="0" w:after="0" w:line="314" w:lineRule="exact"/>
        <w:ind w:left="0" w:right="0" w:firstLine="440"/>
        <w:jc w:val="both"/>
      </w:pPr>
      <w:bookmarkStart w:id="809" w:name="bookmark809"/>
      <w:bookmarkEnd w:id="809"/>
      <w:r>
        <w:rPr>
          <w:color w:val="000000"/>
          <w:spacing w:val="0"/>
          <w:w w:val="100"/>
          <w:position w:val="0"/>
        </w:rPr>
        <w:t>非同一控制下企业合并的会计处理方法</w:t>
      </w:r>
    </w:p>
    <w:p>
      <w:pPr>
        <w:pStyle w:val="Style34"/>
        <w:keepNext w:val="0"/>
        <w:keepLines w:val="0"/>
        <w:widowControl w:val="0"/>
        <w:shd w:val="clear" w:color="auto" w:fill="auto"/>
        <w:bidi w:val="0"/>
        <w:spacing w:before="0" w:after="260" w:line="314" w:lineRule="exact"/>
        <w:ind w:left="0" w:right="0" w:firstLine="440"/>
        <w:jc w:val="both"/>
      </w:pPr>
      <w:r>
        <w:rPr>
          <w:color w:val="000000"/>
          <w:spacing w:val="0"/>
          <w:w w:val="100"/>
          <w:position w:val="0"/>
        </w:rPr>
        <w:t>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37"/>
        <w:keepNext/>
        <w:keepLines/>
        <w:widowControl w:val="0"/>
        <w:shd w:val="clear" w:color="auto" w:fill="auto"/>
        <w:tabs>
          <w:tab w:pos="378" w:val="left"/>
        </w:tabs>
        <w:bidi w:val="0"/>
        <w:spacing w:before="0" w:after="26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6</w:t>
      </w:r>
      <w:bookmarkEnd w:id="812"/>
      <w:r>
        <w:rPr>
          <w:color w:val="000000"/>
          <w:spacing w:val="0"/>
          <w:w w:val="100"/>
          <w:position w:val="0"/>
        </w:rPr>
        <w:t>、</w:t>
        <w:tab/>
        <w:t>合并财务报表的编制方法</w:t>
      </w:r>
      <w:bookmarkEnd w:id="810"/>
      <w:bookmarkEnd w:id="811"/>
      <w:bookmarkEnd w:id="813"/>
    </w:p>
    <w:p>
      <w:pPr>
        <w:pStyle w:val="Style34"/>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母公司将其控制的所有子公司纳入合并财务报表的合并范围。合并财务报表以母公司及其子公司的财务报表为基础， 根据其他有关资料，由母公司按照《企业会计准则第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37"/>
        <w:keepNext/>
        <w:keepLines/>
        <w:widowControl w:val="0"/>
        <w:shd w:val="clear" w:color="auto" w:fill="auto"/>
        <w:tabs>
          <w:tab w:pos="378" w:val="left"/>
        </w:tabs>
        <w:bidi w:val="0"/>
        <w:spacing w:before="0" w:after="26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7</w:t>
      </w:r>
      <w:bookmarkEnd w:id="816"/>
      <w:r>
        <w:rPr>
          <w:color w:val="000000"/>
          <w:spacing w:val="0"/>
          <w:w w:val="100"/>
          <w:position w:val="0"/>
        </w:rPr>
        <w:t>、</w:t>
        <w:tab/>
        <w:t>合营安排分类及共同经营会计处理方法</w:t>
      </w:r>
      <w:bookmarkEnd w:id="814"/>
      <w:bookmarkEnd w:id="815"/>
      <w:bookmarkEnd w:id="817"/>
    </w:p>
    <w:p>
      <w:pPr>
        <w:pStyle w:val="Style34"/>
        <w:keepNext w:val="0"/>
        <w:keepLines w:val="0"/>
        <w:widowControl w:val="0"/>
        <w:numPr>
          <w:ilvl w:val="0"/>
          <w:numId w:val="37"/>
        </w:numPr>
        <w:shd w:val="clear" w:color="auto" w:fill="auto"/>
        <w:tabs>
          <w:tab w:pos="741" w:val="left"/>
        </w:tabs>
        <w:bidi w:val="0"/>
        <w:spacing w:before="0" w:after="0" w:line="311" w:lineRule="exact"/>
        <w:ind w:left="0" w:right="0" w:firstLine="440"/>
        <w:jc w:val="both"/>
      </w:pPr>
      <w:bookmarkStart w:id="818" w:name="bookmark818"/>
      <w:bookmarkEnd w:id="818"/>
      <w:r>
        <w:rPr>
          <w:color w:val="000000"/>
          <w:spacing w:val="0"/>
          <w:w w:val="100"/>
          <w:position w:val="0"/>
        </w:rPr>
        <w:t>合营安排分为共同经营和合营企业。</w:t>
      </w:r>
    </w:p>
    <w:p>
      <w:pPr>
        <w:pStyle w:val="Style34"/>
        <w:keepNext w:val="0"/>
        <w:keepLines w:val="0"/>
        <w:widowControl w:val="0"/>
        <w:numPr>
          <w:ilvl w:val="0"/>
          <w:numId w:val="37"/>
        </w:numPr>
        <w:shd w:val="clear" w:color="auto" w:fill="auto"/>
        <w:tabs>
          <w:tab w:pos="760" w:val="left"/>
        </w:tabs>
        <w:bidi w:val="0"/>
        <w:spacing w:before="0" w:after="0" w:line="311" w:lineRule="exact"/>
        <w:ind w:left="0" w:right="0" w:firstLine="440"/>
        <w:jc w:val="both"/>
      </w:pPr>
      <w:bookmarkStart w:id="819" w:name="bookmark819"/>
      <w:bookmarkEnd w:id="819"/>
      <w:r>
        <w:rPr>
          <w:color w:val="000000"/>
          <w:spacing w:val="0"/>
          <w:w w:val="100"/>
          <w:position w:val="0"/>
        </w:rPr>
        <w:t>当公司为共同经营的合营方时，确认与共同经营中利益份额相关的下列项目：</w:t>
      </w:r>
    </w:p>
    <w:p>
      <w:pPr>
        <w:pStyle w:val="Style34"/>
        <w:keepNext w:val="0"/>
        <w:keepLines w:val="0"/>
        <w:widowControl w:val="0"/>
        <w:numPr>
          <w:ilvl w:val="0"/>
          <w:numId w:val="39"/>
        </w:numPr>
        <w:shd w:val="clear" w:color="auto" w:fill="auto"/>
        <w:tabs>
          <w:tab w:pos="842" w:val="left"/>
        </w:tabs>
        <w:bidi w:val="0"/>
        <w:spacing w:before="0" w:after="0" w:line="311" w:lineRule="exact"/>
        <w:ind w:left="0" w:right="0" w:firstLine="440"/>
        <w:jc w:val="both"/>
      </w:pPr>
      <w:bookmarkStart w:id="820" w:name="bookmark820"/>
      <w:bookmarkEnd w:id="820"/>
      <w:r>
        <w:rPr>
          <w:color w:val="000000"/>
          <w:spacing w:val="0"/>
          <w:w w:val="100"/>
          <w:position w:val="0"/>
        </w:rPr>
        <w:t>确认单独所持有的资产，以及按持有份额确认共同持有的资产；</w:t>
      </w:r>
    </w:p>
    <w:p>
      <w:pPr>
        <w:pStyle w:val="Style34"/>
        <w:keepNext w:val="0"/>
        <w:keepLines w:val="0"/>
        <w:widowControl w:val="0"/>
        <w:numPr>
          <w:ilvl w:val="0"/>
          <w:numId w:val="39"/>
        </w:numPr>
        <w:shd w:val="clear" w:color="auto" w:fill="auto"/>
        <w:tabs>
          <w:tab w:pos="842" w:val="left"/>
        </w:tabs>
        <w:bidi w:val="0"/>
        <w:spacing w:before="0" w:after="0" w:line="311" w:lineRule="exact"/>
        <w:ind w:left="0" w:right="0" w:firstLine="440"/>
        <w:jc w:val="both"/>
      </w:pPr>
      <w:bookmarkStart w:id="821" w:name="bookmark821"/>
      <w:bookmarkEnd w:id="821"/>
      <w:r>
        <w:rPr>
          <w:color w:val="000000"/>
          <w:spacing w:val="0"/>
          <w:w w:val="100"/>
          <w:position w:val="0"/>
        </w:rPr>
        <w:t>确认单独所承担的负债，以及按持有份额确认共同承担的负债；</w:t>
      </w:r>
    </w:p>
    <w:p>
      <w:pPr>
        <w:pStyle w:val="Style34"/>
        <w:keepNext w:val="0"/>
        <w:keepLines w:val="0"/>
        <w:widowControl w:val="0"/>
        <w:numPr>
          <w:ilvl w:val="0"/>
          <w:numId w:val="39"/>
        </w:numPr>
        <w:shd w:val="clear" w:color="auto" w:fill="auto"/>
        <w:tabs>
          <w:tab w:pos="842" w:val="left"/>
        </w:tabs>
        <w:bidi w:val="0"/>
        <w:spacing w:before="0" w:after="0" w:line="311" w:lineRule="exact"/>
        <w:ind w:left="0" w:right="0" w:firstLine="440"/>
        <w:jc w:val="both"/>
      </w:pPr>
      <w:bookmarkStart w:id="822" w:name="bookmark822"/>
      <w:bookmarkEnd w:id="822"/>
      <w:r>
        <w:rPr>
          <w:color w:val="000000"/>
          <w:spacing w:val="0"/>
          <w:w w:val="100"/>
          <w:position w:val="0"/>
        </w:rPr>
        <w:t>确认出售公司享有的共同经营产出份额所产生的收入；</w:t>
      </w:r>
    </w:p>
    <w:p>
      <w:pPr>
        <w:pStyle w:val="Style34"/>
        <w:keepNext w:val="0"/>
        <w:keepLines w:val="0"/>
        <w:widowControl w:val="0"/>
        <w:numPr>
          <w:ilvl w:val="0"/>
          <w:numId w:val="39"/>
        </w:numPr>
        <w:shd w:val="clear" w:color="auto" w:fill="auto"/>
        <w:tabs>
          <w:tab w:pos="842" w:val="left"/>
        </w:tabs>
        <w:bidi w:val="0"/>
        <w:spacing w:before="0" w:after="0" w:line="311" w:lineRule="exact"/>
        <w:ind w:left="0" w:right="0" w:firstLine="440"/>
        <w:jc w:val="both"/>
      </w:pPr>
      <w:bookmarkStart w:id="823" w:name="bookmark823"/>
      <w:bookmarkEnd w:id="823"/>
      <w:r>
        <w:rPr>
          <w:color w:val="000000"/>
          <w:spacing w:val="0"/>
          <w:w w:val="100"/>
          <w:position w:val="0"/>
        </w:rPr>
        <w:t>按公司持有份额确认共同经营因出售资产所产生的收入；</w:t>
      </w:r>
    </w:p>
    <w:p>
      <w:pPr>
        <w:pStyle w:val="Style34"/>
        <w:keepNext w:val="0"/>
        <w:keepLines w:val="0"/>
        <w:widowControl w:val="0"/>
        <w:numPr>
          <w:ilvl w:val="0"/>
          <w:numId w:val="39"/>
        </w:numPr>
        <w:shd w:val="clear" w:color="auto" w:fill="auto"/>
        <w:tabs>
          <w:tab w:pos="842" w:val="left"/>
        </w:tabs>
        <w:bidi w:val="0"/>
        <w:spacing w:before="0" w:after="380" w:line="311" w:lineRule="exact"/>
        <w:ind w:left="0" w:right="0" w:firstLine="440"/>
        <w:jc w:val="both"/>
      </w:pPr>
      <w:bookmarkStart w:id="824" w:name="bookmark824"/>
      <w:bookmarkEnd w:id="824"/>
      <w:r>
        <w:rPr>
          <w:color w:val="000000"/>
          <w:spacing w:val="0"/>
          <w:w w:val="100"/>
          <w:position w:val="0"/>
        </w:rPr>
        <w:t>确认单独所发生的费用，以及按公司持有份额确认共同经营发生的费用。</w:t>
      </w:r>
    </w:p>
    <w:p>
      <w:pPr>
        <w:pStyle w:val="Style37"/>
        <w:keepNext/>
        <w:keepLines/>
        <w:widowControl w:val="0"/>
        <w:shd w:val="clear" w:color="auto" w:fill="auto"/>
        <w:tabs>
          <w:tab w:pos="378" w:val="left"/>
        </w:tabs>
        <w:bidi w:val="0"/>
        <w:spacing w:before="0" w:after="2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8</w:t>
      </w:r>
      <w:bookmarkEnd w:id="827"/>
      <w:r>
        <w:rPr>
          <w:color w:val="000000"/>
          <w:spacing w:val="0"/>
          <w:w w:val="100"/>
          <w:position w:val="0"/>
        </w:rPr>
        <w:t>、</w:t>
        <w:tab/>
        <w:t>现金及现金等价物的确定标准</w:t>
      </w:r>
      <w:bookmarkEnd w:id="825"/>
      <w:bookmarkEnd w:id="826"/>
      <w:bookmarkEnd w:id="828"/>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列示于现金流量表中的现金是指库存现金以及可以随时用于支付的存款。现金等价物是指企业持有的期限短、流动性 强、易于转换为已知金额现金、价值变动风险很小的投资。</w:t>
      </w:r>
    </w:p>
    <w:p>
      <w:pPr>
        <w:pStyle w:val="Style37"/>
        <w:keepNext/>
        <w:keepLines/>
        <w:widowControl w:val="0"/>
        <w:shd w:val="clear" w:color="auto" w:fill="auto"/>
        <w:tabs>
          <w:tab w:pos="378" w:val="left"/>
        </w:tabs>
        <w:bidi w:val="0"/>
        <w:spacing w:before="0" w:after="26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9</w:t>
      </w:r>
      <w:bookmarkEnd w:id="831"/>
      <w:r>
        <w:rPr>
          <w:color w:val="000000"/>
          <w:spacing w:val="0"/>
          <w:w w:val="100"/>
          <w:position w:val="0"/>
        </w:rPr>
        <w:t>、</w:t>
        <w:tab/>
        <w:t>外币业务和外币报表折算</w:t>
      </w:r>
      <w:bookmarkEnd w:id="829"/>
      <w:bookmarkEnd w:id="830"/>
      <w:bookmarkEnd w:id="832"/>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外币交易在初始确认时，采用交易发生日的即期汇率的近似汇率折算为人民币金额。资产负债表日，外币货币性项目 采用资产负债表日即期汇率折算，因汇率不同而产生的汇兑差额，除与购建符合资本化条件资产有关的外币专门借款本金及 利息的汇兑差额外，计入当期损益；以历史成本计量的外币非货币性项目仍采用交易发生日的即期汇率折算，不改变其人民 币金额；以公允价值计量的外币非货币性项目，采用公允价值确定日的即期汇率折算，差额计入当期损益或其他综合收益。</w:t>
      </w:r>
    </w:p>
    <w:p>
      <w:pPr>
        <w:pStyle w:val="Style37"/>
        <w:keepNext/>
        <w:keepLines/>
        <w:widowControl w:val="0"/>
        <w:shd w:val="clear" w:color="auto" w:fill="auto"/>
        <w:tabs>
          <w:tab w:pos="474" w:val="left"/>
        </w:tabs>
        <w:bidi w:val="0"/>
        <w:spacing w:before="0" w:after="3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33"/>
      <w:bookmarkEnd w:id="834"/>
      <w:bookmarkEnd w:id="836"/>
    </w:p>
    <w:p>
      <w:pPr>
        <w:pStyle w:val="Style34"/>
        <w:keepNext w:val="0"/>
        <w:keepLines w:val="0"/>
        <w:widowControl w:val="0"/>
        <w:numPr>
          <w:ilvl w:val="0"/>
          <w:numId w:val="41"/>
        </w:numPr>
        <w:shd w:val="clear" w:color="auto" w:fill="auto"/>
        <w:bidi w:val="0"/>
        <w:spacing w:before="0" w:after="0" w:line="360" w:lineRule="auto"/>
        <w:ind w:left="0" w:right="0" w:firstLine="440"/>
        <w:jc w:val="both"/>
      </w:pPr>
      <w:bookmarkStart w:id="837" w:name="bookmark837"/>
      <w:bookmarkEnd w:id="837"/>
      <w:r>
        <w:rPr>
          <w:color w:val="000000"/>
          <w:spacing w:val="0"/>
          <w:w w:val="100"/>
          <w:position w:val="0"/>
        </w:rPr>
        <w:t>金融资产和金融负债的分类</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金融资产在初始确认时划分为以下三类：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以公允价值计量且其变动计入其他综合 收益的金融资产；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shd w:val="clear" w:color="auto" w:fill="FFFFFF"/>
        </w:rPr>
        <w:t>金融负债在初始确认时划分为以下四类：</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以公允价值计量且其变动计入当期损益的金融负债；</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金融资产转移不 符合终止确认条件或继续涉入被转移金融资产所形成的金融负债；</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不属于上述</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或</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的财务担保合同，以及不属于上述</w:t>
      </w:r>
    </w:p>
    <w:p>
      <w:pPr>
        <w:pStyle w:val="Style34"/>
        <w:keepNext w:val="0"/>
        <w:keepLines w:val="0"/>
        <w:widowControl w:val="0"/>
        <w:numPr>
          <w:ilvl w:val="0"/>
          <w:numId w:val="43"/>
        </w:numPr>
        <w:shd w:val="clear" w:color="auto" w:fill="auto"/>
        <w:bidi w:val="0"/>
        <w:spacing w:before="0" w:after="0" w:line="311" w:lineRule="exact"/>
        <w:ind w:left="0" w:right="0" w:firstLine="0"/>
        <w:jc w:val="left"/>
      </w:pPr>
      <w:bookmarkStart w:id="838" w:name="bookmark838"/>
      <w:bookmarkEnd w:id="838"/>
      <w:r>
        <w:rPr>
          <w:color w:val="000000"/>
          <w:spacing w:val="0"/>
          <w:w w:val="100"/>
          <w:position w:val="0"/>
        </w:rPr>
        <w:t>并以低于市场利率贷款的贷款承诺；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以摊余成本计量的金融负债。</w:t>
      </w:r>
    </w:p>
    <w:p>
      <w:pPr>
        <w:pStyle w:val="Style34"/>
        <w:keepNext w:val="0"/>
        <w:keepLines w:val="0"/>
        <w:widowControl w:val="0"/>
        <w:numPr>
          <w:ilvl w:val="0"/>
          <w:numId w:val="41"/>
        </w:numPr>
        <w:shd w:val="clear" w:color="auto" w:fill="auto"/>
        <w:bidi w:val="0"/>
        <w:spacing w:before="0" w:after="0" w:line="311" w:lineRule="exact"/>
        <w:ind w:left="0" w:right="0"/>
        <w:jc w:val="left"/>
      </w:pPr>
      <w:bookmarkStart w:id="839" w:name="bookmark839"/>
      <w:bookmarkEnd w:id="839"/>
      <w:r>
        <w:rPr>
          <w:color w:val="000000"/>
          <w:spacing w:val="0"/>
          <w:w w:val="100"/>
          <w:position w:val="0"/>
        </w:rPr>
        <w:t>金融资产和金融负债的确认依据、计量方法和终止确认条件</w:t>
      </w:r>
    </w:p>
    <w:p>
      <w:pPr>
        <w:pStyle w:val="Style34"/>
        <w:keepNext w:val="0"/>
        <w:keepLines w:val="0"/>
        <w:widowControl w:val="0"/>
        <w:numPr>
          <w:ilvl w:val="0"/>
          <w:numId w:val="45"/>
        </w:numPr>
        <w:shd w:val="clear" w:color="auto" w:fill="auto"/>
        <w:tabs>
          <w:tab w:pos="786" w:val="left"/>
        </w:tabs>
        <w:bidi w:val="0"/>
        <w:spacing w:before="0" w:after="0" w:line="311" w:lineRule="exact"/>
        <w:ind w:left="0" w:right="0"/>
        <w:jc w:val="left"/>
      </w:pPr>
      <w:bookmarkStart w:id="840" w:name="bookmark840"/>
      <w:bookmarkEnd w:id="840"/>
      <w:r>
        <w:rPr>
          <w:color w:val="000000"/>
          <w:spacing w:val="0"/>
          <w:w w:val="100"/>
          <w:position w:val="0"/>
        </w:rPr>
        <w:t>金融资产和金融负债的确认依据和初始计量方法</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资产或金融负债，相关交易费用计入初始确认金额。但是，公司初始确认的应收账款未包含重大融资成分或公司不考虑未超 过一年的合同中的融资成分的，按照交易价格进行初始计量。</w:t>
      </w:r>
    </w:p>
    <w:p>
      <w:pPr>
        <w:pStyle w:val="Style34"/>
        <w:keepNext w:val="0"/>
        <w:keepLines w:val="0"/>
        <w:widowControl w:val="0"/>
        <w:numPr>
          <w:ilvl w:val="0"/>
          <w:numId w:val="45"/>
        </w:numPr>
        <w:shd w:val="clear" w:color="auto" w:fill="auto"/>
        <w:tabs>
          <w:tab w:pos="786" w:val="left"/>
        </w:tabs>
        <w:bidi w:val="0"/>
        <w:spacing w:before="0" w:after="0" w:line="311" w:lineRule="exact"/>
        <w:ind w:left="0" w:right="0"/>
        <w:jc w:val="both"/>
      </w:pPr>
      <w:bookmarkStart w:id="841" w:name="bookmark841"/>
      <w:bookmarkEnd w:id="841"/>
      <w:r>
        <w:rPr>
          <w:color w:val="000000"/>
          <w:spacing w:val="0"/>
          <w:w w:val="100"/>
          <w:position w:val="0"/>
        </w:rPr>
        <w:t>金融资产的后续计量方法</w:t>
      </w:r>
    </w:p>
    <w:p>
      <w:pPr>
        <w:pStyle w:val="Style34"/>
        <w:keepNext w:val="0"/>
        <w:keepLines w:val="0"/>
        <w:widowControl w:val="0"/>
        <w:numPr>
          <w:ilvl w:val="0"/>
          <w:numId w:val="47"/>
        </w:numPr>
        <w:shd w:val="clear" w:color="auto" w:fill="auto"/>
        <w:tabs>
          <w:tab w:pos="710" w:val="left"/>
        </w:tabs>
        <w:bidi w:val="0"/>
        <w:spacing w:before="0" w:after="0" w:line="311" w:lineRule="exact"/>
        <w:ind w:left="0" w:right="0"/>
        <w:jc w:val="both"/>
      </w:pPr>
      <w:bookmarkStart w:id="842" w:name="bookmark842"/>
      <w:bookmarkEnd w:id="842"/>
      <w:r>
        <w:rPr>
          <w:color w:val="000000"/>
          <w:spacing w:val="0"/>
          <w:w w:val="100"/>
          <w:position w:val="0"/>
        </w:rPr>
        <w:t>以摊余成本计量的金融资产</w:t>
      </w:r>
    </w:p>
    <w:p>
      <w:pPr>
        <w:pStyle w:val="Style34"/>
        <w:keepNext w:val="0"/>
        <w:keepLines w:val="0"/>
        <w:widowControl w:val="0"/>
        <w:shd w:val="clear" w:color="auto" w:fill="auto"/>
        <w:bidi w:val="0"/>
        <w:spacing w:before="0" w:after="260" w:line="311" w:lineRule="exact"/>
        <w:ind w:left="0" w:right="0"/>
        <w:jc w:val="both"/>
      </w:pPr>
      <w:r>
        <w:rPr>
          <w:color w:val="000000"/>
          <w:spacing w:val="0"/>
          <w:w w:val="100"/>
          <w:position w:val="0"/>
        </w:rPr>
        <w:t>采用实际利率法，按照摊余成本进行后续计量。以摊余成本计量且不属于任何套期关系的一部分的金融资产所产生的利 得或损失，在终止确认、重分类、按照实际利率法摊销或确认减值时，计入当期损益。</w:t>
      </w:r>
    </w:p>
    <w:p>
      <w:pPr>
        <w:pStyle w:val="Style34"/>
        <w:keepNext w:val="0"/>
        <w:keepLines w:val="0"/>
        <w:widowControl w:val="0"/>
        <w:shd w:val="clear" w:color="auto" w:fill="auto"/>
        <w:tabs>
          <w:tab w:pos="698" w:val="left"/>
        </w:tabs>
        <w:bidi w:val="0"/>
        <w:spacing w:before="0" w:after="0" w:line="312" w:lineRule="exact"/>
        <w:ind w:left="0" w:right="0" w:firstLine="360"/>
        <w:jc w:val="both"/>
      </w:pPr>
      <w:bookmarkStart w:id="843" w:name="bookmark843"/>
      <w:r>
        <w:rPr>
          <w:rFonts w:ascii="Times New Roman" w:eastAsia="Times New Roman" w:hAnsi="Times New Roman" w:cs="Times New Roman"/>
          <w:color w:val="000000"/>
          <w:spacing w:val="0"/>
          <w:w w:val="100"/>
          <w:position w:val="0"/>
          <w:sz w:val="18"/>
          <w:szCs w:val="18"/>
        </w:rPr>
        <w:t>2</w:t>
      </w:r>
      <w:bookmarkEnd w:id="8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采用公允价值进行后续计量。采用实际利率法计算的利息、减值损失或利得及汇兑损益计入当期损益，其他利得或损失 计入其他综合收益。终止确认时，将之前计入其他综合收益的累计利得或损失从其他综合收益中转出，计入当期损益。</w:t>
      </w:r>
    </w:p>
    <w:p>
      <w:pPr>
        <w:pStyle w:val="Style34"/>
        <w:keepNext w:val="0"/>
        <w:keepLines w:val="0"/>
        <w:widowControl w:val="0"/>
        <w:shd w:val="clear" w:color="auto" w:fill="auto"/>
        <w:tabs>
          <w:tab w:pos="698" w:val="left"/>
        </w:tabs>
        <w:bidi w:val="0"/>
        <w:spacing w:before="0" w:after="0" w:line="312" w:lineRule="exact"/>
        <w:ind w:left="0" w:right="0" w:firstLine="360"/>
        <w:jc w:val="both"/>
      </w:pPr>
      <w:bookmarkStart w:id="844" w:name="bookmark844"/>
      <w:r>
        <w:rPr>
          <w:rFonts w:ascii="Times New Roman" w:eastAsia="Times New Roman" w:hAnsi="Times New Roman" w:cs="Times New Roman"/>
          <w:color w:val="000000"/>
          <w:spacing w:val="0"/>
          <w:w w:val="100"/>
          <w:position w:val="0"/>
          <w:sz w:val="18"/>
          <w:szCs w:val="18"/>
        </w:rPr>
        <w:t>3</w:t>
      </w:r>
      <w:bookmarkEnd w:id="8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采用公允价值进行后续计量。获得的股利（属于投资成本收回部分的除外）计入当期损益，其他利得或损失计入其他综 合收益。终止确认时，将之前计入其他综合收益的累计利得或损失从其他综合收益中转出，计入留存收益。</w:t>
      </w:r>
    </w:p>
    <w:p>
      <w:pPr>
        <w:pStyle w:val="Style34"/>
        <w:keepNext w:val="0"/>
        <w:keepLines w:val="0"/>
        <w:widowControl w:val="0"/>
        <w:shd w:val="clear" w:color="auto" w:fill="auto"/>
        <w:tabs>
          <w:tab w:pos="698" w:val="left"/>
        </w:tabs>
        <w:bidi w:val="0"/>
        <w:spacing w:before="0" w:after="0" w:line="312" w:lineRule="exact"/>
        <w:ind w:left="0" w:right="0" w:firstLine="360"/>
        <w:jc w:val="both"/>
      </w:pPr>
      <w:bookmarkStart w:id="845" w:name="bookmark845"/>
      <w:r>
        <w:rPr>
          <w:rFonts w:ascii="Times New Roman" w:eastAsia="Times New Roman" w:hAnsi="Times New Roman" w:cs="Times New Roman"/>
          <w:color w:val="000000"/>
          <w:spacing w:val="0"/>
          <w:w w:val="100"/>
          <w:position w:val="0"/>
          <w:sz w:val="18"/>
          <w:szCs w:val="18"/>
        </w:rPr>
        <w:t>4</w:t>
      </w:r>
      <w:bookmarkEnd w:id="8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以公允价值计量且其变动计入当期损益的金融资产</w:t>
      </w:r>
    </w:p>
    <w:p>
      <w:pPr>
        <w:pStyle w:val="Style34"/>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计入当期损益，除非该金融资产属于套期关系 的一部分。</w:t>
      </w:r>
    </w:p>
    <w:p>
      <w:pPr>
        <w:pStyle w:val="Style34"/>
        <w:keepNext w:val="0"/>
        <w:keepLines w:val="0"/>
        <w:widowControl w:val="0"/>
        <w:shd w:val="clear" w:color="auto" w:fill="auto"/>
        <w:tabs>
          <w:tab w:pos="755" w:val="left"/>
        </w:tabs>
        <w:bidi w:val="0"/>
        <w:spacing w:before="0" w:after="0" w:line="360" w:lineRule="auto"/>
        <w:ind w:left="0" w:right="0" w:firstLine="360"/>
        <w:jc w:val="both"/>
      </w:pPr>
      <w:bookmarkStart w:id="846" w:name="bookmark846"/>
      <w:r>
        <w:rPr>
          <w:rFonts w:ascii="Times New Roman" w:eastAsia="Times New Roman" w:hAnsi="Times New Roman" w:cs="Times New Roman"/>
          <w:color w:val="000000"/>
          <w:spacing w:val="0"/>
          <w:w w:val="100"/>
          <w:position w:val="0"/>
          <w:sz w:val="18"/>
          <w:szCs w:val="18"/>
        </w:rPr>
        <w:t>（</w:t>
      </w:r>
      <w:bookmarkEnd w:id="846"/>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金融负债的后续计量方法</w:t>
      </w:r>
    </w:p>
    <w:p>
      <w:pPr>
        <w:pStyle w:val="Style34"/>
        <w:keepNext w:val="0"/>
        <w:keepLines w:val="0"/>
        <w:widowControl w:val="0"/>
        <w:shd w:val="clear" w:color="auto" w:fill="auto"/>
        <w:tabs>
          <w:tab w:pos="679" w:val="left"/>
        </w:tabs>
        <w:bidi w:val="0"/>
        <w:spacing w:before="0" w:after="0" w:line="312" w:lineRule="exact"/>
        <w:ind w:left="0" w:right="0" w:firstLine="360"/>
        <w:jc w:val="both"/>
      </w:pPr>
      <w:bookmarkStart w:id="847" w:name="bookmark847"/>
      <w:r>
        <w:rPr>
          <w:rFonts w:ascii="Times New Roman" w:eastAsia="Times New Roman" w:hAnsi="Times New Roman" w:cs="Times New Roman"/>
          <w:color w:val="000000"/>
          <w:spacing w:val="0"/>
          <w:w w:val="100"/>
          <w:position w:val="0"/>
          <w:sz w:val="18"/>
          <w:szCs w:val="18"/>
        </w:rPr>
        <w:t>1</w:t>
      </w:r>
      <w:bookmarkEnd w:id="8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此类金融负债包括交易性金融负债（含属于金融负债的衍生工具）和指定为以公允价值计量且其变动计入当期损益的金 融负债。对于此类金融负债以公允价值进行后续计量。因公司自身信用风险变动引起的指定为以公允价值计量且其变动计入 当期损益的金融负债的公允价值变动金额计入其他综合收益，除非该处理会造成或扩大损益中的会计错配。此类金融负债产 生的其他利得或损失（包括利息费用、除因公司自身信用风险变动引起的公允价值变动）计入当期损益，除非该金融负债属 于套期关系的一部分。终止确认时，将之前计入其他综合收益的累计利得或损失从其他综合收益中转出，计入留存收益。</w:t>
      </w:r>
    </w:p>
    <w:p>
      <w:pPr>
        <w:pStyle w:val="Style34"/>
        <w:keepNext w:val="0"/>
        <w:keepLines w:val="0"/>
        <w:widowControl w:val="0"/>
        <w:shd w:val="clear" w:color="auto" w:fill="auto"/>
        <w:tabs>
          <w:tab w:pos="698" w:val="left"/>
        </w:tabs>
        <w:bidi w:val="0"/>
        <w:spacing w:before="0" w:after="0" w:line="312" w:lineRule="exact"/>
        <w:ind w:left="0" w:right="0" w:firstLine="360"/>
        <w:jc w:val="both"/>
      </w:pPr>
      <w:bookmarkStart w:id="848" w:name="bookmark848"/>
      <w:r>
        <w:rPr>
          <w:rFonts w:ascii="Times New Roman" w:eastAsia="Times New Roman" w:hAnsi="Times New Roman" w:cs="Times New Roman"/>
          <w:color w:val="000000"/>
          <w:spacing w:val="0"/>
          <w:w w:val="100"/>
          <w:position w:val="0"/>
          <w:sz w:val="18"/>
          <w:szCs w:val="18"/>
        </w:rPr>
        <w:t>2</w:t>
      </w:r>
      <w:bookmarkEnd w:id="8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号——金融资产转移》相关规定进行计量。</w:t>
      </w:r>
    </w:p>
    <w:p>
      <w:pPr>
        <w:pStyle w:val="Style34"/>
        <w:keepNext w:val="0"/>
        <w:keepLines w:val="0"/>
        <w:widowControl w:val="0"/>
        <w:shd w:val="clear" w:color="auto" w:fill="auto"/>
        <w:tabs>
          <w:tab w:pos="698" w:val="left"/>
        </w:tabs>
        <w:bidi w:val="0"/>
        <w:spacing w:before="0" w:after="0" w:line="312" w:lineRule="exact"/>
        <w:ind w:left="0" w:right="0" w:firstLine="360"/>
        <w:jc w:val="both"/>
      </w:pPr>
      <w:bookmarkStart w:id="849" w:name="bookmark849"/>
      <w:r>
        <w:rPr>
          <w:rFonts w:ascii="Times New Roman" w:eastAsia="Times New Roman" w:hAnsi="Times New Roman" w:cs="Times New Roman"/>
          <w:color w:val="000000"/>
          <w:spacing w:val="0"/>
          <w:w w:val="100"/>
          <w:position w:val="0"/>
          <w:sz w:val="18"/>
          <w:szCs w:val="18"/>
        </w:rPr>
        <w:t>3</w:t>
      </w:r>
      <w:bookmarkEnd w:id="8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在初始确认后按照下列两项金额之中的较高者进行后续计量：①按照金融工具的减值规定确定的损失准备金额；②初 始确认金额扣除按照相关规定所确定的累计摊销额后的余额。</w:t>
      </w:r>
    </w:p>
    <w:p>
      <w:pPr>
        <w:pStyle w:val="Style34"/>
        <w:keepNext w:val="0"/>
        <w:keepLines w:val="0"/>
        <w:widowControl w:val="0"/>
        <w:shd w:val="clear" w:color="auto" w:fill="auto"/>
        <w:tabs>
          <w:tab w:pos="698" w:val="left"/>
        </w:tabs>
        <w:bidi w:val="0"/>
        <w:spacing w:before="0" w:after="0" w:line="312" w:lineRule="exact"/>
        <w:ind w:left="0" w:right="0" w:firstLine="360"/>
        <w:jc w:val="both"/>
      </w:pPr>
      <w:bookmarkStart w:id="850" w:name="bookmark850"/>
      <w:r>
        <w:rPr>
          <w:rFonts w:ascii="Times New Roman" w:eastAsia="Times New Roman" w:hAnsi="Times New Roman" w:cs="Times New Roman"/>
          <w:color w:val="000000"/>
          <w:spacing w:val="0"/>
          <w:w w:val="100"/>
          <w:position w:val="0"/>
          <w:sz w:val="18"/>
          <w:szCs w:val="18"/>
        </w:rPr>
        <w:t>4</w:t>
      </w:r>
      <w:bookmarkEnd w:id="8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以摊余成本计量的金融负债</w:t>
      </w:r>
    </w:p>
    <w:p>
      <w:pPr>
        <w:pStyle w:val="Style34"/>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采用实际利率法以摊余成本计量。以摊余成本计量且不属于任何套期关系的一部分的金融负债所产生的利得或损失，在 终止确认、按照实际利率法摊销时计入当期损益。</w:t>
      </w:r>
    </w:p>
    <w:p>
      <w:pPr>
        <w:pStyle w:val="Style34"/>
        <w:keepNext w:val="0"/>
        <w:keepLines w:val="0"/>
        <w:widowControl w:val="0"/>
        <w:shd w:val="clear" w:color="auto" w:fill="auto"/>
        <w:tabs>
          <w:tab w:pos="755" w:val="left"/>
        </w:tabs>
        <w:bidi w:val="0"/>
        <w:spacing w:before="0" w:after="0" w:line="360" w:lineRule="auto"/>
        <w:ind w:left="0" w:right="0" w:firstLine="360"/>
        <w:jc w:val="both"/>
      </w:pPr>
      <w:bookmarkStart w:id="851" w:name="bookmark851"/>
      <w:r>
        <w:rPr>
          <w:rFonts w:ascii="Times New Roman" w:eastAsia="Times New Roman" w:hAnsi="Times New Roman" w:cs="Times New Roman"/>
          <w:color w:val="000000"/>
          <w:spacing w:val="0"/>
          <w:w w:val="100"/>
          <w:position w:val="0"/>
          <w:sz w:val="18"/>
          <w:szCs w:val="18"/>
        </w:rPr>
        <w:t>（</w:t>
      </w:r>
      <w:bookmarkEnd w:id="851"/>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金融资产和金融负债的终止确认</w:t>
      </w:r>
    </w:p>
    <w:p>
      <w:pPr>
        <w:pStyle w:val="Style34"/>
        <w:keepNext w:val="0"/>
        <w:keepLines w:val="0"/>
        <w:widowControl w:val="0"/>
        <w:shd w:val="clear" w:color="auto" w:fill="auto"/>
        <w:tabs>
          <w:tab w:pos="679" w:val="left"/>
        </w:tabs>
        <w:bidi w:val="0"/>
        <w:spacing w:before="0" w:after="0" w:line="312" w:lineRule="exact"/>
        <w:ind w:left="0" w:right="0" w:firstLine="360"/>
        <w:jc w:val="both"/>
      </w:pPr>
      <w:bookmarkStart w:id="852" w:name="bookmark852"/>
      <w:r>
        <w:rPr>
          <w:rFonts w:ascii="Times New Roman" w:eastAsia="Times New Roman" w:hAnsi="Times New Roman" w:cs="Times New Roman"/>
          <w:color w:val="000000"/>
          <w:spacing w:val="0"/>
          <w:w w:val="100"/>
          <w:position w:val="0"/>
          <w:sz w:val="18"/>
          <w:szCs w:val="18"/>
        </w:rPr>
        <w:t>1</w:t>
      </w:r>
      <w:bookmarkEnd w:id="8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当满足下列条件之一时，终止确认金融资产：</w:t>
      </w:r>
    </w:p>
    <w:p>
      <w:pPr>
        <w:pStyle w:val="Style34"/>
        <w:keepNext w:val="0"/>
        <w:keepLines w:val="0"/>
        <w:widowControl w:val="0"/>
        <w:numPr>
          <w:ilvl w:val="0"/>
          <w:numId w:val="49"/>
        </w:numPr>
        <w:shd w:val="clear" w:color="auto" w:fill="auto"/>
        <w:tabs>
          <w:tab w:pos="722" w:val="left"/>
        </w:tabs>
        <w:bidi w:val="0"/>
        <w:spacing w:before="0" w:after="0" w:line="312" w:lineRule="exact"/>
        <w:ind w:left="0" w:right="0" w:firstLine="360"/>
        <w:jc w:val="both"/>
      </w:pPr>
      <w:bookmarkStart w:id="853" w:name="bookmark853"/>
      <w:bookmarkEnd w:id="853"/>
      <w:r>
        <w:rPr>
          <w:color w:val="000000"/>
          <w:spacing w:val="0"/>
          <w:w w:val="100"/>
          <w:position w:val="0"/>
        </w:rPr>
        <w:t>收取金融资产现金流量的合同权利已终止；</w:t>
      </w:r>
    </w:p>
    <w:p>
      <w:pPr>
        <w:pStyle w:val="Style34"/>
        <w:keepNext w:val="0"/>
        <w:keepLines w:val="0"/>
        <w:widowControl w:val="0"/>
        <w:numPr>
          <w:ilvl w:val="0"/>
          <w:numId w:val="49"/>
        </w:numPr>
        <w:shd w:val="clear" w:color="auto" w:fill="auto"/>
        <w:tabs>
          <w:tab w:pos="722" w:val="left"/>
        </w:tabs>
        <w:bidi w:val="0"/>
        <w:spacing w:before="0" w:after="0" w:line="312" w:lineRule="exact"/>
        <w:ind w:left="0" w:right="0" w:firstLine="360"/>
        <w:jc w:val="both"/>
      </w:pPr>
      <w:bookmarkStart w:id="854" w:name="bookmark854"/>
      <w:bookmarkEnd w:id="854"/>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号——金融资产转移》关于金融资产终止确认的规定。</w:t>
      </w:r>
    </w:p>
    <w:p>
      <w:pPr>
        <w:pStyle w:val="Style34"/>
        <w:keepNext w:val="0"/>
        <w:keepLines w:val="0"/>
        <w:widowControl w:val="0"/>
        <w:shd w:val="clear" w:color="auto" w:fill="auto"/>
        <w:tabs>
          <w:tab w:pos="698" w:val="left"/>
        </w:tabs>
        <w:bidi w:val="0"/>
        <w:spacing w:before="0" w:after="0" w:line="312" w:lineRule="exact"/>
        <w:ind w:left="0" w:right="0" w:firstLine="360"/>
        <w:jc w:val="both"/>
      </w:pPr>
      <w:bookmarkStart w:id="855" w:name="bookmark855"/>
      <w:r>
        <w:rPr>
          <w:rFonts w:ascii="Times New Roman" w:eastAsia="Times New Roman" w:hAnsi="Times New Roman" w:cs="Times New Roman"/>
          <w:color w:val="000000"/>
          <w:spacing w:val="0"/>
          <w:w w:val="100"/>
          <w:position w:val="0"/>
          <w:sz w:val="18"/>
          <w:szCs w:val="18"/>
        </w:rPr>
        <w:t>2</w:t>
      </w:r>
      <w:bookmarkEnd w:id="8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当金融负债（或其一部分）的现时义务已经解除时，相应终止确认该金融负债（或该部分金融负债）。</w:t>
      </w:r>
    </w:p>
    <w:p>
      <w:pPr>
        <w:pStyle w:val="Style34"/>
        <w:keepNext w:val="0"/>
        <w:keepLines w:val="0"/>
        <w:widowControl w:val="0"/>
        <w:numPr>
          <w:ilvl w:val="0"/>
          <w:numId w:val="41"/>
        </w:numPr>
        <w:shd w:val="clear" w:color="auto" w:fill="auto"/>
        <w:tabs>
          <w:tab w:pos="659" w:val="left"/>
        </w:tabs>
        <w:bidi w:val="0"/>
        <w:spacing w:before="0" w:after="0" w:line="312" w:lineRule="exact"/>
        <w:ind w:left="0" w:right="0" w:firstLine="360"/>
        <w:jc w:val="both"/>
      </w:pPr>
      <w:bookmarkStart w:id="856" w:name="bookmark856"/>
      <w:bookmarkEnd w:id="856"/>
      <w:r>
        <w:rPr>
          <w:color w:val="000000"/>
          <w:spacing w:val="0"/>
          <w:w w:val="100"/>
          <w:position w:val="0"/>
        </w:rPr>
        <w:t>金融资产转移的确认依据和计量方法</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公司转移了金融资产所有权上几乎所有的风险和报酬的，终止确认该金融资产，并将转移中产生或保留的权利和义务单 独确认为资产或负债；保留了金融资产所有权上几乎所有的风险和报酬的，继续确认所转移的金融资产。公司既没有转移也 没有保留金融资产所有权上几乎所有的风险和报酬的，分别下列情况处理：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未保留对该金融资产控制的，终止确认该金 融资产，并将转移中产生或保留的权利和义务单独确认为资产或负债；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保留了对该金融资产控制的，按照继续涉入所转 移金融资产的程度确认有关金融资产，并相应确认有关负债。</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所转移金融资产在终止确认日的账 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 部分的对价，与原直接计入其他综合收益的公允价值变动累计额中对应终止确认部分的金额（涉及转移的金融资产为以公允 价值计量且其变动计入其他综合收益的债务工具投资）之和。</w:t>
      </w:r>
    </w:p>
    <w:p>
      <w:pPr>
        <w:pStyle w:val="Style34"/>
        <w:keepNext w:val="0"/>
        <w:keepLines w:val="0"/>
        <w:widowControl w:val="0"/>
        <w:numPr>
          <w:ilvl w:val="0"/>
          <w:numId w:val="41"/>
        </w:numPr>
        <w:shd w:val="clear" w:color="auto" w:fill="auto"/>
        <w:tabs>
          <w:tab w:pos="669" w:val="left"/>
        </w:tabs>
        <w:bidi w:val="0"/>
        <w:spacing w:before="0" w:after="0" w:line="312" w:lineRule="exact"/>
        <w:ind w:left="0" w:right="0" w:firstLine="360"/>
        <w:jc w:val="both"/>
      </w:pPr>
      <w:bookmarkStart w:id="857" w:name="bookmark857"/>
      <w:bookmarkEnd w:id="857"/>
      <w:r>
        <w:rPr>
          <w:color w:val="000000"/>
          <w:spacing w:val="0"/>
          <w:w w:val="100"/>
          <w:position w:val="0"/>
        </w:rPr>
        <w:t>金融资产和金融负债的公允价值确定方法</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公司采用在当前情况下适用并且有足够可利用数据和其他信息支持的估值技术确定相关金融资产和金融负债的公允价 </w:t>
      </w:r>
      <w:r>
        <w:rPr>
          <w:color w:val="000000"/>
          <w:spacing w:val="0"/>
          <w:w w:val="100"/>
          <w:position w:val="0"/>
        </w:rPr>
        <w:t>值。公司将估值技术使用的输入值分以下层级，并依次使用：</w:t>
      </w:r>
    </w:p>
    <w:p>
      <w:pPr>
        <w:pStyle w:val="Style34"/>
        <w:keepNext w:val="0"/>
        <w:keepLines w:val="0"/>
        <w:widowControl w:val="0"/>
        <w:numPr>
          <w:ilvl w:val="0"/>
          <w:numId w:val="51"/>
        </w:numPr>
        <w:shd w:val="clear" w:color="auto" w:fill="auto"/>
        <w:tabs>
          <w:tab w:pos="754" w:val="left"/>
        </w:tabs>
        <w:bidi w:val="0"/>
        <w:spacing w:before="0" w:after="0" w:line="314" w:lineRule="exact"/>
        <w:ind w:left="0" w:right="0"/>
        <w:jc w:val="both"/>
      </w:pPr>
      <w:bookmarkStart w:id="858" w:name="bookmark858"/>
      <w:bookmarkEnd w:id="858"/>
      <w:r>
        <w:rPr>
          <w:color w:val="000000"/>
          <w:spacing w:val="0"/>
          <w:w w:val="100"/>
          <w:position w:val="0"/>
        </w:rPr>
        <w:t>第一层次输入值是在计量日能够取得的相同资产或负债在活跃市场上未经调整的报价；</w:t>
      </w:r>
    </w:p>
    <w:p>
      <w:pPr>
        <w:pStyle w:val="Style34"/>
        <w:keepNext w:val="0"/>
        <w:keepLines w:val="0"/>
        <w:widowControl w:val="0"/>
        <w:numPr>
          <w:ilvl w:val="0"/>
          <w:numId w:val="51"/>
        </w:numPr>
        <w:shd w:val="clear" w:color="auto" w:fill="auto"/>
        <w:tabs>
          <w:tab w:pos="725" w:val="left"/>
        </w:tabs>
        <w:bidi w:val="0"/>
        <w:spacing w:before="0" w:after="0" w:line="317" w:lineRule="exact"/>
        <w:ind w:left="0" w:right="0"/>
        <w:jc w:val="both"/>
      </w:pPr>
      <w:bookmarkStart w:id="859" w:name="bookmark859"/>
      <w:bookmarkEnd w:id="859"/>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34"/>
        <w:keepNext w:val="0"/>
        <w:keepLines w:val="0"/>
        <w:widowControl w:val="0"/>
        <w:numPr>
          <w:ilvl w:val="0"/>
          <w:numId w:val="51"/>
        </w:numPr>
        <w:shd w:val="clear" w:color="auto" w:fill="auto"/>
        <w:tabs>
          <w:tab w:pos="729" w:val="left"/>
        </w:tabs>
        <w:bidi w:val="0"/>
        <w:spacing w:before="0" w:after="120" w:line="322" w:lineRule="exact"/>
        <w:ind w:left="0" w:right="0"/>
        <w:jc w:val="both"/>
      </w:pPr>
      <w:bookmarkStart w:id="860" w:name="bookmark860"/>
      <w:bookmarkEnd w:id="860"/>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34"/>
        <w:keepNext w:val="0"/>
        <w:keepLines w:val="0"/>
        <w:widowControl w:val="0"/>
        <w:numPr>
          <w:ilvl w:val="0"/>
          <w:numId w:val="53"/>
        </w:numPr>
        <w:shd w:val="clear" w:color="auto" w:fill="auto"/>
        <w:bidi w:val="0"/>
        <w:spacing w:before="0" w:after="0" w:line="360" w:lineRule="auto"/>
        <w:ind w:left="0" w:right="0"/>
        <w:jc w:val="both"/>
      </w:pPr>
      <w:bookmarkStart w:id="861" w:name="bookmark861"/>
      <w:bookmarkEnd w:id="861"/>
      <w:r>
        <w:rPr>
          <w:color w:val="000000"/>
          <w:spacing w:val="0"/>
          <w:w w:val="100"/>
          <w:position w:val="0"/>
        </w:rPr>
        <w:t>金融工具减值</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公司以预期信用损失为基础，对以摊余成本计量的金融资产、以公允价值计量且其变动计入其他综合收益的债务工具投 资、租赁应收款、分类为以公允价值计量且其变动计入当期损益的金融负债以外的贷款承诺、不属于以公允价值计量且其变 动计入当期损益的金融负债或不属于金融资产转移不符合终止确认条件或继续涉入被转移金融资产所形成的金融负债的财 务担保合同进行减值处理并确认损失准备。</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预期信用损失，是指以发生违约的风险为权重的金融工具信用损失的加权平均值。信用损失，是指公司按照原实际利率 折现的、根据合同应收的所有合同现金流量与预期收取的所有现金流量之间的差额，即全部现金短缺的现值。其中，对于公 司购买或源生的已发生信用减值的金融资产，按照该金融资产经信用调整的实际利率折现。</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对于购买或源生的已发生信用减值的金融资产，公司在资产负债表日仅将自初始确认后整个存续期内预期信用损失的累 计变动确认为损失准备。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对于不含重大融资成分或者公司不考虑不超过一年的合同中的融资成分的应收账款，公司运用简化计量方法，按照相 当于整个存续期内的预期信用损失金额计量损失准备。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对于租赁应收款、包含重大融资成分的应收账款，公司运用简化计量方法，按照相当于整个存续期内的预期信用损失 金额计量损失准备。</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除上述计量方法以外的金融资产，公司在每个资产负债表日评估其信用风险自初始确认后是否已经显著增加。如果信用 风险自初始确认后已显著增加，公司按照整个存续期内预期信用损失的金额计量损失准备；如果信用风险自初始确认后未显 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公司利用可获得的合理且有依据的信息，包括前瞻性信息，通过比较金融工具在资产负债表日发生违约的风险与在初始 确认日发生违约的风险，以确定金融工具的信用风险自初始确认后是否已显著增加。</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公司以单项金融工具或金融工具组合为基础评估预期信用风险和计量预期信用损失。当以金融工具组合为基础时，公司 以共同风险特征为依据，将金融工具划分为不同组合。</w:t>
      </w:r>
    </w:p>
    <w:p>
      <w:pPr>
        <w:pStyle w:val="Style34"/>
        <w:keepNext w:val="0"/>
        <w:keepLines w:val="0"/>
        <w:widowControl w:val="0"/>
        <w:shd w:val="clear" w:color="auto" w:fill="auto"/>
        <w:bidi w:val="0"/>
        <w:spacing w:before="0" w:after="120" w:line="314" w:lineRule="exact"/>
        <w:ind w:left="0" w:right="0"/>
        <w:jc w:val="both"/>
      </w:pPr>
      <w:r>
        <w:rPr>
          <w:color w:val="000000"/>
          <w:spacing w:val="0"/>
          <w:w w:val="100"/>
          <w:position w:val="0"/>
        </w:rPr>
        <w:t>公司在每个资产负债表日重新计量预期信用损失，由此形成的损失准备的增加或转回金额，作为减值损失或利得计入当 期损益。对于以摊余成本计量的金融资产，损失准备抵减该金融资产在资产负债表中列示的账面价值；对于以公允价值计量 且其变动计入其他综合收益的债权投资，公司在其他综合收益中确认其损失准备，不抵减该金融资产的账面价值。</w:t>
      </w:r>
    </w:p>
    <w:p>
      <w:pPr>
        <w:pStyle w:val="Style34"/>
        <w:keepNext w:val="0"/>
        <w:keepLines w:val="0"/>
        <w:widowControl w:val="0"/>
        <w:numPr>
          <w:ilvl w:val="0"/>
          <w:numId w:val="55"/>
        </w:numPr>
        <w:shd w:val="clear" w:color="auto" w:fill="auto"/>
        <w:bidi w:val="0"/>
        <w:spacing w:before="0" w:after="0" w:line="360" w:lineRule="auto"/>
        <w:ind w:left="0" w:right="0" w:firstLine="440"/>
        <w:jc w:val="both"/>
      </w:pPr>
      <w:bookmarkStart w:id="862" w:name="bookmark862"/>
      <w:bookmarkEnd w:id="862"/>
      <w:r>
        <w:rPr>
          <w:color w:val="000000"/>
          <w:spacing w:val="0"/>
          <w:w w:val="100"/>
          <w:position w:val="0"/>
        </w:rPr>
        <w:t>金融资产和金融负债的抵销</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金融资产和金融负债在资产负债表内分别列示，不相互抵销。但同时满足下列条件的，公司以相互抵销后的净额在资 产负债表内列示：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公司具有抵销已确认金额的法定权利，且该种法定权利是当前可执行的；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公司计划以净额结算， 或同时变现该金融资产和清偿该金融负债。</w:t>
      </w:r>
    </w:p>
    <w:p>
      <w:pPr>
        <w:pStyle w:val="Style34"/>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不满足终止确认条件的金融资产转移，公司不对已转移的金融资产和相关负债进行抵销。</w:t>
      </w:r>
    </w:p>
    <w:p>
      <w:pPr>
        <w:pStyle w:val="Style37"/>
        <w:keepNext/>
        <w:keepLines/>
        <w:widowControl w:val="0"/>
        <w:shd w:val="clear" w:color="auto" w:fill="auto"/>
        <w:bidi w:val="0"/>
        <w:spacing w:before="0" w:after="26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63"/>
      <w:bookmarkEnd w:id="864"/>
      <w:bookmarkEnd w:id="866"/>
    </w:p>
    <w:p>
      <w:pPr>
        <w:pStyle w:val="Style34"/>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按应收票据的类别划分若干组合，在组合基础上计算预期信用损失，确定组合的依据如下：</w:t>
      </w:r>
      <w:r>
        <w:br w:type="page"/>
      </w:r>
    </w:p>
    <w:tbl>
      <w:tblPr>
        <w:tblOverlap w:val="never"/>
        <w:jc w:val="center"/>
        <w:tblLayout w:type="fixed"/>
      </w:tblPr>
      <w:tblGrid>
        <w:gridCol w:w="2136"/>
        <w:gridCol w:w="1704"/>
        <w:gridCol w:w="5395"/>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应收银行承兑汇票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参考历史信用损失经验，结合当前状况以及对未来经济状况的预测， 通过违约风险敞口和整个存续期预期信用损失率，计算预期信用损失</w:t>
            </w:r>
          </w:p>
        </w:tc>
      </w:tr>
      <w:tr>
        <w:trPr>
          <w:trHeight w:val="97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应收商业承兑汇票</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参考历史信用损失经验，结合当前状况以及对未来经济状况的预测， 编制应收商业承兑汇票账龄与整个存续期预期信用损失率对照表，计 算预期信用损失</w:t>
            </w:r>
          </w:p>
        </w:tc>
      </w:tr>
    </w:tbl>
    <w:p>
      <w:pPr>
        <w:widowControl w:val="0"/>
        <w:spacing w:after="659" w:line="1" w:lineRule="exact"/>
      </w:pPr>
    </w:p>
    <w:p>
      <w:pPr>
        <w:pStyle w:val="Style37"/>
        <w:keepNext/>
        <w:keepLines/>
        <w:widowControl w:val="0"/>
        <w:shd w:val="clear" w:color="auto" w:fill="auto"/>
        <w:bidi w:val="0"/>
        <w:spacing w:before="0" w:after="3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67"/>
      <w:bookmarkEnd w:id="868"/>
      <w:bookmarkEnd w:id="870"/>
    </w:p>
    <w:p>
      <w:pPr>
        <w:pStyle w:val="Style32"/>
        <w:keepNext w:val="0"/>
        <w:keepLines w:val="0"/>
        <w:widowControl w:val="0"/>
        <w:shd w:val="clear" w:color="auto" w:fill="auto"/>
        <w:bidi w:val="0"/>
        <w:spacing w:before="0" w:after="0" w:line="240" w:lineRule="auto"/>
        <w:ind w:left="86"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)按信用风险特征组合计提坏账准备的应收账款</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2136"/>
        <w:gridCol w:w="1704"/>
        <w:gridCol w:w="5395"/>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05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应收账款</w:t>
            </w:r>
            <w:r>
              <w:rPr>
                <w:color w:val="000000"/>
                <w:spacing w:val="0"/>
                <w:w w:val="100"/>
                <w:position w:val="0"/>
                <w:sz w:val="18"/>
                <w:szCs w:val="18"/>
              </w:rPr>
              <w:t>一</w:t>
            </w:r>
            <w:r>
              <w:rPr>
                <w:color w:val="000000"/>
                <w:spacing w:val="0"/>
                <w:w w:val="100"/>
                <w:position w:val="0"/>
              </w:rPr>
              <w:t>账龄组合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参考历史信用损失经验，结合当前状况以及对未来经济状况的预测， 编制应收账款账龄与整个存续期预期信用损失率对照表，计算预期信 用损失</w:t>
            </w:r>
          </w:p>
        </w:tc>
      </w:tr>
      <w:tr>
        <w:trPr>
          <w:trHeight w:val="9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应收账款</w:t>
            </w:r>
            <w:r>
              <w:rPr>
                <w:color w:val="000000"/>
                <w:spacing w:val="0"/>
                <w:w w:val="100"/>
                <w:position w:val="0"/>
                <w:sz w:val="18"/>
                <w:szCs w:val="18"/>
              </w:rPr>
              <w:t>一</w:t>
            </w:r>
            <w:r>
              <w:rPr>
                <w:color w:val="000000"/>
                <w:spacing w:val="0"/>
                <w:w w:val="100"/>
                <w:position w:val="0"/>
              </w:rPr>
              <w:t>质保金组合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逾期天数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参考历史信用损失经验，结合当前状况以及对未来经济状况的预测， 编制应收账款逾期天数与整个存续期预期信用损失率对照表，计算预 期信用损失</w:t>
            </w:r>
          </w:p>
        </w:tc>
      </w:tr>
      <w:tr>
        <w:trPr>
          <w:trHeight w:val="7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应收账款</w:t>
            </w:r>
            <w:r>
              <w:rPr>
                <w:color w:val="000000"/>
                <w:spacing w:val="0"/>
                <w:w w:val="100"/>
                <w:position w:val="0"/>
                <w:sz w:val="18"/>
                <w:szCs w:val="18"/>
              </w:rPr>
              <w:t>一</w:t>
            </w:r>
            <w:r>
              <w:rPr>
                <w:color w:val="000000"/>
                <w:spacing w:val="0"/>
                <w:w w:val="100"/>
                <w:position w:val="0"/>
              </w:rPr>
              <w:t>合并范围内关 联方组合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客户类型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参考历史信用损失经验，结合当前状况以及对未来经济状况的预测， 通过违约风险敞口和整个存续期预期信用损失率，计算预期信用损失</w:t>
            </w:r>
          </w:p>
        </w:tc>
      </w:tr>
    </w:tbl>
    <w:p>
      <w:pPr>
        <w:widowControl w:val="0"/>
        <w:spacing w:after="3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w:t>
      </w:r>
      <w:r>
        <w:rPr>
          <w:color w:val="000000"/>
          <w:spacing w:val="0"/>
          <w:w w:val="100"/>
          <w:position w:val="0"/>
          <w:sz w:val="18"/>
          <w:szCs w:val="18"/>
        </w:rPr>
        <w:t>一</w:t>
      </w:r>
      <w:r>
        <w:rPr>
          <w:color w:val="000000"/>
          <w:spacing w:val="0"/>
          <w:w w:val="100"/>
          <w:position w:val="0"/>
        </w:rPr>
        <w:t>账龄组合的账龄与整个存续期预期信用损失率对照表</w:t>
      </w:r>
    </w:p>
    <w:tbl>
      <w:tblPr>
        <w:tblOverlap w:val="never"/>
        <w:jc w:val="center"/>
        <w:tblLayout w:type="fixed"/>
      </w:tblPr>
      <w:tblGrid>
        <w:gridCol w:w="4829"/>
        <w:gridCol w:w="4406"/>
      </w:tblGrid>
      <w:tr>
        <w:trPr>
          <w:trHeight w:val="662"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应收账款</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预期信用损失率</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6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)应收账款</w:t>
      </w:r>
      <w:r>
        <w:rPr>
          <w:color w:val="000000"/>
          <w:spacing w:val="0"/>
          <w:w w:val="100"/>
          <w:position w:val="0"/>
          <w:sz w:val="18"/>
          <w:szCs w:val="18"/>
        </w:rPr>
        <w:t>一</w:t>
      </w:r>
      <w:r>
        <w:rPr>
          <w:color w:val="000000"/>
          <w:spacing w:val="0"/>
          <w:w w:val="100"/>
          <w:position w:val="0"/>
        </w:rPr>
        <w:t>质保金组合的逾期天数与整个存续期预期信用损失率对照表</w:t>
      </w:r>
    </w:p>
    <w:tbl>
      <w:tblPr>
        <w:tblOverlap w:val="never"/>
        <w:jc w:val="left"/>
        <w:tblLayout w:type="fixed"/>
      </w:tblPr>
      <w:tblGrid>
        <w:gridCol w:w="5914"/>
        <w:gridCol w:w="2635"/>
      </w:tblGrid>
      <w:tr>
        <w:trPr>
          <w:trHeight w:val="66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逾期天数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应收账款</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预期信用损失率</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659" w:line="1" w:lineRule="exact"/>
      </w:pPr>
    </w:p>
    <w:p>
      <w:pPr>
        <w:pStyle w:val="Style37"/>
        <w:keepNext/>
        <w:keepLines/>
        <w:widowControl w:val="0"/>
        <w:shd w:val="clear" w:color="auto" w:fill="auto"/>
        <w:bidi w:val="0"/>
        <w:spacing w:before="0" w:after="3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71"/>
      <w:bookmarkEnd w:id="872"/>
      <w:bookmarkEnd w:id="874"/>
    </w:p>
    <w:p>
      <w:pPr>
        <w:pStyle w:val="Style34"/>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按组合评估预期信用风险和计量预期信用损失的应收款项融资</w:t>
      </w:r>
    </w:p>
    <w:tbl>
      <w:tblPr>
        <w:tblOverlap w:val="never"/>
        <w:jc w:val="center"/>
        <w:tblLayout w:type="fixed"/>
      </w:tblPr>
      <w:tblGrid>
        <w:gridCol w:w="2419"/>
        <w:gridCol w:w="2270"/>
        <w:gridCol w:w="4546"/>
      </w:tblGrid>
      <w:tr>
        <w:trPr>
          <w:trHeight w:val="427" w:hRule="exact"/>
        </w:trPr>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确定组合的依据</w:t>
            </w:r>
          </w:p>
        </w:tc>
        <w:tc>
          <w:tcPr>
            <w:tcBorders>
              <w:top w:val="single" w:sz="4"/>
              <w:left w:val="single" w:sz="4"/>
              <w:right w:val="single" w:sz="4"/>
            </w:tcBorders>
            <w:shd w:val="clear" w:color="auto" w:fill="BFBFB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07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银行承兑汇票组合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承兑人为银行</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 况的预测，通过违约风险敞口和整个存续期预期信用损失 率，计算预期信用损失</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本公司认为银行承兑汇票的承兑人信用较好，到期无法收回合同现金流量的可能性极低，因此本公司不对其计提损失准 备。</w:t>
      </w:r>
    </w:p>
    <w:p>
      <w:pPr>
        <w:widowControl w:val="0"/>
        <w:spacing w:after="399" w:line="1" w:lineRule="exact"/>
      </w:pPr>
    </w:p>
    <w:p>
      <w:pPr>
        <w:pStyle w:val="Style37"/>
        <w:keepNext/>
        <w:keepLines/>
        <w:widowControl w:val="0"/>
        <w:shd w:val="clear" w:color="auto" w:fill="auto"/>
        <w:bidi w:val="0"/>
        <w:spacing w:before="0" w:after="280" w:line="24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75"/>
      <w:bookmarkEnd w:id="876"/>
      <w:bookmarkEnd w:id="878"/>
    </w:p>
    <w:p>
      <w:pPr>
        <w:pStyle w:val="Style34"/>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其他应收款的预期信用损失的确定方法及会计处理方法</w:t>
      </w:r>
    </w:p>
    <w:p>
      <w:pPr>
        <w:pStyle w:val="Style32"/>
        <w:keepNext w:val="0"/>
        <w:keepLines w:val="0"/>
        <w:widowControl w:val="0"/>
        <w:shd w:val="clear" w:color="auto" w:fill="auto"/>
        <w:bidi w:val="0"/>
        <w:spacing w:before="0" w:after="0" w:line="240" w:lineRule="auto"/>
        <w:ind w:left="288" w:right="0" w:firstLine="0"/>
        <w:jc w:val="left"/>
      </w:pPr>
      <w:r>
        <w:rPr>
          <w:color w:val="000000"/>
          <w:spacing w:val="0"/>
          <w:w w:val="100"/>
          <w:position w:val="0"/>
        </w:rPr>
        <w:t>按组合评估预期信用风险和计量预期信用损失的其他应收款</w:t>
      </w:r>
    </w:p>
    <w:tbl>
      <w:tblPr>
        <w:tblOverlap w:val="never"/>
        <w:jc w:val="center"/>
        <w:tblLayout w:type="fixed"/>
      </w:tblPr>
      <w:tblGrid>
        <w:gridCol w:w="3259"/>
        <w:gridCol w:w="3158"/>
        <w:gridCol w:w="3259"/>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一</w:t>
            </w: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 及对未来经济状况的预测，通过违约风险 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 信用损失率，计算预期信用损失</w:t>
            </w:r>
          </w:p>
        </w:tc>
      </w:tr>
      <w:tr>
        <w:trPr>
          <w:trHeight w:val="94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其他应收款一合并范围内的关联往来 组合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客户类型</w:t>
            </w:r>
          </w:p>
        </w:tc>
        <w:tc>
          <w:tcPr>
            <w:vMerge/>
            <w:tcBorders>
              <w:left w:val="single" w:sz="4"/>
              <w:bottom w:val="single" w:sz="4"/>
              <w:right w:val="single" w:sz="4"/>
            </w:tcBorders>
            <w:shd w:val="clear" w:color="auto" w:fill="FFFFFF"/>
            <w:vAlign w:val="center"/>
          </w:tcPr>
          <w:p>
            <w:pPr/>
          </w:p>
        </w:tc>
      </w:tr>
    </w:tbl>
    <w:p>
      <w:pPr>
        <w:widowControl w:val="0"/>
        <w:spacing w:after="639" w:line="1" w:lineRule="exact"/>
      </w:pPr>
    </w:p>
    <w:p>
      <w:pPr>
        <w:pStyle w:val="Style37"/>
        <w:keepNext/>
        <w:keepLines/>
        <w:widowControl w:val="0"/>
        <w:shd w:val="clear" w:color="auto" w:fill="auto"/>
        <w:tabs>
          <w:tab w:pos="474" w:val="left"/>
        </w:tabs>
        <w:bidi w:val="0"/>
        <w:spacing w:before="0" w:after="28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79"/>
      <w:bookmarkEnd w:id="880"/>
      <w:bookmarkEnd w:id="882"/>
    </w:p>
    <w:p>
      <w:pPr>
        <w:pStyle w:val="Style34"/>
        <w:keepNext w:val="0"/>
        <w:keepLines w:val="0"/>
        <w:widowControl w:val="0"/>
        <w:numPr>
          <w:ilvl w:val="0"/>
          <w:numId w:val="57"/>
        </w:numPr>
        <w:shd w:val="clear" w:color="auto" w:fill="auto"/>
        <w:tabs>
          <w:tab w:pos="741" w:val="left"/>
        </w:tabs>
        <w:bidi w:val="0"/>
        <w:spacing w:before="0" w:after="0" w:line="312" w:lineRule="exact"/>
        <w:ind w:left="0" w:right="0" w:firstLine="440"/>
        <w:jc w:val="both"/>
      </w:pPr>
      <w:bookmarkStart w:id="883" w:name="bookmark883"/>
      <w:bookmarkEnd w:id="883"/>
      <w:r>
        <w:rPr>
          <w:color w:val="000000"/>
          <w:spacing w:val="0"/>
          <w:w w:val="100"/>
          <w:position w:val="0"/>
        </w:rPr>
        <w:t>存货的分类</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存货包括在日常活动中持有以备出售的产成品或商品、处在生产过程中的在产品、在生产过程或提供劳务过程中耗用 的材料和物料等。</w:t>
      </w:r>
    </w:p>
    <w:p>
      <w:pPr>
        <w:pStyle w:val="Style34"/>
        <w:keepNext w:val="0"/>
        <w:keepLines w:val="0"/>
        <w:widowControl w:val="0"/>
        <w:numPr>
          <w:ilvl w:val="0"/>
          <w:numId w:val="57"/>
        </w:numPr>
        <w:shd w:val="clear" w:color="auto" w:fill="auto"/>
        <w:tabs>
          <w:tab w:pos="760" w:val="left"/>
        </w:tabs>
        <w:bidi w:val="0"/>
        <w:spacing w:before="0" w:after="0" w:line="312" w:lineRule="exact"/>
        <w:ind w:left="0" w:right="0" w:firstLine="440"/>
        <w:jc w:val="left"/>
      </w:pPr>
      <w:bookmarkStart w:id="884" w:name="bookmark884"/>
      <w:bookmarkEnd w:id="884"/>
      <w:r>
        <w:rPr>
          <w:color w:val="000000"/>
          <w:spacing w:val="0"/>
          <w:w w:val="100"/>
          <w:position w:val="0"/>
        </w:rPr>
        <w:t>发出存货的计价方法</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发出存货采用月末一次加权平均法。</w:t>
      </w:r>
    </w:p>
    <w:p>
      <w:pPr>
        <w:pStyle w:val="Style34"/>
        <w:keepNext w:val="0"/>
        <w:keepLines w:val="0"/>
        <w:widowControl w:val="0"/>
        <w:numPr>
          <w:ilvl w:val="0"/>
          <w:numId w:val="57"/>
        </w:numPr>
        <w:shd w:val="clear" w:color="auto" w:fill="auto"/>
        <w:tabs>
          <w:tab w:pos="760" w:val="left"/>
        </w:tabs>
        <w:bidi w:val="0"/>
        <w:spacing w:before="0" w:after="0" w:line="312" w:lineRule="exact"/>
        <w:ind w:left="0" w:right="0" w:firstLine="440"/>
        <w:jc w:val="left"/>
      </w:pPr>
      <w:bookmarkStart w:id="885" w:name="bookmark885"/>
      <w:bookmarkEnd w:id="885"/>
      <w:r>
        <w:rPr>
          <w:color w:val="000000"/>
          <w:spacing w:val="0"/>
          <w:w w:val="100"/>
          <w:position w:val="0"/>
        </w:rPr>
        <w:t>存货可变现净值的确定依据</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资产负债表日，存货采用成本与可变现净值孰低计量，按照单个存货成本高于可变现净值的差额计提存货跌价准备。 直接用于出售的存货，在正常生产经营过程中以该存货的估计售价减去估计的销售费用和相关税费后的金额确定其可变现净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34"/>
        <w:keepNext w:val="0"/>
        <w:keepLines w:val="0"/>
        <w:widowControl w:val="0"/>
        <w:numPr>
          <w:ilvl w:val="0"/>
          <w:numId w:val="57"/>
        </w:numPr>
        <w:shd w:val="clear" w:color="auto" w:fill="auto"/>
        <w:tabs>
          <w:tab w:pos="760" w:val="left"/>
        </w:tabs>
        <w:bidi w:val="0"/>
        <w:spacing w:before="0" w:after="0" w:line="312" w:lineRule="exact"/>
        <w:ind w:left="0" w:right="0" w:firstLine="440"/>
        <w:jc w:val="left"/>
      </w:pPr>
      <w:bookmarkStart w:id="886" w:name="bookmark886"/>
      <w:bookmarkEnd w:id="886"/>
      <w:r>
        <w:rPr>
          <w:color w:val="000000"/>
          <w:spacing w:val="0"/>
          <w:w w:val="100"/>
          <w:position w:val="0"/>
        </w:rPr>
        <w:t>存货的盘存制度</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存货的盘存制度为永续盘存制。</w:t>
      </w:r>
    </w:p>
    <w:p>
      <w:pPr>
        <w:pStyle w:val="Style34"/>
        <w:keepNext w:val="0"/>
        <w:keepLines w:val="0"/>
        <w:widowControl w:val="0"/>
        <w:numPr>
          <w:ilvl w:val="0"/>
          <w:numId w:val="57"/>
        </w:numPr>
        <w:shd w:val="clear" w:color="auto" w:fill="auto"/>
        <w:tabs>
          <w:tab w:pos="760" w:val="left"/>
        </w:tabs>
        <w:bidi w:val="0"/>
        <w:spacing w:before="0" w:after="0" w:line="312" w:lineRule="exact"/>
        <w:ind w:left="0" w:right="0" w:firstLine="440"/>
        <w:jc w:val="left"/>
      </w:pPr>
      <w:bookmarkStart w:id="887" w:name="bookmark887"/>
      <w:bookmarkEnd w:id="887"/>
      <w:r>
        <w:rPr>
          <w:color w:val="000000"/>
          <w:spacing w:val="0"/>
          <w:w w:val="100"/>
          <w:position w:val="0"/>
        </w:rPr>
        <w:t>低值易耗品和包装物的摊销方法</w:t>
      </w:r>
    </w:p>
    <w:p>
      <w:pPr>
        <w:pStyle w:val="Style34"/>
        <w:keepNext w:val="0"/>
        <w:keepLines w:val="0"/>
        <w:widowControl w:val="0"/>
        <w:numPr>
          <w:ilvl w:val="0"/>
          <w:numId w:val="59"/>
        </w:numPr>
        <w:shd w:val="clear" w:color="auto" w:fill="auto"/>
        <w:tabs>
          <w:tab w:pos="842" w:val="left"/>
        </w:tabs>
        <w:bidi w:val="0"/>
        <w:spacing w:before="0" w:after="0" w:line="312" w:lineRule="exact"/>
        <w:ind w:left="0" w:right="0" w:firstLine="440"/>
        <w:jc w:val="both"/>
      </w:pPr>
      <w:bookmarkStart w:id="888" w:name="bookmark888"/>
      <w:bookmarkEnd w:id="888"/>
      <w:r>
        <w:rPr>
          <w:color w:val="000000"/>
          <w:spacing w:val="0"/>
          <w:w w:val="100"/>
          <w:position w:val="0"/>
        </w:rPr>
        <w:t>低值易耗品</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按照一次转销法进行摊销。</w:t>
      </w:r>
    </w:p>
    <w:p>
      <w:pPr>
        <w:pStyle w:val="Style34"/>
        <w:keepNext w:val="0"/>
        <w:keepLines w:val="0"/>
        <w:widowControl w:val="0"/>
        <w:numPr>
          <w:ilvl w:val="0"/>
          <w:numId w:val="59"/>
        </w:numPr>
        <w:shd w:val="clear" w:color="auto" w:fill="auto"/>
        <w:tabs>
          <w:tab w:pos="842" w:val="left"/>
        </w:tabs>
        <w:bidi w:val="0"/>
        <w:spacing w:before="0" w:after="0" w:line="312" w:lineRule="exact"/>
        <w:ind w:left="0" w:right="0" w:firstLine="440"/>
        <w:jc w:val="both"/>
      </w:pPr>
      <w:bookmarkStart w:id="889" w:name="bookmark889"/>
      <w:bookmarkEnd w:id="889"/>
      <w:r>
        <w:rPr>
          <w:color w:val="000000"/>
          <w:spacing w:val="0"/>
          <w:w w:val="100"/>
          <w:position w:val="0"/>
        </w:rPr>
        <w:t>包装物</w:t>
      </w:r>
    </w:p>
    <w:p>
      <w:pPr>
        <w:pStyle w:val="Style34"/>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按照一次转销法进行摊销。</w:t>
      </w:r>
    </w:p>
    <w:p>
      <w:pPr>
        <w:pStyle w:val="Style37"/>
        <w:keepNext/>
        <w:keepLines/>
        <w:widowControl w:val="0"/>
        <w:shd w:val="clear" w:color="auto" w:fill="auto"/>
        <w:tabs>
          <w:tab w:pos="474"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90"/>
      <w:bookmarkEnd w:id="891"/>
      <w:bookmarkEnd w:id="893"/>
    </w:p>
    <w:p>
      <w:pPr>
        <w:pStyle w:val="Style34"/>
        <w:keepNext w:val="0"/>
        <w:keepLines w:val="0"/>
        <w:widowControl w:val="0"/>
        <w:shd w:val="clear" w:color="auto" w:fill="auto"/>
        <w:bidi w:val="0"/>
        <w:spacing w:before="0" w:after="200" w:line="312" w:lineRule="exact"/>
        <w:ind w:left="0" w:right="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34"/>
        <w:keepNext w:val="0"/>
        <w:keepLines w:val="0"/>
        <w:widowControl w:val="0"/>
        <w:shd w:val="clear" w:color="auto" w:fill="auto"/>
        <w:bidi w:val="0"/>
        <w:spacing w:before="0" w:after="260" w:line="240" w:lineRule="auto"/>
        <w:ind w:left="0" w:right="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向客户收取对价的权利作为应收款项列示，将已向客户转让商品而有权 </w:t>
      </w:r>
      <w:r>
        <w:rPr>
          <w:color w:val="000000"/>
          <w:spacing w:val="0"/>
          <w:w w:val="100"/>
          <w:position w:val="0"/>
        </w:rPr>
        <w:t>收取对价的权利（该权利取决于时间流逝之外的其他因素）作为合同资产列示。</w:t>
      </w:r>
    </w:p>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合同资产</w:t>
      </w:r>
      <w:r>
        <w:rPr>
          <w:color w:val="000000"/>
          <w:spacing w:val="0"/>
          <w:w w:val="100"/>
          <w:position w:val="0"/>
        </w:rPr>
        <w:t>一</w:t>
      </w:r>
      <w:r>
        <w:rPr>
          <w:color w:val="000000"/>
          <w:spacing w:val="0"/>
          <w:w w:val="100"/>
          <w:position w:val="0"/>
        </w:rPr>
        <w:t>未到期质保金与整个存续期预期信用损失率对照表</w:t>
      </w:r>
    </w:p>
    <w:tbl>
      <w:tblPr>
        <w:tblOverlap w:val="never"/>
        <w:jc w:val="center"/>
        <w:tblLayout w:type="fixed"/>
      </w:tblPr>
      <w:tblGrid>
        <w:gridCol w:w="6691"/>
        <w:gridCol w:w="2986"/>
      </w:tblGrid>
      <w:tr>
        <w:trPr>
          <w:trHeight w:val="66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未到期质保金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合同资产</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预期信用损失率</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after="639" w:line="1" w:lineRule="exact"/>
      </w:pPr>
    </w:p>
    <w:p>
      <w:pPr>
        <w:pStyle w:val="Style37"/>
        <w:keepNext/>
        <w:keepLines/>
        <w:widowControl w:val="0"/>
        <w:shd w:val="clear" w:color="auto" w:fill="auto"/>
        <w:tabs>
          <w:tab w:pos="477" w:val="left"/>
        </w:tabs>
        <w:bidi w:val="0"/>
        <w:spacing w:before="0" w:after="26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94"/>
      <w:bookmarkEnd w:id="895"/>
      <w:bookmarkEnd w:id="897"/>
    </w:p>
    <w:p>
      <w:pPr>
        <w:pStyle w:val="Style34"/>
        <w:keepNext w:val="0"/>
        <w:keepLines w:val="0"/>
        <w:widowControl w:val="0"/>
        <w:shd w:val="clear" w:color="auto" w:fill="auto"/>
        <w:bidi w:val="0"/>
        <w:spacing w:before="0" w:after="40" w:line="310" w:lineRule="exact"/>
        <w:ind w:left="0" w:right="0"/>
        <w:jc w:val="both"/>
      </w:pPr>
      <w:r>
        <w:rPr>
          <w:color w:val="000000"/>
          <w:spacing w:val="0"/>
          <w:w w:val="100"/>
          <w:position w:val="0"/>
        </w:rPr>
        <w:t>与合同成本有关的资产包括合同取得成本和合同履约成本。</w:t>
      </w:r>
    </w:p>
    <w:p>
      <w:pPr>
        <w:pStyle w:val="Style34"/>
        <w:keepNext w:val="0"/>
        <w:keepLines w:val="0"/>
        <w:widowControl w:val="0"/>
        <w:shd w:val="clear" w:color="auto" w:fill="auto"/>
        <w:bidi w:val="0"/>
        <w:spacing w:before="0" w:after="40" w:line="307" w:lineRule="exact"/>
        <w:ind w:left="0" w:right="0"/>
        <w:jc w:val="both"/>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34"/>
        <w:keepNext w:val="0"/>
        <w:keepLines w:val="0"/>
        <w:widowControl w:val="0"/>
        <w:numPr>
          <w:ilvl w:val="0"/>
          <w:numId w:val="61"/>
        </w:numPr>
        <w:shd w:val="clear" w:color="auto" w:fill="auto"/>
        <w:tabs>
          <w:tab w:pos="670" w:val="left"/>
        </w:tabs>
        <w:bidi w:val="0"/>
        <w:spacing w:before="0" w:after="40" w:line="312" w:lineRule="exact"/>
        <w:ind w:left="0" w:right="0"/>
        <w:jc w:val="both"/>
      </w:pPr>
      <w:bookmarkStart w:id="898" w:name="bookmark898"/>
      <w:bookmarkEnd w:id="898"/>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34"/>
        <w:keepNext w:val="0"/>
        <w:keepLines w:val="0"/>
        <w:widowControl w:val="0"/>
        <w:numPr>
          <w:ilvl w:val="0"/>
          <w:numId w:val="61"/>
        </w:numPr>
        <w:shd w:val="clear" w:color="auto" w:fill="auto"/>
        <w:tabs>
          <w:tab w:pos="700" w:val="left"/>
        </w:tabs>
        <w:bidi w:val="0"/>
        <w:spacing w:before="0" w:after="40" w:line="310" w:lineRule="exact"/>
        <w:ind w:left="0" w:right="0"/>
        <w:jc w:val="both"/>
      </w:pPr>
      <w:bookmarkStart w:id="899" w:name="bookmark899"/>
      <w:bookmarkEnd w:id="899"/>
      <w:r>
        <w:rPr>
          <w:color w:val="000000"/>
          <w:spacing w:val="0"/>
          <w:w w:val="100"/>
          <w:position w:val="0"/>
        </w:rPr>
        <w:t>该成本增加了公司未来用于履行履约义务的资源；</w:t>
      </w:r>
    </w:p>
    <w:p>
      <w:pPr>
        <w:pStyle w:val="Style34"/>
        <w:keepNext w:val="0"/>
        <w:keepLines w:val="0"/>
        <w:widowControl w:val="0"/>
        <w:numPr>
          <w:ilvl w:val="0"/>
          <w:numId w:val="61"/>
        </w:numPr>
        <w:shd w:val="clear" w:color="auto" w:fill="auto"/>
        <w:tabs>
          <w:tab w:pos="700" w:val="left"/>
        </w:tabs>
        <w:bidi w:val="0"/>
        <w:spacing w:before="0" w:after="40" w:line="310" w:lineRule="exact"/>
        <w:ind w:left="0" w:right="0"/>
        <w:jc w:val="both"/>
      </w:pPr>
      <w:bookmarkStart w:id="900" w:name="bookmark900"/>
      <w:bookmarkEnd w:id="900"/>
      <w:r>
        <w:rPr>
          <w:color w:val="000000"/>
          <w:spacing w:val="0"/>
          <w:w w:val="100"/>
          <w:position w:val="0"/>
        </w:rPr>
        <w:t>该成本预期能够收回。</w:t>
      </w:r>
    </w:p>
    <w:p>
      <w:pPr>
        <w:pStyle w:val="Style34"/>
        <w:keepNext w:val="0"/>
        <w:keepLines w:val="0"/>
        <w:widowControl w:val="0"/>
        <w:shd w:val="clear" w:color="auto" w:fill="auto"/>
        <w:bidi w:val="0"/>
        <w:spacing w:before="0" w:after="40" w:line="310" w:lineRule="exact"/>
        <w:ind w:left="0" w:right="0"/>
        <w:jc w:val="both"/>
      </w:pPr>
      <w:r>
        <w:rPr>
          <w:color w:val="000000"/>
          <w:spacing w:val="0"/>
          <w:w w:val="100"/>
          <w:position w:val="0"/>
        </w:rPr>
        <w:t>公司对于与合同成本有关的资产采用与该资产相关的商品或服务收入确认相同的基础进行摊销，计入当期损益。</w:t>
      </w:r>
    </w:p>
    <w:p>
      <w:pPr>
        <w:pStyle w:val="Style34"/>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37"/>
        <w:keepNext/>
        <w:keepLines/>
        <w:widowControl w:val="0"/>
        <w:shd w:val="clear" w:color="auto" w:fill="auto"/>
        <w:tabs>
          <w:tab w:pos="477" w:val="left"/>
        </w:tabs>
        <w:bidi w:val="0"/>
        <w:spacing w:before="0" w:after="260" w:line="240" w:lineRule="auto"/>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01"/>
      <w:bookmarkEnd w:id="902"/>
      <w:bookmarkEnd w:id="904"/>
    </w:p>
    <w:p>
      <w:pPr>
        <w:pStyle w:val="Style3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不适用</w:t>
      </w:r>
    </w:p>
    <w:p>
      <w:pPr>
        <w:pStyle w:val="Style37"/>
        <w:keepNext/>
        <w:keepLines/>
        <w:widowControl w:val="0"/>
        <w:shd w:val="clear" w:color="auto" w:fill="auto"/>
        <w:tabs>
          <w:tab w:pos="477" w:val="left"/>
        </w:tabs>
        <w:bidi w:val="0"/>
        <w:spacing w:before="0" w:after="26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5"/>
      <w:bookmarkEnd w:id="906"/>
      <w:bookmarkEnd w:id="908"/>
    </w:p>
    <w:p>
      <w:pPr>
        <w:pStyle w:val="Style3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不适用</w:t>
      </w:r>
    </w:p>
    <w:p>
      <w:pPr>
        <w:pStyle w:val="Style37"/>
        <w:keepNext/>
        <w:keepLines/>
        <w:widowControl w:val="0"/>
        <w:shd w:val="clear" w:color="auto" w:fill="auto"/>
        <w:tabs>
          <w:tab w:pos="483" w:val="left"/>
        </w:tabs>
        <w:bidi w:val="0"/>
        <w:spacing w:before="0" w:after="26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9"/>
      <w:bookmarkEnd w:id="910"/>
      <w:bookmarkEnd w:id="912"/>
    </w:p>
    <w:p>
      <w:pPr>
        <w:pStyle w:val="Style3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不适用</w:t>
      </w:r>
    </w:p>
    <w:p>
      <w:pPr>
        <w:pStyle w:val="Style37"/>
        <w:keepNext/>
        <w:keepLines/>
        <w:widowControl w:val="0"/>
        <w:shd w:val="clear" w:color="auto" w:fill="auto"/>
        <w:tabs>
          <w:tab w:pos="483" w:val="left"/>
        </w:tabs>
        <w:bidi w:val="0"/>
        <w:spacing w:before="0" w:after="260" w:line="240"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13"/>
      <w:bookmarkEnd w:id="914"/>
      <w:bookmarkEnd w:id="916"/>
    </w:p>
    <w:p>
      <w:pPr>
        <w:pStyle w:val="Style34"/>
        <w:keepNext w:val="0"/>
        <w:keepLines w:val="0"/>
        <w:widowControl w:val="0"/>
        <w:shd w:val="clear" w:color="auto" w:fill="auto"/>
        <w:bidi w:val="0"/>
        <w:spacing w:before="0" w:after="260" w:line="310" w:lineRule="exact"/>
        <w:ind w:left="0" w:right="0" w:firstLine="440"/>
        <w:jc w:val="both"/>
      </w:pP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917"/>
      <w:bookmarkEnd w:id="918"/>
      <w:bookmarkEnd w:id="920"/>
    </w:p>
    <w:p>
      <w:pPr>
        <w:pStyle w:val="Style34"/>
        <w:keepNext w:val="0"/>
        <w:keepLines w:val="0"/>
        <w:widowControl w:val="0"/>
        <w:numPr>
          <w:ilvl w:val="0"/>
          <w:numId w:val="63"/>
        </w:numPr>
        <w:shd w:val="clear" w:color="auto" w:fill="auto"/>
        <w:tabs>
          <w:tab w:pos="701" w:val="left"/>
        </w:tabs>
        <w:bidi w:val="0"/>
        <w:spacing w:before="0" w:after="0" w:line="311" w:lineRule="exact"/>
        <w:ind w:left="0" w:right="0" w:firstLine="440"/>
        <w:jc w:val="both"/>
      </w:pPr>
      <w:bookmarkStart w:id="921" w:name="bookmark921"/>
      <w:bookmarkEnd w:id="921"/>
      <w:r>
        <w:rPr>
          <w:b/>
          <w:bCs/>
          <w:color w:val="000000"/>
          <w:spacing w:val="0"/>
          <w:w w:val="100"/>
          <w:position w:val="0"/>
        </w:rPr>
        <w:t>共同控制、重要影响的判断</w:t>
      </w:r>
    </w:p>
    <w:p>
      <w:pPr>
        <w:pStyle w:val="Style34"/>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34"/>
        <w:keepNext w:val="0"/>
        <w:keepLines w:val="0"/>
        <w:widowControl w:val="0"/>
        <w:numPr>
          <w:ilvl w:val="0"/>
          <w:numId w:val="63"/>
        </w:numPr>
        <w:shd w:val="clear" w:color="auto" w:fill="auto"/>
        <w:tabs>
          <w:tab w:pos="716" w:val="left"/>
        </w:tabs>
        <w:bidi w:val="0"/>
        <w:spacing w:before="0" w:after="0" w:line="311" w:lineRule="exact"/>
        <w:ind w:left="0" w:right="0" w:firstLine="440"/>
        <w:jc w:val="both"/>
      </w:pPr>
      <w:bookmarkStart w:id="922" w:name="bookmark922"/>
      <w:bookmarkEnd w:id="922"/>
      <w:r>
        <w:rPr>
          <w:b/>
          <w:bCs/>
          <w:color w:val="000000"/>
          <w:spacing w:val="0"/>
          <w:w w:val="100"/>
          <w:position w:val="0"/>
        </w:rPr>
        <w:t>投资成本的确定</w:t>
      </w:r>
    </w:p>
    <w:p>
      <w:pPr>
        <w:pStyle w:val="Style34"/>
        <w:keepNext w:val="0"/>
        <w:keepLines w:val="0"/>
        <w:widowControl w:val="0"/>
        <w:numPr>
          <w:ilvl w:val="0"/>
          <w:numId w:val="65"/>
        </w:numPr>
        <w:shd w:val="clear" w:color="auto" w:fill="auto"/>
        <w:tabs>
          <w:tab w:pos="780" w:val="left"/>
        </w:tabs>
        <w:bidi w:val="0"/>
        <w:spacing w:before="0" w:after="0" w:line="311" w:lineRule="exact"/>
        <w:ind w:left="0" w:right="0" w:firstLine="440"/>
        <w:jc w:val="both"/>
      </w:pPr>
      <w:bookmarkStart w:id="923" w:name="bookmark923"/>
      <w:bookmarkEnd w:id="923"/>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34"/>
        <w:keepNext w:val="0"/>
        <w:keepLines w:val="0"/>
        <w:widowControl w:val="0"/>
        <w:numPr>
          <w:ilvl w:val="0"/>
          <w:numId w:val="65"/>
        </w:numPr>
        <w:shd w:val="clear" w:color="auto" w:fill="auto"/>
        <w:tabs>
          <w:tab w:pos="797" w:val="left"/>
        </w:tabs>
        <w:bidi w:val="0"/>
        <w:spacing w:before="0" w:after="0" w:line="311" w:lineRule="exact"/>
        <w:ind w:left="0" w:right="0" w:firstLine="440"/>
        <w:jc w:val="both"/>
      </w:pPr>
      <w:bookmarkStart w:id="924" w:name="bookmark924"/>
      <w:bookmarkEnd w:id="924"/>
      <w:r>
        <w:rPr>
          <w:color w:val="000000"/>
          <w:spacing w:val="0"/>
          <w:w w:val="100"/>
          <w:position w:val="0"/>
        </w:rPr>
        <w:t>非同一控制下的企业合并形成的，在购买日按照支付的合并对价的公允价值作为其初始投资成本。</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公司通过多次交易分步实现非同一控制下企业合并形成的长期股权投资，区分个别财务报表和合并财务报表进行相关 会计处理：</w:t>
      </w:r>
    </w:p>
    <w:p>
      <w:pPr>
        <w:pStyle w:val="Style34"/>
        <w:keepNext w:val="0"/>
        <w:keepLines w:val="0"/>
        <w:widowControl w:val="0"/>
        <w:numPr>
          <w:ilvl w:val="0"/>
          <w:numId w:val="67"/>
        </w:numPr>
        <w:shd w:val="clear" w:color="auto" w:fill="auto"/>
        <w:tabs>
          <w:tab w:pos="717" w:val="left"/>
        </w:tabs>
        <w:bidi w:val="0"/>
        <w:spacing w:before="0" w:after="0" w:line="311" w:lineRule="exact"/>
        <w:ind w:left="0" w:right="0" w:firstLine="440"/>
        <w:jc w:val="both"/>
      </w:pPr>
      <w:bookmarkStart w:id="925" w:name="bookmark925"/>
      <w:bookmarkEnd w:id="925"/>
      <w:r>
        <w:rPr>
          <w:color w:val="000000"/>
          <w:spacing w:val="0"/>
          <w:w w:val="100"/>
          <w:position w:val="0"/>
        </w:rPr>
        <w:t>在个别财务报表中，按照原持有的股权投资的账面价值加上新增投资成本之和，作为改按成本法核算的初始投资成 本。</w:t>
      </w:r>
    </w:p>
    <w:p>
      <w:pPr>
        <w:pStyle w:val="Style34"/>
        <w:keepNext w:val="0"/>
        <w:keepLines w:val="0"/>
        <w:widowControl w:val="0"/>
        <w:numPr>
          <w:ilvl w:val="0"/>
          <w:numId w:val="67"/>
        </w:numPr>
        <w:shd w:val="clear" w:color="auto" w:fill="auto"/>
        <w:tabs>
          <w:tab w:pos="717" w:val="left"/>
        </w:tabs>
        <w:bidi w:val="0"/>
        <w:spacing w:before="0" w:after="0" w:line="311" w:lineRule="exact"/>
        <w:ind w:left="0" w:right="0" w:firstLine="440"/>
        <w:jc w:val="both"/>
      </w:pPr>
      <w:bookmarkStart w:id="926" w:name="bookmark926"/>
      <w:bookmarkEnd w:id="926"/>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 量，公允价值与其账面价值的差额计入当期投资收益；购买日之前持有的被购买方的股权涉及权益法核算下的其他综合收益 等的，与其相关的其他综合收益等转为购买日所属当期收益。但由于被投资方重新计量设定受益计划净负债或净资产变动而 产生的其他综合收益除外。</w:t>
      </w:r>
    </w:p>
    <w:p>
      <w:pPr>
        <w:pStyle w:val="Style34"/>
        <w:keepNext w:val="0"/>
        <w:keepLines w:val="0"/>
        <w:widowControl w:val="0"/>
        <w:numPr>
          <w:ilvl w:val="0"/>
          <w:numId w:val="65"/>
        </w:numPr>
        <w:shd w:val="clear" w:color="auto" w:fill="auto"/>
        <w:tabs>
          <w:tab w:pos="775" w:val="left"/>
        </w:tabs>
        <w:bidi w:val="0"/>
        <w:spacing w:before="0" w:after="0" w:line="311" w:lineRule="exact"/>
        <w:ind w:left="0" w:right="0" w:firstLine="440"/>
        <w:jc w:val="both"/>
      </w:pPr>
      <w:bookmarkStart w:id="927" w:name="bookmark927"/>
      <w:bookmarkEnd w:id="927"/>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 组》确定其初始投资成本；以非货币性资产交换取得的，按《企业会计准则第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 成本。</w:t>
      </w:r>
    </w:p>
    <w:p>
      <w:pPr>
        <w:pStyle w:val="Style34"/>
        <w:keepNext w:val="0"/>
        <w:keepLines w:val="0"/>
        <w:widowControl w:val="0"/>
        <w:numPr>
          <w:ilvl w:val="0"/>
          <w:numId w:val="63"/>
        </w:numPr>
        <w:shd w:val="clear" w:color="auto" w:fill="auto"/>
        <w:tabs>
          <w:tab w:pos="716" w:val="left"/>
        </w:tabs>
        <w:bidi w:val="0"/>
        <w:spacing w:before="0" w:after="0" w:line="311" w:lineRule="exact"/>
        <w:ind w:left="0" w:right="0" w:firstLine="440"/>
        <w:jc w:val="both"/>
      </w:pPr>
      <w:bookmarkStart w:id="928" w:name="bookmark928"/>
      <w:bookmarkEnd w:id="928"/>
      <w:r>
        <w:rPr>
          <w:b/>
          <w:bCs/>
          <w:color w:val="000000"/>
          <w:spacing w:val="0"/>
          <w:w w:val="100"/>
          <w:position w:val="0"/>
        </w:rPr>
        <w:t>后续计量及损益确认方法</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对被投资单位实施控制的长期股权投资采用成本法核算；对联营企业和合营企业的长期股权投资，采用权益法核算。</w:t>
      </w:r>
    </w:p>
    <w:p>
      <w:pPr>
        <w:pStyle w:val="Style34"/>
        <w:keepNext w:val="0"/>
        <w:keepLines w:val="0"/>
        <w:widowControl w:val="0"/>
        <w:numPr>
          <w:ilvl w:val="0"/>
          <w:numId w:val="63"/>
        </w:numPr>
        <w:shd w:val="clear" w:color="auto" w:fill="auto"/>
        <w:tabs>
          <w:tab w:pos="716" w:val="left"/>
        </w:tabs>
        <w:bidi w:val="0"/>
        <w:spacing w:before="0" w:after="0" w:line="311" w:lineRule="exact"/>
        <w:ind w:left="0" w:right="0" w:firstLine="440"/>
        <w:jc w:val="both"/>
      </w:pPr>
      <w:bookmarkStart w:id="929" w:name="bookmark929"/>
      <w:bookmarkEnd w:id="929"/>
      <w:r>
        <w:rPr>
          <w:b/>
          <w:bCs/>
          <w:color w:val="000000"/>
          <w:spacing w:val="0"/>
          <w:w w:val="100"/>
          <w:position w:val="0"/>
        </w:rPr>
        <w:t>通过多次交易分步处置对子公司投资至丧失控制权的处理方法</w:t>
      </w:r>
    </w:p>
    <w:p>
      <w:pPr>
        <w:pStyle w:val="Style34"/>
        <w:keepNext w:val="0"/>
        <w:keepLines w:val="0"/>
        <w:widowControl w:val="0"/>
        <w:numPr>
          <w:ilvl w:val="0"/>
          <w:numId w:val="69"/>
        </w:numPr>
        <w:shd w:val="clear" w:color="auto" w:fill="auto"/>
        <w:tabs>
          <w:tab w:pos="797" w:val="left"/>
        </w:tabs>
        <w:bidi w:val="0"/>
        <w:spacing w:before="0" w:after="0" w:line="311" w:lineRule="exact"/>
        <w:ind w:left="0" w:right="0" w:firstLine="440"/>
        <w:jc w:val="both"/>
      </w:pPr>
      <w:bookmarkStart w:id="930" w:name="bookmark930"/>
      <w:bookmarkEnd w:id="930"/>
      <w:r>
        <w:rPr>
          <w:color w:val="000000"/>
          <w:spacing w:val="0"/>
          <w:w w:val="100"/>
          <w:position w:val="0"/>
        </w:rPr>
        <w:t>个别财务报表</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对处置的股权，其账面价值与实际取得价款之间的差额，计入当期损益。对于剩余股权，对被投资单位仍具有重大影 响或者与其他方一起实施共同控制的，转为权益法核算；不能再对被投资单位实施控制、共同控制或重大影响的，确认为金 融资产，按照《企业会计准则第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34"/>
        <w:keepNext w:val="0"/>
        <w:keepLines w:val="0"/>
        <w:widowControl w:val="0"/>
        <w:numPr>
          <w:ilvl w:val="0"/>
          <w:numId w:val="69"/>
        </w:numPr>
        <w:shd w:val="clear" w:color="auto" w:fill="auto"/>
        <w:tabs>
          <w:tab w:pos="797" w:val="left"/>
        </w:tabs>
        <w:bidi w:val="0"/>
        <w:spacing w:before="0" w:after="0" w:line="311" w:lineRule="exact"/>
        <w:ind w:left="0" w:right="0" w:firstLine="440"/>
        <w:jc w:val="both"/>
      </w:pPr>
      <w:bookmarkStart w:id="931" w:name="bookmark931"/>
      <w:bookmarkEnd w:id="931"/>
      <w:r>
        <w:rPr>
          <w:color w:val="000000"/>
          <w:spacing w:val="0"/>
          <w:w w:val="100"/>
          <w:position w:val="0"/>
        </w:rPr>
        <w:t>合并财务报表</w:t>
      </w:r>
    </w:p>
    <w:p>
      <w:pPr>
        <w:pStyle w:val="Style34"/>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在丧失控制权之前，处置价款与处置长期股权投资相对应享有子公司自购买日或合并日开始持续计算的净资产份额之 间的差额，调整资本公积(资本溢价)，资本溢价不足冲减的，冲减留存收益。</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丧失对原子公司控制权时，对于剩余股权，按照其在丧失控制权日的公允价值进行重新计量。处置股权取得的对价与 剩余股权公允价值之和，减去按原持股比例计算应享有原有子公司自购买日或合并日开始持续计算的净资产的份额之间的差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w:t>
      </w:r>
      <w:r>
        <w:rPr>
          <w:color w:val="000000"/>
          <w:spacing w:val="0"/>
          <w:w w:val="100"/>
          <w:position w:val="0"/>
        </w:rPr>
        <w:t>转为当期投资收益。</w:t>
      </w:r>
    </w:p>
    <w:p>
      <w:pPr>
        <w:pStyle w:val="Style34"/>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3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将各项交易作为一项处置子公司并丧失控制权的交易进行会计处理。但是，在丧失控制权之前每一次处置价款与处置 投资对应的享有该子公司净资产份额的差额，在合并财务报表中确认为其他综合收益，在丧失控制权时一并转入丧失控制权 当期的损益。</w:t>
      </w:r>
    </w:p>
    <w:p>
      <w:pPr>
        <w:pStyle w:val="Style37"/>
        <w:keepNext/>
        <w:keepLines/>
        <w:widowControl w:val="0"/>
        <w:shd w:val="clear" w:color="auto" w:fill="auto"/>
        <w:tabs>
          <w:tab w:pos="490" w:val="left"/>
        </w:tabs>
        <w:bidi w:val="0"/>
        <w:spacing w:before="0" w:after="28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32"/>
      <w:bookmarkEnd w:id="933"/>
      <w:bookmarkEnd w:id="935"/>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投资性房地产计量模式</w:t>
      </w:r>
    </w:p>
    <w:p>
      <w:pPr>
        <w:pStyle w:val="Style3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不适用</w:t>
      </w:r>
    </w:p>
    <w:p>
      <w:pPr>
        <w:pStyle w:val="Style37"/>
        <w:keepNext/>
        <w:keepLines/>
        <w:widowControl w:val="0"/>
        <w:shd w:val="clear" w:color="auto" w:fill="auto"/>
        <w:tabs>
          <w:tab w:pos="490" w:val="left"/>
        </w:tabs>
        <w:bidi w:val="0"/>
        <w:spacing w:before="0" w:after="380" w:line="24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36"/>
      <w:bookmarkEnd w:id="937"/>
      <w:bookmarkEnd w:id="939"/>
    </w:p>
    <w:p>
      <w:pPr>
        <w:pStyle w:val="Style71"/>
        <w:keepNext/>
        <w:keepLines/>
        <w:widowControl w:val="0"/>
        <w:shd w:val="clear" w:color="auto" w:fill="auto"/>
        <w:bidi w:val="0"/>
        <w:spacing w:before="0" w:after="280" w:line="240" w:lineRule="auto"/>
        <w:ind w:left="0" w:right="0" w:firstLine="0"/>
        <w:jc w:val="both"/>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0"/>
      <w:bookmarkEnd w:id="941"/>
      <w:bookmarkEnd w:id="943"/>
    </w:p>
    <w:p>
      <w:pPr>
        <w:pStyle w:val="Style34"/>
        <w:keepNext w:val="0"/>
        <w:keepLines w:val="0"/>
        <w:widowControl w:val="0"/>
        <w:shd w:val="clear" w:color="auto" w:fill="auto"/>
        <w:bidi w:val="0"/>
        <w:spacing w:before="0" w:after="380" w:line="307" w:lineRule="exact"/>
        <w:ind w:left="0" w:right="0" w:firstLine="640"/>
        <w:jc w:val="both"/>
      </w:pPr>
      <w:r>
        <w:rPr>
          <w:color w:val="000000"/>
          <w:spacing w:val="0"/>
          <w:w w:val="100"/>
          <w:position w:val="0"/>
        </w:rPr>
        <w:t>固定资产是指为生产商品、提供劳务、出租或经营管理而持有的，使用年限超过一个会计年度的有形资产。固定资 产在同时满足经济利益很可能流入、成本能够可靠计量时予以确认。</w:t>
      </w:r>
    </w:p>
    <w:p>
      <w:pPr>
        <w:pStyle w:val="Style71"/>
        <w:keepNext/>
        <w:keepLines/>
        <w:widowControl w:val="0"/>
        <w:shd w:val="clear" w:color="auto" w:fill="auto"/>
        <w:bidi w:val="0"/>
        <w:spacing w:before="0" w:after="320" w:line="240" w:lineRule="auto"/>
        <w:ind w:left="0" w:right="0" w:firstLine="14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44"/>
      <w:bookmarkEnd w:id="945"/>
      <w:bookmarkEnd w:id="947"/>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71"/>
        <w:keepNext/>
        <w:keepLines/>
        <w:widowControl w:val="0"/>
        <w:shd w:val="clear" w:color="auto" w:fill="auto"/>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8"/>
      <w:bookmarkEnd w:id="949"/>
      <w:bookmarkEnd w:id="951"/>
    </w:p>
    <w:p>
      <w:pPr>
        <w:pStyle w:val="Style34"/>
        <w:keepNext w:val="0"/>
        <w:keepLines w:val="0"/>
        <w:widowControl w:val="0"/>
        <w:shd w:val="clear" w:color="auto" w:fill="auto"/>
        <w:bidi w:val="0"/>
        <w:spacing w:before="0" w:after="380" w:line="317" w:lineRule="exact"/>
        <w:ind w:left="0" w:right="0" w:firstLine="560"/>
        <w:jc w:val="both"/>
      </w:pPr>
      <w:r>
        <w:rPr>
          <w:color w:val="000000"/>
          <w:spacing w:val="0"/>
          <w:w w:val="100"/>
          <w:position w:val="0"/>
        </w:rPr>
        <w:t>不适用</w:t>
      </w:r>
    </w:p>
    <w:p>
      <w:pPr>
        <w:pStyle w:val="Style37"/>
        <w:keepNext/>
        <w:keepLines/>
        <w:widowControl w:val="0"/>
        <w:shd w:val="clear" w:color="auto" w:fill="auto"/>
        <w:tabs>
          <w:tab w:pos="490" w:val="left"/>
        </w:tabs>
        <w:bidi w:val="0"/>
        <w:spacing w:before="0" w:after="28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52"/>
      <w:bookmarkEnd w:id="953"/>
      <w:bookmarkEnd w:id="955"/>
    </w:p>
    <w:p>
      <w:pPr>
        <w:pStyle w:val="Style34"/>
        <w:keepNext w:val="0"/>
        <w:keepLines w:val="0"/>
        <w:widowControl w:val="0"/>
        <w:numPr>
          <w:ilvl w:val="0"/>
          <w:numId w:val="71"/>
        </w:numPr>
        <w:shd w:val="clear" w:color="auto" w:fill="auto"/>
        <w:tabs>
          <w:tab w:pos="733" w:val="left"/>
        </w:tabs>
        <w:bidi w:val="0"/>
        <w:spacing w:before="0" w:after="0" w:line="317" w:lineRule="exact"/>
        <w:ind w:left="0" w:right="0" w:firstLine="440"/>
        <w:jc w:val="both"/>
      </w:pPr>
      <w:bookmarkStart w:id="956" w:name="bookmark956"/>
      <w:bookmarkEnd w:id="956"/>
      <w:r>
        <w:rPr>
          <w:color w:val="000000"/>
          <w:spacing w:val="0"/>
          <w:w w:val="100"/>
          <w:position w:val="0"/>
        </w:rPr>
        <w:t>在建工程同时满足经济利益很可能流入、成本能够可靠计量则予以确认。在建工程按建造该项资产达到预定可使用 状态前所发生的实际成本计量。</w:t>
      </w:r>
    </w:p>
    <w:p>
      <w:pPr>
        <w:pStyle w:val="Style34"/>
        <w:keepNext w:val="0"/>
        <w:keepLines w:val="0"/>
        <w:widowControl w:val="0"/>
        <w:numPr>
          <w:ilvl w:val="0"/>
          <w:numId w:val="71"/>
        </w:numPr>
        <w:shd w:val="clear" w:color="auto" w:fill="auto"/>
        <w:tabs>
          <w:tab w:pos="733" w:val="left"/>
        </w:tabs>
        <w:bidi w:val="0"/>
        <w:spacing w:before="0" w:after="380" w:line="317" w:lineRule="exact"/>
        <w:ind w:left="0" w:right="0" w:firstLine="440"/>
        <w:jc w:val="both"/>
      </w:pPr>
      <w:bookmarkStart w:id="957" w:name="bookmark957"/>
      <w:bookmarkEnd w:id="957"/>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37"/>
        <w:keepNext/>
        <w:keepLines/>
        <w:widowControl w:val="0"/>
        <w:shd w:val="clear" w:color="auto" w:fill="auto"/>
        <w:tabs>
          <w:tab w:pos="490" w:val="left"/>
        </w:tabs>
        <w:bidi w:val="0"/>
        <w:spacing w:before="0" w:after="28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58"/>
      <w:bookmarkEnd w:id="959"/>
      <w:bookmarkEnd w:id="961"/>
    </w:p>
    <w:p>
      <w:pPr>
        <w:pStyle w:val="Style34"/>
        <w:keepNext w:val="0"/>
        <w:keepLines w:val="0"/>
        <w:widowControl w:val="0"/>
        <w:numPr>
          <w:ilvl w:val="0"/>
          <w:numId w:val="73"/>
        </w:numPr>
        <w:shd w:val="clear" w:color="auto" w:fill="auto"/>
        <w:bidi w:val="0"/>
        <w:spacing w:before="0" w:after="0" w:line="312" w:lineRule="exact"/>
        <w:ind w:left="0" w:right="0" w:firstLine="440"/>
        <w:jc w:val="both"/>
      </w:pPr>
      <w:bookmarkStart w:id="962" w:name="bookmark962"/>
      <w:bookmarkEnd w:id="962"/>
      <w:r>
        <w:rPr>
          <w:color w:val="000000"/>
          <w:spacing w:val="0"/>
          <w:w w:val="100"/>
          <w:position w:val="0"/>
        </w:rPr>
        <w:t>借款费用资本化的确认原则</w:t>
      </w:r>
    </w:p>
    <w:p>
      <w:pPr>
        <w:pStyle w:val="Style34"/>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他借款费用，在发生时确认为费用，计入当期损益。</w:t>
      </w:r>
    </w:p>
    <w:p>
      <w:pPr>
        <w:pStyle w:val="Style34"/>
        <w:keepNext w:val="0"/>
        <w:keepLines w:val="0"/>
        <w:widowControl w:val="0"/>
        <w:numPr>
          <w:ilvl w:val="0"/>
          <w:numId w:val="73"/>
        </w:numPr>
        <w:shd w:val="clear" w:color="auto" w:fill="auto"/>
        <w:tabs>
          <w:tab w:pos="760" w:val="left"/>
        </w:tabs>
        <w:bidi w:val="0"/>
        <w:spacing w:before="0" w:after="0" w:line="317" w:lineRule="exact"/>
        <w:ind w:left="0" w:right="0" w:firstLine="440"/>
        <w:jc w:val="both"/>
      </w:pPr>
      <w:bookmarkStart w:id="963" w:name="bookmark963"/>
      <w:bookmarkEnd w:id="963"/>
      <w:r>
        <w:rPr>
          <w:color w:val="000000"/>
          <w:spacing w:val="0"/>
          <w:w w:val="100"/>
          <w:position w:val="0"/>
        </w:rPr>
        <w:t>借款费用资本化期间</w:t>
      </w:r>
    </w:p>
    <w:p>
      <w:pPr>
        <w:pStyle w:val="Style34"/>
        <w:keepNext w:val="0"/>
        <w:keepLines w:val="0"/>
        <w:widowControl w:val="0"/>
        <w:numPr>
          <w:ilvl w:val="0"/>
          <w:numId w:val="75"/>
        </w:numPr>
        <w:shd w:val="clear" w:color="auto" w:fill="auto"/>
        <w:tabs>
          <w:tab w:pos="814" w:val="left"/>
        </w:tabs>
        <w:bidi w:val="0"/>
        <w:spacing w:before="0" w:after="0" w:line="317" w:lineRule="exact"/>
        <w:ind w:left="0" w:right="0" w:firstLine="440"/>
        <w:jc w:val="left"/>
      </w:pPr>
      <w:bookmarkStart w:id="964" w:name="bookmark964"/>
      <w:bookmarkEnd w:id="964"/>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 定可使用或可销售状态所必要的购建或者生产活动已经开始。</w:t>
      </w:r>
    </w:p>
    <w:p>
      <w:pPr>
        <w:pStyle w:val="Style34"/>
        <w:keepNext w:val="0"/>
        <w:keepLines w:val="0"/>
        <w:widowControl w:val="0"/>
        <w:numPr>
          <w:ilvl w:val="0"/>
          <w:numId w:val="75"/>
        </w:numPr>
        <w:shd w:val="clear" w:color="auto" w:fill="auto"/>
        <w:tabs>
          <w:tab w:pos="814" w:val="left"/>
        </w:tabs>
        <w:bidi w:val="0"/>
        <w:spacing w:before="0" w:after="0" w:line="317" w:lineRule="exact"/>
        <w:ind w:left="0" w:right="0" w:firstLine="440"/>
        <w:jc w:val="left"/>
      </w:pPr>
      <w:bookmarkStart w:id="965" w:name="bookmark965"/>
      <w:bookmarkEnd w:id="965"/>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34"/>
        <w:keepNext w:val="0"/>
        <w:keepLines w:val="0"/>
        <w:widowControl w:val="0"/>
        <w:numPr>
          <w:ilvl w:val="0"/>
          <w:numId w:val="75"/>
        </w:numPr>
        <w:shd w:val="clear" w:color="auto" w:fill="auto"/>
        <w:tabs>
          <w:tab w:pos="842" w:val="left"/>
        </w:tabs>
        <w:bidi w:val="0"/>
        <w:spacing w:before="0" w:after="0" w:line="317" w:lineRule="exact"/>
        <w:ind w:left="0" w:right="0" w:firstLine="440"/>
        <w:jc w:val="left"/>
      </w:pPr>
      <w:bookmarkStart w:id="966" w:name="bookmark966"/>
      <w:bookmarkEnd w:id="966"/>
      <w:r>
        <w:rPr>
          <w:color w:val="000000"/>
          <w:spacing w:val="0"/>
          <w:w w:val="100"/>
          <w:position w:val="0"/>
        </w:rPr>
        <w:t>当所购建或者生产符合资本化条件的资产达到预定可使用或可销售状态时，借款费用停止资本化。</w:t>
      </w:r>
    </w:p>
    <w:p>
      <w:pPr>
        <w:pStyle w:val="Style34"/>
        <w:keepNext w:val="0"/>
        <w:keepLines w:val="0"/>
        <w:widowControl w:val="0"/>
        <w:numPr>
          <w:ilvl w:val="0"/>
          <w:numId w:val="73"/>
        </w:numPr>
        <w:shd w:val="clear" w:color="auto" w:fill="auto"/>
        <w:tabs>
          <w:tab w:pos="760" w:val="left"/>
        </w:tabs>
        <w:bidi w:val="0"/>
        <w:spacing w:before="0" w:after="0" w:line="317" w:lineRule="exact"/>
        <w:ind w:left="0" w:right="0" w:firstLine="440"/>
        <w:jc w:val="left"/>
      </w:pPr>
      <w:bookmarkStart w:id="967" w:name="bookmark967"/>
      <w:bookmarkEnd w:id="967"/>
      <w:r>
        <w:rPr>
          <w:color w:val="000000"/>
          <w:spacing w:val="0"/>
          <w:w w:val="100"/>
          <w:position w:val="0"/>
        </w:rPr>
        <w:t>借款费用资本化率以及资本化金额</w:t>
      </w:r>
    </w:p>
    <w:p>
      <w:pPr>
        <w:pStyle w:val="Style3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为购建或者生产符合资本化条件的资产而借入专门借款的，以专门借款当期实际发生的利息费用(包括按照实际利率 法确定的折价或溢价的摊销)，减去将尚未动用的借款资金存入银行取得的利息收入或进行暂时性投资取得的投资收益后的 金额，确定应予资本化的利息金额；为购建或者生产符合资本化条件的资产占用了一般借款的，根据累计资产支出超过专门 借款的资产支出加权平均数乘以占用一般借款的资本化率，计算确定一般借款应予资本化的利息金额。</w:t>
      </w:r>
    </w:p>
    <w:p>
      <w:pPr>
        <w:pStyle w:val="Style37"/>
        <w:keepNext/>
        <w:keepLines/>
        <w:widowControl w:val="0"/>
        <w:shd w:val="clear" w:color="auto" w:fill="auto"/>
        <w:tabs>
          <w:tab w:pos="483" w:val="left"/>
        </w:tabs>
        <w:bidi w:val="0"/>
        <w:spacing w:before="0" w:after="26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8"/>
      <w:bookmarkEnd w:id="969"/>
      <w:bookmarkEnd w:id="971"/>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不适用</w:t>
      </w:r>
    </w:p>
    <w:p>
      <w:pPr>
        <w:pStyle w:val="Style37"/>
        <w:keepNext/>
        <w:keepLines/>
        <w:widowControl w:val="0"/>
        <w:shd w:val="clear" w:color="auto" w:fill="auto"/>
        <w:tabs>
          <w:tab w:pos="483" w:val="left"/>
        </w:tabs>
        <w:bidi w:val="0"/>
        <w:spacing w:before="0" w:after="26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72"/>
      <w:bookmarkEnd w:id="973"/>
      <w:bookmarkEnd w:id="975"/>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不适用</w:t>
      </w:r>
    </w:p>
    <w:p>
      <w:pPr>
        <w:pStyle w:val="Style37"/>
        <w:keepNext/>
        <w:keepLines/>
        <w:widowControl w:val="0"/>
        <w:shd w:val="clear" w:color="auto" w:fill="auto"/>
        <w:tabs>
          <w:tab w:pos="483" w:val="left"/>
        </w:tabs>
        <w:bidi w:val="0"/>
        <w:spacing w:before="0" w:after="26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6"/>
      <w:bookmarkEnd w:id="977"/>
      <w:bookmarkEnd w:id="979"/>
    </w:p>
    <w:p>
      <w:pPr>
        <w:pStyle w:val="Style3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80"/>
      <w:bookmarkEnd w:id="981"/>
      <w:bookmarkEnd w:id="983"/>
    </w:p>
    <w:p>
      <w:pPr>
        <w:pStyle w:val="Style71"/>
        <w:keepNext/>
        <w:keepLines/>
        <w:widowControl w:val="0"/>
        <w:numPr>
          <w:ilvl w:val="0"/>
          <w:numId w:val="77"/>
        </w:numPr>
        <w:shd w:val="clear" w:color="auto" w:fill="auto"/>
        <w:bidi w:val="0"/>
        <w:spacing w:before="0" w:after="26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计价方法、使用寿命、减值测试</w:t>
      </w:r>
      <w:bookmarkEnd w:id="984"/>
      <w:bookmarkEnd w:id="985"/>
      <w:bookmarkEnd w:id="987"/>
    </w:p>
    <w:p>
      <w:pPr>
        <w:pStyle w:val="Style34"/>
        <w:keepNext w:val="0"/>
        <w:keepLines w:val="0"/>
        <w:widowControl w:val="0"/>
        <w:numPr>
          <w:ilvl w:val="0"/>
          <w:numId w:val="79"/>
        </w:numPr>
        <w:shd w:val="clear" w:color="auto" w:fill="auto"/>
        <w:tabs>
          <w:tab w:pos="681" w:val="left"/>
        </w:tabs>
        <w:bidi w:val="0"/>
        <w:spacing w:before="0" w:after="0" w:line="317" w:lineRule="exact"/>
        <w:ind w:left="0" w:right="0"/>
        <w:jc w:val="both"/>
      </w:pPr>
      <w:bookmarkStart w:id="988" w:name="bookmark988"/>
      <w:bookmarkEnd w:id="988"/>
      <w:r>
        <w:rPr>
          <w:color w:val="000000"/>
          <w:spacing w:val="0"/>
          <w:w w:val="100"/>
          <w:position w:val="0"/>
        </w:rPr>
        <w:t>无形资产包括土地使用权、办公软件等，按成本进行初始计量。</w:t>
      </w:r>
    </w:p>
    <w:p>
      <w:pPr>
        <w:pStyle w:val="Style34"/>
        <w:keepNext w:val="0"/>
        <w:keepLines w:val="0"/>
        <w:widowControl w:val="0"/>
        <w:numPr>
          <w:ilvl w:val="0"/>
          <w:numId w:val="79"/>
        </w:numPr>
        <w:shd w:val="clear" w:color="auto" w:fill="auto"/>
        <w:tabs>
          <w:tab w:pos="700" w:val="left"/>
        </w:tabs>
        <w:bidi w:val="0"/>
        <w:spacing w:before="0" w:after="80" w:line="317" w:lineRule="exact"/>
        <w:ind w:left="0" w:right="0"/>
        <w:jc w:val="both"/>
      </w:pPr>
      <w:bookmarkStart w:id="989" w:name="bookmark989"/>
      <w:bookmarkEnd w:id="989"/>
      <w:r>
        <w:rPr>
          <w:color w:val="000000"/>
          <w:spacing w:val="0"/>
          <w:w w:val="100"/>
          <w:position w:val="0"/>
        </w:rPr>
        <w:t>使用寿命有限的无形资产，在使用寿命内按照与该项无形资产有关的经济利益的预期实现方式系统合理地摊销，无法</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可靠确定预期实现方式的，采用直线法摊销。具体年限如下:</w:t>
      </w:r>
    </w:p>
    <w:tbl>
      <w:tblPr>
        <w:tblOverlap w:val="never"/>
        <w:jc w:val="center"/>
        <w:tblLayout w:type="fixed"/>
      </w:tblPr>
      <w:tblGrid>
        <w:gridCol w:w="4829"/>
        <w:gridCol w:w="4406"/>
      </w:tblGrid>
      <w:tr>
        <w:trPr>
          <w:trHeight w:val="34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摊销年限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r>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6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after="639" w:line="1" w:lineRule="exact"/>
      </w:pPr>
    </w:p>
    <w:p>
      <w:pPr>
        <w:pStyle w:val="Style71"/>
        <w:keepNext/>
        <w:keepLines/>
        <w:widowControl w:val="0"/>
        <w:numPr>
          <w:ilvl w:val="0"/>
          <w:numId w:val="77"/>
        </w:numPr>
        <w:shd w:val="clear" w:color="auto" w:fill="auto"/>
        <w:bidi w:val="0"/>
        <w:spacing w:before="0" w:after="260" w:line="240" w:lineRule="auto"/>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内部研究开发支出会计政策</w:t>
      </w:r>
      <w:bookmarkEnd w:id="990"/>
      <w:bookmarkEnd w:id="991"/>
      <w:bookmarkEnd w:id="993"/>
    </w:p>
    <w:p>
      <w:pPr>
        <w:pStyle w:val="Style34"/>
        <w:keepNext w:val="0"/>
        <w:keepLines w:val="0"/>
        <w:widowControl w:val="0"/>
        <w:shd w:val="clear" w:color="auto" w:fill="auto"/>
        <w:bidi w:val="0"/>
        <w:spacing w:before="0" w:after="0" w:line="319" w:lineRule="exact"/>
        <w:ind w:left="0" w:right="0" w:firstLine="320"/>
        <w:jc w:val="left"/>
      </w:pPr>
      <w:r>
        <w:rPr>
          <w:color w:val="000000"/>
          <w:spacing w:val="0"/>
          <w:w w:val="100"/>
          <w:position w:val="0"/>
        </w:rPr>
        <w:t>内部研究开发项目研究阶段的支出，于发生时计入当期损益。内部研究开发项目开发阶段的支出，同时满足下列条件的， 确认为无形资产：</w:t>
      </w:r>
    </w:p>
    <w:p>
      <w:pPr>
        <w:pStyle w:val="Style34"/>
        <w:keepNext w:val="0"/>
        <w:keepLines w:val="0"/>
        <w:widowControl w:val="0"/>
        <w:numPr>
          <w:ilvl w:val="0"/>
          <w:numId w:val="81"/>
        </w:numPr>
        <w:shd w:val="clear" w:color="auto" w:fill="auto"/>
        <w:tabs>
          <w:tab w:pos="722" w:val="left"/>
        </w:tabs>
        <w:bidi w:val="0"/>
        <w:spacing w:before="0" w:after="0" w:line="319" w:lineRule="exact"/>
        <w:ind w:left="0" w:right="0" w:firstLine="320"/>
        <w:jc w:val="left"/>
      </w:pPr>
      <w:bookmarkStart w:id="994" w:name="bookmark994"/>
      <w:bookmarkEnd w:id="994"/>
      <w:r>
        <w:rPr>
          <w:color w:val="000000"/>
          <w:spacing w:val="0"/>
          <w:w w:val="100"/>
          <w:position w:val="0"/>
        </w:rPr>
        <w:t>完成该无形资产以使其能够使用或出售在技术上具有可行性；</w:t>
      </w:r>
    </w:p>
    <w:p>
      <w:pPr>
        <w:pStyle w:val="Style34"/>
        <w:keepNext w:val="0"/>
        <w:keepLines w:val="0"/>
        <w:widowControl w:val="0"/>
        <w:numPr>
          <w:ilvl w:val="0"/>
          <w:numId w:val="81"/>
        </w:numPr>
        <w:shd w:val="clear" w:color="auto" w:fill="auto"/>
        <w:tabs>
          <w:tab w:pos="722" w:val="left"/>
        </w:tabs>
        <w:bidi w:val="0"/>
        <w:spacing w:before="0" w:after="0" w:line="319" w:lineRule="exact"/>
        <w:ind w:left="0" w:right="0" w:firstLine="320"/>
        <w:jc w:val="left"/>
      </w:pPr>
      <w:bookmarkStart w:id="995" w:name="bookmark995"/>
      <w:bookmarkEnd w:id="995"/>
      <w:r>
        <w:rPr>
          <w:color w:val="000000"/>
          <w:spacing w:val="0"/>
          <w:w w:val="100"/>
          <w:position w:val="0"/>
        </w:rPr>
        <w:t>具有完成该无形资产并使用或出售的意图；</w:t>
      </w:r>
    </w:p>
    <w:p>
      <w:pPr>
        <w:pStyle w:val="Style34"/>
        <w:keepNext w:val="0"/>
        <w:keepLines w:val="0"/>
        <w:widowControl w:val="0"/>
        <w:numPr>
          <w:ilvl w:val="0"/>
          <w:numId w:val="81"/>
        </w:numPr>
        <w:shd w:val="clear" w:color="auto" w:fill="auto"/>
        <w:tabs>
          <w:tab w:pos="699" w:val="left"/>
        </w:tabs>
        <w:bidi w:val="0"/>
        <w:spacing w:before="0" w:after="320" w:line="319" w:lineRule="exact"/>
        <w:ind w:left="0" w:right="0" w:firstLine="320"/>
        <w:jc w:val="left"/>
      </w:pPr>
      <w:bookmarkStart w:id="996" w:name="bookmark996"/>
      <w:bookmarkEnd w:id="996"/>
      <w:r>
        <w:rPr>
          <w:color w:val="000000"/>
          <w:spacing w:val="0"/>
          <w:w w:val="100"/>
          <w:position w:val="0"/>
        </w:rPr>
        <w:t>无形资产产生经济利益的方式，包括能够证明运用该无形资产生产的产品存在市场或无形资产自身存在市场，无形资 产将在内部使用的，能证明其有用性；</w:t>
      </w:r>
    </w:p>
    <w:p>
      <w:pPr>
        <w:pStyle w:val="Style34"/>
        <w:keepNext w:val="0"/>
        <w:keepLines w:val="0"/>
        <w:widowControl w:val="0"/>
        <w:shd w:val="clear" w:color="auto" w:fill="auto"/>
        <w:tabs>
          <w:tab w:pos="722" w:val="left"/>
        </w:tabs>
        <w:bidi w:val="0"/>
        <w:spacing w:before="0" w:after="0" w:line="314" w:lineRule="exact"/>
        <w:ind w:left="0" w:right="0" w:firstLine="320"/>
        <w:jc w:val="left"/>
      </w:pPr>
      <w:bookmarkStart w:id="997" w:name="bookmark997"/>
      <w:r>
        <w:rPr>
          <w:rFonts w:ascii="Times New Roman" w:eastAsia="Times New Roman" w:hAnsi="Times New Roman" w:cs="Times New Roman"/>
          <w:color w:val="000000"/>
          <w:spacing w:val="0"/>
          <w:w w:val="100"/>
          <w:position w:val="0"/>
          <w:sz w:val="18"/>
          <w:szCs w:val="18"/>
        </w:rPr>
        <w:t>（</w:t>
      </w:r>
      <w:bookmarkEnd w:id="997"/>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34"/>
        <w:keepNext w:val="0"/>
        <w:keepLines w:val="0"/>
        <w:widowControl w:val="0"/>
        <w:shd w:val="clear" w:color="auto" w:fill="auto"/>
        <w:tabs>
          <w:tab w:pos="722" w:val="left"/>
        </w:tabs>
        <w:bidi w:val="0"/>
        <w:spacing w:before="0" w:after="380" w:line="314" w:lineRule="exact"/>
        <w:ind w:left="0" w:right="0" w:firstLine="320"/>
        <w:jc w:val="left"/>
      </w:pPr>
      <w:bookmarkStart w:id="998" w:name="bookmark998"/>
      <w:r>
        <w:rPr>
          <w:rFonts w:ascii="Times New Roman" w:eastAsia="Times New Roman" w:hAnsi="Times New Roman" w:cs="Times New Roman"/>
          <w:color w:val="000000"/>
          <w:spacing w:val="0"/>
          <w:w w:val="100"/>
          <w:position w:val="0"/>
          <w:sz w:val="18"/>
          <w:szCs w:val="18"/>
        </w:rPr>
        <w:t>（</w:t>
      </w:r>
      <w:bookmarkEnd w:id="998"/>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归属于该无形资产开发阶段的支出能够可靠地计量。</w:t>
      </w:r>
    </w:p>
    <w:p>
      <w:pPr>
        <w:pStyle w:val="Style37"/>
        <w:keepNext/>
        <w:keepLines/>
        <w:widowControl w:val="0"/>
        <w:shd w:val="clear" w:color="auto" w:fill="auto"/>
        <w:tabs>
          <w:tab w:pos="509" w:val="left"/>
        </w:tabs>
        <w:bidi w:val="0"/>
        <w:spacing w:before="0" w:after="26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00"/>
      <w:bookmarkEnd w:id="1002"/>
      <w:bookmarkEnd w:id="999"/>
    </w:p>
    <w:p>
      <w:pPr>
        <w:pStyle w:val="Style34"/>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对长期股权投资、固定资产、在建工程、使用寿命有限的无形资产等长期资产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在资产负债表日有迹象表明发生减值的， 估计其可收回金额。对因企业合并所形成的商誉和使用寿命不确定的无形资产，无论是否存在减值迹象，每年都进行减值测 试。商誉结合与其相关的资产组或者资产组组合进行减值测试。</w:t>
      </w:r>
    </w:p>
    <w:p>
      <w:pPr>
        <w:pStyle w:val="Style34"/>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若上述长期资产的可收回金额低于其账面价值的，按其差额确认资产减值准备并计入当期损益。</w:t>
      </w:r>
    </w:p>
    <w:p>
      <w:pPr>
        <w:pStyle w:val="Style37"/>
        <w:keepNext/>
        <w:keepLines/>
        <w:widowControl w:val="0"/>
        <w:shd w:val="clear" w:color="auto" w:fill="auto"/>
        <w:tabs>
          <w:tab w:pos="509" w:val="left"/>
        </w:tabs>
        <w:bidi w:val="0"/>
        <w:spacing w:before="0" w:after="260" w:line="240" w:lineRule="auto"/>
        <w:ind w:left="0" w:right="0" w:firstLine="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03"/>
      <w:bookmarkEnd w:id="1004"/>
      <w:bookmarkEnd w:id="1006"/>
    </w:p>
    <w:p>
      <w:pPr>
        <w:pStyle w:val="Style3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 期或规定的期限内分期平均摊销。如果长期待摊的费用项目不能使以后会计期间受益则将尚未摊销的该项目的摊余价值全部 转入当期损益。</w:t>
      </w:r>
    </w:p>
    <w:p>
      <w:pPr>
        <w:pStyle w:val="Style37"/>
        <w:keepNext/>
        <w:keepLines/>
        <w:widowControl w:val="0"/>
        <w:shd w:val="clear" w:color="auto" w:fill="auto"/>
        <w:tabs>
          <w:tab w:pos="509" w:val="left"/>
        </w:tabs>
        <w:bidi w:val="0"/>
        <w:spacing w:before="0" w:after="26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07"/>
      <w:bookmarkEnd w:id="1008"/>
      <w:bookmarkEnd w:id="1010"/>
    </w:p>
    <w:p>
      <w:pPr>
        <w:pStyle w:val="Style34"/>
        <w:keepNext w:val="0"/>
        <w:keepLines w:val="0"/>
        <w:widowControl w:val="0"/>
        <w:shd w:val="clear" w:color="auto" w:fill="auto"/>
        <w:bidi w:val="0"/>
        <w:spacing w:before="0" w:after="380" w:line="314" w:lineRule="exact"/>
        <w:ind w:left="0" w:right="0"/>
        <w:jc w:val="both"/>
      </w:pPr>
      <w:r>
        <w:rPr>
          <w:color w:val="000000"/>
          <w:spacing w:val="0"/>
          <w:w w:val="100"/>
          <w:position w:val="0"/>
        </w:rPr>
        <w:t>公司将已收或应收客户对价而应向客户转让商品的义务作为合同负债列示。</w:t>
      </w:r>
    </w:p>
    <w:p>
      <w:pPr>
        <w:pStyle w:val="Style37"/>
        <w:keepNext/>
        <w:keepLines/>
        <w:widowControl w:val="0"/>
        <w:shd w:val="clear" w:color="auto" w:fill="auto"/>
        <w:tabs>
          <w:tab w:pos="509" w:val="left"/>
        </w:tabs>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11"/>
      <w:bookmarkEnd w:id="1012"/>
      <w:bookmarkEnd w:id="1014"/>
    </w:p>
    <w:p>
      <w:pPr>
        <w:pStyle w:val="Style71"/>
        <w:keepNext/>
        <w:keepLines/>
        <w:widowControl w:val="0"/>
        <w:shd w:val="clear" w:color="auto" w:fill="auto"/>
        <w:tabs>
          <w:tab w:pos="509" w:val="left"/>
        </w:tabs>
        <w:bidi w:val="0"/>
        <w:spacing w:before="0" w:after="26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15"/>
      <w:bookmarkEnd w:id="1016"/>
      <w:bookmarkEnd w:id="1018"/>
    </w:p>
    <w:p>
      <w:pPr>
        <w:pStyle w:val="Style34"/>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在职工为公司提供服务的会计期间，将实际发生的短期薪酬确认为负债，并计入当期损益或相关资产成本。</w:t>
      </w:r>
    </w:p>
    <w:p>
      <w:pPr>
        <w:pStyle w:val="Style71"/>
        <w:keepNext/>
        <w:keepLines/>
        <w:widowControl w:val="0"/>
        <w:shd w:val="clear" w:color="auto" w:fill="auto"/>
        <w:tabs>
          <w:tab w:pos="509" w:val="left"/>
        </w:tabs>
        <w:bidi w:val="0"/>
        <w:spacing w:before="0" w:after="26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19"/>
      <w:bookmarkEnd w:id="1020"/>
      <w:bookmarkEnd w:id="1022"/>
    </w:p>
    <w:p>
      <w:pPr>
        <w:pStyle w:val="Style34"/>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离职后福利分为设定提存计划和设定受益计划。</w:t>
      </w:r>
    </w:p>
    <w:p>
      <w:pPr>
        <w:pStyle w:val="Style34"/>
        <w:keepNext w:val="0"/>
        <w:keepLines w:val="0"/>
        <w:widowControl w:val="0"/>
        <w:shd w:val="clear" w:color="auto" w:fill="auto"/>
        <w:tabs>
          <w:tab w:pos="819" w:val="left"/>
        </w:tabs>
        <w:bidi w:val="0"/>
        <w:spacing w:before="0" w:after="0" w:line="314" w:lineRule="exact"/>
        <w:ind w:left="0" w:right="0" w:firstLine="440"/>
        <w:jc w:val="both"/>
      </w:pPr>
      <w:bookmarkStart w:id="1023" w:name="bookmark1023"/>
      <w:r>
        <w:rPr>
          <w:rFonts w:ascii="Times New Roman" w:eastAsia="Times New Roman" w:hAnsi="Times New Roman" w:cs="Times New Roman"/>
          <w:color w:val="000000"/>
          <w:spacing w:val="0"/>
          <w:w w:val="100"/>
          <w:position w:val="0"/>
          <w:sz w:val="18"/>
          <w:szCs w:val="18"/>
        </w:rPr>
        <w:t>（</w:t>
      </w:r>
      <w:bookmarkEnd w:id="102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在职工为公司提供服务的会计期间，根据设定提存计划计算的应缴存金额确认为负债，并计入当期损益或相关资产 成本。</w:t>
      </w:r>
    </w:p>
    <w:p>
      <w:pPr>
        <w:pStyle w:val="Style34"/>
        <w:keepNext w:val="0"/>
        <w:keepLines w:val="0"/>
        <w:widowControl w:val="0"/>
        <w:shd w:val="clear" w:color="auto" w:fill="auto"/>
        <w:tabs>
          <w:tab w:pos="842" w:val="left"/>
        </w:tabs>
        <w:bidi w:val="0"/>
        <w:spacing w:before="0" w:after="0" w:line="314" w:lineRule="exact"/>
        <w:ind w:left="0" w:right="0" w:firstLine="440"/>
        <w:jc w:val="both"/>
      </w:pPr>
      <w:bookmarkStart w:id="1024" w:name="bookmark1024"/>
      <w:r>
        <w:rPr>
          <w:rFonts w:ascii="Times New Roman" w:eastAsia="Times New Roman" w:hAnsi="Times New Roman" w:cs="Times New Roman"/>
          <w:color w:val="000000"/>
          <w:spacing w:val="0"/>
          <w:w w:val="100"/>
          <w:position w:val="0"/>
          <w:sz w:val="18"/>
          <w:szCs w:val="18"/>
        </w:rPr>
        <w:t>（</w:t>
      </w:r>
      <w:bookmarkEnd w:id="102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对设定受益计划的会计处理通常包括下列步骤：</w:t>
      </w:r>
    </w:p>
    <w:p>
      <w:pPr>
        <w:pStyle w:val="Style34"/>
        <w:keepNext w:val="0"/>
        <w:keepLines w:val="0"/>
        <w:widowControl w:val="0"/>
        <w:shd w:val="clear" w:color="auto" w:fill="auto"/>
        <w:tabs>
          <w:tab w:pos="762" w:val="left"/>
        </w:tabs>
        <w:bidi w:val="0"/>
        <w:spacing w:before="0" w:after="0" w:line="314" w:lineRule="exact"/>
        <w:ind w:left="0" w:right="0" w:firstLine="440"/>
        <w:jc w:val="both"/>
      </w:pPr>
      <w:bookmarkStart w:id="1025" w:name="bookmark1025"/>
      <w:r>
        <w:rPr>
          <w:rFonts w:ascii="Times New Roman" w:eastAsia="Times New Roman" w:hAnsi="Times New Roman" w:cs="Times New Roman"/>
          <w:color w:val="000000"/>
          <w:spacing w:val="0"/>
          <w:w w:val="100"/>
          <w:position w:val="0"/>
          <w:sz w:val="18"/>
          <w:szCs w:val="18"/>
        </w:rPr>
        <w:t>1</w:t>
      </w:r>
      <w:bookmarkEnd w:id="10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34"/>
        <w:keepNext w:val="0"/>
        <w:keepLines w:val="0"/>
        <w:widowControl w:val="0"/>
        <w:shd w:val="clear" w:color="auto" w:fill="auto"/>
        <w:tabs>
          <w:tab w:pos="762" w:val="left"/>
        </w:tabs>
        <w:bidi w:val="0"/>
        <w:spacing w:before="0" w:after="0" w:line="314" w:lineRule="exact"/>
        <w:ind w:left="0" w:right="0" w:firstLine="440"/>
        <w:jc w:val="both"/>
      </w:pPr>
      <w:bookmarkStart w:id="1026" w:name="bookmark1026"/>
      <w:r>
        <w:rPr>
          <w:rFonts w:ascii="Times New Roman" w:eastAsia="Times New Roman" w:hAnsi="Times New Roman" w:cs="Times New Roman"/>
          <w:color w:val="000000"/>
          <w:spacing w:val="0"/>
          <w:w w:val="100"/>
          <w:position w:val="0"/>
          <w:sz w:val="18"/>
          <w:szCs w:val="18"/>
        </w:rPr>
        <w:t>2</w:t>
      </w:r>
      <w:bookmarkEnd w:id="10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34"/>
        <w:keepNext w:val="0"/>
        <w:keepLines w:val="0"/>
        <w:widowControl w:val="0"/>
        <w:shd w:val="clear" w:color="auto" w:fill="auto"/>
        <w:tabs>
          <w:tab w:pos="771" w:val="left"/>
        </w:tabs>
        <w:bidi w:val="0"/>
        <w:spacing w:before="0" w:after="260" w:line="314" w:lineRule="exact"/>
        <w:ind w:left="0" w:right="0" w:firstLine="440"/>
        <w:jc w:val="both"/>
      </w:pPr>
      <w:bookmarkStart w:id="1027" w:name="bookmark1027"/>
      <w:r>
        <w:rPr>
          <w:rFonts w:ascii="Times New Roman" w:eastAsia="Times New Roman" w:hAnsi="Times New Roman" w:cs="Times New Roman"/>
          <w:color w:val="000000"/>
          <w:spacing w:val="0"/>
          <w:w w:val="100"/>
          <w:position w:val="0"/>
          <w:sz w:val="18"/>
          <w:szCs w:val="18"/>
        </w:rPr>
        <w:t>3</w:t>
      </w:r>
      <w:bookmarkEnd w:id="10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71"/>
        <w:keepNext/>
        <w:keepLines/>
        <w:widowControl w:val="0"/>
        <w:numPr>
          <w:ilvl w:val="0"/>
          <w:numId w:val="77"/>
        </w:numPr>
        <w:shd w:val="clear" w:color="auto" w:fill="auto"/>
        <w:tabs>
          <w:tab w:pos="481" w:val="left"/>
        </w:tabs>
        <w:bidi w:val="0"/>
        <w:spacing w:before="0" w:after="28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辞退福利的会计处理方法</w:t>
      </w:r>
      <w:bookmarkEnd w:id="1028"/>
      <w:bookmarkEnd w:id="1029"/>
      <w:bookmarkEnd w:id="1031"/>
    </w:p>
    <w:p>
      <w:pPr>
        <w:pStyle w:val="Style34"/>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公司不能单方面 撤回因解除劳动关系计划或裁减建议所提供的辞退福利时；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公司确认与涉及支付辞退福利的重组相关的成本或费用时。</w:t>
      </w:r>
    </w:p>
    <w:p>
      <w:pPr>
        <w:pStyle w:val="Style71"/>
        <w:keepNext/>
        <w:keepLines/>
        <w:widowControl w:val="0"/>
        <w:numPr>
          <w:ilvl w:val="0"/>
          <w:numId w:val="77"/>
        </w:numPr>
        <w:shd w:val="clear" w:color="auto" w:fill="auto"/>
        <w:tabs>
          <w:tab w:pos="481" w:val="left"/>
        </w:tabs>
        <w:bidi w:val="0"/>
        <w:spacing w:before="0" w:after="28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其他长期职工福利的会计处理方法</w:t>
      </w:r>
      <w:bookmarkEnd w:id="1032"/>
      <w:bookmarkEnd w:id="1033"/>
      <w:bookmarkEnd w:id="1035"/>
    </w:p>
    <w:p>
      <w:pPr>
        <w:pStyle w:val="Style3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向职工提供的其他长期福利，符合设定提存计划条件的，按照设定提存计划的有关规定进行会计处理；除此之外的其 他长期福利，按照设定受益计划的有关规定进行会计处理，为简化相关会计处理，将其产生的职工薪酬成本确认为服务成本、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37"/>
        <w:keepNext/>
        <w:keepLines/>
        <w:widowControl w:val="0"/>
        <w:shd w:val="clear" w:color="auto" w:fill="auto"/>
        <w:tabs>
          <w:tab w:pos="472" w:val="left"/>
        </w:tabs>
        <w:bidi w:val="0"/>
        <w:spacing w:before="0" w:after="28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36"/>
      <w:bookmarkEnd w:id="1037"/>
      <w:bookmarkEnd w:id="1039"/>
    </w:p>
    <w:p>
      <w:pPr>
        <w:pStyle w:val="Style3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不适用</w:t>
      </w:r>
    </w:p>
    <w:p>
      <w:pPr>
        <w:pStyle w:val="Style37"/>
        <w:keepNext/>
        <w:keepLines/>
        <w:widowControl w:val="0"/>
        <w:shd w:val="clear" w:color="auto" w:fill="auto"/>
        <w:tabs>
          <w:tab w:pos="472" w:val="left"/>
        </w:tabs>
        <w:bidi w:val="0"/>
        <w:spacing w:before="0" w:after="2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40"/>
      <w:bookmarkEnd w:id="1041"/>
      <w:bookmarkEnd w:id="1043"/>
    </w:p>
    <w:p>
      <w:pPr>
        <w:pStyle w:val="Style34"/>
        <w:keepNext w:val="0"/>
        <w:keepLines w:val="0"/>
        <w:widowControl w:val="0"/>
        <w:numPr>
          <w:ilvl w:val="0"/>
          <w:numId w:val="83"/>
        </w:numPr>
        <w:shd w:val="clear" w:color="auto" w:fill="auto"/>
        <w:tabs>
          <w:tab w:pos="721" w:val="left"/>
        </w:tabs>
        <w:bidi w:val="0"/>
        <w:spacing w:before="0" w:after="0" w:line="317" w:lineRule="exact"/>
        <w:ind w:left="0" w:right="0" w:firstLine="440"/>
        <w:jc w:val="both"/>
      </w:pPr>
      <w:bookmarkStart w:id="1044" w:name="bookmark1044"/>
      <w:bookmarkEnd w:id="1044"/>
      <w:r>
        <w:rPr>
          <w:color w:val="000000"/>
          <w:spacing w:val="0"/>
          <w:w w:val="100"/>
          <w:position w:val="0"/>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Style34"/>
        <w:keepNext w:val="0"/>
        <w:keepLines w:val="0"/>
        <w:widowControl w:val="0"/>
        <w:numPr>
          <w:ilvl w:val="0"/>
          <w:numId w:val="83"/>
        </w:numPr>
        <w:shd w:val="clear" w:color="auto" w:fill="auto"/>
        <w:tabs>
          <w:tab w:pos="721" w:val="left"/>
        </w:tabs>
        <w:bidi w:val="0"/>
        <w:spacing w:before="0" w:after="380" w:line="317" w:lineRule="exact"/>
        <w:ind w:left="0" w:right="0" w:firstLine="440"/>
        <w:jc w:val="both"/>
      </w:pPr>
      <w:bookmarkStart w:id="1045" w:name="bookmark1045"/>
      <w:bookmarkEnd w:id="1045"/>
      <w:r>
        <w:rPr>
          <w:color w:val="000000"/>
          <w:spacing w:val="0"/>
          <w:w w:val="100"/>
          <w:position w:val="0"/>
        </w:rPr>
        <w:t>公司按照履行相关现时义务所需支出的最佳估计数对预计负债进行初始计量，并在资产负债表日对预计负债的账面 价值进行复核。</w:t>
      </w:r>
    </w:p>
    <w:p>
      <w:pPr>
        <w:pStyle w:val="Style37"/>
        <w:keepNext/>
        <w:keepLines/>
        <w:widowControl w:val="0"/>
        <w:shd w:val="clear" w:color="auto" w:fill="auto"/>
        <w:tabs>
          <w:tab w:pos="472" w:val="left"/>
        </w:tabs>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46"/>
      <w:bookmarkEnd w:id="1047"/>
      <w:bookmarkEnd w:id="1049"/>
    </w:p>
    <w:p>
      <w:pPr>
        <w:pStyle w:val="Style34"/>
        <w:keepNext w:val="0"/>
        <w:keepLines w:val="0"/>
        <w:widowControl w:val="0"/>
        <w:numPr>
          <w:ilvl w:val="0"/>
          <w:numId w:val="85"/>
        </w:numPr>
        <w:shd w:val="clear" w:color="auto" w:fill="auto"/>
        <w:tabs>
          <w:tab w:pos="729" w:val="left"/>
        </w:tabs>
        <w:bidi w:val="0"/>
        <w:spacing w:before="0" w:after="0" w:line="360" w:lineRule="auto"/>
        <w:ind w:left="0" w:right="0" w:firstLine="440"/>
        <w:jc w:val="both"/>
      </w:pPr>
      <w:bookmarkStart w:id="1050" w:name="bookmark1050"/>
      <w:bookmarkEnd w:id="1050"/>
      <w:r>
        <w:rPr>
          <w:color w:val="000000"/>
          <w:spacing w:val="0"/>
          <w:w w:val="100"/>
          <w:position w:val="0"/>
        </w:rPr>
        <w:t>股份支付的种类</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包括以权益结算的股份支付和以现金结算的股份支付。</w:t>
      </w:r>
    </w:p>
    <w:p>
      <w:pPr>
        <w:pStyle w:val="Style34"/>
        <w:keepNext w:val="0"/>
        <w:keepLines w:val="0"/>
        <w:widowControl w:val="0"/>
        <w:numPr>
          <w:ilvl w:val="0"/>
          <w:numId w:val="85"/>
        </w:numPr>
        <w:shd w:val="clear" w:color="auto" w:fill="auto"/>
        <w:tabs>
          <w:tab w:pos="749" w:val="left"/>
        </w:tabs>
        <w:bidi w:val="0"/>
        <w:spacing w:before="0" w:after="100" w:line="314" w:lineRule="exact"/>
        <w:ind w:left="0" w:right="0" w:firstLine="440"/>
        <w:jc w:val="both"/>
      </w:pPr>
      <w:bookmarkStart w:id="1051" w:name="bookmark1051"/>
      <w:bookmarkEnd w:id="1051"/>
      <w:r>
        <w:rPr>
          <w:color w:val="000000"/>
          <w:spacing w:val="0"/>
          <w:w w:val="100"/>
          <w:position w:val="0"/>
        </w:rPr>
        <w:t>实施、修改、终止股份支付计划的相关会计处理</w:t>
      </w:r>
    </w:p>
    <w:p>
      <w:pPr>
        <w:pStyle w:val="Style34"/>
        <w:keepNext w:val="0"/>
        <w:keepLines w:val="0"/>
        <w:widowControl w:val="0"/>
        <w:numPr>
          <w:ilvl w:val="0"/>
          <w:numId w:val="87"/>
        </w:numPr>
        <w:shd w:val="clear" w:color="auto" w:fill="auto"/>
        <w:tabs>
          <w:tab w:pos="775" w:val="left"/>
        </w:tabs>
        <w:bidi w:val="0"/>
        <w:spacing w:before="0" w:after="0" w:line="360" w:lineRule="auto"/>
        <w:ind w:left="0" w:right="0"/>
        <w:jc w:val="both"/>
      </w:pPr>
      <w:bookmarkStart w:id="1052" w:name="bookmark1052"/>
      <w:bookmarkEnd w:id="1052"/>
      <w:r>
        <w:rPr>
          <w:color w:val="000000"/>
          <w:spacing w:val="0"/>
          <w:w w:val="100"/>
          <w:position w:val="0"/>
        </w:rPr>
        <w:t>以权益结算的股份支付</w:t>
      </w:r>
    </w:p>
    <w:p>
      <w:pPr>
        <w:pStyle w:val="Style34"/>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34"/>
        <w:keepNext w:val="0"/>
        <w:keepLines w:val="0"/>
        <w:widowControl w:val="0"/>
        <w:numPr>
          <w:ilvl w:val="0"/>
          <w:numId w:val="87"/>
        </w:numPr>
        <w:shd w:val="clear" w:color="auto" w:fill="auto"/>
        <w:tabs>
          <w:tab w:pos="775" w:val="left"/>
        </w:tabs>
        <w:bidi w:val="0"/>
        <w:spacing w:before="0" w:after="0" w:line="360" w:lineRule="auto"/>
        <w:ind w:left="0" w:right="0"/>
        <w:jc w:val="both"/>
      </w:pPr>
      <w:bookmarkStart w:id="1053" w:name="bookmark1053"/>
      <w:bookmarkEnd w:id="1053"/>
      <w:r>
        <w:rPr>
          <w:color w:val="000000"/>
          <w:spacing w:val="0"/>
          <w:w w:val="100"/>
          <w:position w:val="0"/>
        </w:rPr>
        <w:t>以现金结算的股份支付</w:t>
      </w:r>
    </w:p>
    <w:p>
      <w:pPr>
        <w:pStyle w:val="Style34"/>
        <w:keepNext w:val="0"/>
        <w:keepLines w:val="0"/>
        <w:widowControl w:val="0"/>
        <w:shd w:val="clear" w:color="auto" w:fill="auto"/>
        <w:bidi w:val="0"/>
        <w:spacing w:before="0" w:after="100" w:line="314" w:lineRule="exact"/>
        <w:ind w:left="0" w:right="0"/>
        <w:jc w:val="both"/>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34"/>
        <w:keepNext w:val="0"/>
        <w:keepLines w:val="0"/>
        <w:widowControl w:val="0"/>
        <w:numPr>
          <w:ilvl w:val="0"/>
          <w:numId w:val="87"/>
        </w:numPr>
        <w:shd w:val="clear" w:color="auto" w:fill="auto"/>
        <w:tabs>
          <w:tab w:pos="775" w:val="left"/>
        </w:tabs>
        <w:bidi w:val="0"/>
        <w:spacing w:before="0" w:after="0" w:line="360" w:lineRule="auto"/>
        <w:ind w:left="0" w:right="0"/>
        <w:jc w:val="both"/>
      </w:pPr>
      <w:bookmarkStart w:id="1054" w:name="bookmark1054"/>
      <w:bookmarkEnd w:id="1054"/>
      <w:r>
        <w:rPr>
          <w:color w:val="000000"/>
          <w:spacing w:val="0"/>
          <w:w w:val="100"/>
          <w:position w:val="0"/>
        </w:rPr>
        <w:t>修改、终止股份支付计划</w:t>
      </w:r>
    </w:p>
    <w:p>
      <w:pPr>
        <w:pStyle w:val="Style34"/>
        <w:keepNext w:val="0"/>
        <w:keepLines w:val="0"/>
        <w:widowControl w:val="0"/>
        <w:shd w:val="clear" w:color="auto" w:fill="auto"/>
        <w:bidi w:val="0"/>
        <w:spacing w:before="0" w:after="280" w:line="314" w:lineRule="exact"/>
        <w:ind w:left="0" w:right="0"/>
        <w:jc w:val="both"/>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34"/>
        <w:keepNext w:val="0"/>
        <w:keepLines w:val="0"/>
        <w:widowControl w:val="0"/>
        <w:shd w:val="clear" w:color="auto" w:fill="auto"/>
        <w:bidi w:val="0"/>
        <w:spacing w:before="0" w:after="380" w:line="312" w:lineRule="exact"/>
        <w:ind w:left="0" w:right="0"/>
        <w:jc w:val="left"/>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将取消或结算作为加速可行权处理，立即确认原本在剩余等待期内的金额。</w:t>
      </w:r>
    </w:p>
    <w:p>
      <w:pPr>
        <w:pStyle w:val="Style37"/>
        <w:keepNext/>
        <w:keepLines/>
        <w:widowControl w:val="0"/>
        <w:shd w:val="clear" w:color="auto" w:fill="auto"/>
        <w:tabs>
          <w:tab w:pos="438" w:val="left"/>
        </w:tabs>
        <w:bidi w:val="0"/>
        <w:spacing w:before="0" w:after="2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55"/>
      <w:bookmarkEnd w:id="1056"/>
      <w:bookmarkEnd w:id="1058"/>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不适用</w:t>
      </w:r>
    </w:p>
    <w:p>
      <w:pPr>
        <w:pStyle w:val="Style37"/>
        <w:keepNext/>
        <w:keepLines/>
        <w:widowControl w:val="0"/>
        <w:shd w:val="clear" w:color="auto" w:fill="auto"/>
        <w:tabs>
          <w:tab w:pos="438" w:val="left"/>
        </w:tabs>
        <w:bidi w:val="0"/>
        <w:spacing w:before="0" w:after="2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59"/>
      <w:bookmarkEnd w:id="1060"/>
      <w:bookmarkEnd w:id="1062"/>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收入确认和计量所采用的会计政策</w:t>
      </w:r>
    </w:p>
    <w:p>
      <w:pPr>
        <w:pStyle w:val="Style34"/>
        <w:keepNext w:val="0"/>
        <w:keepLines w:val="0"/>
        <w:widowControl w:val="0"/>
        <w:numPr>
          <w:ilvl w:val="0"/>
          <w:numId w:val="89"/>
        </w:numPr>
        <w:shd w:val="clear" w:color="auto" w:fill="auto"/>
        <w:tabs>
          <w:tab w:pos="635" w:val="left"/>
        </w:tabs>
        <w:bidi w:val="0"/>
        <w:spacing w:before="0" w:after="0" w:line="360" w:lineRule="auto"/>
        <w:ind w:left="0" w:right="0"/>
        <w:jc w:val="both"/>
      </w:pPr>
      <w:bookmarkStart w:id="1063" w:name="bookmark1063"/>
      <w:bookmarkEnd w:id="1063"/>
      <w:r>
        <w:rPr>
          <w:color w:val="000000"/>
          <w:spacing w:val="0"/>
          <w:w w:val="100"/>
          <w:position w:val="0"/>
        </w:rPr>
        <w:t>收入确认原则</w:t>
      </w:r>
    </w:p>
    <w:p>
      <w:pPr>
        <w:pStyle w:val="Style34"/>
        <w:keepNext w:val="0"/>
        <w:keepLines w:val="0"/>
        <w:widowControl w:val="0"/>
        <w:shd w:val="clear" w:color="auto" w:fill="auto"/>
        <w:bidi w:val="0"/>
        <w:spacing w:before="0" w:after="100" w:line="312" w:lineRule="exact"/>
        <w:ind w:left="0" w:right="0"/>
        <w:jc w:val="left"/>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34"/>
        <w:keepNext w:val="0"/>
        <w:keepLines w:val="0"/>
        <w:widowControl w:val="0"/>
        <w:shd w:val="clear" w:color="auto" w:fill="auto"/>
        <w:bidi w:val="0"/>
        <w:spacing w:before="0" w:after="100" w:line="312" w:lineRule="exact"/>
        <w:ind w:left="0" w:right="0"/>
        <w:jc w:val="left"/>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 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 商品具有不可替代用途，且公司在整个合同期间内有权就累计至今已完成的履约部分收取款项。</w:t>
      </w:r>
    </w:p>
    <w:p>
      <w:pPr>
        <w:pStyle w:val="Style34"/>
        <w:keepNext w:val="0"/>
        <w:keepLines w:val="0"/>
        <w:widowControl w:val="0"/>
        <w:shd w:val="clear" w:color="auto" w:fill="auto"/>
        <w:bidi w:val="0"/>
        <w:spacing w:before="0" w:after="220" w:line="312" w:lineRule="exact"/>
        <w:ind w:left="0" w:right="0"/>
        <w:jc w:val="left"/>
      </w:pPr>
      <w:r>
        <w:rPr>
          <w:color w:val="000000"/>
          <w:spacing w:val="0"/>
          <w:w w:val="100"/>
          <w:position w:val="0"/>
        </w:rPr>
        <w:t>对于在某一时段内履行的履约义务，公司在该段时间内按照履约进度确认收入。履约进度不能合理确定时，已经发生的 成本预计能够得到补偿的，按照已经发生的成本金额确认收入，直到履约进度能够合理确定为止。对于在某一时点履行的履 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公司已将该商品的法定所有权转移给客户，即客户 已拥有该商品的法定所有权；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 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 客户已取得商品控制权的迹象。</w:t>
      </w:r>
    </w:p>
    <w:p>
      <w:pPr>
        <w:pStyle w:val="Style34"/>
        <w:keepNext w:val="0"/>
        <w:keepLines w:val="0"/>
        <w:widowControl w:val="0"/>
        <w:numPr>
          <w:ilvl w:val="0"/>
          <w:numId w:val="89"/>
        </w:numPr>
        <w:shd w:val="clear" w:color="auto" w:fill="auto"/>
        <w:tabs>
          <w:tab w:pos="654" w:val="left"/>
        </w:tabs>
        <w:bidi w:val="0"/>
        <w:spacing w:before="0" w:after="0" w:line="360" w:lineRule="auto"/>
        <w:ind w:left="0" w:right="0"/>
        <w:jc w:val="left"/>
      </w:pPr>
      <w:bookmarkStart w:id="1064" w:name="bookmark1064"/>
      <w:bookmarkEnd w:id="1064"/>
      <w:r>
        <w:rPr>
          <w:color w:val="000000"/>
          <w:spacing w:val="0"/>
          <w:w w:val="100"/>
          <w:position w:val="0"/>
        </w:rPr>
        <w:t>收入计量原则</w:t>
      </w:r>
    </w:p>
    <w:p>
      <w:pPr>
        <w:pStyle w:val="Style34"/>
        <w:keepNext w:val="0"/>
        <w:keepLines w:val="0"/>
        <w:widowControl w:val="0"/>
        <w:shd w:val="clear" w:color="auto" w:fill="auto"/>
        <w:tabs>
          <w:tab w:pos="721" w:val="left"/>
        </w:tabs>
        <w:bidi w:val="0"/>
        <w:spacing w:before="0" w:after="100" w:line="312" w:lineRule="exact"/>
        <w:ind w:left="0" w:right="0"/>
        <w:jc w:val="left"/>
      </w:pPr>
      <w:bookmarkStart w:id="1065" w:name="bookmark1065"/>
      <w:r>
        <w:rPr>
          <w:rFonts w:ascii="Times New Roman" w:eastAsia="Times New Roman" w:hAnsi="Times New Roman" w:cs="Times New Roman"/>
          <w:color w:val="000000"/>
          <w:spacing w:val="0"/>
          <w:w w:val="100"/>
          <w:position w:val="0"/>
          <w:sz w:val="18"/>
          <w:szCs w:val="18"/>
        </w:rPr>
        <w:t>（</w:t>
      </w:r>
      <w:bookmarkEnd w:id="106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34"/>
        <w:keepNext w:val="0"/>
        <w:keepLines w:val="0"/>
        <w:widowControl w:val="0"/>
        <w:shd w:val="clear" w:color="auto" w:fill="auto"/>
        <w:tabs>
          <w:tab w:pos="716" w:val="left"/>
        </w:tabs>
        <w:bidi w:val="0"/>
        <w:spacing w:before="0" w:after="100" w:line="317" w:lineRule="exact"/>
        <w:ind w:left="0" w:right="0"/>
        <w:jc w:val="left"/>
      </w:pPr>
      <w:bookmarkStart w:id="1066" w:name="bookmark1066"/>
      <w:r>
        <w:rPr>
          <w:rFonts w:ascii="Times New Roman" w:eastAsia="Times New Roman" w:hAnsi="Times New Roman" w:cs="Times New Roman"/>
          <w:color w:val="000000"/>
          <w:spacing w:val="0"/>
          <w:w w:val="100"/>
          <w:position w:val="0"/>
          <w:sz w:val="18"/>
          <w:szCs w:val="18"/>
        </w:rPr>
        <w:t>（</w:t>
      </w:r>
      <w:bookmarkEnd w:id="106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34"/>
        <w:keepNext w:val="0"/>
        <w:keepLines w:val="0"/>
        <w:widowControl w:val="0"/>
        <w:shd w:val="clear" w:color="auto" w:fill="auto"/>
        <w:tabs>
          <w:tab w:pos="716" w:val="left"/>
        </w:tabs>
        <w:bidi w:val="0"/>
        <w:spacing w:before="0" w:after="100" w:line="319" w:lineRule="exact"/>
        <w:ind w:left="0" w:right="0"/>
        <w:jc w:val="left"/>
      </w:pPr>
      <w:bookmarkStart w:id="1067" w:name="bookmark1067"/>
      <w:r>
        <w:rPr>
          <w:rFonts w:ascii="Times New Roman" w:eastAsia="Times New Roman" w:hAnsi="Times New Roman" w:cs="Times New Roman"/>
          <w:color w:val="000000"/>
          <w:spacing w:val="0"/>
          <w:w w:val="100"/>
          <w:position w:val="0"/>
          <w:sz w:val="18"/>
          <w:szCs w:val="18"/>
        </w:rPr>
        <w:t>（</w:t>
      </w:r>
      <w:bookmarkEnd w:id="1067"/>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34"/>
        <w:keepNext w:val="0"/>
        <w:keepLines w:val="0"/>
        <w:widowControl w:val="0"/>
        <w:shd w:val="clear" w:color="auto" w:fill="auto"/>
        <w:bidi w:val="0"/>
        <w:spacing w:before="0" w:after="220" w:line="331" w:lineRule="exact"/>
        <w:ind w:left="0" w:right="0"/>
        <w:jc w:val="left"/>
      </w:pPr>
      <w:bookmarkStart w:id="1068" w:name="bookmark1068"/>
      <w:r>
        <w:rPr>
          <w:color w:val="000000"/>
          <w:spacing w:val="0"/>
          <w:w w:val="100"/>
          <w:position w:val="0"/>
          <w:sz w:val="17"/>
          <w:szCs w:val="17"/>
        </w:rPr>
        <w:t>（</w:t>
      </w:r>
      <w:bookmarkEnd w:id="1068"/>
      <w:r>
        <w:rPr>
          <w:color w:val="000000"/>
          <w:spacing w:val="0"/>
          <w:w w:val="100"/>
          <w:position w:val="0"/>
          <w:sz w:val="17"/>
          <w:szCs w:val="17"/>
        </w:rPr>
        <w:t>4）</w:t>
      </w:r>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34"/>
        <w:keepNext w:val="0"/>
        <w:keepLines w:val="0"/>
        <w:widowControl w:val="0"/>
        <w:numPr>
          <w:ilvl w:val="0"/>
          <w:numId w:val="89"/>
        </w:numPr>
        <w:shd w:val="clear" w:color="auto" w:fill="auto"/>
        <w:tabs>
          <w:tab w:pos="654" w:val="left"/>
        </w:tabs>
        <w:bidi w:val="0"/>
        <w:spacing w:before="0" w:after="0" w:line="360" w:lineRule="auto"/>
        <w:ind w:left="0" w:right="0"/>
        <w:jc w:val="left"/>
      </w:pPr>
      <w:bookmarkStart w:id="1069" w:name="bookmark1069"/>
      <w:bookmarkEnd w:id="1069"/>
      <w:r>
        <w:rPr>
          <w:color w:val="000000"/>
          <w:spacing w:val="0"/>
          <w:w w:val="100"/>
          <w:position w:val="0"/>
        </w:rPr>
        <w:t>收入确认的具体方法</w:t>
      </w:r>
    </w:p>
    <w:p>
      <w:pPr>
        <w:pStyle w:val="Style34"/>
        <w:keepNext w:val="0"/>
        <w:keepLines w:val="0"/>
        <w:widowControl w:val="0"/>
        <w:shd w:val="clear" w:color="auto" w:fill="auto"/>
        <w:bidi w:val="0"/>
        <w:spacing w:before="0" w:after="100" w:line="315" w:lineRule="exact"/>
        <w:ind w:left="0" w:right="0"/>
        <w:jc w:val="left"/>
      </w:pPr>
      <w:r>
        <w:rPr>
          <w:color w:val="000000"/>
          <w:spacing w:val="0"/>
          <w:w w:val="100"/>
          <w:position w:val="0"/>
        </w:rPr>
        <w:t>公司主要销售与不停车收费系统相关的</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停车场收费系统产品等，属于在某一时点履行的履约义务。 内销产品收入确认需满足以下条件：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公司已根据合同约定将产品交付给购货方，取得客户签收或验收的相关凭证；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未取 得客户签收或验收的相关凭证的，满足合同约定视同接受产品条件或客户实际接受产品；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客户实际接受产品、产品销售 收入金额已确定、已收取价款或取得收款权利且相关的经济利益很可能流入时确认。外销产品收入在公司已根据合同约定将 </w:t>
      </w:r>
      <w:r>
        <w:rPr>
          <w:color w:val="000000"/>
          <w:spacing w:val="0"/>
          <w:w w:val="100"/>
          <w:position w:val="0"/>
        </w:rPr>
        <w:t>产品交付给承运人并报关，取得报关单和提单，且产品销售收入金额已确定，已收取货款或取得了收款权力且相关的经济利 益很可能流入时确认。</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同类业务采用不同经营模式导致收入确认会计政策存在差异的情况</w:t>
      </w:r>
    </w:p>
    <w:p>
      <w:pPr>
        <w:pStyle w:val="Style3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不适用</w:t>
      </w:r>
    </w:p>
    <w:p>
      <w:pPr>
        <w:pStyle w:val="Style37"/>
        <w:keepNext/>
        <w:keepLines/>
        <w:widowControl w:val="0"/>
        <w:shd w:val="clear" w:color="auto" w:fill="auto"/>
        <w:tabs>
          <w:tab w:pos="556" w:val="left"/>
        </w:tabs>
        <w:bidi w:val="0"/>
        <w:spacing w:before="0" w:after="2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4</w:t>
      </w:r>
      <w:bookmarkEnd w:id="1072"/>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70"/>
      <w:bookmarkEnd w:id="1071"/>
      <w:bookmarkEnd w:id="1073"/>
    </w:p>
    <w:p>
      <w:pPr>
        <w:pStyle w:val="Style34"/>
        <w:keepNext w:val="0"/>
        <w:keepLines w:val="0"/>
        <w:widowControl w:val="0"/>
        <w:numPr>
          <w:ilvl w:val="0"/>
          <w:numId w:val="91"/>
        </w:numPr>
        <w:shd w:val="clear" w:color="auto" w:fill="auto"/>
        <w:tabs>
          <w:tab w:pos="650" w:val="left"/>
        </w:tabs>
        <w:bidi w:val="0"/>
        <w:spacing w:before="0" w:after="100" w:line="313" w:lineRule="exact"/>
        <w:ind w:left="0" w:right="0"/>
        <w:jc w:val="both"/>
      </w:pPr>
      <w:bookmarkStart w:id="1074" w:name="bookmark1074"/>
      <w:bookmarkEnd w:id="1074"/>
      <w:r>
        <w:rPr>
          <w:color w:val="000000"/>
          <w:spacing w:val="0"/>
          <w:w w:val="100"/>
          <w:position w:val="0"/>
        </w:rPr>
        <w:t>政府补助在同时满足下列条件时予以确认：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 府补助为货币性资产的，按照收到或应收的金额计量。政府补助为非货币性资产的，按照公允价值计量；公允价值不能可靠 取得的，按照名义金额计量。</w:t>
      </w:r>
    </w:p>
    <w:p>
      <w:pPr>
        <w:pStyle w:val="Style34"/>
        <w:keepNext w:val="0"/>
        <w:keepLines w:val="0"/>
        <w:widowControl w:val="0"/>
        <w:numPr>
          <w:ilvl w:val="0"/>
          <w:numId w:val="91"/>
        </w:numPr>
        <w:shd w:val="clear" w:color="auto" w:fill="auto"/>
        <w:tabs>
          <w:tab w:pos="675" w:val="left"/>
        </w:tabs>
        <w:bidi w:val="0"/>
        <w:spacing w:before="0" w:after="0" w:line="360" w:lineRule="auto"/>
        <w:ind w:left="0" w:right="0"/>
        <w:jc w:val="both"/>
      </w:pPr>
      <w:bookmarkStart w:id="1075" w:name="bookmark1075"/>
      <w:bookmarkEnd w:id="1075"/>
      <w:r>
        <w:rPr>
          <w:color w:val="000000"/>
          <w:spacing w:val="0"/>
          <w:w w:val="100"/>
          <w:position w:val="0"/>
        </w:rPr>
        <w:t>与资产相关的政府补助判断依据及会计处理方法</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与资产相关的政府补助，冲减相关资产的账面价值或确认为递延收益。与资产相关的政府补助确认为递延收益的，在相关资 产使用寿命内按照合理、系统的方法分期计入损益。按照名义金额计量的政府补助，直接计入当期损益。相关资产在使用寿 命结束前被出售、转让、报废或发生毁损的，将尚未分配的相关递延收益余额转入资产处置当期的损益。</w:t>
      </w:r>
    </w:p>
    <w:p>
      <w:pPr>
        <w:pStyle w:val="Style34"/>
        <w:keepNext w:val="0"/>
        <w:keepLines w:val="0"/>
        <w:widowControl w:val="0"/>
        <w:numPr>
          <w:ilvl w:val="0"/>
          <w:numId w:val="91"/>
        </w:numPr>
        <w:shd w:val="clear" w:color="auto" w:fill="auto"/>
        <w:tabs>
          <w:tab w:pos="675" w:val="left"/>
        </w:tabs>
        <w:bidi w:val="0"/>
        <w:spacing w:before="0" w:after="0" w:line="360" w:lineRule="auto"/>
        <w:ind w:left="0" w:right="0"/>
        <w:jc w:val="both"/>
      </w:pPr>
      <w:bookmarkStart w:id="1076" w:name="bookmark1076"/>
      <w:bookmarkEnd w:id="1076"/>
      <w:r>
        <w:rPr>
          <w:color w:val="000000"/>
          <w:spacing w:val="0"/>
          <w:w w:val="100"/>
          <w:position w:val="0"/>
        </w:rPr>
        <w:t>与收益相关的政府补助判断依据及会计处理方法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34"/>
        <w:keepNext w:val="0"/>
        <w:keepLines w:val="0"/>
        <w:widowControl w:val="0"/>
        <w:numPr>
          <w:ilvl w:val="0"/>
          <w:numId w:val="91"/>
        </w:numPr>
        <w:shd w:val="clear" w:color="auto" w:fill="auto"/>
        <w:tabs>
          <w:tab w:pos="646" w:val="left"/>
        </w:tabs>
        <w:bidi w:val="0"/>
        <w:spacing w:before="0" w:after="380" w:line="313" w:lineRule="exact"/>
        <w:ind w:left="0" w:right="0"/>
        <w:jc w:val="both"/>
      </w:pPr>
      <w:bookmarkStart w:id="1077" w:name="bookmark1077"/>
      <w:bookmarkEnd w:id="1077"/>
      <w:r>
        <w:rPr>
          <w:color w:val="000000"/>
          <w:spacing w:val="0"/>
          <w:w w:val="100"/>
          <w:position w:val="0"/>
        </w:rPr>
        <w:t>与公司日常经营活动相关的政府补助，按照经济业务实质，计入其他收益或冲减相关成本费用。与公司日常活动无 关的政府补助，计入营业外收支。</w:t>
      </w:r>
    </w:p>
    <w:p>
      <w:pPr>
        <w:pStyle w:val="Style37"/>
        <w:keepNext/>
        <w:keepLines/>
        <w:widowControl w:val="0"/>
        <w:shd w:val="clear" w:color="auto" w:fill="auto"/>
        <w:tabs>
          <w:tab w:pos="556" w:val="left"/>
        </w:tabs>
        <w:bidi w:val="0"/>
        <w:spacing w:before="0" w:after="28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4</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8"/>
      <w:bookmarkEnd w:id="1079"/>
      <w:bookmarkEnd w:id="1081"/>
    </w:p>
    <w:p>
      <w:pPr>
        <w:pStyle w:val="Style34"/>
        <w:keepNext w:val="0"/>
        <w:keepLines w:val="0"/>
        <w:widowControl w:val="0"/>
        <w:numPr>
          <w:ilvl w:val="0"/>
          <w:numId w:val="93"/>
        </w:numPr>
        <w:shd w:val="clear" w:color="auto" w:fill="auto"/>
        <w:tabs>
          <w:tab w:pos="708" w:val="left"/>
        </w:tabs>
        <w:bidi w:val="0"/>
        <w:spacing w:before="0" w:after="0" w:line="315" w:lineRule="exact"/>
        <w:ind w:left="0" w:right="0" w:firstLine="440"/>
        <w:jc w:val="both"/>
      </w:pPr>
      <w:bookmarkStart w:id="1082" w:name="bookmark1082"/>
      <w:bookmarkEnd w:id="1082"/>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34"/>
        <w:keepNext w:val="0"/>
        <w:keepLines w:val="0"/>
        <w:widowControl w:val="0"/>
        <w:numPr>
          <w:ilvl w:val="0"/>
          <w:numId w:val="93"/>
        </w:numPr>
        <w:shd w:val="clear" w:color="auto" w:fill="auto"/>
        <w:tabs>
          <w:tab w:pos="694" w:val="left"/>
        </w:tabs>
        <w:bidi w:val="0"/>
        <w:spacing w:before="0" w:after="0" w:line="315" w:lineRule="exact"/>
        <w:ind w:left="0" w:right="0" w:firstLine="440"/>
        <w:jc w:val="both"/>
      </w:pPr>
      <w:bookmarkStart w:id="1083" w:name="bookmark1083"/>
      <w:bookmarkEnd w:id="1083"/>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34"/>
        <w:keepNext w:val="0"/>
        <w:keepLines w:val="0"/>
        <w:widowControl w:val="0"/>
        <w:numPr>
          <w:ilvl w:val="0"/>
          <w:numId w:val="93"/>
        </w:numPr>
        <w:shd w:val="clear" w:color="auto" w:fill="auto"/>
        <w:tabs>
          <w:tab w:pos="718" w:val="left"/>
        </w:tabs>
        <w:bidi w:val="0"/>
        <w:spacing w:before="0" w:after="0" w:line="315" w:lineRule="exact"/>
        <w:ind w:left="0" w:right="0" w:firstLine="440"/>
        <w:jc w:val="both"/>
      </w:pPr>
      <w:bookmarkStart w:id="1084" w:name="bookmark1084"/>
      <w:bookmarkEnd w:id="1084"/>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34"/>
        <w:keepNext w:val="0"/>
        <w:keepLines w:val="0"/>
        <w:widowControl w:val="0"/>
        <w:numPr>
          <w:ilvl w:val="0"/>
          <w:numId w:val="93"/>
        </w:numPr>
        <w:shd w:val="clear" w:color="auto" w:fill="auto"/>
        <w:tabs>
          <w:tab w:pos="708" w:val="left"/>
        </w:tabs>
        <w:bidi w:val="0"/>
        <w:spacing w:before="0" w:after="380" w:line="315" w:lineRule="exact"/>
        <w:ind w:left="0" w:right="0" w:firstLine="440"/>
        <w:jc w:val="both"/>
      </w:pPr>
      <w:bookmarkStart w:id="1085" w:name="bookmark1085"/>
      <w:bookmarkEnd w:id="1085"/>
      <w:r>
        <w:rPr>
          <w:color w:val="000000"/>
          <w:spacing w:val="0"/>
          <w:w w:val="100"/>
          <w:position w:val="0"/>
        </w:rPr>
        <w:t>公司当期所得税和递延所得税作为所得税费用或收益计入当期损益，但不包括下列情况产生的所得税：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 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37"/>
        <w:keepNext/>
        <w:keepLines/>
        <w:widowControl w:val="0"/>
        <w:shd w:val="clear" w:color="auto" w:fill="auto"/>
        <w:tabs>
          <w:tab w:pos="556" w:val="left"/>
        </w:tabs>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4</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86"/>
      <w:bookmarkEnd w:id="1087"/>
      <w:bookmarkEnd w:id="1089"/>
    </w:p>
    <w:p>
      <w:pPr>
        <w:pStyle w:val="Style71"/>
        <w:keepNext/>
        <w:keepLines/>
        <w:widowControl w:val="0"/>
        <w:shd w:val="clear" w:color="auto" w:fill="auto"/>
        <w:bidi w:val="0"/>
        <w:spacing w:before="0" w:after="28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90"/>
      <w:bookmarkEnd w:id="1091"/>
      <w:bookmarkEnd w:id="1093"/>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34"/>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公司为出租人时，在租赁期内各个期间按照直线法将租金确认为当期损益，发生的初始直接费用，除金额较大的予以 资本化并分期计入损益外，均直接计入当期损益。或有租金在实际发生时计入当期损益。</w:t>
      </w:r>
    </w:p>
    <w:p>
      <w:pPr>
        <w:pStyle w:val="Style71"/>
        <w:keepNext/>
        <w:keepLines/>
        <w:widowControl w:val="0"/>
        <w:shd w:val="clear" w:color="auto" w:fill="auto"/>
        <w:bidi w:val="0"/>
        <w:spacing w:before="0" w:after="280" w:line="240" w:lineRule="auto"/>
        <w:ind w:left="0" w:right="0" w:firstLine="0"/>
        <w:jc w:val="both"/>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94"/>
      <w:bookmarkEnd w:id="1095"/>
      <w:bookmarkEnd w:id="1097"/>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公司为承租人时，在租赁期开始日，公司以租赁开始日租赁资产公允价值与最低租赁付款额现值中两者较低者作为租 入资产的入账价值，将最低租赁付款额作为长期应付款的入账价值，其差额为未确认融资费用，发生的初始直接费用，计入 租赁资产价值。在租赁期各个期间，采用实际利率法计算确认当期的融资费用。</w:t>
      </w:r>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公司为出租人时，在租赁期开始日，公司以租赁开始日最低租赁收款额与初始直接费用之和作为应收融资租赁款的入 账价值，同时记录未担保余值；将最低租赁收款额、初始直接费用及未担保余值之和与其现值之和的差额确认为未实现融资 收益。在租赁期各个期间，采用实际利率法计算确认当期的融资收入。</w:t>
      </w:r>
    </w:p>
    <w:p>
      <w:pPr>
        <w:pStyle w:val="Style37"/>
        <w:keepNext/>
        <w:keepLines/>
        <w:widowControl w:val="0"/>
        <w:shd w:val="clear" w:color="auto" w:fill="auto"/>
        <w:tabs>
          <w:tab w:pos="572" w:val="left"/>
        </w:tabs>
        <w:bidi w:val="0"/>
        <w:spacing w:before="0" w:after="28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4</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98"/>
      <w:bookmarkEnd w:id="1099"/>
      <w:bookmarkEnd w:id="1101"/>
    </w:p>
    <w:p>
      <w:pPr>
        <w:pStyle w:val="Style34"/>
        <w:keepNext w:val="0"/>
        <w:keepLines w:val="0"/>
        <w:widowControl w:val="0"/>
        <w:numPr>
          <w:ilvl w:val="0"/>
          <w:numId w:val="95"/>
        </w:numPr>
        <w:shd w:val="clear" w:color="auto" w:fill="auto"/>
        <w:tabs>
          <w:tab w:pos="681" w:val="left"/>
        </w:tabs>
        <w:bidi w:val="0"/>
        <w:spacing w:before="0" w:after="0" w:line="312" w:lineRule="exact"/>
        <w:ind w:left="0" w:right="0"/>
        <w:jc w:val="both"/>
      </w:pPr>
      <w:bookmarkStart w:id="1102" w:name="bookmark1102"/>
      <w:bookmarkEnd w:id="1102"/>
      <w:r>
        <w:rPr>
          <w:color w:val="000000"/>
          <w:spacing w:val="0"/>
          <w:w w:val="100"/>
          <w:position w:val="0"/>
        </w:rPr>
        <w:t>终止经营的确认标准、会计处理方法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满足下列条件之一的、已经被处置或划分为持有待售类别且能够单独区分的组成部分确认为终止经营：</w:t>
      </w:r>
    </w:p>
    <w:p>
      <w:pPr>
        <w:pStyle w:val="Style34"/>
        <w:keepNext w:val="0"/>
        <w:keepLines w:val="0"/>
        <w:widowControl w:val="0"/>
        <w:shd w:val="clear" w:color="auto" w:fill="auto"/>
        <w:tabs>
          <w:tab w:pos="786" w:val="left"/>
        </w:tabs>
        <w:bidi w:val="0"/>
        <w:spacing w:before="0" w:after="0" w:line="312" w:lineRule="exact"/>
        <w:ind w:left="0" w:right="0"/>
        <w:jc w:val="both"/>
      </w:pPr>
      <w:bookmarkStart w:id="1103" w:name="bookmark1103"/>
      <w:r>
        <w:rPr>
          <w:rFonts w:ascii="Times New Roman" w:eastAsia="Times New Roman" w:hAnsi="Times New Roman" w:cs="Times New Roman"/>
          <w:color w:val="000000"/>
          <w:spacing w:val="0"/>
          <w:w w:val="100"/>
          <w:position w:val="0"/>
          <w:sz w:val="18"/>
          <w:szCs w:val="18"/>
        </w:rPr>
        <w:t>（</w:t>
      </w:r>
      <w:bookmarkEnd w:id="110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该组成部分代表一项独立的主要业务或一个单独的主要经营地区；</w:t>
      </w:r>
    </w:p>
    <w:p>
      <w:pPr>
        <w:pStyle w:val="Style34"/>
        <w:keepNext w:val="0"/>
        <w:keepLines w:val="0"/>
        <w:widowControl w:val="0"/>
        <w:shd w:val="clear" w:color="auto" w:fill="auto"/>
        <w:tabs>
          <w:tab w:pos="786" w:val="left"/>
        </w:tabs>
        <w:bidi w:val="0"/>
        <w:spacing w:before="0" w:after="0" w:line="312" w:lineRule="exact"/>
        <w:ind w:left="0" w:right="0"/>
        <w:jc w:val="both"/>
      </w:pPr>
      <w:bookmarkStart w:id="1104" w:name="bookmark1104"/>
      <w:r>
        <w:rPr>
          <w:rFonts w:ascii="Times New Roman" w:eastAsia="Times New Roman" w:hAnsi="Times New Roman" w:cs="Times New Roman"/>
          <w:color w:val="000000"/>
          <w:spacing w:val="0"/>
          <w:w w:val="100"/>
          <w:position w:val="0"/>
          <w:sz w:val="18"/>
          <w:szCs w:val="18"/>
        </w:rPr>
        <w:t>（</w:t>
      </w:r>
      <w:bookmarkEnd w:id="110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该组成部分是拟对一项独立的主要业务或一个单独的主要经营地区进行处置的一项相关联计划的一部分；</w:t>
      </w:r>
    </w:p>
    <w:p>
      <w:pPr>
        <w:pStyle w:val="Style34"/>
        <w:keepNext w:val="0"/>
        <w:keepLines w:val="0"/>
        <w:widowControl w:val="0"/>
        <w:shd w:val="clear" w:color="auto" w:fill="auto"/>
        <w:tabs>
          <w:tab w:pos="786" w:val="left"/>
        </w:tabs>
        <w:bidi w:val="0"/>
        <w:spacing w:before="0" w:after="0" w:line="312" w:lineRule="exact"/>
        <w:ind w:left="0" w:right="0"/>
        <w:jc w:val="both"/>
      </w:pPr>
      <w:bookmarkStart w:id="1105" w:name="bookmark1105"/>
      <w:r>
        <w:rPr>
          <w:rFonts w:ascii="Times New Roman" w:eastAsia="Times New Roman" w:hAnsi="Times New Roman" w:cs="Times New Roman"/>
          <w:color w:val="000000"/>
          <w:spacing w:val="0"/>
          <w:w w:val="100"/>
          <w:position w:val="0"/>
          <w:sz w:val="18"/>
          <w:szCs w:val="18"/>
        </w:rPr>
        <w:t>（</w:t>
      </w:r>
      <w:bookmarkEnd w:id="1105"/>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该组成部分是专为转售而取得的子公司。</w:t>
      </w:r>
    </w:p>
    <w:p>
      <w:pPr>
        <w:pStyle w:val="Style34"/>
        <w:keepNext w:val="0"/>
        <w:keepLines w:val="0"/>
        <w:widowControl w:val="0"/>
        <w:numPr>
          <w:ilvl w:val="0"/>
          <w:numId w:val="95"/>
        </w:numPr>
        <w:shd w:val="clear" w:color="auto" w:fill="auto"/>
        <w:tabs>
          <w:tab w:pos="700" w:val="left"/>
        </w:tabs>
        <w:bidi w:val="0"/>
        <w:spacing w:before="0" w:after="100" w:line="312" w:lineRule="exact"/>
        <w:ind w:left="0" w:right="0"/>
        <w:jc w:val="both"/>
      </w:pPr>
      <w:bookmarkStart w:id="1106" w:name="bookmark1106"/>
      <w:bookmarkEnd w:id="1106"/>
      <w:r>
        <w:rPr>
          <w:color w:val="000000"/>
          <w:spacing w:val="0"/>
          <w:w w:val="100"/>
          <w:position w:val="0"/>
        </w:rPr>
        <w:t>与回购公司股份相关的会计处理方法</w:t>
      </w:r>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因减少注册资本或奖励职工等原因收购本公司股份的，按实际支付的金额作为库存股处理，同时进行备查登记。如果 将回购的股份注销，则将按注销股票面值和注销股数计算的股票面值总额与实际回购所支付的金额之间的差额冲减资本公 积，资本公积不足冲减的，冲减留存收益；如果将回购的股份奖励给本公司职工属于以权益结算的股份支付，于职工行权购 买本公司股份收到价款时，转销交付职工的库存股成本和等待期内资本公积（其他资本公积）累计金额，同时，按照其差额 调整资本公积（股本溢价）。</w:t>
      </w:r>
    </w:p>
    <w:p>
      <w:pPr>
        <w:pStyle w:val="Style37"/>
        <w:keepNext/>
        <w:keepLines/>
        <w:widowControl w:val="0"/>
        <w:shd w:val="clear" w:color="auto" w:fill="auto"/>
        <w:tabs>
          <w:tab w:pos="572" w:val="left"/>
        </w:tabs>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4</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07"/>
      <w:bookmarkEnd w:id="1108"/>
      <w:bookmarkEnd w:id="1110"/>
    </w:p>
    <w:p>
      <w:pPr>
        <w:pStyle w:val="Style71"/>
        <w:keepNext/>
        <w:keepLines/>
        <w:widowControl w:val="0"/>
        <w:shd w:val="clear" w:color="auto" w:fill="auto"/>
        <w:bidi w:val="0"/>
        <w:spacing w:before="0" w:after="34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11"/>
      <w:bookmarkEnd w:id="1112"/>
      <w:bookmarkEnd w:id="1114"/>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54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 《企业会计准则第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号），根据财政部要求，在境内外同时上 市的企业以及在境外上市并采用国际财 务报告准则或企业会计准则编制财务报 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 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起施行；执行企业会计准则的非上市企 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 二次会议审议通过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56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 收入准则，根据新旧准则转换的衔接规 定，公司应当根据首次执行新收入准则 的累积影响数，调整首次执行新收入准 则当年年初留存收益及财务报表其他相 关项目金额，对可比期间信息不予调整。</w:t>
            </w:r>
          </w:p>
        </w:tc>
      </w:tr>
    </w:tbl>
    <w:p>
      <w:pPr>
        <w:widowControl w:val="0"/>
        <w:spacing w:line="1" w:lineRule="exact"/>
      </w:pPr>
    </w:p>
    <w:p>
      <w:pPr>
        <w:pStyle w:val="Style32"/>
        <w:keepNext w:val="0"/>
        <w:keepLines w:val="0"/>
        <w:widowControl w:val="0"/>
        <w:shd w:val="clear" w:color="auto" w:fill="auto"/>
        <w:bidi w:val="0"/>
        <w:spacing w:before="0" w:after="0" w:line="240" w:lineRule="auto"/>
        <w:ind w:left="360" w:right="0" w:firstLine="0"/>
        <w:jc w:val="left"/>
      </w:pPr>
      <w:r>
        <w:rPr>
          <w:color w:val="000000"/>
          <w:spacing w:val="0"/>
          <w:w w:val="100"/>
          <w:position w:val="0"/>
        </w:rPr>
        <w:t>执行新收入准则对公司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tbl>
      <w:tblPr>
        <w:tblOverlap w:val="never"/>
        <w:jc w:val="center"/>
        <w:tblLayout w:type="fixed"/>
      </w:tblPr>
      <w:tblGrid>
        <w:gridCol w:w="2424"/>
        <w:gridCol w:w="2414"/>
        <w:gridCol w:w="2414"/>
        <w:gridCol w:w="2424"/>
      </w:tblGrid>
      <w:tr>
        <w:trPr>
          <w:trHeight w:val="350"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新收入准则调整影响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752,426,473.68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-89,354,000.27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663,072,473.41</w:t>
            </w:r>
          </w:p>
        </w:tc>
      </w:tr>
    </w:tbl>
    <w:p>
      <w:pPr>
        <w:widowControl w:val="0"/>
        <w:spacing w:line="1" w:lineRule="exact"/>
      </w:pPr>
      <w:r>
        <w:br w:type="page"/>
      </w:r>
    </w:p>
    <w:tbl>
      <w:tblPr>
        <w:tblOverlap w:val="never"/>
        <w:jc w:val="center"/>
        <w:tblLayout w:type="fixed"/>
      </w:tblPr>
      <w:tblGrid>
        <w:gridCol w:w="2424"/>
        <w:gridCol w:w="2414"/>
        <w:gridCol w:w="2414"/>
        <w:gridCol w:w="242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29,302,144.94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29,302,144.94</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45,359,118.66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60,051,855.33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105,410,973.99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607,969,184.24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-607,969,184.24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607,555,099.16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607,555,099.16</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414,085.08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414,085.08</w:t>
            </w:r>
          </w:p>
        </w:tc>
      </w:tr>
    </w:tbl>
    <w:p>
      <w:pPr>
        <w:widowControl w:val="0"/>
        <w:spacing w:after="639" w:line="1" w:lineRule="exact"/>
      </w:pPr>
    </w:p>
    <w:p>
      <w:pPr>
        <w:pStyle w:val="Style71"/>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重要会计估计变更</w:t>
      </w:r>
      <w:bookmarkEnd w:id="1115"/>
      <w:bookmarkEnd w:id="1116"/>
      <w:bookmarkEnd w:id="1118"/>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119" w:name="bookmark1119"/>
      <w:bookmarkStart w:id="1120" w:name="bookmark1120"/>
      <w:bookmarkStart w:id="1121" w:name="bookmark1121"/>
      <w:bookmarkStart w:id="1122" w:name="bookmark1122"/>
      <w:bookmarkEnd w:id="112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19"/>
      <w:bookmarkEnd w:id="1120"/>
      <w:bookmarkEnd w:id="112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1,880,152,293.89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1,880,152,293.89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10,710,689.50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10,710,689.50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752,426,473.68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663,072,473.41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-89,354,000.27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66,041,370.00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66,041,370.00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9,130,170.20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9,130,170.20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34,741,644.35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34,741,644.35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623,034,107.12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623,034,107.12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29,302,144.94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29,302,144.94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79,837,557.57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79,837,557.57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3,456,074,306.31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3,396,022,450.98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-60,051,855.33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18,474,727.96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18,474,727.96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45,123,200.00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45,123,200.00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197,818,484.95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197,818,484.95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99,041,175.08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99,041,175.08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34,200,182.66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34,200,182.66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19,717,567.14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19,717,567.14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20,915,572.97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20,915,572.97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45,359,118.66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105,410,973.99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60,051,855.33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480,650,029.42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540,701,884.75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60,051,855.33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3,936,724,335.73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3,936,724,335.73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585,887,257.45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585,887,257.45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422,020,050.18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422,020,050.18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607,969,184.24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-607,969,184.24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607,555,099.16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607,555,099.16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72,736,852.39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72,736,852.39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239,145,339.41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239,145,339.41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106,391,995.42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106,391,995.42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414,085.08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2,034,150,679.09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2,034,150,679.09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8,271,274.61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8,271,274.61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11,908,052.83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11,908,052.83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2,046,058,731.92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2,046,058,731.92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120,518,161.00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120,518,161.00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711,764,737.04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711,764,737.04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58,589,877.42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58,589,877.42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1,070,602,462.16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1,070,602,462.16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1,902,654,233.58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1,902,654,233.58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-11,988,629.77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-11,988,629.77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1,890,665,603.81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1,890,665,603.81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3,936,724,335.73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3,936,724,335.73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号），根 据财政部要求，在境内外同时上市的企业以及在境外上市并采用国际财务报告准则或企业会计准则编制财务报表的企业，自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w:t>
      </w:r>
    </w:p>
    <w:p>
      <w:pPr>
        <w:pStyle w:val="Style3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母公司资产负债表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1,655,402,210.77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1,655,402,210.77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10,710,689.50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10,710,689.50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782,984,623.00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693,932,275.07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-89,052,347.93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66,041,370.00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66,041,370.00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9,072,262.77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9,072,262.77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108,486,278.43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108,486,278.43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619,132,138.00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619,132,138.00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29,044,286.60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29,044,286.60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69,593,787.04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69,593,787.04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3,321,423,359.51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3,261,415,298.18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-60,008,061.33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362,519,298.30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362,519,298.30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45,123,200.00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130,476,454.85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130,476,454.85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148,584.90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1,782,653.91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1,782,653.91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19,308,873.27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19,308,873.27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20,915,572.97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20,915,572.97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45,359,118.66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105,367,179.99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60,008,061.33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625,633,756.86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685,641,818.19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60,008,061.33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3,947,057,116.37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3,947,057,116.37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585,887,257.45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585,887,257.45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398,980,429.62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398,980,429.62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604,083,650.23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-604,083,650.23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603,669,565.15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603,669,565.15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66,511,871.33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66,511,871.33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236,973,669.44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236,973,669.44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106,445,163.27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106,445,163.27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414,085.08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1,998,882,041.34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1,998,882,041.34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7,078,074.61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7,078,074.61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10,714,852.83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10,714,852.83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2,009,596,894.17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2,009,596,894.17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120,518,161.00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120,518,161.00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710,722,727.87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710,722,727.87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60,259,080.50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60,259,080.50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1,104,781,256.87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1,104,781,256.87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1,937,460,222.20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1,937,460,222.20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3,947,057,116.37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3,947,057,116.37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号），根 据财政部要求，在境内外同时上市的企业以及在境外上市并采用国际财务报告准则或企业会计准则编制财务报表的企业，自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w:t>
      </w:r>
    </w:p>
    <w:p>
      <w:pPr>
        <w:pStyle w:val="Style71"/>
        <w:keepNext/>
        <w:keepLines/>
        <w:widowControl w:val="0"/>
        <w:shd w:val="clear" w:color="auto" w:fill="auto"/>
        <w:bidi w:val="0"/>
        <w:spacing w:before="0" w:after="30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23"/>
      <w:bookmarkEnd w:id="1124"/>
      <w:bookmarkEnd w:id="1126"/>
    </w:p>
    <w:p>
      <w:pPr>
        <w:pStyle w:val="Style34"/>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27"/>
      <w:bookmarkEnd w:id="1128"/>
      <w:bookmarkEnd w:id="1129"/>
    </w:p>
    <w:p>
      <w:pPr>
        <w:pStyle w:val="Style34"/>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sz w:val="24"/>
          <w:szCs w:val="24"/>
        </w:rPr>
        <w:t>六</w:t>
      </w:r>
      <w:bookmarkEnd w:id="1132"/>
      <w:r>
        <w:rPr>
          <w:color w:val="000000"/>
          <w:spacing w:val="0"/>
          <w:w w:val="100"/>
          <w:position w:val="0"/>
          <w:sz w:val="24"/>
          <w:szCs w:val="24"/>
        </w:rPr>
        <w:t>、税项</w:t>
      </w:r>
      <w:bookmarkEnd w:id="1130"/>
      <w:bookmarkEnd w:id="1131"/>
      <w:bookmarkEnd w:id="1133"/>
    </w:p>
    <w:p>
      <w:pPr>
        <w:pStyle w:val="Style37"/>
        <w:keepNext/>
        <w:keepLines/>
        <w:widowControl w:val="0"/>
        <w:shd w:val="clear" w:color="auto" w:fill="auto"/>
        <w:bidi w:val="0"/>
        <w:spacing w:before="0" w:after="30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color w:val="000000"/>
          <w:spacing w:val="0"/>
          <w:w w:val="100"/>
          <w:position w:val="0"/>
        </w:rPr>
        <w:t>、主要税种及税率</w:t>
      </w:r>
      <w:bookmarkEnd w:id="1134"/>
      <w:bookmarkEnd w:id="1135"/>
      <w:bookmarkEnd w:id="113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应税产品销售收入或应税劳务收入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color w:val="000000"/>
          <w:spacing w:val="0"/>
          <w:w w:val="100"/>
          <w:position w:val="0"/>
        </w:rPr>
        <w:t>、税收优惠</w:t>
      </w:r>
      <w:bookmarkEnd w:id="1138"/>
      <w:bookmarkEnd w:id="1139"/>
      <w:bookmarkEnd w:id="1141"/>
    </w:p>
    <w:p>
      <w:pPr>
        <w:pStyle w:val="Style34"/>
        <w:keepNext w:val="0"/>
        <w:keepLines w:val="0"/>
        <w:widowControl w:val="0"/>
        <w:shd w:val="clear" w:color="auto" w:fill="auto"/>
        <w:bidi w:val="0"/>
        <w:spacing w:before="0" w:after="340" w:line="24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企业所得税</w:t>
      </w:r>
    </w:p>
    <w:p>
      <w:pPr>
        <w:pStyle w:val="Style3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日通过高新技术企业复审，取得证书编号为</w:t>
      </w:r>
      <w:r>
        <w:rPr>
          <w:rFonts w:ascii="Times New Roman" w:eastAsia="Times New Roman" w:hAnsi="Times New Roman" w:cs="Times New Roman"/>
          <w:color w:val="000000"/>
          <w:spacing w:val="0"/>
          <w:w w:val="100"/>
          <w:position w:val="0"/>
          <w:sz w:val="18"/>
          <w:szCs w:val="18"/>
        </w:rPr>
        <w:t>GR202044206183</w:t>
      </w:r>
      <w:r>
        <w:rPr>
          <w:color w:val="000000"/>
          <w:spacing w:val="0"/>
          <w:w w:val="100"/>
          <w:position w:val="0"/>
        </w:rPr>
        <w:t>的高新技术企业证书，有效期三年， 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年度享受减按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税率缴纳企业所得税的税收优惠政策。</w:t>
      </w:r>
    </w:p>
    <w:p>
      <w:pPr>
        <w:pStyle w:val="Style34"/>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增值税</w:t>
      </w:r>
    </w:p>
    <w:p>
      <w:pPr>
        <w:pStyle w:val="Style34"/>
        <w:keepNext w:val="0"/>
        <w:keepLines w:val="0"/>
        <w:widowControl w:val="0"/>
        <w:shd w:val="clear" w:color="auto" w:fill="auto"/>
        <w:tabs>
          <w:tab w:pos="6869" w:val="left"/>
        </w:tabs>
        <w:bidi w:val="0"/>
        <w:spacing w:before="0" w:after="0" w:line="312" w:lineRule="exact"/>
        <w:ind w:left="0" w:right="0" w:firstLine="520"/>
        <w:jc w:val="left"/>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号），增值税一般纳税人销售自行</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开发生产的软件产品，对其增值税实际税负超过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的部分实行即征即退的优惠政策，本公司享受上述优惠政策。</w:t>
      </w:r>
    </w:p>
    <w:p>
      <w:pPr>
        <w:pStyle w:val="Style37"/>
        <w:keepNext/>
        <w:keepLines/>
        <w:widowControl w:val="0"/>
        <w:shd w:val="clear" w:color="auto" w:fill="auto"/>
        <w:bidi w:val="0"/>
        <w:spacing w:before="0" w:after="28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color w:val="000000"/>
          <w:spacing w:val="0"/>
          <w:w w:val="100"/>
          <w:position w:val="0"/>
        </w:rPr>
        <w:t>、其他</w:t>
      </w:r>
      <w:bookmarkEnd w:id="1142"/>
      <w:bookmarkEnd w:id="1143"/>
      <w:bookmarkEnd w:id="1145"/>
    </w:p>
    <w:p>
      <w:pPr>
        <w:pStyle w:val="Style34"/>
        <w:keepNext w:val="0"/>
        <w:keepLines w:val="0"/>
        <w:widowControl w:val="0"/>
        <w:shd w:val="clear" w:color="auto" w:fill="auto"/>
        <w:bidi w:val="0"/>
        <w:spacing w:before="0" w:after="380" w:line="312" w:lineRule="exact"/>
        <w:ind w:left="0" w:right="0" w:firstLine="40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sz w:val="24"/>
          <w:szCs w:val="24"/>
        </w:rPr>
        <w:t>七</w:t>
      </w:r>
      <w:bookmarkEnd w:id="1148"/>
      <w:r>
        <w:rPr>
          <w:color w:val="000000"/>
          <w:spacing w:val="0"/>
          <w:w w:val="100"/>
          <w:position w:val="0"/>
          <w:sz w:val="24"/>
          <w:szCs w:val="24"/>
        </w:rPr>
        <w:t>、合并财务报表项目注释</w:t>
      </w:r>
      <w:bookmarkEnd w:id="1146"/>
      <w:bookmarkEnd w:id="1147"/>
      <w:bookmarkEnd w:id="1149"/>
    </w:p>
    <w:p>
      <w:pPr>
        <w:pStyle w:val="Style37"/>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color w:val="000000"/>
          <w:spacing w:val="0"/>
          <w:w w:val="100"/>
          <w:position w:val="0"/>
        </w:rPr>
        <w:t>、货币资金</w:t>
      </w:r>
      <w:bookmarkEnd w:id="1150"/>
      <w:bookmarkEnd w:id="1151"/>
      <w:bookmarkEnd w:id="115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1,464,649,007.64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1,874,015,546.76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6,136,747.13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1,464,649,007.64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1,880,152,293.89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12,193,736.25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6,136,747.13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6"/>
        <w:gridCol w:w="3576"/>
        <w:gridCol w:w="343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使用受限金额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使用受限原因</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财政资金监管户</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12,189,310.75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因诉讼冻结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12,193,736.25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07" w:lineRule="exact"/>
        <w:ind w:left="106"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上述合同纠纷已达成调解，广东省广州市黄埔区人民法院于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日解除因买卖合同纠纷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14933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对公司名下</w:t>
      </w:r>
      <w:r>
        <w:rPr>
          <w:rFonts w:ascii="Times New Roman" w:eastAsia="Times New Roman" w:hAnsi="Times New Roman" w:cs="Times New Roman"/>
          <w:color w:val="000000"/>
          <w:spacing w:val="0"/>
          <w:w w:val="100"/>
          <w:position w:val="0"/>
          <w:sz w:val="18"/>
          <w:szCs w:val="18"/>
        </w:rPr>
        <w:t>12,189,310.75</w:t>
      </w:r>
      <w:r>
        <w:rPr>
          <w:color w:val="000000"/>
          <w:spacing w:val="0"/>
          <w:w w:val="100"/>
          <w:position w:val="0"/>
        </w:rPr>
        <w:t>元财产所采取的保全措施，</w:t>
      </w:r>
      <w:r>
        <w:rPr>
          <w:rFonts w:ascii="Times New Roman" w:eastAsia="Times New Roman" w:hAnsi="Times New Roman" w:cs="Times New Roman"/>
          <w:color w:val="000000"/>
          <w:spacing w:val="0"/>
          <w:w w:val="100"/>
          <w:position w:val="0"/>
          <w:sz w:val="18"/>
          <w:szCs w:val="18"/>
        </w:rPr>
        <w:t>12,189,310.75</w:t>
      </w:r>
      <w:r>
        <w:rPr>
          <w:color w:val="000000"/>
          <w:spacing w:val="0"/>
          <w:w w:val="100"/>
          <w:position w:val="0"/>
        </w:rPr>
        <w:t>元银行存款已解冻。</w:t>
      </w:r>
    </w:p>
    <w:p>
      <w:pPr>
        <w:widowControl w:val="0"/>
        <w:spacing w:after="599" w:line="1" w:lineRule="exact"/>
      </w:pPr>
    </w:p>
    <w:p>
      <w:pPr>
        <w:pStyle w:val="Style37"/>
        <w:keepNext/>
        <w:keepLines/>
        <w:widowControl w:val="0"/>
        <w:shd w:val="clear" w:color="auto" w:fill="auto"/>
        <w:tabs>
          <w:tab w:pos="378" w:val="left"/>
        </w:tabs>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color w:val="000000"/>
          <w:spacing w:val="0"/>
          <w:w w:val="100"/>
          <w:position w:val="0"/>
        </w:rPr>
        <w:t>、</w:t>
        <w:tab/>
        <w:t>交易性金融资产</w:t>
      </w:r>
      <w:bookmarkEnd w:id="1154"/>
      <w:bookmarkEnd w:id="1155"/>
      <w:bookmarkEnd w:id="115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color w:val="000000"/>
          <w:spacing w:val="0"/>
          <w:w w:val="100"/>
          <w:position w:val="0"/>
        </w:rPr>
        <w:t>、</w:t>
        <w:tab/>
        <w:t>衍生金融资产</w:t>
      </w:r>
      <w:bookmarkEnd w:id="1158"/>
      <w:bookmarkEnd w:id="1159"/>
      <w:bookmarkEnd w:id="116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7"/>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4</w:t>
      </w:r>
      <w:bookmarkEnd w:id="1164"/>
      <w:r>
        <w:rPr>
          <w:color w:val="000000"/>
          <w:spacing w:val="0"/>
          <w:w w:val="100"/>
          <w:position w:val="0"/>
        </w:rPr>
        <w:t>、应收票据</w:t>
      </w:r>
      <w:bookmarkEnd w:id="1162"/>
      <w:bookmarkEnd w:id="1163"/>
      <w:bookmarkEnd w:id="1165"/>
    </w:p>
    <w:p>
      <w:pPr>
        <w:pStyle w:val="Style71"/>
        <w:keepNext/>
        <w:keepLines/>
        <w:widowControl w:val="0"/>
        <w:numPr>
          <w:ilvl w:val="0"/>
          <w:numId w:val="97"/>
        </w:numPr>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应收票据分类列示</w:t>
      </w:r>
      <w:bookmarkEnd w:id="1166"/>
      <w:bookmarkEnd w:id="1167"/>
      <w:bookmarkEnd w:id="116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10,710,689.50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10,710,689.50</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11,274,41</w:t>
            </w:r>
          </w:p>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563,720.50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11,274,41</w:t>
            </w:r>
          </w:p>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563,720.50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11,274,41</w:t>
            </w:r>
          </w:p>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563,720.50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bl>
    <w:p>
      <w:pPr>
        <w:pStyle w:val="Style3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97"/>
        </w:numPr>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本期计提、收回或转回的坏账准备情况</w:t>
      </w:r>
      <w:bookmarkEnd w:id="1170"/>
      <w:bookmarkEnd w:id="1171"/>
      <w:bookmarkEnd w:id="117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563,720.50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-563,720.50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563,720.50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-563,720.50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97"/>
        </w:numPr>
        <w:shd w:val="clear" w:color="auto" w:fill="auto"/>
        <w:bidi w:val="0"/>
        <w:spacing w:before="0" w:after="26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期末公司已质押的应收票据</w:t>
      </w:r>
      <w:bookmarkEnd w:id="1174"/>
      <w:bookmarkEnd w:id="1175"/>
      <w:bookmarkEnd w:id="1177"/>
    </w:p>
    <w:p>
      <w:pPr>
        <w:pStyle w:val="Style71"/>
        <w:keepNext/>
        <w:keepLines/>
        <w:widowControl w:val="0"/>
        <w:shd w:val="clear" w:color="auto" w:fill="auto"/>
        <w:tabs>
          <w:tab w:pos="493" w:val="left"/>
        </w:tabs>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78"/>
      <w:bookmarkEnd w:id="1179"/>
      <w:bookmarkEnd w:id="118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82"/>
      <w:bookmarkEnd w:id="1183"/>
      <w:bookmarkEnd w:id="118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186"/>
      <w:bookmarkEnd w:id="1187"/>
      <w:bookmarkEnd w:id="118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5</w:t>
      </w:r>
      <w:bookmarkEnd w:id="1192"/>
      <w:r>
        <w:rPr>
          <w:color w:val="000000"/>
          <w:spacing w:val="0"/>
          <w:w w:val="100"/>
          <w:position w:val="0"/>
        </w:rPr>
        <w:t>、应收账款</w:t>
      </w:r>
      <w:bookmarkEnd w:id="1190"/>
      <w:bookmarkEnd w:id="1191"/>
      <w:bookmarkEnd w:id="1193"/>
    </w:p>
    <w:p>
      <w:pPr>
        <w:pStyle w:val="Style71"/>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4"/>
      <w:bookmarkEnd w:id="1195"/>
      <w:bookmarkEnd w:id="119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3,714,644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3,714,644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3,714,644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517,185,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447,984,2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733,651,2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70,578,73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663,072,47</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43.82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497,144,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55,803,4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441,341,5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721,434,2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61,228,12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660,206,09</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61.40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r>
      <w:tr>
        <w:trPr>
          <w:trHeight w:val="4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6,642,682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11,247,03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8,380,663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2,866,375.7</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37"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521,519,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447,984,2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737,365,8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74,293,37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663,072,47</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591.68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47.86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43.82</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4,334,349.67</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2,621,846.25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2,621,846.25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合同纠纷，预计无法收</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合同纠纷，预计无法收 回</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经营不善无履约能力，</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合同纠纷，预计无法收 回</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55,803,436.47</w:t>
      </w:r>
    </w:p>
    <w:p>
      <w:pPr>
        <w:widowControl w:val="0"/>
        <w:spacing w:after="139" w:line="1" w:lineRule="exact"/>
      </w:pP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295,216,952.69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14,760,847.63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153,196,598.41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15,319,659.84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19,662,248.06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5,898,674.42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17,987,917.66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8,993,958.84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1,254,926.53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1,003,941.22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9,826,354.52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9,826,354.52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497,144,997.87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55,803,436.47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13,397,561.72</w:t>
      </w:r>
    </w:p>
    <w:p>
      <w:pPr>
        <w:widowControl w:val="0"/>
        <w:spacing w:after="139" w:line="1" w:lineRule="exact"/>
      </w:pP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13,285,364.86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6,642,682.44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超质保期一年以上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6,754,879.28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6,754,879.28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20,040,244.14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13,397,561.72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按组合计提坏账准备：无</w:t>
      </w:r>
    </w:p>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300,001,923.32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156,461,756.72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24,557,750.56</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23,464,116.73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3,157,193.74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13,876,850.61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521,519,591.68</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8"/>
      <w:bookmarkEnd w:id="1199"/>
      <w:bookmarkEnd w:id="120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3,714,644.33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952,305.34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4,334,349.67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70,578,735.61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1,533,068.94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1,765,655.00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1,145,151.36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69,200,998.19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74,293,379.94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1,533,068.94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1,765,655.00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2,097,456.70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73,535,347.86</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2"/>
      <w:bookmarkEnd w:id="1203"/>
      <w:bookmarkEnd w:id="1205"/>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1,765,655.00</w:t>
            </w:r>
          </w:p>
        </w:tc>
      </w:tr>
    </w:tbl>
    <w:p>
      <w:pPr>
        <w:pStyle w:val="Style3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其中重要的应收账款核销情况: 无</w:t>
      </w:r>
    </w:p>
    <w:p>
      <w:pPr>
        <w:pStyle w:val="Style71"/>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6"/>
      <w:bookmarkEnd w:id="1207"/>
      <w:bookmarkEnd w:id="1209"/>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97,304,636.49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8,974,962.85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50,652,500.00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4,673,375.00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22,813,200.00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4,800,823.80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22,614,300.07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4,854,610.37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22,129,642.74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2,033,314.75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215,514,279.30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71"/>
        <w:keepNext/>
        <w:keepLines/>
        <w:widowControl w:val="0"/>
        <w:shd w:val="clear" w:color="auto" w:fill="auto"/>
        <w:tabs>
          <w:tab w:pos="493" w:val="left"/>
        </w:tabs>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10"/>
      <w:bookmarkEnd w:id="1211"/>
      <w:bookmarkEnd w:id="121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14"/>
      <w:bookmarkEnd w:id="1215"/>
      <w:bookmarkEnd w:id="121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日）差异详见本财务报告附注五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之说明</w:t>
      </w:r>
    </w:p>
    <w:p>
      <w:pPr>
        <w:pStyle w:val="Style37"/>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6</w:t>
      </w:r>
      <w:bookmarkEnd w:id="1220"/>
      <w:r>
        <w:rPr>
          <w:color w:val="000000"/>
          <w:spacing w:val="0"/>
          <w:w w:val="100"/>
          <w:position w:val="0"/>
        </w:rPr>
        <w:t>、应收款项融资</w:t>
      </w:r>
      <w:bookmarkEnd w:id="1218"/>
      <w:bookmarkEnd w:id="1219"/>
      <w:bookmarkEnd w:id="1221"/>
    </w:p>
    <w:p>
      <w:pPr>
        <w:pStyle w:val="Style3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15,489,939.55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66,041,370.00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15,489,939.55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66,041,370.00</w:t>
            </w:r>
          </w:p>
        </w:tc>
      </w:tr>
    </w:tbl>
    <w:p>
      <w:pPr>
        <w:pStyle w:val="Style3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应收款项融资本期增减变动及公允价值变动情况</w:t>
      </w:r>
    </w:p>
    <w:p>
      <w:pPr>
        <w:pStyle w:val="Style3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60" w:line="346" w:lineRule="exact"/>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307" w:lineRule="exact"/>
        <w:ind w:left="0" w:right="0"/>
        <w:jc w:val="both"/>
      </w:pPr>
      <w:r>
        <w:rPr>
          <w:color w:val="000000"/>
          <w:spacing w:val="0"/>
          <w:w w:val="100"/>
          <w:position w:val="0"/>
        </w:rPr>
        <w:t>银行承兑汇票的承兑人是商业银行，由于商业银行具有较高的信用，银行承兑汇票到期不获支付的可能性较低，故本公 司将已背书或贴现的银行承兑汇票予以终止确认。但如果该等票据到期不获支付，依据《票据法》之规定，公司仍将对持票 人承担连带责任。</w:t>
      </w:r>
    </w:p>
    <w:p>
      <w:pPr>
        <w:pStyle w:val="Style37"/>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7</w:t>
      </w:r>
      <w:bookmarkEnd w:id="1224"/>
      <w:r>
        <w:rPr>
          <w:color w:val="000000"/>
          <w:spacing w:val="0"/>
          <w:w w:val="100"/>
          <w:position w:val="0"/>
        </w:rPr>
        <w:t>、预付款项</w:t>
      </w:r>
      <w:bookmarkEnd w:id="1222"/>
      <w:bookmarkEnd w:id="1223"/>
      <w:bookmarkEnd w:id="1225"/>
    </w:p>
    <w:p>
      <w:pPr>
        <w:pStyle w:val="Style71"/>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6"/>
      <w:bookmarkEnd w:id="1227"/>
      <w:bookmarkEnd w:id="1229"/>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4,298,973.25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8,792,315.75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818,583.10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323,465.82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277,244.37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5,394,800.72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9,130,170.20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r>
        <w:br w:type="page"/>
      </w:r>
    </w:p>
    <w:p>
      <w:pPr>
        <w:pStyle w:val="Style71"/>
        <w:keepNext/>
        <w:keepLines/>
        <w:widowControl w:val="0"/>
        <w:shd w:val="clear" w:color="auto" w:fill="auto"/>
        <w:bidi w:val="0"/>
        <w:spacing w:before="0" w:after="380" w:line="240" w:lineRule="auto"/>
        <w:ind w:left="0" w:right="0" w:firstLine="14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30"/>
      <w:bookmarkEnd w:id="1231"/>
      <w:bookmarkEnd w:id="1233"/>
    </w:p>
    <w:tbl>
      <w:tblPr>
        <w:tblOverlap w:val="never"/>
        <w:jc w:val="left"/>
        <w:tblLayout w:type="fixed"/>
      </w:tblPr>
      <w:tblGrid>
        <w:gridCol w:w="3106"/>
        <w:gridCol w:w="2693"/>
        <w:gridCol w:w="2549"/>
      </w:tblGrid>
      <w:tr>
        <w:trPr>
          <w:trHeight w:val="346"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客户名称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1,010,898.00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18.74%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597,786.92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11.08%</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566,580.33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454,967.03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362,945.10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2,993,177.38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55.48%</w:t>
            </w:r>
          </w:p>
        </w:tc>
      </w:tr>
    </w:tbl>
    <w:p>
      <w:pPr>
        <w:widowControl w:val="0"/>
        <w:spacing w:after="3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8</w:t>
      </w:r>
      <w:bookmarkEnd w:id="1236"/>
      <w:r>
        <w:rPr>
          <w:color w:val="000000"/>
          <w:spacing w:val="0"/>
          <w:w w:val="100"/>
          <w:position w:val="0"/>
        </w:rPr>
        <w:t>、其他应收款</w:t>
      </w:r>
      <w:bookmarkEnd w:id="1234"/>
      <w:bookmarkEnd w:id="1235"/>
      <w:bookmarkEnd w:id="123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15,908,464.36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34,741,644.35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15,908,464.36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34,741,644.35</w:t>
            </w:r>
          </w:p>
        </w:tc>
      </w:tr>
    </w:tbl>
    <w:p>
      <w:pPr>
        <w:widowControl w:val="0"/>
        <w:spacing w:after="379" w:line="1" w:lineRule="exact"/>
      </w:pPr>
    </w:p>
    <w:p>
      <w:pPr>
        <w:pStyle w:val="Style71"/>
        <w:keepNext/>
        <w:keepLines/>
        <w:widowControl w:val="0"/>
        <w:shd w:val="clear" w:color="auto" w:fill="auto"/>
        <w:tabs>
          <w:tab w:pos="493" w:val="left"/>
        </w:tabs>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238"/>
      <w:bookmarkEnd w:id="1239"/>
      <w:bookmarkEnd w:id="124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42"/>
      <w:bookmarkEnd w:id="1243"/>
      <w:bookmarkEnd w:id="124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46"/>
      <w:bookmarkEnd w:id="1247"/>
      <w:bookmarkEnd w:id="1249"/>
    </w:p>
    <w:p>
      <w:pPr>
        <w:pStyle w:val="Style95"/>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color w:val="000000"/>
          <w:spacing w:val="0"/>
          <w:w w:val="100"/>
          <w:position w:val="0"/>
        </w:rPr>
        <w:t>）其他应收款按款项性质分类情况</w:t>
      </w:r>
      <w:bookmarkEnd w:id="1250"/>
      <w:bookmarkEnd w:id="1251"/>
      <w:bookmarkEnd w:id="125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应收债务重组款项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7,357,497.24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13,188,232.32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应退税款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24,919,484.96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代缴社保及公积金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689,356.52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797,524.22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1,865,357.50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259,580.34</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19,462,164.42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39,164,821.84</w:t>
            </w:r>
          </w:p>
        </w:tc>
      </w:tr>
    </w:tbl>
    <w:p>
      <w:pPr>
        <w:widowControl w:val="0"/>
        <w:spacing w:after="319" w:line="1" w:lineRule="exact"/>
      </w:pPr>
    </w:p>
    <w:p>
      <w:pPr>
        <w:pStyle w:val="Style95"/>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color w:val="000000"/>
          <w:spacing w:val="0"/>
          <w:w w:val="100"/>
          <w:position w:val="0"/>
        </w:rPr>
        <w:t>）坏账准备计提情况</w:t>
      </w:r>
      <w:bookmarkEnd w:id="1254"/>
      <w:bookmarkEnd w:id="1255"/>
      <w:bookmarkEnd w:id="1257"/>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1,565,736.75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221,703.45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2,635,737.29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4,423,177.49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-113,135.82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113,135.82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-88,747.97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88,747.97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-838,594.86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111,287.35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-727,119.87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-142,357.56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603,755.52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226,271.64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2,723,672.90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3,553,700.06</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12,075,110.37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2,262,716.38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887,479.70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3,556,457.97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19,462,164.42</w:t>
            </w:r>
          </w:p>
        </w:tc>
      </w:tr>
    </w:tbl>
    <w:p>
      <w:pPr>
        <w:widowControl w:val="0"/>
        <w:spacing w:after="319" w:line="1" w:lineRule="exact"/>
      </w:pPr>
    </w:p>
    <w:p>
      <w:pPr>
        <w:pStyle w:val="Style95"/>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color w:val="000000"/>
          <w:spacing w:val="0"/>
          <w:w w:val="100"/>
          <w:position w:val="0"/>
        </w:rPr>
        <w:t>）本期计提、收回或转回的坏账准备情况</w:t>
      </w:r>
      <w:bookmarkEnd w:id="1258"/>
      <w:bookmarkEnd w:id="1259"/>
      <w:bookmarkEnd w:id="126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4,423,177.49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-1,011,834.99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3,553,700.06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4,423,177.49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-1,011,834.99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142,357.56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3,553,700.06</w:t>
            </w:r>
          </w:p>
        </w:tc>
      </w:tr>
    </w:tbl>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5"/>
        <w:keepNext/>
        <w:keepLines/>
        <w:widowControl w:val="0"/>
        <w:shd w:val="clear" w:color="auto" w:fill="auto"/>
        <w:tabs>
          <w:tab w:pos="392" w:val="left"/>
        </w:tabs>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color w:val="000000"/>
          <w:spacing w:val="0"/>
          <w:w w:val="100"/>
          <w:position w:val="0"/>
        </w:rPr>
        <w:t>）</w:t>
        <w:tab/>
        <w:t>本期实际核销的其他应收款情况</w:t>
      </w:r>
      <w:bookmarkEnd w:id="1262"/>
      <w:bookmarkEnd w:id="1263"/>
      <w:bookmarkEnd w:id="126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5"/>
        <w:keepNext/>
        <w:keepLines/>
        <w:widowControl w:val="0"/>
        <w:shd w:val="clear" w:color="auto" w:fill="auto"/>
        <w:tabs>
          <w:tab w:pos="392" w:val="left"/>
        </w:tabs>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5</w:t>
      </w:r>
      <w:bookmarkEnd w:id="1268"/>
      <w:r>
        <w:rPr>
          <w:color w:val="000000"/>
          <w:spacing w:val="0"/>
          <w:w w:val="100"/>
          <w:position w:val="0"/>
        </w:rPr>
        <w:t>）</w:t>
        <w:tab/>
        <w:t>按欠款方归集的期末余额前五名的其他应收款情况</w:t>
      </w:r>
      <w:bookmarkEnd w:id="1266"/>
      <w:bookmarkEnd w:id="1267"/>
      <w:bookmarkEnd w:id="126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应收债务重组款项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477,000.00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2,504,344.18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1,147,399.06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1,303,914.00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130,391.40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949,424.75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474,712.38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656,694.40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197,008.32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14,954,377.33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2,426,511.16</w:t>
            </w:r>
          </w:p>
        </w:tc>
      </w:tr>
    </w:tbl>
    <w:p>
      <w:pPr>
        <w:widowControl w:val="0"/>
        <w:spacing w:after="379" w:line="1" w:lineRule="exact"/>
      </w:pPr>
    </w:p>
    <w:p>
      <w:pPr>
        <w:pStyle w:val="Style95"/>
        <w:keepNext/>
        <w:keepLines/>
        <w:widowControl w:val="0"/>
        <w:shd w:val="clear" w:color="auto" w:fill="auto"/>
        <w:tabs>
          <w:tab w:pos="392" w:val="left"/>
        </w:tabs>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6</w:t>
      </w:r>
      <w:bookmarkEnd w:id="1272"/>
      <w:r>
        <w:rPr>
          <w:color w:val="000000"/>
          <w:spacing w:val="0"/>
          <w:w w:val="100"/>
          <w:position w:val="0"/>
        </w:rPr>
        <w:t>）</w:t>
        <w:tab/>
        <w:t>涉及政府补助的应收款项</w:t>
      </w:r>
      <w:bookmarkEnd w:id="1270"/>
      <w:bookmarkEnd w:id="1271"/>
      <w:bookmarkEnd w:id="127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5"/>
        <w:keepNext/>
        <w:keepLines/>
        <w:widowControl w:val="0"/>
        <w:shd w:val="clear" w:color="auto" w:fill="auto"/>
        <w:tabs>
          <w:tab w:pos="387" w:val="left"/>
        </w:tabs>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7</w:t>
      </w:r>
      <w:bookmarkEnd w:id="1276"/>
      <w:r>
        <w:rPr>
          <w:color w:val="000000"/>
          <w:spacing w:val="0"/>
          <w:w w:val="100"/>
          <w:position w:val="0"/>
        </w:rPr>
        <w:t>）</w:t>
        <w:tab/>
        <w:t>因金融资产转移而终止确认的其他应收款</w:t>
      </w:r>
      <w:bookmarkEnd w:id="1274"/>
      <w:bookmarkEnd w:id="1275"/>
      <w:bookmarkEnd w:id="127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5"/>
        <w:keepNext/>
        <w:keepLines/>
        <w:widowControl w:val="0"/>
        <w:shd w:val="clear" w:color="auto" w:fill="auto"/>
        <w:tabs>
          <w:tab w:pos="392" w:val="left"/>
        </w:tabs>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8</w:t>
      </w:r>
      <w:bookmarkEnd w:id="1280"/>
      <w:r>
        <w:rPr>
          <w:color w:val="000000"/>
          <w:spacing w:val="0"/>
          <w:w w:val="100"/>
          <w:position w:val="0"/>
        </w:rPr>
        <w:t>）</w:t>
        <w:tab/>
        <w:t>转移其他应收款且继续涉入形成的资产、负债金额</w:t>
      </w:r>
      <w:bookmarkEnd w:id="1278"/>
      <w:bookmarkEnd w:id="1279"/>
      <w:bookmarkEnd w:id="128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9</w:t>
      </w:r>
      <w:bookmarkEnd w:id="1284"/>
      <w:r>
        <w:rPr>
          <w:color w:val="000000"/>
          <w:spacing w:val="0"/>
          <w:w w:val="100"/>
          <w:position w:val="0"/>
        </w:rPr>
        <w:t>、存货</w:t>
      </w:r>
      <w:bookmarkEnd w:id="1282"/>
      <w:bookmarkEnd w:id="1283"/>
      <w:bookmarkEnd w:id="1285"/>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71"/>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6"/>
      <w:bookmarkEnd w:id="1287"/>
      <w:bookmarkEnd w:id="1289"/>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合同履约成本减</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208,101,507.87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24,222,818.61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183,878,689.26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205,489,453.92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10,784,174.90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194,705,279.02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2,399,670.89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2,399,670.89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2,149,019.40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2,149,019.40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29,803,065.11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2,758,035.06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27,045,030.05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65,856,428.69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9,422,301.80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56,434,126.89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3,264,350.52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3,264,350.52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12,168,269.27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12,168,269.27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40,696,209.56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436,746.44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40,259,463.12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357,094,525.78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436,746.44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356,657,779.34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1,203,388.13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1,203,388.13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919,633.20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285,468,192.08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27,417,600.11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258,050,591.97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643,677,330.26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20,643,223.14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623,034,107.12</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22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90"/>
      <w:bookmarkEnd w:id="1291"/>
      <w:bookmarkEnd w:id="12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10,784,174.90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21,076,002.50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7,637,358.79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24,222,818.61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9,422,301.80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1,094,403.38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7,758,670.12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2,758,035.06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436,746.44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20,643,223.14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22,170,405.88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15,396,028.91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27,417,600.11</w:t>
            </w:r>
          </w:p>
        </w:tc>
      </w:tr>
    </w:tbl>
    <w:p>
      <w:pPr>
        <w:widowControl w:val="0"/>
        <w:spacing w:after="319" w:line="1" w:lineRule="exact"/>
      </w:pPr>
    </w:p>
    <w:p>
      <w:pPr>
        <w:widowControl w:val="0"/>
        <w:spacing w:line="1" w:lineRule="exact"/>
      </w:pPr>
    </w:p>
    <w:tbl>
      <w:tblPr>
        <w:tblOverlap w:val="never"/>
        <w:jc w:val="center"/>
        <w:tblLayout w:type="fixed"/>
      </w:tblPr>
      <w:tblGrid>
        <w:gridCol w:w="1814"/>
        <w:gridCol w:w="4762"/>
        <w:gridCol w:w="3293"/>
      </w:tblGrid>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确定可变现净值 的具体依据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本期转销 存货跌价准备的原因</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相关产成品估计售价减去至完工估计将要发生的成本、估 计的销售费用以及相关税费后的金额确定可变现净值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本期已将期初计提存货跌价准备的存货 耗用或报废</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库存商品、发出商品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相关产成品估计售价减去估计的销售费用以及相关税费后 的金额确定可变现净值</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本期已将期初计提存货跌价准备的存货 售出或报废</w:t>
            </w:r>
          </w:p>
        </w:tc>
      </w:tr>
    </w:tbl>
    <w:p>
      <w:pPr>
        <w:widowControl w:val="0"/>
        <w:spacing w:after="639" w:line="1" w:lineRule="exact"/>
      </w:pPr>
    </w:p>
    <w:p>
      <w:pPr>
        <w:pStyle w:val="Style71"/>
        <w:keepNext/>
        <w:keepLines/>
        <w:widowControl w:val="0"/>
        <w:shd w:val="clear" w:color="auto" w:fill="auto"/>
        <w:bidi w:val="0"/>
        <w:spacing w:before="0" w:after="380" w:line="240" w:lineRule="auto"/>
        <w:ind w:left="0" w:right="0" w:firstLine="22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94"/>
      <w:bookmarkEnd w:id="1295"/>
      <w:bookmarkEnd w:id="129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bidi w:val="0"/>
        <w:spacing w:before="0" w:after="32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298"/>
      <w:bookmarkEnd w:id="1299"/>
      <w:bookmarkEnd w:id="1301"/>
    </w:p>
    <w:tbl>
      <w:tblPr>
        <w:tblOverlap w:val="never"/>
        <w:jc w:val="center"/>
        <w:tblLayout w:type="fixed"/>
      </w:tblPr>
      <w:tblGrid>
        <w:gridCol w:w="1958"/>
        <w:gridCol w:w="1723"/>
        <w:gridCol w:w="1723"/>
        <w:gridCol w:w="1728"/>
        <w:gridCol w:w="912"/>
        <w:gridCol w:w="1632"/>
      </w:tblGrid>
      <w:tr>
        <w:trPr>
          <w:trHeight w:val="66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440"/>
              <w:jc w:val="left"/>
              <w:rPr>
                <w:sz w:val="18"/>
                <w:szCs w:val="18"/>
              </w:rPr>
            </w:pPr>
            <w:r>
              <w:rPr>
                <w:color w:val="000000"/>
                <w:spacing w:val="0"/>
                <w:w w:val="100"/>
                <w:position w:val="0"/>
                <w:sz w:val="17"/>
                <w:szCs w:val="17"/>
              </w:rPr>
              <w:t>期初数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500"/>
              <w:jc w:val="left"/>
            </w:pPr>
            <w:r>
              <w:rPr>
                <w:color w:val="000000"/>
                <w:spacing w:val="0"/>
                <w:w w:val="100"/>
                <w:position w:val="0"/>
              </w:rPr>
              <w:t>本期摊销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减值</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540"/>
              <w:jc w:val="left"/>
            </w:pPr>
            <w:r>
              <w:rPr>
                <w:color w:val="000000"/>
                <w:spacing w:val="0"/>
                <w:w w:val="100"/>
                <w:position w:val="0"/>
              </w:rPr>
              <w:t>期末数</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湖北客运站项目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2,326,123.05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2,326,123.05</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个标杆场站智能化建设 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255,282.96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595,660.31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安装项目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9,244,254.61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10,041,433.81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19,285,688.42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342,608.65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342,567.16</w:t>
            </w:r>
          </w:p>
        </w:tc>
      </w:tr>
    </w:tbl>
    <w:p>
      <w:pPr>
        <w:widowControl w:val="0"/>
        <w:spacing w:line="1" w:lineRule="exact"/>
      </w:pPr>
      <w:r>
        <w:br w:type="page"/>
      </w:r>
    </w:p>
    <w:tbl>
      <w:tblPr>
        <w:tblOverlap w:val="never"/>
        <w:jc w:val="center"/>
        <w:tblLayout w:type="fixed"/>
      </w:tblPr>
      <w:tblGrid>
        <w:gridCol w:w="1958"/>
        <w:gridCol w:w="1723"/>
        <w:gridCol w:w="1723"/>
        <w:gridCol w:w="1728"/>
        <w:gridCol w:w="912"/>
        <w:gridCol w:w="1632"/>
      </w:tblGrid>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12,168,269.27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10,381,811.16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19,285,729.91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3,264,350.52</w:t>
            </w:r>
          </w:p>
        </w:tc>
      </w:tr>
    </w:tbl>
    <w:p>
      <w:pPr>
        <w:pStyle w:val="Style32"/>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日）差异系项目成本从在产品重分类至合同履约成本。</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02"/>
      <w:bookmarkEnd w:id="1303"/>
      <w:bookmarkEnd w:id="130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84,203,171.53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8,436,193.16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75,766,978.37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33,510,244.17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4,208,099.23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29,302,144.94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84,203,171.53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8,436,193.16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75,766,978.37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33,510,244.17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4,208,099.23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29,302,144.94</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合同资产的账面价值在本期内发生的重大变动金额和原因：无</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5,162,759.27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5,162,759.27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日）差异详见本财务报告附注五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之说明</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06"/>
      <w:bookmarkEnd w:id="1307"/>
      <w:bookmarkEnd w:id="130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10"/>
      <w:bookmarkEnd w:id="1311"/>
      <w:bookmarkEnd w:id="131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14"/>
      <w:bookmarkEnd w:id="1315"/>
      <w:bookmarkEnd w:id="1317"/>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待抵扣、认证进项税额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22,583,518.92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79,548,754.14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288,803.43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22,583,518.92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79,837,557.57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18"/>
      <w:bookmarkEnd w:id="1319"/>
      <w:bookmarkEnd w:id="132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22"/>
      <w:bookmarkEnd w:id="1323"/>
      <w:bookmarkEnd w:id="132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26"/>
      <w:bookmarkEnd w:id="1327"/>
      <w:bookmarkEnd w:id="132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30"/>
      <w:bookmarkEnd w:id="1331"/>
      <w:bookmarkEnd w:id="133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山东高速 信威信息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3,791,208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2,125,255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深圳宝溢 交通科技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14,683,51</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14,742,44</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18,474,72</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16,867,70</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18,474,72</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16,867,70</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34"/>
      <w:bookmarkEnd w:id="1335"/>
      <w:bookmarkEnd w:id="133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广东运筹汇交通科技有限公司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山东高速信联科技股份有限公司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43,623,200.00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45,123,200.00</w:t>
            </w:r>
          </w:p>
        </w:tc>
      </w:tr>
    </w:tbl>
    <w:p>
      <w:pPr>
        <w:spacing w:lineRule="exact" w:line="1"/>
        <w:rPr>
          <w:sz w:val="2"/>
          <w:szCs w:val="2"/>
        </w:rPr>
      </w:pPr>
      <w:r>
        <w:br w:type="page"/>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分项披露本期非交易性权益工具投资</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入留存收益的金</w:t>
            </w:r>
          </w:p>
          <w:p>
            <w:pPr>
              <w:pStyle w:val="Style27"/>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7"/>
              <w:keepNext w:val="0"/>
              <w:keepLines w:val="0"/>
              <w:widowControl w:val="0"/>
              <w:shd w:val="clear" w:color="auto" w:fill="auto"/>
              <w:bidi w:val="0"/>
              <w:spacing w:before="0" w:after="0" w:line="312" w:lineRule="exact"/>
              <w:ind w:left="0" w:right="0" w:firstLine="320"/>
              <w:jc w:val="left"/>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山东高速信联科 技股份有限公司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5,131,540.50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非交易性权益工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tabs>
          <w:tab w:pos="474" w:val="left"/>
        </w:tabs>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38"/>
      <w:bookmarkEnd w:id="1339"/>
      <w:bookmarkEnd w:id="134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42"/>
      <w:bookmarkEnd w:id="1343"/>
      <w:bookmarkEnd w:id="1345"/>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346"/>
      <w:bookmarkEnd w:id="1347"/>
      <w:bookmarkEnd w:id="1349"/>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349,242,961.37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197,818,484.95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349,242,961.37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197,818,484.95</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14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50"/>
      <w:bookmarkEnd w:id="1351"/>
      <w:bookmarkEnd w:id="135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固定资产装修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195,573,046.13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54,249,622.32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8,234,686.86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5,682,859.79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263,740,215.10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107,998,004.47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29,974,409.46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23,509,536.97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1,998,016.24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934,924.29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164,414,891.43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1,403,665.83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23,509,536.97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1,998,016.24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934,924.29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27,846,143.33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106,594,338.64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29,974,409.46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136,568,748.10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797,415.67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1,136,569.64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2,722,985.31</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797,415.67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517,724.45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2,104,140.12</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618,845.19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618,845.19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303,571,050.60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29,974,409.46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76,961,743.62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9,443,703.10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5,481,214.44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425,432,121.22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13,923,706.53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42,687,772.77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6,215,776.27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3,094,474.58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65,921,730.15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6,692,053.34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532,300.47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3,931,269.00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890,269.30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659,790.92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12,705,683.03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6,692,053.34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532,300.47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3,931,269.00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890,269.30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659,790.92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12,705,683.03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742,981.97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945,721.36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2,438,253.33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742,981.97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487,379.12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1,979,911.09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458,342.24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458,342.24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20,615,759.87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532,300.47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45,876,059.80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6,356,495.57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2,808,544.14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76,189,159.85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282,955,290.73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29,442,108.99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31,085,683.82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3,087,207.53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2,672,670.30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349,242,961.37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181,649,339.60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11,561,849.55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2,018,910.59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2,588,385.21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197,818,484.95</w:t>
            </w:r>
          </w:p>
        </w:tc>
      </w:tr>
    </w:tbl>
    <w:p>
      <w:pPr>
        <w:widowControl w:val="0"/>
        <w:spacing w:after="319" w:line="1" w:lineRule="exact"/>
      </w:pPr>
    </w:p>
    <w:p>
      <w:pPr>
        <w:pStyle w:val="Style71"/>
        <w:keepNext/>
        <w:keepLines/>
        <w:widowControl w:val="0"/>
        <w:shd w:val="clear" w:color="auto" w:fill="auto"/>
        <w:bidi w:val="0"/>
        <w:spacing w:before="0" w:after="40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54"/>
      <w:bookmarkEnd w:id="1355"/>
      <w:bookmarkEnd w:id="1357"/>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1"/>
        <w:keepNext/>
        <w:keepLines/>
        <w:widowControl w:val="0"/>
        <w:shd w:val="clear" w:color="auto" w:fill="auto"/>
        <w:bidi w:val="0"/>
        <w:spacing w:before="0" w:after="40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58"/>
      <w:bookmarkEnd w:id="1359"/>
      <w:bookmarkEnd w:id="1361"/>
    </w:p>
    <w:p>
      <w:pPr>
        <w:pStyle w:val="Style34"/>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78" w:right="1024" w:bottom="1436" w:left="1008" w:header="0" w:footer="3" w:gutter="0"/>
          <w:cols w:space="720"/>
          <w:noEndnote/>
          <w:rtlGutter w:val="0"/>
          <w:docGrid w:linePitch="360"/>
        </w:sectPr>
      </w:pPr>
      <w:r>
        <w:rPr>
          <w:color w:val="000000"/>
          <w:spacing w:val="0"/>
          <w:w w:val="100"/>
          <w:position w:val="0"/>
        </w:rPr>
        <w:t>无</w:t>
      </w:r>
    </w:p>
    <w:p>
      <w:pPr>
        <w:pStyle w:val="Style71"/>
        <w:keepNext/>
        <w:keepLines/>
        <w:widowControl w:val="0"/>
        <w:numPr>
          <w:ilvl w:val="0"/>
          <w:numId w:val="97"/>
        </w:numPr>
        <w:shd w:val="clear" w:color="auto" w:fill="auto"/>
        <w:tabs>
          <w:tab w:pos="493" w:val="left"/>
        </w:tabs>
        <w:bidi w:val="0"/>
        <w:spacing w:before="640" w:line="240" w:lineRule="auto"/>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通过经营租赁租出的固定资产</w:t>
      </w:r>
      <w:bookmarkEnd w:id="1362"/>
      <w:bookmarkEnd w:id="1363"/>
      <w:bookmarkEnd w:id="1365"/>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1"/>
        <w:keepNext/>
        <w:keepLines/>
        <w:widowControl w:val="0"/>
        <w:numPr>
          <w:ilvl w:val="0"/>
          <w:numId w:val="97"/>
        </w:numPr>
        <w:shd w:val="clear" w:color="auto" w:fill="auto"/>
        <w:tabs>
          <w:tab w:pos="493"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未办妥产权证书的固定资产情况</w:t>
      </w:r>
      <w:bookmarkEnd w:id="1366"/>
      <w:bookmarkEnd w:id="1367"/>
      <w:bookmarkEnd w:id="136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佛山基地项目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124,867,023.53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产权证正在办理中</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1"/>
        <w:keepNext/>
        <w:keepLines/>
        <w:widowControl w:val="0"/>
        <w:numPr>
          <w:ilvl w:val="0"/>
          <w:numId w:val="97"/>
        </w:numPr>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固定资产清理</w:t>
      </w:r>
      <w:bookmarkEnd w:id="1370"/>
      <w:bookmarkEnd w:id="1371"/>
      <w:bookmarkEnd w:id="1373"/>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74"/>
      <w:bookmarkEnd w:id="1375"/>
      <w:bookmarkEnd w:id="137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99,041,175.08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99,041,175.08</w:t>
            </w:r>
          </w:p>
        </w:tc>
      </w:tr>
    </w:tbl>
    <w:p>
      <w:pPr>
        <w:widowControl w:val="0"/>
        <w:spacing w:after="359" w:line="1" w:lineRule="exact"/>
      </w:pPr>
    </w:p>
    <w:p>
      <w:pPr>
        <w:pStyle w:val="Style71"/>
        <w:keepNext/>
        <w:keepLines/>
        <w:widowControl w:val="0"/>
        <w:numPr>
          <w:ilvl w:val="0"/>
          <w:numId w:val="99"/>
        </w:numPr>
        <w:shd w:val="clear" w:color="auto" w:fill="auto"/>
        <w:bidi w:val="0"/>
        <w:spacing w:before="0" w:line="240" w:lineRule="auto"/>
        <w:ind w:left="0" w:right="0" w:firstLine="14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在建工程情况</w:t>
      </w:r>
      <w:bookmarkEnd w:id="1378"/>
      <w:bookmarkEnd w:id="1379"/>
      <w:bookmarkEnd w:id="1381"/>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98,892,590.18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98,892,590.18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深圳湾办公区项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211,757.55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211,757.55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广州玉树厂房工 程项目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222,772.28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222,772.28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148,584.90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预付设备款、软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3,536,485.08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3,536,485.08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444,526.19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444,526.19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4,415,541.10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99,041,175.08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99,041,175.08</w:t>
            </w:r>
          </w:p>
        </w:tc>
      </w:tr>
    </w:tbl>
    <w:p>
      <w:pPr>
        <w:widowControl w:val="0"/>
        <w:spacing w:after="359" w:line="1" w:lineRule="exact"/>
      </w:pPr>
    </w:p>
    <w:p>
      <w:pPr>
        <w:pStyle w:val="Style71"/>
        <w:keepNext/>
        <w:keepLines/>
        <w:widowControl w:val="0"/>
        <w:numPr>
          <w:ilvl w:val="0"/>
          <w:numId w:val="99"/>
        </w:numPr>
        <w:shd w:val="clear" w:color="auto" w:fill="auto"/>
        <w:bidi w:val="0"/>
        <w:spacing w:before="0" w:line="240" w:lineRule="auto"/>
        <w:ind w:left="0" w:right="0" w:firstLine="14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重要在建工程项目本期变动情况</w:t>
      </w:r>
      <w:bookmarkEnd w:id="1382"/>
      <w:bookmarkEnd w:id="1383"/>
      <w:bookmarkEnd w:id="1385"/>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佛山基 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130,196,</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98,892,5</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26,903,7</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125,796,</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广州万 科云办 公区装 修项目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14,330,0</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148,584.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10,623,8</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10,772,3</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144,526,</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99,041,1</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37,527,5</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136,568,</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71"/>
        <w:keepNext/>
        <w:keepLines/>
        <w:widowControl w:val="0"/>
        <w:shd w:val="clear" w:color="auto" w:fill="auto"/>
        <w:tabs>
          <w:tab w:pos="493" w:val="left"/>
        </w:tabs>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86"/>
      <w:bookmarkEnd w:id="1387"/>
      <w:bookmarkEnd w:id="138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90"/>
      <w:bookmarkEnd w:id="1391"/>
      <w:bookmarkEnd w:id="139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94"/>
      <w:bookmarkEnd w:id="1395"/>
      <w:bookmarkEnd w:id="1397"/>
    </w:p>
    <w:p>
      <w:pPr>
        <w:pStyle w:val="Style71"/>
        <w:keepNext/>
        <w:keepLines/>
        <w:widowControl w:val="0"/>
        <w:shd w:val="clear" w:color="auto" w:fill="auto"/>
        <w:tabs>
          <w:tab w:pos="493" w:val="left"/>
        </w:tabs>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98"/>
      <w:bookmarkEnd w:id="1399"/>
      <w:bookmarkEnd w:id="1401"/>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02"/>
      <w:bookmarkEnd w:id="1403"/>
      <w:bookmarkEnd w:id="1405"/>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06"/>
      <w:bookmarkEnd w:id="1407"/>
      <w:bookmarkEnd w:id="1409"/>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10"/>
      <w:bookmarkEnd w:id="1411"/>
      <w:bookmarkEnd w:id="141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414"/>
      <w:bookmarkEnd w:id="1415"/>
      <w:bookmarkEnd w:id="1417"/>
    </w:p>
    <w:p>
      <w:pPr>
        <w:pStyle w:val="Style71"/>
        <w:keepNext/>
        <w:keepLines/>
        <w:widowControl w:val="0"/>
        <w:shd w:val="clear" w:color="auto" w:fill="auto"/>
        <w:bidi w:val="0"/>
        <w:spacing w:before="0" w:after="380" w:line="240" w:lineRule="auto"/>
        <w:ind w:left="0" w:right="0" w:firstLine="0"/>
        <w:jc w:val="left"/>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139" w:right="1029" w:bottom="1373" w:left="1003" w:header="0" w:footer="3" w:gutter="0"/>
          <w:cols w:space="720"/>
          <w:noEndnote/>
          <w:titlePg/>
          <w:rtlGutter w:val="0"/>
          <w:docGrid w:linePitch="360"/>
        </w:sectPr>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18"/>
      <w:bookmarkEnd w:id="1419"/>
      <w:bookmarkEnd w:id="1421"/>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36,229,382.20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8,305,717.68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44,535,099.88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1,279,627.27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1,279,627.27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1,279,627.27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1,279,627.27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514,120.91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514,120.91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315,053.67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315,053.67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199,067.24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199,067.24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36,229,382.20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9,071,224.04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45,300,606.24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3,811,853.43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6,523,063.79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10,334,917.22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732,857.16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872,310.78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1,605,167.94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732,857.16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872,310.78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1,605,167.94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335,045.44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335,045.44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315,053.67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315,053.67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19,991.77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4,544,710.59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7,060,329.13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11,605,039.72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31,684,671.61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2,010,894.91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33,695,566.52</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32,417,528.77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1,782,653.89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34,200,182.66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79" w:line="1" w:lineRule="exact"/>
      </w:pPr>
    </w:p>
    <w:p>
      <w:pPr>
        <w:pStyle w:val="Style71"/>
        <w:keepNext/>
        <w:keepLines/>
        <w:widowControl w:val="0"/>
        <w:numPr>
          <w:ilvl w:val="0"/>
          <w:numId w:val="101"/>
        </w:numPr>
        <w:shd w:val="clear" w:color="auto" w:fill="auto"/>
        <w:bidi w:val="0"/>
        <w:spacing w:before="0" w:after="380" w:line="240" w:lineRule="auto"/>
        <w:ind w:left="0" w:right="0" w:firstLine="14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未办妥产权证书的土地使用权情况</w:t>
      </w:r>
      <w:bookmarkEnd w:id="1422"/>
      <w:bookmarkEnd w:id="1423"/>
      <w:bookmarkEnd w:id="142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426"/>
      <w:bookmarkEnd w:id="1427"/>
      <w:bookmarkEnd w:id="142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430"/>
      <w:bookmarkEnd w:id="1431"/>
      <w:bookmarkEnd w:id="143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434"/>
      <w:bookmarkEnd w:id="1435"/>
      <w:bookmarkEnd w:id="143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18,517,881.62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625,820.67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5,195,319.99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13,948,382.30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1,199,685.52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113,018.86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830,033.25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19,717,567.14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738,839.53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5,677,991.12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14,778,415.55</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8"/>
      <w:bookmarkEnd w:id="1439"/>
      <w:bookmarkEnd w:id="1441"/>
    </w:p>
    <w:p>
      <w:pPr>
        <w:pStyle w:val="Style71"/>
        <w:keepNext/>
        <w:keepLines/>
        <w:widowControl w:val="0"/>
        <w:numPr>
          <w:ilvl w:val="0"/>
          <w:numId w:val="103"/>
        </w:numPr>
        <w:shd w:val="clear" w:color="auto" w:fill="auto"/>
        <w:bidi w:val="0"/>
        <w:spacing w:before="0" w:after="380" w:line="240" w:lineRule="auto"/>
        <w:ind w:left="0" w:right="0" w:firstLine="14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未经抵销的递延所得税资产</w:t>
      </w:r>
      <w:bookmarkEnd w:id="1442"/>
      <w:bookmarkEnd w:id="1443"/>
      <w:bookmarkEnd w:id="14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112,889,547.93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16,933,432.19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105,150,283.87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15,772,542.58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2,748,289.77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8,100,539.94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545,516.73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1,350,782.31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7,078,074.61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1,061,711.19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18,172,872.79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2,725,930.92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6,967.50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27,468,498.18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4,120,274.73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23,525,566.44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3,528,834.97</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224,288,023.70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33,643,203.56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139,437,153.14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20,915,572.97</w:t>
            </w:r>
          </w:p>
        </w:tc>
      </w:tr>
      <w:tr>
        <w:trPr>
          <w:trHeight w:val="1272" w:hRule="exact"/>
        </w:trPr>
        <w:tc>
          <w:tcPr>
            <w:gridSpan w:val="5"/>
            <w:tcBorders>
              <w:top w:val="single" w:sz="4"/>
            </w:tcBorders>
            <w:shd w:val="clear" w:color="auto" w:fill="FFFFFF"/>
            <w:vAlign w:val="bottom"/>
          </w:tcPr>
          <w:p>
            <w:pPr>
              <w:pStyle w:val="Style27"/>
              <w:keepNext w:val="0"/>
              <w:keepLines w:val="0"/>
              <w:widowControl w:val="0"/>
              <w:shd w:val="clear" w:color="auto" w:fill="auto"/>
              <w:bidi w:val="0"/>
              <w:spacing w:before="0" w:after="380" w:line="240" w:lineRule="auto"/>
              <w:ind w:left="0" w:right="0" w:firstLine="0"/>
              <w:jc w:val="left"/>
              <w:rPr>
                <w:sz w:val="20"/>
                <w:szCs w:val="20"/>
              </w:rPr>
            </w:pPr>
            <w:bookmarkStart w:id="1446" w:name="bookmark144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bookmarkEnd w:id="14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11,556,370.22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11,556,370.22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1"/>
        <w:keepNext/>
        <w:keepLines/>
        <w:widowControl w:val="0"/>
        <w:numPr>
          <w:ilvl w:val="0"/>
          <w:numId w:val="101"/>
        </w:numPr>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以抵销后净额列示的递延所得税资产或负债</w:t>
      </w:r>
      <w:bookmarkEnd w:id="1447"/>
      <w:bookmarkEnd w:id="1448"/>
      <w:bookmarkEnd w:id="145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33,643,203.56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20,915,572.97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1"/>
        <w:keepNext/>
        <w:keepLines/>
        <w:widowControl w:val="0"/>
        <w:numPr>
          <w:ilvl w:val="0"/>
          <w:numId w:val="101"/>
        </w:numPr>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未确认递延所得税资产明细</w:t>
      </w:r>
      <w:bookmarkEnd w:id="1451"/>
      <w:bookmarkEnd w:id="1452"/>
      <w:bookmarkEnd w:id="145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6,075,042.24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9,019,141.71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16,672,187.01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53,602,191.32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22,747,229.25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62,621,333.03</w:t>
            </w:r>
          </w:p>
        </w:tc>
      </w:tr>
    </w:tbl>
    <w:p>
      <w:pPr>
        <w:widowControl w:val="0"/>
        <w:spacing w:after="319" w:line="1" w:lineRule="exact"/>
      </w:pPr>
    </w:p>
    <w:p>
      <w:pPr>
        <w:pStyle w:val="Style71"/>
        <w:keepNext/>
        <w:keepLines/>
        <w:widowControl w:val="0"/>
        <w:numPr>
          <w:ilvl w:val="0"/>
          <w:numId w:val="101"/>
        </w:numPr>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未确认递延所得税资产的可抵扣亏损将于以下年度到期</w:t>
      </w:r>
      <w:bookmarkEnd w:id="1455"/>
      <w:bookmarkEnd w:id="1456"/>
      <w:bookmarkEnd w:id="145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5,241,809.57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3,535,277.51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7,767,551.94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2,803,231.02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8,581,279.97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1,561,489.22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16,665,398.03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4,938,573.63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15,346,151.81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3,833,615.63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16,672,187.01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53,602,191.32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21"/>
          <w:footerReference w:type="default" r:id="rId22"/>
          <w:footnotePr>
            <w:pos w:val="pageBottom"/>
            <w:numFmt w:val="decimal"/>
            <w:numRestart w:val="continuous"/>
          </w:footnotePr>
          <w:pgSz w:w="11900" w:h="16840"/>
          <w:pgMar w:top="1139" w:right="1029" w:bottom="1373" w:left="1003" w:header="0" w:footer="3" w:gutter="0"/>
          <w:cols w:space="720"/>
          <w:noEndnote/>
          <w:rtlGutter w:val="0"/>
          <w:docGrid w:linePitch="360"/>
        </w:sectPr>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9"/>
      <w:bookmarkEnd w:id="1460"/>
      <w:bookmarkEnd w:id="1462"/>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41,711,217.9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4,171,121.79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37,540,096.1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66,741,923.7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6,690,068.37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60,051,855.3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支付山东高速信联支付有限公司股权投 资款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45,359,118.6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45,359,118.6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45,359,118.6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45,359,118.6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87,070,336.6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4,171,121.79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82,899,214.8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112,101,042.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6,690,068.37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105,410,973.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日)差异详见本财务报告附注五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之说明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463"/>
      <w:bookmarkEnd w:id="1464"/>
      <w:bookmarkEnd w:id="146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67"/>
      <w:bookmarkEnd w:id="1468"/>
      <w:bookmarkEnd w:id="147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71"/>
      <w:bookmarkEnd w:id="1472"/>
      <w:bookmarkEnd w:id="147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75"/>
      <w:bookmarkEnd w:id="1476"/>
      <w:bookmarkEnd w:id="147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37,755,564.01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92,244,478.67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585,887,257.45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585,887,257.45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9"/>
      <w:bookmarkEnd w:id="1480"/>
      <w:bookmarkEnd w:id="1482"/>
    </w:p>
    <w:p>
      <w:pPr>
        <w:pStyle w:val="Style71"/>
        <w:keepNext/>
        <w:keepLines/>
        <w:widowControl w:val="0"/>
        <w:numPr>
          <w:ilvl w:val="0"/>
          <w:numId w:val="105"/>
        </w:numPr>
        <w:shd w:val="clear" w:color="auto" w:fill="auto"/>
        <w:bidi w:val="0"/>
        <w:spacing w:before="0" w:after="380" w:line="240" w:lineRule="auto"/>
        <w:ind w:left="0" w:right="0" w:firstLine="14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应付账款列示</w:t>
      </w:r>
      <w:bookmarkEnd w:id="1483"/>
      <w:bookmarkEnd w:id="1484"/>
      <w:bookmarkEnd w:id="1486"/>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127,675,951.61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399,713,571.61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17,996,943.39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22,306,478.57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422,020,050.18</w:t>
            </w:r>
          </w:p>
        </w:tc>
      </w:tr>
    </w:tbl>
    <w:p>
      <w:pPr>
        <w:widowControl w:val="0"/>
        <w:spacing w:after="359" w:line="1" w:lineRule="exact"/>
      </w:pPr>
    </w:p>
    <w:p>
      <w:pPr>
        <w:pStyle w:val="Style71"/>
        <w:keepNext/>
        <w:keepLines/>
        <w:widowControl w:val="0"/>
        <w:numPr>
          <w:ilvl w:val="0"/>
          <w:numId w:val="105"/>
        </w:numPr>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7"/>
      <w:bookmarkEnd w:id="1488"/>
      <w:bookmarkEnd w:id="149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91"/>
      <w:bookmarkEnd w:id="1492"/>
      <w:bookmarkEnd w:id="149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95"/>
      <w:bookmarkEnd w:id="1496"/>
      <w:bookmarkEnd w:id="149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33,350,432.85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607,555,099.16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33,350,432.85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607,555,099.16</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报告期内账面价值发生重大变动的金额和原因</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9"/>
      <w:bookmarkEnd w:id="1500"/>
      <w:bookmarkEnd w:id="1502"/>
    </w:p>
    <w:p>
      <w:pPr>
        <w:pStyle w:val="Style71"/>
        <w:keepNext/>
        <w:keepLines/>
        <w:widowControl w:val="0"/>
        <w:numPr>
          <w:ilvl w:val="0"/>
          <w:numId w:val="107"/>
        </w:numPr>
        <w:shd w:val="clear" w:color="auto" w:fill="auto"/>
        <w:bidi w:val="0"/>
        <w:spacing w:before="0" w:line="240" w:lineRule="auto"/>
        <w:ind w:left="0" w:right="0" w:firstLine="14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应付职工薪酬列示</w:t>
      </w:r>
      <w:bookmarkEnd w:id="1503"/>
      <w:bookmarkEnd w:id="1504"/>
      <w:bookmarkEnd w:id="1506"/>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72,736,852.39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182,596,618.03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221,114,179.23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34,219,291.19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745,765.77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745,765.77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72,736,852.39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183,342,383.80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221,859,945.00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34,219,291.19</w:t>
            </w:r>
          </w:p>
        </w:tc>
      </w:tr>
    </w:tbl>
    <w:p>
      <w:pPr>
        <w:widowControl w:val="0"/>
        <w:spacing w:after="359" w:line="1" w:lineRule="exact"/>
      </w:pPr>
    </w:p>
    <w:p>
      <w:pPr>
        <w:pStyle w:val="Style71"/>
        <w:keepNext/>
        <w:keepLines/>
        <w:widowControl w:val="0"/>
        <w:numPr>
          <w:ilvl w:val="0"/>
          <w:numId w:val="107"/>
        </w:numPr>
        <w:shd w:val="clear" w:color="auto" w:fill="auto"/>
        <w:bidi w:val="0"/>
        <w:spacing w:before="0" w:line="240" w:lineRule="auto"/>
        <w:ind w:left="0" w:right="0" w:firstLine="14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短期薪酬列示</w:t>
      </w:r>
      <w:bookmarkEnd w:id="1507"/>
      <w:bookmarkEnd w:id="1508"/>
      <w:bookmarkEnd w:id="1510"/>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72,736,852.39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160,326,813.43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201,789,310.44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31,274,355.38</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8,420,781.63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8,420,781.63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3,643,885.22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3,643,885.22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3,091,779.94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3,091,779.94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425,719.43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425,719.43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5,878,784.89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5,878,784.89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、辞退福利(一年以内 支付的部分)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4,326,352.86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1,381,417.05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2,944,935.81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72,736,852.39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182,596,618.03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221,114,179.23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34,219,291.19</w:t>
            </w:r>
          </w:p>
        </w:tc>
      </w:tr>
    </w:tbl>
    <w:p>
      <w:pPr>
        <w:widowControl w:val="0"/>
        <w:spacing w:after="319" w:line="1" w:lineRule="exact"/>
      </w:pPr>
    </w:p>
    <w:p>
      <w:pPr>
        <w:pStyle w:val="Style71"/>
        <w:keepNext/>
        <w:keepLines/>
        <w:widowControl w:val="0"/>
        <w:numPr>
          <w:ilvl w:val="0"/>
          <w:numId w:val="107"/>
        </w:numPr>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设定提存计划列示</w:t>
      </w:r>
      <w:bookmarkEnd w:id="1511"/>
      <w:bookmarkEnd w:id="1512"/>
      <w:bookmarkEnd w:id="15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754,862.51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754,862.51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745,765.77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745,765.77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短期薪酬本期减少包含</w:t>
      </w:r>
      <w:r>
        <w:rPr>
          <w:color w:val="000000"/>
          <w:spacing w:val="0"/>
          <w:w w:val="100"/>
          <w:position w:val="0"/>
          <w:sz w:val="17"/>
          <w:szCs w:val="17"/>
        </w:rPr>
        <w:t xml:space="preserve">894, </w:t>
      </w:r>
      <w:r>
        <w:rPr>
          <w:color w:val="000000"/>
          <w:spacing w:val="0"/>
          <w:w w:val="100"/>
          <w:position w:val="0"/>
          <w:sz w:val="17"/>
          <w:szCs w:val="17"/>
        </w:rPr>
        <w:t xml:space="preserve">528. </w:t>
      </w:r>
      <w:r>
        <w:rPr>
          <w:color w:val="000000"/>
          <w:spacing w:val="0"/>
          <w:w w:val="100"/>
          <w:position w:val="0"/>
          <w:sz w:val="17"/>
          <w:szCs w:val="17"/>
        </w:rPr>
        <w:t>57</w:t>
      </w:r>
      <w:r>
        <w:rPr>
          <w:color w:val="000000"/>
          <w:spacing w:val="0"/>
          <w:w w:val="100"/>
          <w:position w:val="0"/>
        </w:rPr>
        <w:t>元处置子公司伟龙金溢产生的转出。</w:t>
      </w:r>
    </w:p>
    <w:p>
      <w:pPr>
        <w:pStyle w:val="Style37"/>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15"/>
      <w:bookmarkEnd w:id="1516"/>
      <w:bookmarkEnd w:id="151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33,958,616.45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131,014,241.18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17,448,206.32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88,144,619.52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813,752.50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715,975.74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1,664,329.55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9,531,796.53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713,284.09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4,085,055.66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475,522.72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2,723,370.42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2,574,404.81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272,441.07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355,875.55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55,346,152.70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239,145,339.41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9"/>
      <w:bookmarkEnd w:id="1520"/>
      <w:bookmarkEnd w:id="152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106,391,995.42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106,391,995.42</w:t>
            </w:r>
          </w:p>
        </w:tc>
      </w:tr>
    </w:tbl>
    <w:p>
      <w:pPr>
        <w:widowControl w:val="0"/>
        <w:spacing w:after="359" w:line="1" w:lineRule="exact"/>
      </w:pPr>
    </w:p>
    <w:p>
      <w:pPr>
        <w:pStyle w:val="Style27"/>
        <w:keepNext w:val="0"/>
        <w:keepLines w:val="0"/>
        <w:widowControl w:val="0"/>
        <w:numPr>
          <w:ilvl w:val="0"/>
          <w:numId w:val="109"/>
        </w:numPr>
        <w:shd w:val="clear" w:color="auto" w:fill="auto"/>
        <w:tabs>
          <w:tab w:pos="493" w:val="left"/>
        </w:tabs>
        <w:bidi w:val="0"/>
        <w:spacing w:before="0" w:after="360" w:line="240" w:lineRule="auto"/>
        <w:ind w:left="0" w:right="0" w:firstLine="0"/>
        <w:jc w:val="left"/>
        <w:rPr>
          <w:sz w:val="20"/>
          <w:szCs w:val="20"/>
        </w:rPr>
      </w:pPr>
      <w:bookmarkStart w:id="1523" w:name="bookmark1523"/>
      <w:bookmarkStart w:id="1524" w:name="bookmark1524"/>
      <w:bookmarkEnd w:id="1523"/>
      <w:r>
        <w:rPr>
          <w:b/>
          <w:bCs/>
          <w:color w:val="000000"/>
          <w:spacing w:val="0"/>
          <w:w w:val="100"/>
          <w:position w:val="0"/>
          <w:sz w:val="20"/>
          <w:szCs w:val="20"/>
        </w:rPr>
        <w:t>应付利息</w:t>
      </w:r>
      <w:bookmarkEnd w:id="152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val="0"/>
        <w:keepLines w:val="0"/>
        <w:widowControl w:val="0"/>
        <w:numPr>
          <w:ilvl w:val="0"/>
          <w:numId w:val="109"/>
        </w:numPr>
        <w:shd w:val="clear" w:color="auto" w:fill="auto"/>
        <w:tabs>
          <w:tab w:pos="493" w:val="left"/>
        </w:tabs>
        <w:bidi w:val="0"/>
        <w:spacing w:before="0" w:after="360" w:line="240" w:lineRule="auto"/>
        <w:ind w:left="0" w:right="0" w:firstLine="0"/>
        <w:jc w:val="left"/>
        <w:rPr>
          <w:sz w:val="20"/>
          <w:szCs w:val="20"/>
        </w:rPr>
      </w:pPr>
      <w:bookmarkStart w:id="1525" w:name="bookmark1525"/>
      <w:bookmarkStart w:id="1526" w:name="bookmark1526"/>
      <w:bookmarkEnd w:id="1525"/>
      <w:r>
        <w:rPr>
          <w:b/>
          <w:bCs/>
          <w:color w:val="000000"/>
          <w:spacing w:val="0"/>
          <w:w w:val="100"/>
          <w:position w:val="0"/>
          <w:sz w:val="20"/>
          <w:szCs w:val="20"/>
        </w:rPr>
        <w:t>应付股利</w:t>
      </w:r>
      <w:bookmarkEnd w:id="152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val="0"/>
        <w:keepLines w:val="0"/>
        <w:widowControl w:val="0"/>
        <w:numPr>
          <w:ilvl w:val="0"/>
          <w:numId w:val="109"/>
        </w:numPr>
        <w:shd w:val="clear" w:color="auto" w:fill="auto"/>
        <w:tabs>
          <w:tab w:pos="493" w:val="left"/>
        </w:tabs>
        <w:bidi w:val="0"/>
        <w:spacing w:before="0" w:after="360" w:line="240" w:lineRule="auto"/>
        <w:ind w:left="0" w:right="0" w:firstLine="0"/>
        <w:jc w:val="left"/>
        <w:rPr>
          <w:sz w:val="20"/>
          <w:szCs w:val="20"/>
        </w:rPr>
      </w:pPr>
      <w:bookmarkStart w:id="1527" w:name="bookmark1527"/>
      <w:bookmarkStart w:id="1528" w:name="bookmark1528"/>
      <w:bookmarkEnd w:id="1527"/>
      <w:r>
        <w:rPr>
          <w:b/>
          <w:bCs/>
          <w:color w:val="000000"/>
          <w:spacing w:val="0"/>
          <w:w w:val="100"/>
          <w:position w:val="0"/>
          <w:sz w:val="20"/>
          <w:szCs w:val="20"/>
        </w:rPr>
        <w:t>其他应付款</w:t>
      </w:r>
      <w:bookmarkEnd w:id="1528"/>
    </w:p>
    <w:p>
      <w:pPr>
        <w:pStyle w:val="Style95"/>
        <w:keepNext/>
        <w:keepLines/>
        <w:widowControl w:val="0"/>
        <w:numPr>
          <w:ilvl w:val="0"/>
          <w:numId w:val="111"/>
        </w:numPr>
        <w:shd w:val="clear" w:color="auto" w:fill="auto"/>
        <w:bidi w:val="0"/>
        <w:spacing w:before="0" w:after="36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按款项性质列示其他应付款</w:t>
      </w:r>
      <w:bookmarkEnd w:id="1529"/>
      <w:bookmarkEnd w:id="1530"/>
      <w:bookmarkEnd w:id="153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16,874,854.21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18,435,091.35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10,522,859.48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4,398,200.83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5,737,476.59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153,356.21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388,820.65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1,750,240.28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947,938.56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28,392,383.30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58,821,004.04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8,099,473.24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16,148,687.56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106,391,995.42</w:t>
            </w:r>
          </w:p>
        </w:tc>
      </w:tr>
    </w:tbl>
    <w:p>
      <w:pPr>
        <w:widowControl w:val="0"/>
        <w:spacing w:after="359" w:line="1" w:lineRule="exact"/>
      </w:pPr>
    </w:p>
    <w:p>
      <w:pPr>
        <w:pStyle w:val="Style95"/>
        <w:keepNext/>
        <w:keepLines/>
        <w:widowControl w:val="0"/>
        <w:numPr>
          <w:ilvl w:val="0"/>
          <w:numId w:val="111"/>
        </w:numPr>
        <w:shd w:val="clear" w:color="auto" w:fill="auto"/>
        <w:bidi w:val="0"/>
        <w:spacing w:before="0" w:after="360" w:line="240" w:lineRule="auto"/>
        <w:ind w:left="0" w:right="0" w:firstLine="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3"/>
      <w:bookmarkEnd w:id="1534"/>
      <w:bookmarkEnd w:id="153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37"/>
      <w:bookmarkEnd w:id="1538"/>
      <w:bookmarkEnd w:id="154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41"/>
      <w:bookmarkEnd w:id="1542"/>
      <w:bookmarkEnd w:id="154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545"/>
      <w:bookmarkEnd w:id="1546"/>
      <w:bookmarkEnd w:id="154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414,085.08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306,056.59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414,085.08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日)差异详见本财务报告附注五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之说明</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549"/>
      <w:bookmarkEnd w:id="1550"/>
      <w:bookmarkEnd w:id="1552"/>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53"/>
      <w:bookmarkEnd w:id="1554"/>
      <w:bookmarkEnd w:id="1556"/>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4</w:t>
      </w:r>
      <w:bookmarkEnd w:id="1559"/>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57"/>
      <w:bookmarkEnd w:id="1558"/>
      <w:bookmarkEnd w:id="1560"/>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61"/>
      <w:bookmarkEnd w:id="1562"/>
      <w:bookmarkEnd w:id="1564"/>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4</w:t>
      </w:r>
      <w:bookmarkEnd w:id="1567"/>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65"/>
      <w:bookmarkEnd w:id="1566"/>
      <w:bookmarkEnd w:id="1568"/>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69"/>
      <w:bookmarkEnd w:id="1570"/>
      <w:bookmarkEnd w:id="1572"/>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5,538,599.61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按照处于质保期产品数量和 单位产品上年实际质保费用 预计</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逾期供货支付违约金、未决诉 讼预计损失</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54,003,599.61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3,636,778.22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其他说明，包括重要预计负债的相关重要假设、估计说明：</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违约赔偿款主要系向山东高速信联支付有限公司（以下简称信联支付）逾期供货产生的违约金</w:t>
      </w:r>
      <w:r>
        <w:rPr>
          <w:rFonts w:ascii="Times New Roman" w:eastAsia="Times New Roman" w:hAnsi="Times New Roman" w:cs="Times New Roman"/>
          <w:color w:val="000000"/>
          <w:spacing w:val="0"/>
          <w:w w:val="100"/>
          <w:position w:val="0"/>
          <w:sz w:val="18"/>
          <w:szCs w:val="18"/>
        </w:rPr>
        <w:t>4,281.50</w:t>
      </w:r>
      <w:r>
        <w:rPr>
          <w:color w:val="000000"/>
          <w:spacing w:val="0"/>
          <w:w w:val="100"/>
          <w:position w:val="0"/>
        </w:rPr>
        <w:t>万元。公司与信 联支付签署了《车载电子标签（</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w:t>
      </w:r>
      <w:r>
        <w:rPr>
          <w:color w:val="000000"/>
          <w:spacing w:val="0"/>
          <w:w w:val="100"/>
          <w:position w:val="0"/>
        </w:rPr>
        <w:t>供货协议》，根据协议约定的供货计划，如公司产品供货时间、供货数量违反协议 约定的，公司将按每片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元乘以未到货数量对信联支付进行赔偿。</w:t>
      </w:r>
    </w:p>
    <w:p>
      <w:pPr>
        <w:pStyle w:val="Style34"/>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日，信联支付与公司就协议履行过程中供货完成情况进行核对，经双方核对确认公司有</w:t>
      </w:r>
      <w:r>
        <w:rPr>
          <w:rFonts w:ascii="Times New Roman" w:eastAsia="Times New Roman" w:hAnsi="Times New Roman" w:cs="Times New Roman"/>
          <w:color w:val="000000"/>
          <w:spacing w:val="0"/>
          <w:w w:val="100"/>
          <w:position w:val="0"/>
          <w:sz w:val="18"/>
          <w:szCs w:val="18"/>
        </w:rPr>
        <w:t>85.63</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的 供货时间晚于原合同约定的时间，公司需向信联承担支付违约金</w:t>
      </w:r>
      <w:r>
        <w:rPr>
          <w:rFonts w:ascii="Times New Roman" w:eastAsia="Times New Roman" w:hAnsi="Times New Roman" w:cs="Times New Roman"/>
          <w:color w:val="000000"/>
          <w:spacing w:val="0"/>
          <w:w w:val="100"/>
          <w:position w:val="0"/>
          <w:sz w:val="18"/>
          <w:szCs w:val="18"/>
        </w:rPr>
        <w:t>4,281.50</w:t>
      </w:r>
      <w:r>
        <w:rPr>
          <w:color w:val="000000"/>
          <w:spacing w:val="0"/>
          <w:w w:val="100"/>
          <w:position w:val="0"/>
        </w:rPr>
        <w:t>万元。</w:t>
      </w:r>
    </w:p>
    <w:p>
      <w:pPr>
        <w:pStyle w:val="Style34"/>
        <w:keepNext w:val="0"/>
        <w:keepLines w:val="0"/>
        <w:widowControl w:val="0"/>
        <w:shd w:val="clear" w:color="auto" w:fill="auto"/>
        <w:bidi w:val="0"/>
        <w:spacing w:before="0" w:after="700" w:line="313"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日，信联支付与公司就原合同设备交付逾期等相关事宜达成《补充协议》。根据《补充协议》约定，双方确 认公司有</w:t>
      </w:r>
      <w:r>
        <w:rPr>
          <w:rFonts w:ascii="Times New Roman" w:eastAsia="Times New Roman" w:hAnsi="Times New Roman" w:cs="Times New Roman"/>
          <w:color w:val="000000"/>
          <w:spacing w:val="0"/>
          <w:w w:val="100"/>
          <w:position w:val="0"/>
          <w:sz w:val="18"/>
          <w:szCs w:val="18"/>
        </w:rPr>
        <w:t>85.63</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OBU</w:t>
      </w:r>
      <w:r>
        <w:rPr>
          <w:color w:val="000000"/>
          <w:spacing w:val="0"/>
          <w:w w:val="100"/>
          <w:position w:val="0"/>
        </w:rPr>
        <w:t>的供货时间晚于协议约定时间，公司需向信联支付承担违约金</w:t>
      </w:r>
      <w:r>
        <w:rPr>
          <w:rFonts w:ascii="Times New Roman" w:eastAsia="Times New Roman" w:hAnsi="Times New Roman" w:cs="Times New Roman"/>
          <w:color w:val="000000"/>
          <w:spacing w:val="0"/>
          <w:w w:val="100"/>
          <w:position w:val="0"/>
          <w:sz w:val="18"/>
          <w:szCs w:val="18"/>
        </w:rPr>
        <w:t>4,281.50</w:t>
      </w:r>
      <w:r>
        <w:rPr>
          <w:color w:val="000000"/>
          <w:spacing w:val="0"/>
          <w:w w:val="100"/>
          <w:position w:val="0"/>
        </w:rPr>
        <w:t>万元。</w:t>
      </w:r>
    </w:p>
    <w:p>
      <w:pPr>
        <w:pStyle w:val="Style37"/>
        <w:keepNext/>
        <w:keepLines/>
        <w:widowControl w:val="0"/>
        <w:shd w:val="clear" w:color="auto" w:fill="auto"/>
        <w:bidi w:val="0"/>
        <w:spacing w:before="0" w:after="380" w:line="240" w:lineRule="auto"/>
        <w:ind w:left="0" w:right="0" w:firstLine="0"/>
        <w:jc w:val="both"/>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5</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73"/>
      <w:bookmarkEnd w:id="1574"/>
      <w:bookmarkEnd w:id="157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13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8,271,274.61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3,600,601.90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2,866,661.09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与资产相关的补助 以及对应费用尚未 发生的与收益相关 的补助</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8,271,274.61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3,600,601.90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2,866,661.09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9,005,215.42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城市综合停 车收费管理 与信息服务 应用示范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34,804.33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13,938.18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20,866.15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 xml:space="preserve">DSRC </w:t>
            </w:r>
            <w:r>
              <w:rPr>
                <w:color w:val="000000"/>
                <w:spacing w:val="0"/>
                <w:w w:val="100"/>
                <w:position w:val="0"/>
              </w:rPr>
              <w:t>的智能交通 车联网多功 能车载智能 终端研发及 示范应用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112,393.85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面向城市智 慧交通物联 网应用的</w:t>
            </w:r>
          </w:p>
          <w:p>
            <w:pPr>
              <w:pStyle w:val="Style2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设备 研发及产业 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1,023,521.14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443,850.90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579,670.24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面向智慧交 通的车联网 高安全性内 容保障技术 研究与核心 产品研发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深圳市智慧 交通车联网 工程技术研 究开发中心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83,023.04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83,023.04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应用于联网 收费公路的 </w:t>
            </w:r>
            <w:r>
              <w:rPr>
                <w:rFonts w:ascii="Times New Roman" w:eastAsia="Times New Roman" w:hAnsi="Times New Roman" w:cs="Times New Roman"/>
                <w:color w:val="000000"/>
                <w:spacing w:val="0"/>
                <w:w w:val="100"/>
                <w:position w:val="0"/>
                <w:sz w:val="18"/>
                <w:szCs w:val="18"/>
              </w:rPr>
              <w:t>5.8G</w:t>
            </w:r>
            <w:r>
              <w:rPr>
                <w:color w:val="000000"/>
                <w:spacing w:val="0"/>
                <w:w w:val="100"/>
                <w:position w:val="0"/>
              </w:rPr>
              <w:t>多义性 路径识别系 统的研发及 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272,307.71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RFID</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电子车牌的 系统实现核 心设备技术 研发及城市 级应用示范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311,851.78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87,452.95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224,398.83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应急指挥与 协调决策支 持系统开发 与示范应用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225,201.90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19,889.36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515,312.54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新兴交通形 态应用边界 与协同管控 模式研究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210,400.00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新型车联网</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通信技术工</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程研究中心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1,990,133.33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171,294.54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1,818,838.79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深圳市金溢 科技股份有 限公司工业 设计中心认 定和扶持计 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85,874.06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1,414,125.94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无人车网联</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关键技术研</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究及应用验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电子不停车 收费技术</w:t>
            </w:r>
          </w:p>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 准在东南亚 地区应用研 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应用于联网 收费公路的 </w:t>
            </w:r>
            <w:r>
              <w:rPr>
                <w:rFonts w:ascii="Times New Roman" w:eastAsia="Times New Roman" w:hAnsi="Times New Roman" w:cs="Times New Roman"/>
                <w:color w:val="000000"/>
                <w:spacing w:val="0"/>
                <w:w w:val="100"/>
                <w:position w:val="0"/>
                <w:sz w:val="18"/>
                <w:szCs w:val="18"/>
              </w:rPr>
              <w:t>5.8G</w:t>
            </w:r>
            <w:r>
              <w:rPr>
                <w:color w:val="000000"/>
                <w:spacing w:val="0"/>
                <w:w w:val="100"/>
                <w:position w:val="0"/>
              </w:rPr>
              <w:t>多义性 路径识别系 统的研发及 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复杂环境下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城市智能交 通系统构建 技术系统集 成与工程示 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智能车路协 同自动化测 试关键技术 研究与应用 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应急指挥与 协调决策支 持系统开发 与示范应用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80,598.10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80,598.10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车路协同</w:t>
            </w:r>
          </w:p>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V2X </w:t>
            </w:r>
            <w:r>
              <w:rPr>
                <w:color w:val="000000"/>
                <w:spacing w:val="0"/>
                <w:w w:val="100"/>
                <w:position w:val="0"/>
              </w:rPr>
              <w:t>）标 准体系研究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新兴交通形 态应用边界 与协同管控 模式研究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3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应用于联网 收费公路的 </w:t>
            </w:r>
            <w:r>
              <w:rPr>
                <w:rFonts w:ascii="Times New Roman" w:eastAsia="Times New Roman" w:hAnsi="Times New Roman" w:cs="Times New Roman"/>
                <w:color w:val="000000"/>
                <w:spacing w:val="0"/>
                <w:w w:val="100"/>
                <w:position w:val="0"/>
                <w:sz w:val="18"/>
                <w:szCs w:val="18"/>
              </w:rPr>
              <w:t>5.8G</w:t>
            </w:r>
            <w:r>
              <w:rPr>
                <w:color w:val="000000"/>
                <w:spacing w:val="0"/>
                <w:w w:val="100"/>
                <w:position w:val="0"/>
              </w:rPr>
              <w:t>多义性 路径识别系 统的研发及 产业化（配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套项目）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无人车网联 关键技术研 究及应用验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深圳市金溢 科技股份有 限公司工业 设计中心认 定和扶持计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智能网联汽 车超视距全 局感知融合 方法及关键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598,391.67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安全信息资 源集中式监 控系统研发 与产业化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基于热舒适 的可度量空 调节能监控 系统研发及 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智慧城市综 合停车信息 云平台与解 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股权处置减 少</w:t>
            </w:r>
          </w:p>
        </w:tc>
      </w:tr>
      <w:tr>
        <w:trPr>
          <w:trHeight w:val="134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智慧城市综 合停车信息 云平台与解 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股权处置减 少</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700" w:line="240" w:lineRule="auto"/>
        <w:ind w:left="0" w:right="0" w:firstLine="360"/>
        <w:jc w:val="left"/>
      </w:pPr>
      <w:r>
        <w:rPr>
          <w:color w:val="000000"/>
          <w:spacing w:val="0"/>
          <w:w w:val="100"/>
          <w:position w:val="0"/>
        </w:rPr>
        <w:t>［注］减少</w:t>
      </w:r>
      <w:r>
        <w:rPr>
          <w:color w:val="000000"/>
          <w:spacing w:val="0"/>
          <w:w w:val="100"/>
          <w:position w:val="0"/>
          <w:sz w:val="17"/>
          <w:szCs w:val="17"/>
        </w:rPr>
        <w:t xml:space="preserve">800, </w:t>
      </w:r>
      <w:r>
        <w:rPr>
          <w:color w:val="000000"/>
          <w:spacing w:val="0"/>
          <w:w w:val="100"/>
          <w:position w:val="0"/>
          <w:sz w:val="17"/>
          <w:szCs w:val="17"/>
        </w:rPr>
        <w:t xml:space="preserve">000. </w:t>
      </w:r>
      <w:r>
        <w:rPr>
          <w:color w:val="000000"/>
          <w:spacing w:val="0"/>
          <w:w w:val="100"/>
          <w:position w:val="0"/>
          <w:sz w:val="17"/>
          <w:szCs w:val="17"/>
        </w:rPr>
        <w:t>00</w:t>
      </w:r>
      <w:r>
        <w:rPr>
          <w:color w:val="000000"/>
          <w:spacing w:val="0"/>
          <w:w w:val="100"/>
          <w:position w:val="0"/>
        </w:rPr>
        <w:t>元系本期处置子公司伟龙金溢递延收益转出所致。</w:t>
      </w:r>
    </w:p>
    <w:p>
      <w:pPr>
        <w:pStyle w:val="Style37"/>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5</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77"/>
      <w:bookmarkEnd w:id="1578"/>
      <w:bookmarkEnd w:id="1580"/>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both"/>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81"/>
      <w:bookmarkEnd w:id="1582"/>
      <w:bookmarkEnd w:id="158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120,518,161.00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60,259,080.00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60,117,936.00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180,636,097.00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tabs>
          <w:tab w:pos="746" w:val="left"/>
        </w:tabs>
        <w:bidi w:val="0"/>
        <w:spacing w:before="0" w:after="0" w:line="313" w:lineRule="exact"/>
        <w:ind w:left="0" w:right="0" w:firstLine="320"/>
        <w:jc w:val="both"/>
      </w:pPr>
      <w:bookmarkStart w:id="1584" w:name="bookmark1584"/>
      <w:r>
        <w:rPr>
          <w:color w:val="000000"/>
          <w:spacing w:val="0"/>
          <w:w w:val="100"/>
          <w:position w:val="0"/>
        </w:rPr>
        <w:t>（</w:t>
      </w:r>
      <w:bookmarkEnd w:id="158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本期增加系公积金转股</w:t>
      </w:r>
      <w:r>
        <w:rPr>
          <w:rFonts w:ascii="Times New Roman" w:eastAsia="Times New Roman" w:hAnsi="Times New Roman" w:cs="Times New Roman"/>
          <w:color w:val="000000"/>
          <w:spacing w:val="0"/>
          <w:w w:val="100"/>
          <w:position w:val="0"/>
          <w:sz w:val="18"/>
          <w:szCs w:val="18"/>
        </w:rPr>
        <w:t>60,259,080</w:t>
      </w:r>
      <w:r>
        <w:rPr>
          <w:color w:val="000000"/>
          <w:spacing w:val="0"/>
          <w:w w:val="100"/>
          <w:position w:val="0"/>
        </w:rPr>
        <w:t>股。根据公司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年度股东大会决议的规定，公司申请新增的注册资本为人民币</w:t>
      </w:r>
    </w:p>
    <w:p>
      <w:pPr>
        <w:pStyle w:val="Style34"/>
        <w:keepNext w:val="0"/>
        <w:keepLines w:val="0"/>
        <w:widowControl w:val="0"/>
        <w:shd w:val="clear" w:color="auto" w:fill="auto"/>
        <w:tabs>
          <w:tab w:pos="4285" w:val="left"/>
        </w:tabs>
        <w:bidi w:val="0"/>
        <w:spacing w:before="0" w:after="0" w:line="313" w:lineRule="exact"/>
        <w:ind w:left="0" w:right="0" w:firstLine="0"/>
        <w:jc w:val="both"/>
      </w:pPr>
      <w:bookmarkStart w:id="1585" w:name="bookmark1585"/>
      <w:r>
        <w:rPr>
          <w:rFonts w:ascii="Times New Roman" w:eastAsia="Times New Roman" w:hAnsi="Times New Roman" w:cs="Times New Roman"/>
          <w:color w:val="000000"/>
          <w:spacing w:val="0"/>
          <w:w w:val="100"/>
          <w:position w:val="0"/>
          <w:sz w:val="18"/>
          <w:szCs w:val="18"/>
        </w:rPr>
        <w:t>6</w:t>
      </w:r>
      <w:bookmarkEnd w:id="1585"/>
      <w:r>
        <w:rPr>
          <w:rFonts w:ascii="Times New Roman" w:eastAsia="Times New Roman" w:hAnsi="Times New Roman" w:cs="Times New Roman"/>
          <w:color w:val="000000"/>
          <w:spacing w:val="0"/>
          <w:w w:val="100"/>
          <w:position w:val="0"/>
          <w:sz w:val="18"/>
          <w:szCs w:val="18"/>
        </w:rPr>
        <w:t>0,259,080.00</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日总股份</w:t>
      </w:r>
      <w:r>
        <w:rPr>
          <w:rFonts w:ascii="Times New Roman" w:eastAsia="Times New Roman" w:hAnsi="Times New Roman" w:cs="Times New Roman"/>
          <w:color w:val="000000"/>
          <w:spacing w:val="0"/>
          <w:w w:val="100"/>
          <w:position w:val="0"/>
          <w:sz w:val="18"/>
          <w:szCs w:val="18"/>
        </w:rPr>
        <w:t>120,518,161</w:t>
      </w:r>
      <w:r>
        <w:rPr>
          <w:color w:val="000000"/>
          <w:spacing w:val="0"/>
          <w:w w:val="100"/>
          <w:position w:val="0"/>
        </w:rPr>
        <w:t>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股的比例，以资本公积</w:t>
      </w:r>
      <w:r>
        <w:rPr>
          <w:rFonts w:ascii="Times New Roman" w:eastAsia="Times New Roman" w:hAnsi="Times New Roman" w:cs="Times New Roman"/>
          <w:color w:val="000000"/>
          <w:spacing w:val="0"/>
          <w:w w:val="100"/>
          <w:position w:val="0"/>
          <w:sz w:val="18"/>
          <w:szCs w:val="18"/>
        </w:rPr>
        <w:t>60,259,080.00</w:t>
      </w:r>
      <w:r>
        <w:rPr>
          <w:color w:val="000000"/>
          <w:spacing w:val="0"/>
          <w:w w:val="100"/>
          <w:position w:val="0"/>
        </w:rPr>
        <w:t>元向全体 出资者转增股份总额</w:t>
      </w:r>
      <w:r>
        <w:rPr>
          <w:rFonts w:ascii="Times New Roman" w:eastAsia="Times New Roman" w:hAnsi="Times New Roman" w:cs="Times New Roman"/>
          <w:color w:val="000000"/>
          <w:spacing w:val="0"/>
          <w:w w:val="100"/>
          <w:position w:val="0"/>
          <w:sz w:val="18"/>
          <w:szCs w:val="18"/>
        </w:rPr>
        <w:t>60,259,080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元，增加实收股本</w:t>
      </w:r>
      <w:r>
        <w:rPr>
          <w:rFonts w:ascii="Times New Roman" w:eastAsia="Times New Roman" w:hAnsi="Times New Roman" w:cs="Times New Roman"/>
          <w:color w:val="000000"/>
          <w:spacing w:val="0"/>
          <w:w w:val="100"/>
          <w:position w:val="0"/>
          <w:sz w:val="18"/>
          <w:szCs w:val="18"/>
        </w:rPr>
        <w:t>60,259,080.00</w:t>
      </w:r>
      <w:r>
        <w:rPr>
          <w:color w:val="000000"/>
          <w:spacing w:val="0"/>
          <w:w w:val="100"/>
          <w:position w:val="0"/>
        </w:rPr>
        <w:t>元。本次增资业经天健会计师事务所（特殊普 通合伙）审验，并出具《验资报告》</w:t>
      </w:r>
      <w:r>
        <w:rPr>
          <w:color w:val="000000"/>
          <w:spacing w:val="0"/>
          <w:w w:val="100"/>
          <w:position w:val="0"/>
          <w:sz w:val="18"/>
          <w:szCs w:val="18"/>
        </w:rPr>
        <w:t>（</w:t>
      </w:r>
      <w:r>
        <w:rPr>
          <w:color w:val="000000"/>
          <w:spacing w:val="0"/>
          <w:w w:val="100"/>
          <w:position w:val="0"/>
        </w:rPr>
        <w:t>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3-64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tabs>
          <w:tab w:pos="824" w:val="left"/>
        </w:tabs>
        <w:bidi w:val="0"/>
        <w:spacing w:before="0" w:after="0" w:line="313" w:lineRule="exact"/>
        <w:ind w:left="0" w:right="0" w:firstLine="320"/>
        <w:jc w:val="both"/>
      </w:pPr>
      <w:bookmarkStart w:id="1586" w:name="bookmark1586"/>
      <w:r>
        <w:rPr>
          <w:color w:val="000000"/>
          <w:spacing w:val="0"/>
          <w:w w:val="100"/>
          <w:position w:val="0"/>
        </w:rPr>
        <w:t>（</w:t>
      </w:r>
      <w:bookmarkEnd w:id="158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本期减少系公司回购未达到解锁条件的限制性股票</w:t>
      </w:r>
      <w:r>
        <w:rPr>
          <w:rFonts w:ascii="Times New Roman" w:eastAsia="Times New Roman" w:hAnsi="Times New Roman" w:cs="Times New Roman"/>
          <w:color w:val="000000"/>
          <w:spacing w:val="0"/>
          <w:w w:val="100"/>
          <w:position w:val="0"/>
          <w:sz w:val="18"/>
          <w:szCs w:val="18"/>
        </w:rPr>
        <w:t>141,144</w:t>
      </w:r>
      <w:r>
        <w:rPr>
          <w:color w:val="000000"/>
          <w:spacing w:val="0"/>
          <w:w w:val="100"/>
          <w:position w:val="0"/>
        </w:rPr>
        <w:t>股。根据公司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年第三次临时股东大会决议、第三届董 事会第六次会议决议和修改后章程规定，决定对公司《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年限制性股票激励计划（草案）》已授予的限制性股票因未达到 解锁条件的限制性股票进行回购。公司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年限制性股票激励计划原激励对象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人已离职，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人已不属于公司或公司控股子公 司员工，上述</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名人员已不符合激励条件，公司将上述</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人持有的已获授但尚未解除限售的</w:t>
      </w:r>
      <w:r>
        <w:rPr>
          <w:rFonts w:ascii="Times New Roman" w:eastAsia="Times New Roman" w:hAnsi="Times New Roman" w:cs="Times New Roman"/>
          <w:color w:val="000000"/>
          <w:spacing w:val="0"/>
          <w:w w:val="100"/>
          <w:position w:val="0"/>
          <w:sz w:val="18"/>
          <w:szCs w:val="18"/>
        </w:rPr>
        <w:t>141,144</w:t>
      </w:r>
      <w:r>
        <w:rPr>
          <w:color w:val="000000"/>
          <w:spacing w:val="0"/>
          <w:w w:val="100"/>
          <w:position w:val="0"/>
        </w:rPr>
        <w:t>股限制性股票进行回购 注销，所对应减少的股本溢价</w:t>
      </w:r>
      <w:r>
        <w:rPr>
          <w:rFonts w:ascii="Times New Roman" w:eastAsia="Times New Roman" w:hAnsi="Times New Roman" w:cs="Times New Roman"/>
          <w:color w:val="000000"/>
          <w:spacing w:val="0"/>
          <w:w w:val="100"/>
          <w:position w:val="0"/>
          <w:sz w:val="18"/>
          <w:szCs w:val="18"/>
        </w:rPr>
        <w:t>1,895,093.44</w:t>
      </w:r>
      <w:r>
        <w:rPr>
          <w:color w:val="000000"/>
          <w:spacing w:val="0"/>
          <w:w w:val="100"/>
          <w:position w:val="0"/>
        </w:rPr>
        <w:t>元，冲回回购义务的限制性股票</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,036,237.44</w:t>
      </w:r>
      <w:r>
        <w:rPr>
          <w:color w:val="000000"/>
          <w:spacing w:val="0"/>
          <w:w w:val="100"/>
          <w:position w:val="0"/>
        </w:rPr>
        <w:t>元。本次减资业经天健会计师事务所</w:t>
      </w:r>
    </w:p>
    <w:p>
      <w:pPr>
        <w:pStyle w:val="Style34"/>
        <w:keepNext w:val="0"/>
        <w:keepLines w:val="0"/>
        <w:widowControl w:val="0"/>
        <w:shd w:val="clear" w:color="auto" w:fill="auto"/>
        <w:bidi w:val="0"/>
        <w:spacing w:before="0" w:after="680" w:line="313" w:lineRule="exact"/>
        <w:ind w:left="0" w:right="0" w:firstLine="0"/>
        <w:jc w:val="both"/>
      </w:pPr>
      <w:r>
        <w:rPr>
          <w:color w:val="000000"/>
          <w:spacing w:val="0"/>
          <w:w w:val="100"/>
          <w:position w:val="0"/>
        </w:rPr>
        <w:t>（特殊普通合伙）审验，并出具《验资报告》</w:t>
      </w:r>
      <w:r>
        <w:rPr>
          <w:color w:val="000000"/>
          <w:spacing w:val="0"/>
          <w:w w:val="100"/>
          <w:position w:val="0"/>
          <w:sz w:val="18"/>
          <w:szCs w:val="18"/>
        </w:rPr>
        <w:t>（</w:t>
      </w:r>
      <w:r>
        <w:rPr>
          <w:color w:val="000000"/>
          <w:spacing w:val="0"/>
          <w:w w:val="100"/>
          <w:position w:val="0"/>
        </w:rPr>
        <w:t>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507" w:val="left"/>
        </w:tabs>
        <w:bidi w:val="0"/>
        <w:spacing w:before="0" w:after="38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87"/>
      <w:bookmarkEnd w:id="1588"/>
      <w:bookmarkEnd w:id="1590"/>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507" w:val="left"/>
        </w:tabs>
        <w:bidi w:val="0"/>
        <w:spacing w:before="0" w:after="380" w:line="240" w:lineRule="auto"/>
        <w:ind w:left="0" w:right="0" w:firstLine="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91"/>
      <w:bookmarkEnd w:id="1592"/>
      <w:bookmarkEnd w:id="1594"/>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686,256,725.86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55,633,290.87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64,263,666.79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677,626,349.94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25,508,011.18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63,672,336.74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55,633,290.87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33,547,057.05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711,764,737.04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119,305,627.61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119,896,957.66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711,173,406.99</w:t>
            </w:r>
          </w:p>
        </w:tc>
      </w:tr>
    </w:tbl>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其他说明，包括本期增减变动情况、变动原因说明：</w:t>
      </w:r>
    </w:p>
    <w:p>
      <w:pPr>
        <w:pStyle w:val="Style34"/>
        <w:keepNext w:val="0"/>
        <w:keepLines w:val="0"/>
        <w:widowControl w:val="0"/>
        <w:shd w:val="clear" w:color="auto" w:fill="auto"/>
        <w:tabs>
          <w:tab w:pos="825" w:val="left"/>
        </w:tabs>
        <w:bidi w:val="0"/>
        <w:spacing w:before="0" w:after="0" w:line="307" w:lineRule="exact"/>
        <w:ind w:left="0" w:right="0"/>
        <w:jc w:val="both"/>
      </w:pPr>
      <w:bookmarkStart w:id="1595" w:name="bookmark1595"/>
      <w:r>
        <w:rPr>
          <w:color w:val="000000"/>
          <w:spacing w:val="0"/>
          <w:w w:val="100"/>
          <w:position w:val="0"/>
          <w:sz w:val="17"/>
          <w:szCs w:val="17"/>
        </w:rPr>
        <w:t>（</w:t>
      </w:r>
      <w:bookmarkEnd w:id="1595"/>
      <w:r>
        <w:rPr>
          <w:color w:val="000000"/>
          <w:spacing w:val="0"/>
          <w:w w:val="100"/>
          <w:position w:val="0"/>
          <w:sz w:val="17"/>
          <w:szCs w:val="17"/>
        </w:rPr>
        <w:t>1）</w:t>
        <w:tab/>
      </w:r>
      <w:r>
        <w:rPr>
          <w:color w:val="000000"/>
          <w:spacing w:val="0"/>
          <w:w w:val="100"/>
          <w:position w:val="0"/>
        </w:rPr>
        <w:t>股本溢价</w:t>
      </w:r>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本期增加</w:t>
      </w:r>
      <w:r>
        <w:rPr>
          <w:color w:val="000000"/>
          <w:spacing w:val="0"/>
          <w:w w:val="100"/>
          <w:position w:val="0"/>
          <w:sz w:val="17"/>
          <w:szCs w:val="17"/>
        </w:rPr>
        <w:t xml:space="preserve">55, 633, </w:t>
      </w:r>
      <w:r>
        <w:rPr>
          <w:color w:val="000000"/>
          <w:spacing w:val="0"/>
          <w:w w:val="100"/>
          <w:position w:val="0"/>
          <w:sz w:val="17"/>
          <w:szCs w:val="17"/>
        </w:rPr>
        <w:t xml:space="preserve">290. </w:t>
      </w:r>
      <w:r>
        <w:rPr>
          <w:color w:val="000000"/>
          <w:spacing w:val="0"/>
          <w:w w:val="100"/>
          <w:position w:val="0"/>
          <w:sz w:val="17"/>
          <w:szCs w:val="17"/>
        </w:rPr>
        <w:t>87</w:t>
      </w:r>
      <w:r>
        <w:rPr>
          <w:color w:val="000000"/>
          <w:spacing w:val="0"/>
          <w:w w:val="100"/>
          <w:position w:val="0"/>
        </w:rPr>
        <w:t>元系限制性股票解锁所致。</w:t>
      </w:r>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本期减少系①资本公积转增股本减少</w:t>
      </w:r>
      <w:r>
        <w:rPr>
          <w:color w:val="000000"/>
          <w:spacing w:val="0"/>
          <w:w w:val="100"/>
          <w:position w:val="0"/>
          <w:sz w:val="17"/>
          <w:szCs w:val="17"/>
        </w:rPr>
        <w:t xml:space="preserve">60, 259, </w:t>
      </w:r>
      <w:r>
        <w:rPr>
          <w:color w:val="000000"/>
          <w:spacing w:val="0"/>
          <w:w w:val="100"/>
          <w:position w:val="0"/>
          <w:sz w:val="17"/>
          <w:szCs w:val="17"/>
        </w:rPr>
        <w:t xml:space="preserve">080. </w:t>
      </w:r>
      <w:r>
        <w:rPr>
          <w:color w:val="000000"/>
          <w:spacing w:val="0"/>
          <w:w w:val="100"/>
          <w:position w:val="0"/>
          <w:sz w:val="17"/>
          <w:szCs w:val="17"/>
        </w:rPr>
        <w:t>00</w:t>
      </w:r>
      <w:r>
        <w:rPr>
          <w:color w:val="000000"/>
          <w:spacing w:val="0"/>
          <w:w w:val="100"/>
          <w:position w:val="0"/>
        </w:rPr>
        <w:t>元；②回购注销限制性股票减少</w:t>
      </w:r>
      <w:r>
        <w:rPr>
          <w:color w:val="000000"/>
          <w:spacing w:val="0"/>
          <w:w w:val="100"/>
          <w:position w:val="0"/>
          <w:sz w:val="17"/>
          <w:szCs w:val="17"/>
        </w:rPr>
        <w:t xml:space="preserve">1, 895, </w:t>
      </w:r>
      <w:r>
        <w:rPr>
          <w:color w:val="000000"/>
          <w:spacing w:val="0"/>
          <w:w w:val="100"/>
          <w:position w:val="0"/>
          <w:sz w:val="17"/>
          <w:szCs w:val="17"/>
        </w:rPr>
        <w:t xml:space="preserve">093. </w:t>
      </w:r>
      <w:r>
        <w:rPr>
          <w:color w:val="000000"/>
          <w:spacing w:val="0"/>
          <w:w w:val="100"/>
          <w:position w:val="0"/>
          <w:sz w:val="17"/>
          <w:szCs w:val="17"/>
        </w:rPr>
        <w:t>44</w:t>
      </w:r>
      <w:r>
        <w:rPr>
          <w:color w:val="000000"/>
          <w:spacing w:val="0"/>
          <w:w w:val="100"/>
          <w:position w:val="0"/>
        </w:rPr>
        <w:t>元；</w:t>
      </w:r>
      <w:r>
        <w:rPr>
          <w:color w:val="000000"/>
          <w:spacing w:val="0"/>
          <w:w w:val="100"/>
          <w:position w:val="0"/>
          <w:sz w:val="17"/>
          <w:szCs w:val="17"/>
        </w:rPr>
        <w:t>③</w:t>
      </w:r>
      <w:r>
        <w:rPr>
          <w:color w:val="000000"/>
          <w:spacing w:val="0"/>
          <w:w w:val="100"/>
          <w:position w:val="0"/>
        </w:rPr>
        <w:t>处置子公司伟 龙金溢减少</w:t>
      </w:r>
      <w:r>
        <w:rPr>
          <w:color w:val="000000"/>
          <w:spacing w:val="0"/>
          <w:w w:val="100"/>
          <w:position w:val="0"/>
          <w:sz w:val="17"/>
          <w:szCs w:val="17"/>
        </w:rPr>
        <w:t xml:space="preserve">2, 109, </w:t>
      </w:r>
      <w:r>
        <w:rPr>
          <w:color w:val="000000"/>
          <w:spacing w:val="0"/>
          <w:w w:val="100"/>
          <w:position w:val="0"/>
          <w:sz w:val="17"/>
          <w:szCs w:val="17"/>
        </w:rPr>
        <w:t xml:space="preserve">493. </w:t>
      </w:r>
      <w:r>
        <w:rPr>
          <w:color w:val="000000"/>
          <w:spacing w:val="0"/>
          <w:w w:val="100"/>
          <w:position w:val="0"/>
          <w:sz w:val="17"/>
          <w:szCs w:val="17"/>
        </w:rPr>
        <w:t>35</w:t>
      </w:r>
      <w:r>
        <w:rPr>
          <w:color w:val="000000"/>
          <w:spacing w:val="0"/>
          <w:w w:val="100"/>
          <w:position w:val="0"/>
        </w:rPr>
        <w:t>元;合计减少</w:t>
      </w:r>
      <w:r>
        <w:rPr>
          <w:color w:val="000000"/>
          <w:spacing w:val="0"/>
          <w:w w:val="100"/>
          <w:position w:val="0"/>
          <w:sz w:val="17"/>
          <w:szCs w:val="17"/>
        </w:rPr>
        <w:t xml:space="preserve">64, 263, </w:t>
      </w:r>
      <w:r>
        <w:rPr>
          <w:color w:val="000000"/>
          <w:spacing w:val="0"/>
          <w:w w:val="100"/>
          <w:position w:val="0"/>
          <w:sz w:val="17"/>
          <w:szCs w:val="17"/>
        </w:rPr>
        <w:t xml:space="preserve">666. </w:t>
      </w:r>
      <w:r>
        <w:rPr>
          <w:color w:val="000000"/>
          <w:spacing w:val="0"/>
          <w:w w:val="100"/>
          <w:position w:val="0"/>
          <w:sz w:val="17"/>
          <w:szCs w:val="17"/>
        </w:rPr>
        <w:t>79</w:t>
      </w:r>
      <w:r>
        <w:rPr>
          <w:color w:val="000000"/>
          <w:spacing w:val="0"/>
          <w:w w:val="100"/>
          <w:position w:val="0"/>
        </w:rPr>
        <w:t>元。</w:t>
      </w:r>
    </w:p>
    <w:p>
      <w:pPr>
        <w:pStyle w:val="Style34"/>
        <w:keepNext w:val="0"/>
        <w:keepLines w:val="0"/>
        <w:widowControl w:val="0"/>
        <w:shd w:val="clear" w:color="auto" w:fill="auto"/>
        <w:tabs>
          <w:tab w:pos="825" w:val="left"/>
        </w:tabs>
        <w:bidi w:val="0"/>
        <w:spacing w:before="0" w:after="0" w:line="307" w:lineRule="exact"/>
        <w:ind w:left="0" w:right="0"/>
        <w:jc w:val="both"/>
      </w:pPr>
      <w:bookmarkStart w:id="1596" w:name="bookmark1596"/>
      <w:r>
        <w:rPr>
          <w:color w:val="000000"/>
          <w:spacing w:val="0"/>
          <w:w w:val="100"/>
          <w:position w:val="0"/>
        </w:rPr>
        <w:t>（</w:t>
      </w:r>
      <w:bookmarkEnd w:id="15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其他资本公积</w:t>
      </w:r>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本期增加系在等待期内的每个资产负债表日</w:t>
      </w:r>
      <w:r>
        <w:rPr>
          <w:color w:val="000000"/>
          <w:spacing w:val="0"/>
          <w:w w:val="100"/>
          <w:position w:val="0"/>
          <w:sz w:val="18"/>
          <w:szCs w:val="18"/>
        </w:rPr>
        <w:t>，</w:t>
      </w:r>
      <w:r>
        <w:rPr>
          <w:color w:val="000000"/>
          <w:spacing w:val="0"/>
          <w:w w:val="100"/>
          <w:position w:val="0"/>
        </w:rPr>
        <w:t>以对可行权权益工具数量的最佳估计为基础</w:t>
      </w:r>
      <w:r>
        <w:rPr>
          <w:color w:val="000000"/>
          <w:spacing w:val="0"/>
          <w:w w:val="100"/>
          <w:position w:val="0"/>
          <w:sz w:val="18"/>
          <w:szCs w:val="18"/>
        </w:rPr>
        <w:t>，</w:t>
      </w:r>
      <w:r>
        <w:rPr>
          <w:color w:val="000000"/>
          <w:spacing w:val="0"/>
          <w:w w:val="100"/>
          <w:position w:val="0"/>
        </w:rPr>
        <w:t>按照权益工具在授予日的公允 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将当期取得的服务计入其他资本公积的股份支付费用为</w:t>
      </w:r>
      <w:r>
        <w:rPr>
          <w:rFonts w:ascii="Times New Roman" w:eastAsia="Times New Roman" w:hAnsi="Times New Roman" w:cs="Times New Roman"/>
          <w:color w:val="000000"/>
          <w:spacing w:val="0"/>
          <w:w w:val="100"/>
          <w:position w:val="0"/>
          <w:sz w:val="18"/>
          <w:szCs w:val="18"/>
        </w:rPr>
        <w:t>63,672,336.74</w:t>
      </w:r>
      <w:r>
        <w:rPr>
          <w:color w:val="000000"/>
          <w:spacing w:val="0"/>
          <w:w w:val="100"/>
          <w:position w:val="0"/>
        </w:rPr>
        <w:t>元。</w:t>
      </w:r>
    </w:p>
    <w:p>
      <w:pPr>
        <w:pStyle w:val="Style34"/>
        <w:keepNext w:val="0"/>
        <w:keepLines w:val="0"/>
        <w:widowControl w:val="0"/>
        <w:shd w:val="clear" w:color="auto" w:fill="auto"/>
        <w:bidi w:val="0"/>
        <w:spacing w:before="0" w:after="40" w:line="307" w:lineRule="exact"/>
        <w:ind w:left="0" w:right="0"/>
        <w:jc w:val="both"/>
      </w:pPr>
      <w:r>
        <w:rPr>
          <w:color w:val="000000"/>
          <w:spacing w:val="0"/>
          <w:w w:val="100"/>
          <w:position w:val="0"/>
        </w:rPr>
        <w:t>本期减少系发行的限制性股票解除限售，结转等待期内确认的资本公积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55,633,290.87</w:t>
      </w:r>
      <w:r>
        <w:rPr>
          <w:color w:val="000000"/>
          <w:spacing w:val="0"/>
          <w:w w:val="100"/>
          <w:position w:val="0"/>
        </w:rPr>
        <w:t>元所致。</w:t>
      </w:r>
      <w:r>
        <w:br w:type="page"/>
      </w:r>
    </w:p>
    <w:p>
      <w:pPr>
        <w:pStyle w:val="Style37"/>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97"/>
      <w:bookmarkEnd w:id="1598"/>
      <w:bookmarkEnd w:id="16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30,428,620.74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28,392,383.30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58,821,004.04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30,428,620.74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28,392,383.30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本期减少系①回购注销离职员工的限制性股票减少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,036,237.44</w:t>
      </w:r>
      <w:r>
        <w:rPr>
          <w:color w:val="000000"/>
          <w:spacing w:val="0"/>
          <w:w w:val="100"/>
          <w:position w:val="0"/>
        </w:rPr>
        <w:t>元；②限制性股票解锁减少</w:t>
      </w:r>
      <w:r>
        <w:rPr>
          <w:rFonts w:ascii="Times New Roman" w:eastAsia="Times New Roman" w:hAnsi="Times New Roman" w:cs="Times New Roman"/>
          <w:color w:val="000000"/>
          <w:spacing w:val="0"/>
          <w:w w:val="100"/>
          <w:position w:val="0"/>
          <w:sz w:val="18"/>
          <w:szCs w:val="18"/>
        </w:rPr>
        <w:t>28,392,383.30</w:t>
      </w:r>
      <w:r>
        <w:rPr>
          <w:color w:val="000000"/>
          <w:spacing w:val="0"/>
          <w:w w:val="100"/>
          <w:position w:val="0"/>
        </w:rPr>
        <w:t xml:space="preserve">元；合计减少 </w:t>
      </w:r>
      <w:r>
        <w:rPr>
          <w:rFonts w:ascii="Times New Roman" w:eastAsia="Times New Roman" w:hAnsi="Times New Roman" w:cs="Times New Roman"/>
          <w:color w:val="000000"/>
          <w:spacing w:val="0"/>
          <w:w w:val="100"/>
          <w:position w:val="0"/>
          <w:sz w:val="18"/>
          <w:szCs w:val="18"/>
        </w:rPr>
        <w:t>30,428,620.74</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01"/>
      <w:bookmarkEnd w:id="1602"/>
      <w:bookmarkEnd w:id="1604"/>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减：所得</w:t>
            </w:r>
          </w:p>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税费用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11,556,37</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11,556,37</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11,556,37</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9,822,914.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bl>
    <w:p>
      <w:pPr>
        <w:widowControl w:val="0"/>
        <w:spacing w:after="31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05"/>
      <w:bookmarkEnd w:id="1606"/>
      <w:bookmarkEnd w:id="160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09"/>
      <w:bookmarkEnd w:id="1610"/>
      <w:bookmarkEnd w:id="1612"/>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58,589,877.42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88,648,845.42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58,589,877.42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88,648,845.42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34"/>
        <w:keepNext w:val="0"/>
        <w:keepLines w:val="0"/>
        <w:widowControl w:val="0"/>
        <w:shd w:val="clear" w:color="auto" w:fill="auto"/>
        <w:bidi w:val="0"/>
        <w:spacing w:before="0" w:after="380" w:line="307" w:lineRule="exact"/>
        <w:ind w:left="0" w:right="0"/>
        <w:jc w:val="both"/>
      </w:pPr>
      <w:r>
        <w:rPr>
          <w:color w:val="000000"/>
          <w:spacing w:val="0"/>
          <w:w w:val="100"/>
          <w:position w:val="0"/>
        </w:rPr>
        <w:t>根据母公司章程规定，法定盈余公积已达到母公司注册资本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时可不再提取，本期增加系按公司章程提取法定盈余公 积</w:t>
      </w:r>
      <w:r>
        <w:rPr>
          <w:rFonts w:ascii="Times New Roman" w:eastAsia="Times New Roman" w:hAnsi="Times New Roman" w:cs="Times New Roman"/>
          <w:color w:val="000000"/>
          <w:spacing w:val="0"/>
          <w:w w:val="100"/>
          <w:position w:val="0"/>
          <w:sz w:val="18"/>
          <w:szCs w:val="18"/>
        </w:rPr>
        <w:t>30,058,968.00</w:t>
      </w:r>
      <w:r>
        <w:rPr>
          <w:color w:val="000000"/>
          <w:spacing w:val="0"/>
          <w:w w:val="100"/>
          <w:position w:val="0"/>
        </w:rPr>
        <w:t>元；期末数未达到母公司注册资本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系以前年度减持子公司股份而抵销的盈余公积所致。</w:t>
      </w:r>
      <w:r>
        <w:br w:type="page"/>
      </w:r>
    </w:p>
    <w:p>
      <w:pPr>
        <w:pStyle w:val="Style37"/>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13"/>
      <w:bookmarkEnd w:id="1614"/>
      <w:bookmarkEnd w:id="1616"/>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1,070,602,462.16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215,954,034.77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1,070,602,462.16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215,954,034.77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630,630,950.34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875,264,934.64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30,058,968.00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13,548,507.25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256,804,000.00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应付限售股股利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5,720,461.70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1,408,649,982.80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1,070,602,462.16</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4"/>
        <w:keepNext w:val="0"/>
        <w:keepLines w:val="0"/>
        <w:widowControl w:val="0"/>
        <w:shd w:val="clear" w:color="auto" w:fill="auto"/>
        <w:tabs>
          <w:tab w:pos="330" w:val="left"/>
        </w:tabs>
        <w:bidi w:val="0"/>
        <w:spacing w:before="0" w:after="120" w:line="240" w:lineRule="auto"/>
        <w:ind w:left="0" w:right="0" w:firstLine="0"/>
        <w:jc w:val="left"/>
      </w:pPr>
      <w:bookmarkStart w:id="1617" w:name="bookmark1617"/>
      <w:r>
        <w:rPr>
          <w:rFonts w:ascii="Times New Roman" w:eastAsia="Times New Roman" w:hAnsi="Times New Roman" w:cs="Times New Roman"/>
          <w:color w:val="000000"/>
          <w:spacing w:val="0"/>
          <w:w w:val="100"/>
          <w:position w:val="0"/>
          <w:sz w:val="18"/>
          <w:szCs w:val="18"/>
        </w:rPr>
        <w:t>1</w:t>
      </w:r>
      <w:bookmarkEnd w:id="16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20" w:line="240" w:lineRule="auto"/>
        <w:ind w:left="0" w:right="0" w:firstLine="0"/>
        <w:jc w:val="left"/>
      </w:pPr>
      <w:bookmarkStart w:id="1618" w:name="bookmark1618"/>
      <w:r>
        <w:rPr>
          <w:rFonts w:ascii="Times New Roman" w:eastAsia="Times New Roman" w:hAnsi="Times New Roman" w:cs="Times New Roman"/>
          <w:color w:val="000000"/>
          <w:spacing w:val="0"/>
          <w:w w:val="100"/>
          <w:position w:val="0"/>
          <w:sz w:val="18"/>
          <w:szCs w:val="18"/>
        </w:rPr>
        <w:t>2</w:t>
      </w:r>
      <w:bookmarkEnd w:id="16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20" w:line="240" w:lineRule="auto"/>
        <w:ind w:left="0" w:right="0" w:firstLine="0"/>
        <w:jc w:val="left"/>
      </w:pPr>
      <w:bookmarkStart w:id="1619" w:name="bookmark1619"/>
      <w:r>
        <w:rPr>
          <w:rFonts w:ascii="Times New Roman" w:eastAsia="Times New Roman" w:hAnsi="Times New Roman" w:cs="Times New Roman"/>
          <w:color w:val="000000"/>
          <w:spacing w:val="0"/>
          <w:w w:val="100"/>
          <w:position w:val="0"/>
          <w:sz w:val="18"/>
          <w:szCs w:val="18"/>
        </w:rPr>
        <w:t>3</w:t>
      </w:r>
      <w:bookmarkEnd w:id="16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20" w:line="240" w:lineRule="auto"/>
        <w:ind w:left="0" w:right="0" w:firstLine="0"/>
        <w:jc w:val="left"/>
      </w:pPr>
      <w:bookmarkStart w:id="1620" w:name="bookmark1620"/>
      <w:r>
        <w:rPr>
          <w:rFonts w:ascii="Times New Roman" w:eastAsia="Times New Roman" w:hAnsi="Times New Roman" w:cs="Times New Roman"/>
          <w:color w:val="000000"/>
          <w:spacing w:val="0"/>
          <w:w w:val="100"/>
          <w:position w:val="0"/>
          <w:sz w:val="18"/>
          <w:szCs w:val="18"/>
        </w:rPr>
        <w:t>4</w:t>
      </w:r>
      <w:bookmarkEnd w:id="16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380" w:line="240" w:lineRule="auto"/>
        <w:ind w:left="0" w:right="0" w:firstLine="0"/>
        <w:jc w:val="left"/>
      </w:pPr>
      <w:bookmarkStart w:id="1621" w:name="bookmark1621"/>
      <w:r>
        <w:rPr>
          <w:rFonts w:ascii="Times New Roman" w:eastAsia="Times New Roman" w:hAnsi="Times New Roman" w:cs="Times New Roman"/>
          <w:color w:val="000000"/>
          <w:spacing w:val="0"/>
          <w:w w:val="100"/>
          <w:position w:val="0"/>
          <w:sz w:val="18"/>
          <w:szCs w:val="18"/>
        </w:rPr>
        <w:t>5</w:t>
      </w:r>
      <w:bookmarkEnd w:id="16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22"/>
      <w:bookmarkEnd w:id="1623"/>
      <w:bookmarkEnd w:id="1625"/>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1,549,912,762.99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570,089,642.58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2,845,283,780.80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1,482,585,383.32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13,733,270.42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8,498,089.66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14,872,155.59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8,639,192.18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1,563,646,033.41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578,587,732.24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2,860,155,936.39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1,491,224,575.50</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26"/>
      <w:bookmarkEnd w:id="1627"/>
      <w:bookmarkEnd w:id="1629"/>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-2,015,189.90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21,417,970.68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-863,745.63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9,179,130.32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1,254,458.47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1,068,109.86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301,953.58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320,213.12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644,658.71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1,657,653.79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-575,830.43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6,119,419.69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17,453.61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-1,232,913.02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39,779,951.07</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30"/>
      <w:bookmarkEnd w:id="1631"/>
      <w:bookmarkEnd w:id="163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45,108,163.10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54,902,881.84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18,469,098.85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22,969,059.04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18,436,445.27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862,438.11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9,494,024.37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5,608,005.38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8,262,156.03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7,204,428.91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7,745,015.73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16,780,011.84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5,962,829.80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3,307,501.12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3,087,354.17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1,280,182.70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2,402,697.59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1,126,637.70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2,318,296.37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1,781,392.34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2,277,224.49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4,106,341.69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3,404,957.69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105,634,201.74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141,262,942.39</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34"/>
      <w:bookmarkEnd w:id="1635"/>
      <w:bookmarkEnd w:id="163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44,252,167.26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50,171,713.69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场地服务及租金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13,964,803.07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23,316,012.18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10,358,745.38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9,082,904.36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8,918,446.15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8,314,989.41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18,225,535.57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7,915,833.29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2,722,631.53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5,100,747.24</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3,968,918.65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3,885,072.36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2,206,237.86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2,431,066.38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1,081,457.12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2,314,659.01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1,429,834.00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2,716,068.72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107,128,776.59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115,249,066.64</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38"/>
      <w:bookmarkEnd w:id="1639"/>
      <w:bookmarkEnd w:id="164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124,204,674.89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100,683,953.90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124,204,674.89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100,683,953.90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42"/>
      <w:bookmarkEnd w:id="1643"/>
      <w:bookmarkEnd w:id="164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30,833,206.17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10,313,363.67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-878,580.02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-7,075,390.25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196,926.87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559,117.12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-31,525,184.53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-16,828,747.21</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6</w:t>
      </w:r>
      <w:bookmarkEnd w:id="164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46"/>
      <w:bookmarkEnd w:id="1647"/>
      <w:bookmarkEnd w:id="164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92,674,125.00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46,101,234.92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面向城市智慧交通物联网应用的</w:t>
            </w:r>
            <w:r>
              <w:rPr>
                <w:rFonts w:ascii="Times New Roman" w:eastAsia="Times New Roman" w:hAnsi="Times New Roman" w:cs="Times New Roman"/>
                <w:color w:val="000000"/>
                <w:spacing w:val="0"/>
                <w:w w:val="100"/>
                <w:position w:val="0"/>
                <w:sz w:val="18"/>
                <w:szCs w:val="18"/>
              </w:rPr>
              <w:t xml:space="preserve">DSRC </w:t>
            </w:r>
            <w:r>
              <w:rPr>
                <w:color w:val="000000"/>
                <w:spacing w:val="0"/>
                <w:w w:val="100"/>
                <w:position w:val="0"/>
              </w:rPr>
              <w:t>设备研发及产业化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443,850.90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3,571,622.31</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年深圳市企 业研究开发资助计划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电子车牌的系统实现核心设 备技术研发及城市级应用示范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87,452.95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1,634,461.61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深圳市南山区工业和信息化局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山区自主创新产业发展专项资金资助款</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年技术改造 倍增专项质量品牌双提升扶持计划资助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深圳市南山区科学技术局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年企业研 发投入支持计划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166,671.41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417,861.88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年深圳市企 业研究开发资助计划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326,000.00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深圳市市场和质量监督管理委员会第二 十届中国专利奖配套奖励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深圳市智慧交通车联网工程技术研究开 发中心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83,023.04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250,447.60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深圳市南山区经济促进局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年第一季 度稳增长资助项目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216,600.00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深圳市南山区经济促进局国家两化融合 管理体系评定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深圳市南山区经济促进局奖励金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深圳市南山区经济促进局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年稳增长 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深圳市南山区科学技术局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年企业研 发投入支持计划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123,600.00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深圳市市场监督管理局第十九届中国专 利奖配套奖励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城市综合停车收费管理与信息服务应用 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83,629.05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深圳市市场和质量监督管理委员会</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年深圳市第一批专利申请资助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深圳市商务局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年中央支持外贸中小 企业开拓市场资助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58,836.06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的智能交通车联网多功能车 载智能终端研发及示范应用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112,393.85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48,280.83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社保局的失业稳岗补贴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44,359.75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深圳市市场和质量监督管理委员会</w:t>
            </w:r>
            <w:r>
              <w:rPr>
                <w:rFonts w:ascii="Times New Roman" w:eastAsia="Times New Roman" w:hAnsi="Times New Roman" w:cs="Times New Roman"/>
                <w:color w:val="000000"/>
                <w:spacing w:val="0"/>
                <w:w w:val="100"/>
                <w:position w:val="0"/>
                <w:sz w:val="18"/>
                <w:szCs w:val="18"/>
              </w:rPr>
              <w:t>2018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年深圳市第一批境外商标注册资助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基于无线感知技术的道路停车管理与服 务前端系统研发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30,653.18</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基于专用短程通信</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技术的电子车 牌证多车道自由流关键技术研究与核心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25,435.55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深圳市市场和质量监督管理委员会</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年第一批境外商标注册资助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应用于联网收费公路的</w:t>
            </w:r>
            <w:r>
              <w:rPr>
                <w:rFonts w:ascii="Times New Roman" w:eastAsia="Times New Roman" w:hAnsi="Times New Roman" w:cs="Times New Roman"/>
                <w:color w:val="000000"/>
                <w:spacing w:val="0"/>
                <w:w w:val="100"/>
                <w:position w:val="0"/>
                <w:sz w:val="18"/>
                <w:szCs w:val="18"/>
              </w:rPr>
              <w:t>5.8G</w:t>
            </w:r>
            <w:r>
              <w:rPr>
                <w:color w:val="000000"/>
                <w:spacing w:val="0"/>
                <w:w w:val="100"/>
                <w:position w:val="0"/>
              </w:rPr>
              <w:t>多义性路径 识别系统的研发及产业化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529,694.55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18,461.52</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面向智慧交通的车联网高安全性内容保 障技术研究与核心产品研发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16,466.94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新型车联网通信技术工程研究中心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171,294.54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9,866.67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深圳市市场和质量监督管理委员会</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年第二批专利资助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总部企业办公用房扶持项目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3,038,700.00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3,968,749.16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深圳市南山区财政局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年三、四季度 稳增长（含全年达标奖）资助项目款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 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深圳市南山区科技创新局企业研发投入 支持计划项目资助款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深圳市南山区人力资源局停工停业的中 小微企业吸纳劳动力就业并开展以工代 训项目补贴款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深圳市南山区工业和信息化局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年进 一步稳增长资助项目资助款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258,645.33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安全信息资源集中式监控系统研发与产 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深圳市南山区工业和信息化局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 半年工业稳增长资助项目款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216,500.00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年深圳市第 二批专利申请资助款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深圳市市场监督管理局第二十届中国专 利奖配套奖励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深圳市南山区人力资源局南山伯乐奖人 才引进单位奖励款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深圳市南山区科技创新局科技奖励支持 计划拟资助项目款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基于热舒适的可度量空调节能监控系统 研发及产业化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电子不停车收费技术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）标准在东南 亚地区应用研究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深圳市人事人才公共服务中心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人才伯乐奖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年促进经济 高质量发展专项资金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深圳市南山区科技创新局科技奖励支持 计划补贴款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深圳市金溢科技股份有限公司工业设计 中心认定和扶持计划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85,874.06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深圳市南山区科技创新局专利支持计划 拟资助项目款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深圳市南山区人力资源局援企稳岗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 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企业社保补贴资助款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应急指挥与协调决策支持系统开发与示 范应用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19,889.36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年第二批境 外商标资助款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智能网联汽车超视距全局感知融合方法 及关键技术研究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110,021,868.64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60,418,517.87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6</w:t>
      </w:r>
      <w:bookmarkEnd w:id="165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50"/>
      <w:bookmarkEnd w:id="1651"/>
      <w:bookmarkEnd w:id="165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1,836,943.74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1,267,694.89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-2,582,881.73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5,131,540.50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1,670,800.00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8,630,474.90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6,056,402.51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9,898,169.79</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54"/>
      <w:bookmarkEnd w:id="1655"/>
      <w:bookmarkEnd w:id="165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7"/>
        <w:keepNext/>
        <w:keepLines/>
        <w:widowControl w:val="0"/>
        <w:shd w:val="clear" w:color="auto" w:fill="auto"/>
        <w:tabs>
          <w:tab w:pos="478" w:val="left"/>
        </w:tabs>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7</w:t>
      </w:r>
      <w:bookmarkEnd w:id="1660"/>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58"/>
      <w:bookmarkEnd w:id="1659"/>
      <w:bookmarkEnd w:id="166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8" w:val="left"/>
        </w:tabs>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7</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62"/>
      <w:bookmarkEnd w:id="1663"/>
      <w:bookmarkEnd w:id="166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727,119.87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-2,133,578.64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-1,200,468.94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-27,771,920.29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563,720.50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-384,320.50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90,371.43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-30,289,819.43</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7</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66"/>
      <w:bookmarkEnd w:id="1667"/>
      <w:bookmarkEnd w:id="166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-22,170,405.88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-9,099,990.75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-5,162,759.27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2,501,306.58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-24,831,858.57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-9,099,990.75</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7</w:t>
      </w:r>
      <w:bookmarkEnd w:id="167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70"/>
      <w:bookmarkEnd w:id="1671"/>
      <w:bookmarkEnd w:id="167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19,667.96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7</w:t>
      </w:r>
      <w:bookmarkEnd w:id="167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74"/>
      <w:bookmarkEnd w:id="1675"/>
      <w:bookmarkEnd w:id="167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1,311,917.58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32,509.39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118,827.55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118,827.55</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房屋购置补偿款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277,903.58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277,903.58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64,904.76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64,904.76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1,798,008.55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1,350,719.69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1,798,008.55</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7</w:t>
      </w:r>
      <w:bookmarkEnd w:id="168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78"/>
      <w:bookmarkEnd w:id="1679"/>
      <w:bookmarkEnd w:id="1681"/>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62,216.60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62,216.60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49,665,837.41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2,513,059.36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49,665,837.41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19,266.64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19,266.64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395,046.45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395,046.45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50,477,728.03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2,896,408.28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50,477,728.03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违约金主要系逾期供货违约赔偿款</w:t>
      </w:r>
      <w:r>
        <w:rPr>
          <w:rFonts w:ascii="Times New Roman" w:eastAsia="Times New Roman" w:hAnsi="Times New Roman" w:cs="Times New Roman"/>
          <w:color w:val="000000"/>
          <w:spacing w:val="0"/>
          <w:w w:val="100"/>
          <w:position w:val="0"/>
          <w:sz w:val="18"/>
          <w:szCs w:val="18"/>
        </w:rPr>
        <w:t>42,815,000.00</w:t>
      </w:r>
      <w:r>
        <w:rPr>
          <w:color w:val="000000"/>
          <w:spacing w:val="0"/>
          <w:w w:val="100"/>
          <w:position w:val="0"/>
        </w:rPr>
        <w:t>元，说明详见本财务报告附注七</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之说明。</w:t>
      </w:r>
    </w:p>
    <w:p>
      <w:pPr>
        <w:pStyle w:val="Style37"/>
        <w:keepNext/>
        <w:keepLines/>
        <w:widowControl w:val="0"/>
        <w:shd w:val="clear" w:color="auto" w:fill="auto"/>
        <w:bidi w:val="0"/>
        <w:spacing w:before="0" w:after="380" w:line="240" w:lineRule="auto"/>
        <w:ind w:left="0" w:right="0" w:firstLine="0"/>
        <w:jc w:val="both"/>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82"/>
      <w:bookmarkEnd w:id="1683"/>
      <w:bookmarkEnd w:id="1685"/>
    </w:p>
    <w:p>
      <w:pPr>
        <w:pStyle w:val="Style71"/>
        <w:keepNext/>
        <w:keepLines/>
        <w:widowControl w:val="0"/>
        <w:numPr>
          <w:ilvl w:val="0"/>
          <w:numId w:val="113"/>
        </w:numPr>
        <w:shd w:val="clear" w:color="auto" w:fill="auto"/>
        <w:bidi w:val="0"/>
        <w:spacing w:before="0" w:after="380" w:line="240" w:lineRule="auto"/>
        <w:ind w:left="0" w:right="0" w:firstLine="0"/>
        <w:jc w:val="both"/>
      </w:pPr>
      <w:bookmarkStart w:id="1686" w:name="bookmark1686"/>
      <w:bookmarkStart w:id="1687" w:name="bookmark1687"/>
      <w:bookmarkStart w:id="1688" w:name="bookmark1688"/>
      <w:bookmarkStart w:id="1689" w:name="bookmark1689"/>
      <w:bookmarkEnd w:id="1688"/>
      <w:r>
        <w:rPr>
          <w:color w:val="000000"/>
          <w:spacing w:val="0"/>
          <w:w w:val="100"/>
          <w:position w:val="0"/>
        </w:rPr>
        <w:t>所得税费用表</w:t>
      </w:r>
      <w:bookmarkEnd w:id="1686"/>
      <w:bookmarkEnd w:id="1687"/>
      <w:bookmarkEnd w:id="1689"/>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107,279,499.55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154,456,567.47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-12,727,630.59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-8,953,840.41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94,551,868.96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145,502,727.06</w:t>
            </w:r>
          </w:p>
        </w:tc>
      </w:tr>
    </w:tbl>
    <w:p>
      <w:pPr>
        <w:widowControl w:val="0"/>
        <w:spacing w:after="319" w:line="1" w:lineRule="exact"/>
      </w:pPr>
    </w:p>
    <w:p>
      <w:pPr>
        <w:pStyle w:val="Style71"/>
        <w:keepNext/>
        <w:keepLines/>
        <w:widowControl w:val="0"/>
        <w:numPr>
          <w:ilvl w:val="0"/>
          <w:numId w:val="113"/>
        </w:numPr>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会计利润与所得税费用调整过程</w:t>
      </w:r>
      <w:bookmarkEnd w:id="1690"/>
      <w:bookmarkEnd w:id="1691"/>
      <w:bookmarkEnd w:id="1693"/>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723,505,810.03</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108,525,871.50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-494,070.30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676,625.60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-3,073,144.99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1,617,643.40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-12,009,516.32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股权激励行权影响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-166,494.93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-528,676.94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94,551,868.96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both"/>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7</w:t>
      </w:r>
      <w:bookmarkEnd w:id="169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94"/>
      <w:bookmarkEnd w:id="1695"/>
      <w:bookmarkEnd w:id="1697"/>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both"/>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7</w:t>
      </w:r>
      <w:bookmarkEnd w:id="1700"/>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698"/>
      <w:bookmarkEnd w:id="1699"/>
      <w:bookmarkEnd w:id="1701"/>
    </w:p>
    <w:p>
      <w:pPr>
        <w:pStyle w:val="Style71"/>
        <w:keepNext/>
        <w:keepLines/>
        <w:widowControl w:val="0"/>
        <w:numPr>
          <w:ilvl w:val="0"/>
          <w:numId w:val="115"/>
        </w:numPr>
        <w:shd w:val="clear" w:color="auto" w:fill="auto"/>
        <w:bidi w:val="0"/>
        <w:spacing w:before="0" w:after="380" w:line="240" w:lineRule="auto"/>
        <w:ind w:left="0" w:right="0" w:firstLine="0"/>
        <w:jc w:val="left"/>
      </w:pPr>
      <w:bookmarkStart w:id="1702" w:name="bookmark1702"/>
      <w:bookmarkStart w:id="1703" w:name="bookmark1703"/>
      <w:bookmarkStart w:id="1704" w:name="bookmark1704"/>
      <w:bookmarkStart w:id="1705" w:name="bookmark1705"/>
      <w:bookmarkEnd w:id="1704"/>
      <w:r>
        <w:rPr>
          <w:color w:val="000000"/>
          <w:spacing w:val="0"/>
          <w:w w:val="100"/>
          <w:position w:val="0"/>
        </w:rPr>
        <w:t>收到的其他与经营活动有关的现金</w:t>
      </w:r>
      <w:bookmarkEnd w:id="1702"/>
      <w:bookmarkEnd w:id="1703"/>
      <w:bookmarkEnd w:id="170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14,739,498.31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12,655,693.91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收回银行承兑汇票保证金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2,616,496.00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12,718,829.05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17,420,878.39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10,313,363.67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6,245,911.32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675,718.56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3,347,338.37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2,180,351.76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44,370,122.39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38,543,956.95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71"/>
        <w:keepNext/>
        <w:keepLines/>
        <w:widowControl w:val="0"/>
        <w:numPr>
          <w:ilvl w:val="0"/>
          <w:numId w:val="115"/>
        </w:numPr>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bookmarkEnd w:id="1708"/>
      <w:r>
        <w:rPr>
          <w:color w:val="000000"/>
          <w:spacing w:val="0"/>
          <w:w w:val="100"/>
          <w:position w:val="0"/>
        </w:rPr>
        <w:t>支付的其他与经营活动有关的现金</w:t>
      </w:r>
      <w:bookmarkEnd w:id="1706"/>
      <w:bookmarkEnd w:id="1707"/>
      <w:bookmarkEnd w:id="170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92,389,198.32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153,052,831.82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支付银行承兑汇票保证金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12,221,213.37</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25,477,739.52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2,327,477.33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118,201,937.84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167,821,522.52</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71"/>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10"/>
      <w:bookmarkEnd w:id="1711"/>
      <w:bookmarkEnd w:id="1713"/>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570,000,000.00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570,000,000.00</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收到的其他与投资活动有关的现金说明：</w:t>
      </w:r>
    </w:p>
    <w:p>
      <w:pPr>
        <w:pStyle w:val="Style71"/>
        <w:keepNext/>
        <w:keepLines/>
        <w:widowControl w:val="0"/>
        <w:shd w:val="clear" w:color="auto" w:fill="auto"/>
        <w:bidi w:val="0"/>
        <w:spacing w:before="0" w:after="380" w:line="240" w:lineRule="auto"/>
        <w:ind w:left="0" w:right="0" w:firstLine="0"/>
        <w:jc w:val="both"/>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14"/>
      <w:bookmarkEnd w:id="1715"/>
      <w:bookmarkEnd w:id="1717"/>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375,000,000.00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1,464,753.74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191,464,753.74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375,000,000.00</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支付的其他与投资活动有关的现金说明：</w:t>
      </w:r>
    </w:p>
    <w:p>
      <w:pPr>
        <w:pStyle w:val="Style71"/>
        <w:keepNext/>
        <w:keepLines/>
        <w:widowControl w:val="0"/>
        <w:shd w:val="clear" w:color="auto" w:fill="auto"/>
        <w:tabs>
          <w:tab w:pos="493" w:val="left"/>
        </w:tabs>
        <w:bidi w:val="0"/>
        <w:spacing w:before="0" w:after="380" w:line="240" w:lineRule="auto"/>
        <w:ind w:left="0" w:right="0" w:firstLine="0"/>
        <w:jc w:val="both"/>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718"/>
      <w:bookmarkEnd w:id="1719"/>
      <w:bookmarkEnd w:id="1721"/>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both"/>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722"/>
      <w:bookmarkEnd w:id="1723"/>
      <w:bookmarkEnd w:id="1725"/>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回购限售股款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2,071,871.60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2,071,871.60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26"/>
      <w:bookmarkEnd w:id="1727"/>
      <w:bookmarkEnd w:id="1729"/>
    </w:p>
    <w:p>
      <w:pPr>
        <w:pStyle w:val="Style71"/>
        <w:keepNext/>
        <w:keepLines/>
        <w:widowControl w:val="0"/>
        <w:shd w:val="clear" w:color="auto" w:fill="auto"/>
        <w:bidi w:val="0"/>
        <w:spacing w:before="0" w:after="380" w:line="240" w:lineRule="auto"/>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w:t>
      </w:r>
      <w:bookmarkEnd w:id="173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0"/>
      <w:bookmarkEnd w:id="1731"/>
      <w:bookmarkEnd w:id="1733"/>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628,953,941.07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872,682,323.89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24,741,487.14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39,389,810.18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12,705,683.03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13,074,890.06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1,605,167.94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1,629,709.90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5,677,991.12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5,524,668.41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-19,667.96</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49,840.92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-10,325.21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-6,056,402.51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-9,898,169.79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-12,727,630.59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-8,953,840.41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337,778,149.45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-517,842,932.83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241,692,123.08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-608,507,570.15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-1,384,834,927.93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1,559,120,065.19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66,768,833.64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25,783,928.51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-83,647,556.44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1,372,033,945.51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1,439,042,943.61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1,874,015,546.76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1,874,015,546.76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403,918,139.28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-434,972,603.15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1,470,097,407.48</w:t>
            </w:r>
          </w:p>
        </w:tc>
      </w:tr>
    </w:tbl>
    <w:p>
      <w:pPr>
        <w:widowControl w:val="0"/>
        <w:spacing w:after="379" w:line="1" w:lineRule="exact"/>
      </w:pPr>
    </w:p>
    <w:p>
      <w:pPr>
        <w:pStyle w:val="Style71"/>
        <w:keepNext/>
        <w:keepLines/>
        <w:widowControl w:val="0"/>
        <w:shd w:val="clear" w:color="auto" w:fill="auto"/>
        <w:tabs>
          <w:tab w:pos="493" w:val="left"/>
        </w:tabs>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34"/>
      <w:bookmarkEnd w:id="1735"/>
      <w:bookmarkEnd w:id="173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38"/>
      <w:bookmarkEnd w:id="1739"/>
      <w:bookmarkEnd w:id="174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42"/>
      <w:bookmarkEnd w:id="1743"/>
      <w:bookmarkEnd w:id="174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1,439,042,943.61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1,874,015,546.76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1,439,042,943.61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1,874,015,546.76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1,439,042,943.61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1,874,015,546.76</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8</w:t>
      </w:r>
      <w:bookmarkEnd w:id="174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46"/>
      <w:bookmarkEnd w:id="1747"/>
      <w:bookmarkEnd w:id="1749"/>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8</w:t>
      </w:r>
      <w:bookmarkEnd w:id="175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50"/>
      <w:bookmarkEnd w:id="1751"/>
      <w:bookmarkEnd w:id="175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12,193,736.25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财政资金监管户、因诉讼冻结</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12,193,736.25</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2"/>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单元：元</w:t>
      </w:r>
    </w:p>
    <w:tbl>
      <w:tblPr>
        <w:tblOverlap w:val="never"/>
        <w:jc w:val="center"/>
        <w:tblLayout w:type="fixed"/>
      </w:tblPr>
      <w:tblGrid>
        <w:gridCol w:w="2856"/>
        <w:gridCol w:w="3576"/>
        <w:gridCol w:w="3437"/>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使用受限金额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使用受限原因</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财政资金监管户</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12,189,310.75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因诉讼冻结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12,193,736.25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07" w:lineRule="exact"/>
        <w:ind w:left="106"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上述合同纠纷已达成调解，广东省广州市黄埔区人民法院于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日解除因买卖合同纠纷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14933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对公司名下</w:t>
      </w:r>
      <w:r>
        <w:rPr>
          <w:rFonts w:ascii="Times New Roman" w:eastAsia="Times New Roman" w:hAnsi="Times New Roman" w:cs="Times New Roman"/>
          <w:color w:val="000000"/>
          <w:spacing w:val="0"/>
          <w:w w:val="100"/>
          <w:position w:val="0"/>
          <w:sz w:val="18"/>
          <w:szCs w:val="18"/>
        </w:rPr>
        <w:t>12,189,310.75</w:t>
      </w:r>
      <w:r>
        <w:rPr>
          <w:color w:val="000000"/>
          <w:spacing w:val="0"/>
          <w:w w:val="100"/>
          <w:position w:val="0"/>
        </w:rPr>
        <w:t>元财产所采取的保全措施，</w:t>
      </w:r>
      <w:r>
        <w:rPr>
          <w:rFonts w:ascii="Times New Roman" w:eastAsia="Times New Roman" w:hAnsi="Times New Roman" w:cs="Times New Roman"/>
          <w:color w:val="000000"/>
          <w:spacing w:val="0"/>
          <w:w w:val="100"/>
          <w:position w:val="0"/>
          <w:sz w:val="18"/>
          <w:szCs w:val="18"/>
        </w:rPr>
        <w:t>12,189,310.75</w:t>
      </w:r>
      <w:r>
        <w:rPr>
          <w:color w:val="000000"/>
          <w:spacing w:val="0"/>
          <w:w w:val="100"/>
          <w:position w:val="0"/>
        </w:rPr>
        <w:t>元银行存款已解冻。</w:t>
      </w:r>
      <w:r>
        <w:br w:type="page"/>
      </w:r>
    </w:p>
    <w:p>
      <w:pPr>
        <w:pStyle w:val="Style37"/>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8</w:t>
      </w:r>
      <w:bookmarkEnd w:id="175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54"/>
      <w:bookmarkEnd w:id="1755"/>
      <w:bookmarkEnd w:id="1757"/>
    </w:p>
    <w:p>
      <w:pPr>
        <w:pStyle w:val="Style71"/>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58"/>
      <w:bookmarkEnd w:id="1759"/>
      <w:bookmarkEnd w:id="176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71"/>
        <w:keepNext/>
        <w:keepLines/>
        <w:widowControl w:val="0"/>
        <w:numPr>
          <w:ilvl w:val="0"/>
          <w:numId w:val="117"/>
        </w:numPr>
        <w:shd w:val="clear" w:color="auto" w:fill="auto"/>
        <w:bidi w:val="0"/>
        <w:spacing w:before="0" w:after="380" w:line="326" w:lineRule="exact"/>
        <w:ind w:left="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境外经营实体说明，包括对于重要的境外经营实体，应披露其境外主要经营地、记账本位币及选择 依据，记账本位币发生变化的还应披露原因。</w:t>
      </w:r>
      <w:bookmarkEnd w:id="1761"/>
      <w:bookmarkEnd w:id="1762"/>
      <w:bookmarkEnd w:id="1764"/>
    </w:p>
    <w:p>
      <w:pPr>
        <w:pStyle w:val="Style3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326" w:lineRule="exact"/>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8</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65"/>
      <w:bookmarkEnd w:id="1766"/>
      <w:bookmarkEnd w:id="176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280" w:line="326" w:lineRule="exact"/>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8</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69"/>
      <w:bookmarkEnd w:id="1770"/>
      <w:bookmarkEnd w:id="1772"/>
    </w:p>
    <w:p>
      <w:pPr>
        <w:pStyle w:val="Style71"/>
        <w:keepNext/>
        <w:keepLines/>
        <w:widowControl w:val="0"/>
        <w:shd w:val="clear" w:color="auto" w:fill="auto"/>
        <w:bidi w:val="0"/>
        <w:spacing w:before="0" w:after="380" w:line="326" w:lineRule="exact"/>
        <w:ind w:left="0" w:right="0" w:firstLine="0"/>
        <w:jc w:val="left"/>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3"/>
      <w:bookmarkEnd w:id="1774"/>
      <w:bookmarkEnd w:id="177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深圳市金溢科技股份有限公 司工业设计中心认定和扶持 计划</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85,874.06</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新型车联网通信技术工程研 究中心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1,990,133.33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171,294.54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面向城市智慧交通物联网应 用的</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设备研发及产业化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1,023,521.14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443,850.90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无人车网联关键技术研究及 应用验证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智慧城市综合停车信息云平 台与解决方案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应用于联网收费公路的</w:t>
            </w:r>
            <w:r>
              <w:rPr>
                <w:rFonts w:ascii="Times New Roman" w:eastAsia="Times New Roman" w:hAnsi="Times New Roman" w:cs="Times New Roman"/>
                <w:color w:val="000000"/>
                <w:spacing w:val="0"/>
                <w:w w:val="100"/>
                <w:position w:val="0"/>
                <w:sz w:val="18"/>
                <w:szCs w:val="18"/>
              </w:rPr>
              <w:t xml:space="preserve">5.8G </w:t>
            </w:r>
            <w:r>
              <w:rPr>
                <w:color w:val="000000"/>
                <w:spacing w:val="0"/>
                <w:w w:val="100"/>
                <w:position w:val="0"/>
              </w:rPr>
              <w:t>多义性路径识别系统的研发 及产业化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622,307.71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529,694.55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应急指挥与协调决策支持系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统开发与示范应用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615,800.00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19,889.36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智能网联汽车超视距全局感 知融合方法及关键技术研究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新兴交通形态应用边界与协 同管控模式研究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355,400.00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应用于联网收费公路的</w:t>
            </w:r>
            <w:r>
              <w:rPr>
                <w:rFonts w:ascii="Times New Roman" w:eastAsia="Times New Roman" w:hAnsi="Times New Roman" w:cs="Times New Roman"/>
                <w:color w:val="000000"/>
                <w:spacing w:val="0"/>
                <w:w w:val="100"/>
                <w:position w:val="0"/>
                <w:sz w:val="18"/>
                <w:szCs w:val="18"/>
              </w:rPr>
              <w:t xml:space="preserve">5.8G </w:t>
            </w:r>
            <w:r>
              <w:rPr>
                <w:color w:val="000000"/>
                <w:spacing w:val="0"/>
                <w:w w:val="100"/>
                <w:position w:val="0"/>
              </w:rPr>
              <w:t>多义性路径识别系统的研发 及产业化（配套项目）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电子车牌的系统实 现核心设备技术研发及城市 级应用示范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311,851.78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87,452.95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车路协同（</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）标准体系研 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复杂环境下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城市智 能交通系统构建技术系统集 成与工程示范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安全信息资源集中式监控系 统研发与产业化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基于热舒适的可度量空调节 能监控系统研发及产业化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电子不停车收费技术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 </w:t>
            </w:r>
            <w:r>
              <w:rPr>
                <w:color w:val="000000"/>
                <w:spacing w:val="0"/>
                <w:w w:val="100"/>
                <w:position w:val="0"/>
              </w:rPr>
              <w:t>标准在东南亚地区应用研究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DSRC</w:t>
            </w:r>
            <w:r>
              <w:rPr>
                <w:color w:val="000000"/>
                <w:spacing w:val="0"/>
                <w:w w:val="100"/>
                <w:position w:val="0"/>
              </w:rPr>
              <w:t>的智能交通车联网 多功能车载智能终端研发及 示范应用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112,393.85</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深圳市智慧交通车联网工程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技术研究开发中心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83,023.04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83,023.04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智能车路协同自动化测试关 键技术研究与应用示范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城市综合停车收费管理与信 息服务应用示范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34,804.33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13,938.18</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面向智慧交通的车联网高安 全性内容保障技术研究与核 心产品研发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4,441.33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软件退税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92,674,125.00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92,674,125.00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总部企业办公用房扶持项目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3,038,700.00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深圳市南山区财政局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三、四季度稳增长（含全年达 标奖）资助项目款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年企业研发资助款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深圳市南山区科技创新局企 业研发投入支持计划项目资 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深圳市南山区人力资源局停 工停业的中小微企业吸纳劳 动力就业并开展以工代训项 目补贴款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深圳市南山区工业和信息化 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年进一步稳增长资助 项目资助款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258,645.33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258,645.33</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深圳市南山区工业和信息化 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年上半年工业稳增长 资助项目款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216,500.00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年深圳市第二批专利申请资 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深圳市南山区科技创新局科 技奖励支持计划拟资助项目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深圳市市场监督管理局第二 十届中国专利奖配套奖励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深圳市南山区人力资源局南 山伯乐奖人才引进单位奖励 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深圳市南山区科技创新局企 业研发投入支持计划项目资 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年促进经济高质量发展专项 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深圳市人事人才公共服务中 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年度人才伯乐奖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深圳市南山区科技创新局科 技奖励支持计划补贴款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深圳市南山区科技创新局专 利支持计划拟资助项目款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深圳市南山区人力资源局援 企稳岗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企业社保补贴资 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年第二批境外商标资助款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2,316.65</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76"/>
      <w:bookmarkEnd w:id="1777"/>
      <w:bookmarkEnd w:id="1778"/>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79"/>
      <w:bookmarkEnd w:id="1780"/>
      <w:bookmarkEnd w:id="178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sz w:val="24"/>
          <w:szCs w:val="24"/>
        </w:rPr>
        <w:t>八</w:t>
      </w:r>
      <w:bookmarkEnd w:id="1784"/>
      <w:r>
        <w:rPr>
          <w:color w:val="000000"/>
          <w:spacing w:val="0"/>
          <w:w w:val="100"/>
          <w:position w:val="0"/>
          <w:sz w:val="24"/>
          <w:szCs w:val="24"/>
        </w:rPr>
        <w:t>、合并范围的变更</w:t>
      </w:r>
      <w:bookmarkEnd w:id="1782"/>
      <w:bookmarkEnd w:id="1783"/>
      <w:bookmarkEnd w:id="1785"/>
    </w:p>
    <w:p>
      <w:pPr>
        <w:pStyle w:val="Style37"/>
        <w:keepNext/>
        <w:keepLines/>
        <w:widowControl w:val="0"/>
        <w:shd w:val="clear" w:color="auto" w:fill="auto"/>
        <w:tabs>
          <w:tab w:pos="368" w:val="left"/>
        </w:tabs>
        <w:bidi w:val="0"/>
        <w:spacing w:before="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1</w:t>
      </w:r>
      <w:bookmarkEnd w:id="1788"/>
      <w:r>
        <w:rPr>
          <w:color w:val="000000"/>
          <w:spacing w:val="0"/>
          <w:w w:val="100"/>
          <w:position w:val="0"/>
        </w:rPr>
        <w:t>、</w:t>
        <w:tab/>
        <w:t>非同一控制下企业合并</w:t>
      </w:r>
      <w:bookmarkEnd w:id="1786"/>
      <w:bookmarkEnd w:id="1787"/>
      <w:bookmarkEnd w:id="1789"/>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bookmarkEnd w:id="1792"/>
      <w:r>
        <w:rPr>
          <w:color w:val="000000"/>
          <w:spacing w:val="0"/>
          <w:w w:val="100"/>
          <w:position w:val="0"/>
        </w:rPr>
        <w:t>、</w:t>
        <w:tab/>
        <w:t>同一控制下企业合并</w:t>
      </w:r>
      <w:bookmarkEnd w:id="1790"/>
      <w:bookmarkEnd w:id="1791"/>
      <w:bookmarkEnd w:id="1793"/>
    </w:p>
    <w:p>
      <w:pPr>
        <w:pStyle w:val="Style71"/>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94"/>
      <w:bookmarkEnd w:id="1795"/>
      <w:bookmarkEnd w:id="179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w:t>
      </w:r>
      <w:bookmarkEnd w:id="1799"/>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797"/>
      <w:bookmarkEnd w:id="1798"/>
      <w:bookmarkEnd w:id="180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801"/>
      <w:bookmarkEnd w:id="1802"/>
      <w:bookmarkEnd w:id="180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bookmarkEnd w:id="1807"/>
      <w:r>
        <w:rPr>
          <w:color w:val="000000"/>
          <w:spacing w:val="0"/>
          <w:w w:val="100"/>
          <w:position w:val="0"/>
        </w:rPr>
        <w:t>、</w:t>
        <w:tab/>
        <w:t>反向购买</w:t>
      </w:r>
      <w:bookmarkEnd w:id="1805"/>
      <w:bookmarkEnd w:id="1806"/>
      <w:bookmarkEnd w:id="180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4</w:t>
      </w:r>
      <w:bookmarkEnd w:id="1811"/>
      <w:r>
        <w:rPr>
          <w:color w:val="000000"/>
          <w:spacing w:val="0"/>
          <w:w w:val="100"/>
          <w:position w:val="0"/>
        </w:rPr>
        <w:t>、</w:t>
        <w:tab/>
        <w:t>处置子公司</w:t>
      </w:r>
      <w:bookmarkEnd w:id="1809"/>
      <w:bookmarkEnd w:id="1810"/>
      <w:bookmarkEnd w:id="181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伟龙金 溢科技</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 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控制权 转移且 工商登 记已变 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日与伟龙金溢、广州市铂金科技合伙企业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WEI LONG ELECTRONICS ENGINEERING PTE LTD</w:t>
      </w:r>
      <w:r>
        <w:rPr>
          <w:color w:val="000000"/>
          <w:spacing w:val="0"/>
          <w:w w:val="100"/>
          <w:position w:val="0"/>
        </w:rPr>
        <w:t>和深圳市睿鸿泽科技有限公司签订《股权转让和债务重组协议》。根据《股权转让和债务重组协议》约定,</w:t>
      </w:r>
      <w:r>
        <w:rPr>
          <w:rFonts w:ascii="Times New Roman" w:eastAsia="Times New Roman" w:hAnsi="Times New Roman" w:cs="Times New Roman"/>
          <w:color w:val="000000"/>
          <w:spacing w:val="0"/>
          <w:w w:val="100"/>
          <w:position w:val="0"/>
          <w:sz w:val="18"/>
          <w:szCs w:val="18"/>
        </w:rPr>
        <w:t>WEI LONG ELECTRONICS ENGINEERING PTE LTD</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元受让公司所持伟龙金溢</w:t>
      </w:r>
      <w:r>
        <w:rPr>
          <w:rFonts w:ascii="Times New Roman" w:eastAsia="Times New Roman" w:hAnsi="Times New Roman" w:cs="Times New Roman"/>
          <w:color w:val="000000"/>
          <w:spacing w:val="0"/>
          <w:w w:val="100"/>
          <w:position w:val="0"/>
          <w:sz w:val="18"/>
          <w:szCs w:val="18"/>
        </w:rPr>
        <w:t>19.23%</w:t>
      </w:r>
      <w:r>
        <w:rPr>
          <w:color w:val="000000"/>
          <w:spacing w:val="0"/>
          <w:w w:val="100"/>
          <w:position w:val="0"/>
        </w:rPr>
        <w:t>的股权、睿鸿泽以</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元受让公司所持伟龙 金溢</w:t>
      </w:r>
      <w:r>
        <w:rPr>
          <w:rFonts w:ascii="Times New Roman" w:eastAsia="Times New Roman" w:hAnsi="Times New Roman" w:cs="Times New Roman"/>
          <w:color w:val="000000"/>
          <w:spacing w:val="0"/>
          <w:w w:val="100"/>
          <w:position w:val="0"/>
          <w:sz w:val="18"/>
          <w:szCs w:val="18"/>
        </w:rPr>
        <w:t>34.62%</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WEI LONG ELECTRONICS ENGINEERING</w:t>
      </w:r>
      <w:r>
        <w:rPr>
          <w:color w:val="000000"/>
          <w:spacing w:val="0"/>
          <w:w w:val="100"/>
          <w:position w:val="0"/>
        </w:rPr>
        <w:t>和睿鸿泽合计以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元受让公司所持伟龙金溢</w:t>
      </w:r>
      <w:r>
        <w:rPr>
          <w:rFonts w:ascii="Times New Roman" w:eastAsia="Times New Roman" w:hAnsi="Times New Roman" w:cs="Times New Roman"/>
          <w:color w:val="000000"/>
          <w:spacing w:val="0"/>
          <w:w w:val="100"/>
          <w:position w:val="0"/>
          <w:sz w:val="18"/>
          <w:szCs w:val="18"/>
        </w:rPr>
        <w:t>53.85%</w:t>
      </w:r>
      <w:r>
        <w:rPr>
          <w:color w:val="000000"/>
          <w:spacing w:val="0"/>
          <w:w w:val="100"/>
          <w:position w:val="0"/>
        </w:rPr>
        <w:t>的股 权，并于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日完成相应的股东变更的工商变更信息。</w:t>
      </w:r>
    </w:p>
    <w:p>
      <w:pPr>
        <w:pStyle w:val="Style34"/>
        <w:keepNext w:val="0"/>
        <w:keepLines w:val="0"/>
        <w:widowControl w:val="0"/>
        <w:shd w:val="clear" w:color="auto" w:fill="auto"/>
        <w:bidi w:val="0"/>
        <w:spacing w:before="0" w:after="40" w:line="310" w:lineRule="exact"/>
        <w:ind w:left="0" w:right="0"/>
        <w:jc w:val="left"/>
      </w:pPr>
      <w:r>
        <w:rPr>
          <w:color w:val="000000"/>
          <w:spacing w:val="0"/>
          <w:w w:val="100"/>
          <w:position w:val="0"/>
        </w:rPr>
        <w:t>公司与伟龙金溢、广州市铂金科技合伙企业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WEI LONG ELECTRONICS ENGINEERING PTE LTD</w:t>
      </w:r>
      <w:r>
        <w:rPr>
          <w:color w:val="000000"/>
          <w:spacing w:val="0"/>
          <w:w w:val="100"/>
          <w:position w:val="0"/>
        </w:rPr>
        <w:t>、</w:t>
      </w:r>
      <w:r>
        <w:rPr>
          <w:color w:val="000000"/>
          <w:spacing w:val="0"/>
          <w:w w:val="100"/>
          <w:position w:val="0"/>
        </w:rPr>
        <w:t xml:space="preserve">深圳市 睿鸿泽科技有限公司和杨成签订《债务重组协议》，在上述股权转让完成后，公司将伟龙科技所欠公司应收款项总额为 </w:t>
      </w:r>
      <w:r>
        <w:rPr>
          <w:rFonts w:ascii="Times New Roman" w:eastAsia="Times New Roman" w:hAnsi="Times New Roman" w:cs="Times New Roman"/>
          <w:color w:val="000000"/>
          <w:spacing w:val="0"/>
          <w:w w:val="100"/>
          <w:position w:val="0"/>
          <w:sz w:val="18"/>
          <w:szCs w:val="18"/>
        </w:rPr>
        <w:t>28,496,387.62</w:t>
      </w:r>
      <w:r>
        <w:rPr>
          <w:color w:val="000000"/>
          <w:spacing w:val="0"/>
          <w:w w:val="100"/>
          <w:position w:val="0"/>
        </w:rPr>
        <w:t>元的债务进行重组（公司对伟龙金溢应收账款</w:t>
      </w:r>
      <w:r>
        <w:rPr>
          <w:rFonts w:ascii="Times New Roman" w:eastAsia="Times New Roman" w:hAnsi="Times New Roman" w:cs="Times New Roman"/>
          <w:color w:val="000000"/>
          <w:spacing w:val="0"/>
          <w:w w:val="100"/>
          <w:position w:val="0"/>
          <w:sz w:val="18"/>
          <w:szCs w:val="18"/>
        </w:rPr>
        <w:t>27,091,887.02</w:t>
      </w:r>
      <w:r>
        <w:rPr>
          <w:color w:val="000000"/>
          <w:spacing w:val="0"/>
          <w:w w:val="100"/>
          <w:position w:val="0"/>
        </w:rPr>
        <w:t>元，其他应收款</w:t>
      </w:r>
      <w:r>
        <w:rPr>
          <w:rFonts w:ascii="Times New Roman" w:eastAsia="Times New Roman" w:hAnsi="Times New Roman" w:cs="Times New Roman"/>
          <w:color w:val="000000"/>
          <w:spacing w:val="0"/>
          <w:w w:val="100"/>
          <w:position w:val="0"/>
          <w:sz w:val="18"/>
          <w:szCs w:val="18"/>
        </w:rPr>
        <w:t>1,404,500.60</w:t>
      </w:r>
      <w:r>
        <w:rPr>
          <w:color w:val="000000"/>
          <w:spacing w:val="0"/>
          <w:w w:val="100"/>
          <w:position w:val="0"/>
        </w:rPr>
        <w:t xml:space="preserve">元）。根据上海众华 </w:t>
      </w:r>
      <w:r>
        <w:rPr>
          <w:color w:val="000000"/>
          <w:spacing w:val="0"/>
          <w:w w:val="100"/>
          <w:position w:val="0"/>
        </w:rPr>
        <w:t>资产评估有限公司出具《深圳市金溢科技股份有限公司以财务报告为目的所涉及的对伟龙金溢科技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有限公司应收账款 和其他应收款的期末市场价值资产评估报告》（沪众评报字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0320</w:t>
      </w:r>
      <w:r>
        <w:rPr>
          <w:color w:val="000000"/>
          <w:spacing w:val="0"/>
          <w:w w:val="100"/>
          <w:position w:val="0"/>
        </w:rPr>
        <w:t>号），在评估基准日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日公司持有的 对伟龙金溢应收账款和其他应收款评估值为</w:t>
      </w:r>
      <w:r>
        <w:rPr>
          <w:rFonts w:ascii="Times New Roman" w:eastAsia="Times New Roman" w:hAnsi="Times New Roman" w:cs="Times New Roman"/>
          <w:color w:val="000000"/>
          <w:spacing w:val="0"/>
          <w:w w:val="100"/>
          <w:position w:val="0"/>
          <w:sz w:val="18"/>
          <w:szCs w:val="18"/>
        </w:rPr>
        <w:t>1,051.62</w:t>
      </w:r>
      <w:r>
        <w:rPr>
          <w:color w:val="000000"/>
          <w:spacing w:val="0"/>
          <w:w w:val="100"/>
          <w:position w:val="0"/>
        </w:rPr>
        <w:t>万元。</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根据《债务重组协议》，公司以应收伟龙金溢的债务评估值</w:t>
      </w:r>
      <w:r>
        <w:rPr>
          <w:rFonts w:ascii="Times New Roman" w:eastAsia="Times New Roman" w:hAnsi="Times New Roman" w:cs="Times New Roman"/>
          <w:color w:val="000000"/>
          <w:spacing w:val="0"/>
          <w:w w:val="100"/>
          <w:position w:val="0"/>
          <w:sz w:val="18"/>
          <w:szCs w:val="18"/>
        </w:rPr>
        <w:t>1,051.62</w:t>
      </w:r>
      <w:r>
        <w:rPr>
          <w:color w:val="000000"/>
          <w:spacing w:val="0"/>
          <w:w w:val="100"/>
          <w:position w:val="0"/>
        </w:rPr>
        <w:t>万元取整金额</w:t>
      </w:r>
      <w:r>
        <w:rPr>
          <w:rFonts w:ascii="Times New Roman" w:eastAsia="Times New Roman" w:hAnsi="Times New Roman" w:cs="Times New Roman"/>
          <w:color w:val="000000"/>
          <w:spacing w:val="0"/>
          <w:w w:val="100"/>
          <w:position w:val="0"/>
          <w:sz w:val="18"/>
          <w:szCs w:val="18"/>
        </w:rPr>
        <w:t>1,060.00</w:t>
      </w:r>
      <w:r>
        <w:rPr>
          <w:color w:val="000000"/>
          <w:spacing w:val="0"/>
          <w:w w:val="100"/>
          <w:position w:val="0"/>
        </w:rPr>
        <w:t>万元要求伟龙金溢偿还债务， 将债务重组后的应收款项</w:t>
      </w:r>
      <w:r>
        <w:rPr>
          <w:rFonts w:ascii="Times New Roman" w:eastAsia="Times New Roman" w:hAnsi="Times New Roman" w:cs="Times New Roman"/>
          <w:color w:val="000000"/>
          <w:spacing w:val="0"/>
          <w:w w:val="100"/>
          <w:position w:val="0"/>
          <w:sz w:val="18"/>
          <w:szCs w:val="18"/>
        </w:rPr>
        <w:t>1,060.00</w:t>
      </w:r>
      <w:r>
        <w:rPr>
          <w:color w:val="000000"/>
          <w:spacing w:val="0"/>
          <w:w w:val="100"/>
          <w:position w:val="0"/>
        </w:rPr>
        <w:t>万元转入其他应收款。</w:t>
      </w:r>
    </w:p>
    <w:p>
      <w:pPr>
        <w:pStyle w:val="Style34"/>
        <w:keepNext w:val="0"/>
        <w:keepLines w:val="0"/>
        <w:widowControl w:val="0"/>
        <w:shd w:val="clear" w:color="auto" w:fill="auto"/>
        <w:bidi w:val="0"/>
        <w:spacing w:before="0" w:after="40" w:line="310" w:lineRule="exact"/>
        <w:ind w:left="0" w:right="0"/>
        <w:jc w:val="both"/>
      </w:pPr>
      <w:r>
        <w:rPr>
          <w:color w:val="000000"/>
          <w:spacing w:val="0"/>
          <w:w w:val="100"/>
          <w:position w:val="0"/>
        </w:rPr>
        <w:t>本次股权转让及债务重组产生处置子公司的投资收益为</w:t>
      </w:r>
      <w:r>
        <w:rPr>
          <w:rFonts w:ascii="Times New Roman" w:eastAsia="Times New Roman" w:hAnsi="Times New Roman" w:cs="Times New Roman"/>
          <w:color w:val="000000"/>
          <w:spacing w:val="0"/>
          <w:w w:val="100"/>
          <w:position w:val="0"/>
          <w:sz w:val="18"/>
          <w:szCs w:val="18"/>
        </w:rPr>
        <w:t>-2,582,881.73</w:t>
      </w:r>
      <w:r>
        <w:rPr>
          <w:color w:val="000000"/>
          <w:spacing w:val="0"/>
          <w:w w:val="100"/>
          <w:position w:val="0"/>
        </w:rPr>
        <w:t>元，其中，处置价款与处置投资对应的合并财务报 表层面享有该子公司净资产份额的差额为</w:t>
      </w:r>
      <w:r>
        <w:rPr>
          <w:rFonts w:ascii="Times New Roman" w:eastAsia="Times New Roman" w:hAnsi="Times New Roman" w:cs="Times New Roman"/>
          <w:color w:val="000000"/>
          <w:spacing w:val="0"/>
          <w:w w:val="100"/>
          <w:position w:val="0"/>
          <w:sz w:val="18"/>
          <w:szCs w:val="18"/>
        </w:rPr>
        <w:t>13,204,012.54</w:t>
      </w:r>
      <w:r>
        <w:rPr>
          <w:color w:val="000000"/>
          <w:spacing w:val="0"/>
          <w:w w:val="100"/>
          <w:position w:val="0"/>
        </w:rPr>
        <w:t>元，与原子公司股权投资相关的资本公积变动转入投资损益的金额 为</w:t>
      </w:r>
      <w:r>
        <w:rPr>
          <w:rFonts w:ascii="Times New Roman" w:eastAsia="Times New Roman" w:hAnsi="Times New Roman" w:cs="Times New Roman"/>
          <w:color w:val="000000"/>
          <w:spacing w:val="0"/>
          <w:w w:val="100"/>
          <w:position w:val="0"/>
          <w:sz w:val="18"/>
          <w:szCs w:val="18"/>
        </w:rPr>
        <w:t>2,109,493.35</w:t>
      </w:r>
      <w:r>
        <w:rPr>
          <w:color w:val="000000"/>
          <w:spacing w:val="0"/>
          <w:w w:val="100"/>
          <w:position w:val="0"/>
        </w:rPr>
        <w:t>元，债务重组投资收益为</w:t>
      </w:r>
      <w:r>
        <w:rPr>
          <w:rFonts w:ascii="Times New Roman" w:eastAsia="Times New Roman" w:hAnsi="Times New Roman" w:cs="Times New Roman"/>
          <w:color w:val="000000"/>
          <w:spacing w:val="0"/>
          <w:w w:val="100"/>
          <w:position w:val="0"/>
          <w:sz w:val="18"/>
          <w:szCs w:val="18"/>
        </w:rPr>
        <w:t>-17,896,387.62</w:t>
      </w:r>
      <w:r>
        <w:rPr>
          <w:color w:val="000000"/>
          <w:spacing w:val="0"/>
          <w:w w:val="100"/>
          <w:position w:val="0"/>
        </w:rPr>
        <w:t>元。</w:t>
      </w:r>
    </w:p>
    <w:p>
      <w:pPr>
        <w:pStyle w:val="Style34"/>
        <w:keepNext w:val="0"/>
        <w:keepLines w:val="0"/>
        <w:widowControl w:val="0"/>
        <w:shd w:val="clear" w:color="auto" w:fill="auto"/>
        <w:bidi w:val="0"/>
        <w:spacing w:before="0" w:after="140" w:line="310" w:lineRule="exact"/>
        <w:ind w:left="0" w:right="0" w:firstLine="0"/>
        <w:jc w:val="both"/>
      </w:pPr>
      <w:r>
        <w:rPr>
          <w:color w:val="000000"/>
          <w:spacing w:val="0"/>
          <w:w w:val="100"/>
          <w:position w:val="0"/>
        </w:rPr>
        <w:t>是否存在通过多次交易分步处置对子公司投资且在本期丧失控制权的情形</w:t>
      </w:r>
    </w:p>
    <w:p>
      <w:pPr>
        <w:pStyle w:val="Style34"/>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both"/>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5</w:t>
      </w:r>
      <w:bookmarkEnd w:id="1815"/>
      <w:r>
        <w:rPr>
          <w:color w:val="000000"/>
          <w:spacing w:val="0"/>
          <w:w w:val="100"/>
          <w:position w:val="0"/>
        </w:rPr>
        <w:t>、其他原因的合并范围变动</w:t>
      </w:r>
      <w:bookmarkEnd w:id="1813"/>
      <w:bookmarkEnd w:id="1814"/>
      <w:bookmarkEnd w:id="181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1939"/>
        <w:gridCol w:w="1934"/>
        <w:gridCol w:w="1930"/>
        <w:gridCol w:w="1934"/>
        <w:gridCol w:w="1939"/>
      </w:tblGrid>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股权取得方式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福建金溢科技有限公司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6</w:t>
      </w:r>
      <w:bookmarkEnd w:id="1819"/>
      <w:r>
        <w:rPr>
          <w:color w:val="000000"/>
          <w:spacing w:val="0"/>
          <w:w w:val="100"/>
          <w:position w:val="0"/>
        </w:rPr>
        <w:t>、其他</w:t>
      </w:r>
      <w:bookmarkEnd w:id="1817"/>
      <w:bookmarkEnd w:id="1818"/>
      <w:bookmarkEnd w:id="1820"/>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both"/>
      </w:pPr>
      <w:bookmarkStart w:id="1821" w:name="bookmark1821"/>
      <w:bookmarkStart w:id="1822" w:name="bookmark1822"/>
      <w:bookmarkStart w:id="1823" w:name="bookmark1823"/>
      <w:bookmarkStart w:id="1824" w:name="bookmark1824"/>
      <w:r>
        <w:rPr>
          <w:color w:val="000000"/>
          <w:spacing w:val="0"/>
          <w:w w:val="100"/>
          <w:position w:val="0"/>
          <w:sz w:val="24"/>
          <w:szCs w:val="24"/>
        </w:rPr>
        <w:t>九</w:t>
      </w:r>
      <w:bookmarkEnd w:id="1823"/>
      <w:r>
        <w:rPr>
          <w:color w:val="000000"/>
          <w:spacing w:val="0"/>
          <w:w w:val="100"/>
          <w:position w:val="0"/>
          <w:sz w:val="24"/>
          <w:szCs w:val="24"/>
        </w:rPr>
        <w:t>、在其他主体中的权益</w:t>
      </w:r>
      <w:bookmarkEnd w:id="1821"/>
      <w:bookmarkEnd w:id="1822"/>
      <w:bookmarkEnd w:id="1824"/>
    </w:p>
    <w:p>
      <w:pPr>
        <w:pStyle w:val="Style37"/>
        <w:keepNext/>
        <w:keepLines/>
        <w:widowControl w:val="0"/>
        <w:shd w:val="clear" w:color="auto" w:fill="auto"/>
        <w:bidi w:val="0"/>
        <w:spacing w:before="0" w:line="240" w:lineRule="auto"/>
        <w:ind w:left="0" w:right="0" w:firstLine="0"/>
        <w:jc w:val="both"/>
      </w:pPr>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25"/>
      <w:bookmarkEnd w:id="1826"/>
      <w:bookmarkEnd w:id="1827"/>
    </w:p>
    <w:p>
      <w:pPr>
        <w:pStyle w:val="Style71"/>
        <w:keepNext/>
        <w:keepLines/>
        <w:widowControl w:val="0"/>
        <w:shd w:val="clear" w:color="auto" w:fill="auto"/>
        <w:bidi w:val="0"/>
        <w:spacing w:before="0" w:after="320" w:line="240" w:lineRule="auto"/>
        <w:ind w:left="0" w:right="0" w:firstLine="140"/>
        <w:jc w:val="both"/>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8"/>
      <w:bookmarkEnd w:id="1829"/>
      <w:bookmarkEnd w:id="183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北京中交金溢科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青岛金溢科技有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广东华信金溢信 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佛山金溢科技有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无锡金溢科技有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福建金溢科技有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p>
      <w:pPr>
        <w:pStyle w:val="Style71"/>
        <w:keepNext/>
        <w:keepLines/>
        <w:widowControl w:val="0"/>
        <w:shd w:val="clear" w:color="auto" w:fill="auto"/>
        <w:bidi w:val="0"/>
        <w:spacing w:before="0" w:after="380" w:line="240" w:lineRule="auto"/>
        <w:ind w:left="0" w:right="0" w:firstLine="140"/>
        <w:jc w:val="left"/>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31"/>
      <w:bookmarkEnd w:id="1832"/>
      <w:bookmarkEnd w:id="183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广东华信金溢信息技术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97,138.69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-2,051,877.17</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1"/>
        <w:keepNext/>
        <w:keepLines/>
        <w:widowControl w:val="0"/>
        <w:numPr>
          <w:ilvl w:val="0"/>
          <w:numId w:val="119"/>
        </w:numPr>
        <w:shd w:val="clear" w:color="auto" w:fill="auto"/>
        <w:bidi w:val="0"/>
        <w:spacing w:before="0" w:after="380" w:line="240" w:lineRule="auto"/>
        <w:ind w:left="0" w:right="0" w:firstLine="140"/>
        <w:jc w:val="left"/>
      </w:pPr>
      <w:bookmarkStart w:id="1834" w:name="bookmark1834"/>
      <w:bookmarkStart w:id="1835" w:name="bookmark1835"/>
      <w:bookmarkStart w:id="1836" w:name="bookmark1836"/>
      <w:bookmarkStart w:id="1837" w:name="bookmark1837"/>
      <w:bookmarkEnd w:id="1836"/>
      <w:r>
        <w:rPr>
          <w:color w:val="000000"/>
          <w:spacing w:val="0"/>
          <w:w w:val="100"/>
          <w:position w:val="0"/>
        </w:rPr>
        <w:t>重要非全资子公司的主要财务信息</w:t>
      </w:r>
      <w:bookmarkEnd w:id="1834"/>
      <w:bookmarkEnd w:id="1835"/>
      <w:bookmarkEnd w:id="183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广东华 信金溢 信息技 术有限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2,498.53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7,077,93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7,077,93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广东华信金 溢信息技术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334,960.99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334,960.99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-22,031.49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-187,371.09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-187,371.09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-5,748.34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1"/>
        <w:keepNext/>
        <w:keepLines/>
        <w:widowControl w:val="0"/>
        <w:numPr>
          <w:ilvl w:val="0"/>
          <w:numId w:val="119"/>
        </w:numPr>
        <w:shd w:val="clear" w:color="auto" w:fill="auto"/>
        <w:tabs>
          <w:tab w:pos="493" w:val="left"/>
        </w:tabs>
        <w:bidi w:val="0"/>
        <w:spacing w:before="0" w:after="380" w:line="240" w:lineRule="auto"/>
        <w:ind w:left="0" w:right="0" w:firstLine="0"/>
        <w:jc w:val="left"/>
      </w:pPr>
      <w:bookmarkStart w:id="1838" w:name="bookmark1838"/>
      <w:bookmarkStart w:id="1839" w:name="bookmark1839"/>
      <w:bookmarkStart w:id="1840" w:name="bookmark1840"/>
      <w:bookmarkStart w:id="1841" w:name="bookmark1841"/>
      <w:bookmarkEnd w:id="1840"/>
      <w:r>
        <w:rPr>
          <w:color w:val="000000"/>
          <w:spacing w:val="0"/>
          <w:w w:val="100"/>
          <w:position w:val="0"/>
        </w:rPr>
        <w:t>使用企业集团资产和清偿企业集团债务的重大限制</w:t>
      </w:r>
      <w:bookmarkEnd w:id="1838"/>
      <w:bookmarkEnd w:id="1839"/>
      <w:bookmarkEnd w:id="184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numPr>
          <w:ilvl w:val="0"/>
          <w:numId w:val="119"/>
        </w:numPr>
        <w:shd w:val="clear" w:color="auto" w:fill="auto"/>
        <w:tabs>
          <w:tab w:pos="493" w:val="left"/>
        </w:tabs>
        <w:bidi w:val="0"/>
        <w:spacing w:before="0" w:after="380" w:line="240" w:lineRule="auto"/>
        <w:ind w:left="0" w:right="0" w:firstLine="0"/>
        <w:jc w:val="left"/>
      </w:pPr>
      <w:bookmarkStart w:id="1842" w:name="bookmark1842"/>
      <w:bookmarkStart w:id="1843" w:name="bookmark1843"/>
      <w:bookmarkStart w:id="1844" w:name="bookmark1844"/>
      <w:bookmarkStart w:id="1845" w:name="bookmark1845"/>
      <w:bookmarkEnd w:id="1844"/>
      <w:r>
        <w:rPr>
          <w:color w:val="000000"/>
          <w:spacing w:val="0"/>
          <w:w w:val="100"/>
          <w:position w:val="0"/>
        </w:rPr>
        <w:t>向纳入合并财务报表范围的结构化主体提供的财务支持或其他支持</w:t>
      </w:r>
      <w:bookmarkEnd w:id="1842"/>
      <w:bookmarkEnd w:id="1843"/>
      <w:bookmarkEnd w:id="184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bookmarkEnd w:id="1848"/>
      <w:r>
        <w:rPr>
          <w:color w:val="000000"/>
          <w:spacing w:val="0"/>
          <w:w w:val="100"/>
          <w:position w:val="0"/>
        </w:rPr>
        <w:t>、在子公司的所有者权益份额发生变化且仍控制子公司的交易</w:t>
      </w:r>
      <w:bookmarkEnd w:id="1846"/>
      <w:bookmarkEnd w:id="1847"/>
      <w:bookmarkEnd w:id="1849"/>
      <w:r>
        <w:br w:type="page"/>
      </w:r>
    </w:p>
    <w:p>
      <w:pPr>
        <w:pStyle w:val="Style37"/>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3</w:t>
      </w:r>
      <w:bookmarkEnd w:id="1852"/>
      <w:r>
        <w:rPr>
          <w:color w:val="000000"/>
          <w:spacing w:val="0"/>
          <w:w w:val="100"/>
          <w:position w:val="0"/>
        </w:rPr>
        <w:t>、在合营安排或联营企业中的权益</w:t>
      </w:r>
      <w:bookmarkEnd w:id="1850"/>
      <w:bookmarkEnd w:id="1851"/>
      <w:bookmarkEnd w:id="1853"/>
    </w:p>
    <w:p>
      <w:pPr>
        <w:pStyle w:val="Style71"/>
        <w:keepNext/>
        <w:keepLines/>
        <w:widowControl w:val="0"/>
        <w:shd w:val="clear" w:color="auto" w:fill="auto"/>
        <w:bidi w:val="0"/>
        <w:spacing w:before="0" w:after="320" w:line="240" w:lineRule="auto"/>
        <w:ind w:left="0" w:right="0" w:firstLine="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54"/>
      <w:bookmarkEnd w:id="1855"/>
      <w:bookmarkEnd w:id="185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山东高速信威信 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深圳宝溢交通科 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pStyle w:val="Style34"/>
        <w:keepNext w:val="0"/>
        <w:keepLines w:val="0"/>
        <w:widowControl w:val="0"/>
        <w:shd w:val="clear" w:color="auto" w:fill="auto"/>
        <w:bidi w:val="0"/>
        <w:spacing w:before="0" w:after="0" w:line="370" w:lineRule="exact"/>
        <w:ind w:left="0" w:right="0" w:firstLine="0"/>
        <w:jc w:val="left"/>
      </w:pPr>
      <w:r>
        <w:rPr>
          <w:color w:val="000000"/>
          <w:spacing w:val="0"/>
          <w:w w:val="100"/>
          <w:position w:val="0"/>
        </w:rPr>
        <w:t>在合营企业或联营企业的持股比例不同于表决权比例的说明：</w:t>
      </w:r>
    </w:p>
    <w:p>
      <w:pPr>
        <w:pStyle w:val="Style34"/>
        <w:keepNext w:val="0"/>
        <w:keepLines w:val="0"/>
        <w:widowControl w:val="0"/>
        <w:shd w:val="clear" w:color="auto" w:fill="auto"/>
        <w:bidi w:val="0"/>
        <w:spacing w:before="0" w:after="0" w:line="370" w:lineRule="exact"/>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p>
    <w:p>
      <w:pPr>
        <w:pStyle w:val="Style71"/>
        <w:keepNext/>
        <w:keepLines/>
        <w:widowControl w:val="0"/>
        <w:numPr>
          <w:ilvl w:val="0"/>
          <w:numId w:val="121"/>
        </w:numPr>
        <w:shd w:val="clear" w:color="auto" w:fill="auto"/>
        <w:tabs>
          <w:tab w:pos="493" w:val="left"/>
        </w:tabs>
        <w:bidi w:val="0"/>
        <w:spacing w:before="0" w:after="24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重要合营企业的主要财务信息</w:t>
      </w:r>
      <w:bookmarkEnd w:id="1857"/>
      <w:bookmarkEnd w:id="1858"/>
      <w:bookmarkEnd w:id="1860"/>
    </w:p>
    <w:p>
      <w:pPr>
        <w:pStyle w:val="Style34"/>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无</w:t>
      </w:r>
    </w:p>
    <w:p>
      <w:pPr>
        <w:pStyle w:val="Style71"/>
        <w:keepNext/>
        <w:keepLines/>
        <w:widowControl w:val="0"/>
        <w:numPr>
          <w:ilvl w:val="0"/>
          <w:numId w:val="121"/>
        </w:numPr>
        <w:shd w:val="clear" w:color="auto" w:fill="auto"/>
        <w:tabs>
          <w:tab w:pos="493" w:val="left"/>
        </w:tabs>
        <w:bidi w:val="0"/>
        <w:spacing w:before="0" w:after="38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重要联营企业的主要财务信息</w:t>
      </w:r>
      <w:bookmarkEnd w:id="1861"/>
      <w:bookmarkEnd w:id="1862"/>
      <w:bookmarkEnd w:id="18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山东高速信威信息科技 有限公司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深圳宝溢交通科技有限 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山东高速信威信息科技 有限公司</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深圳宝溢交通科技有限 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141,368,852.86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30,293,394.57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128,578,362.63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29,955,154.40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567,888.77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261,671.67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11,211.40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141,936,741.63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30,308,342.26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128,840,034.30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29,966,365.80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119,331,936.69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158,353.53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112,239,519.79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119,331,936.69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158,353.53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112,239,519.79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22,604,804.94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30,149,988.73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16,600,514.51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29,966,365.80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5,538,177.21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14,773,494.48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4,067,126.05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14,683,519.24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-3,412,921.39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-31,049.90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-275,917.33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-3,412,921.39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-31,049.90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-275,917.33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2,125,255.82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14,742,444.58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3,791,208.72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14,683,519.24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42,935,656.72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2,318,670.65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62,948,143.11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6,004,290.43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4,067,809.67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-33,634.20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6,004,290.43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4,067,809.67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-33,634.20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65"/>
      <w:bookmarkEnd w:id="1866"/>
      <w:bookmarkEnd w:id="186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69"/>
      <w:bookmarkEnd w:id="1870"/>
      <w:bookmarkEnd w:id="187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73"/>
      <w:bookmarkEnd w:id="1874"/>
      <w:bookmarkEnd w:id="187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77"/>
      <w:bookmarkEnd w:id="1878"/>
      <w:bookmarkEnd w:id="188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81"/>
      <w:bookmarkEnd w:id="1882"/>
      <w:bookmarkEnd w:id="188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4</w:t>
      </w:r>
      <w:bookmarkEnd w:id="1887"/>
      <w:r>
        <w:rPr>
          <w:color w:val="000000"/>
          <w:spacing w:val="0"/>
          <w:w w:val="100"/>
          <w:position w:val="0"/>
        </w:rPr>
        <w:t>、</w:t>
        <w:tab/>
        <w:t>重要的共同经营</w:t>
      </w:r>
      <w:bookmarkEnd w:id="1885"/>
      <w:bookmarkEnd w:id="1886"/>
      <w:bookmarkEnd w:id="188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5</w:t>
      </w:r>
      <w:bookmarkEnd w:id="1891"/>
      <w:r>
        <w:rPr>
          <w:color w:val="000000"/>
          <w:spacing w:val="0"/>
          <w:w w:val="100"/>
          <w:position w:val="0"/>
        </w:rPr>
        <w:t>、</w:t>
        <w:tab/>
        <w:t>在未纳入合并财务报表范围的结构化主体中的权益</w:t>
      </w:r>
      <w:bookmarkEnd w:id="1889"/>
      <w:bookmarkEnd w:id="1890"/>
      <w:bookmarkEnd w:id="189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26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6</w:t>
      </w:r>
      <w:bookmarkEnd w:id="1895"/>
      <w:r>
        <w:rPr>
          <w:color w:val="000000"/>
          <w:spacing w:val="0"/>
          <w:w w:val="100"/>
          <w:position w:val="0"/>
        </w:rPr>
        <w:t>、其他</w:t>
      </w:r>
      <w:bookmarkEnd w:id="1893"/>
      <w:bookmarkEnd w:id="1894"/>
      <w:bookmarkEnd w:id="1896"/>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60" w:line="240" w:lineRule="auto"/>
        <w:ind w:left="0" w:right="0" w:firstLine="0"/>
        <w:jc w:val="left"/>
      </w:pPr>
      <w:bookmarkStart w:id="1897" w:name="bookmark1897"/>
      <w:bookmarkStart w:id="1898" w:name="bookmark1898"/>
      <w:bookmarkStart w:id="1899" w:name="bookmark1899"/>
      <w:r>
        <w:rPr>
          <w:color w:val="000000"/>
          <w:spacing w:val="0"/>
          <w:w w:val="100"/>
          <w:position w:val="0"/>
          <w:sz w:val="24"/>
          <w:szCs w:val="24"/>
        </w:rPr>
        <w:t>十、与金融工具相关的风险</w:t>
      </w:r>
      <w:bookmarkEnd w:id="1897"/>
      <w:bookmarkEnd w:id="1898"/>
      <w:bookmarkEnd w:id="1899"/>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本公司在日常活动中面临各种与金融工具相关的风险，主要包括信用风险、流动性风险及市场风险。管理层已审议并 批准管理这些风险的政策，概括如下。</w:t>
      </w:r>
    </w:p>
    <w:p>
      <w:pPr>
        <w:pStyle w:val="Style34"/>
        <w:keepNext w:val="0"/>
        <w:keepLines w:val="0"/>
        <w:widowControl w:val="0"/>
        <w:shd w:val="clear" w:color="auto" w:fill="auto"/>
        <w:bidi w:val="0"/>
        <w:spacing w:before="0" w:after="0" w:line="312" w:lineRule="exact"/>
        <w:ind w:left="0" w:right="0" w:firstLine="440"/>
        <w:jc w:val="left"/>
      </w:pPr>
      <w:bookmarkStart w:id="1900" w:name="bookmark1900"/>
      <w:r>
        <w:rPr>
          <w:rFonts w:ascii="Times New Roman" w:eastAsia="Times New Roman" w:hAnsi="Times New Roman" w:cs="Times New Roman"/>
          <w:color w:val="000000"/>
          <w:spacing w:val="0"/>
          <w:w w:val="100"/>
          <w:position w:val="0"/>
          <w:sz w:val="18"/>
          <w:szCs w:val="18"/>
        </w:rPr>
        <w:t>（</w:t>
      </w:r>
      <w:bookmarkEnd w:id="1900"/>
      <w:r>
        <w:rPr>
          <w:color w:val="000000"/>
          <w:spacing w:val="0"/>
          <w:w w:val="100"/>
          <w:position w:val="0"/>
        </w:rPr>
        <w:t>一</w:t>
      </w:r>
      <w:r>
        <w:rPr>
          <w:color w:val="000000"/>
          <w:spacing w:val="0"/>
          <w:w w:val="100"/>
          <w:position w:val="0"/>
          <w:sz w:val="18"/>
          <w:szCs w:val="18"/>
        </w:rPr>
        <w:t>）</w:t>
      </w:r>
      <w:r>
        <w:rPr>
          <w:color w:val="000000"/>
          <w:spacing w:val="0"/>
          <w:w w:val="100"/>
          <w:position w:val="0"/>
        </w:rPr>
        <w:t>信用风险</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信用风险，是指金融工具的一方不能履行义务，造成另一方发生财务损失的风险。</w:t>
      </w:r>
    </w:p>
    <w:p>
      <w:pPr>
        <w:pStyle w:val="Style34"/>
        <w:keepNext w:val="0"/>
        <w:keepLines w:val="0"/>
        <w:widowControl w:val="0"/>
        <w:numPr>
          <w:ilvl w:val="0"/>
          <w:numId w:val="123"/>
        </w:numPr>
        <w:shd w:val="clear" w:color="auto" w:fill="auto"/>
        <w:tabs>
          <w:tab w:pos="741" w:val="left"/>
        </w:tabs>
        <w:bidi w:val="0"/>
        <w:spacing w:before="0" w:after="0" w:line="312" w:lineRule="exact"/>
        <w:ind w:left="0" w:right="0" w:firstLine="440"/>
        <w:jc w:val="left"/>
      </w:pPr>
      <w:bookmarkStart w:id="1901" w:name="bookmark1901"/>
      <w:bookmarkEnd w:id="1901"/>
      <w:r>
        <w:rPr>
          <w:color w:val="000000"/>
          <w:spacing w:val="0"/>
          <w:w w:val="100"/>
          <w:position w:val="0"/>
        </w:rPr>
        <w:t>信用风险管理实务</w:t>
      </w:r>
    </w:p>
    <w:p>
      <w:pPr>
        <w:pStyle w:val="Style34"/>
        <w:keepNext w:val="0"/>
        <w:keepLines w:val="0"/>
        <w:widowControl w:val="0"/>
        <w:shd w:val="clear" w:color="auto" w:fill="auto"/>
        <w:tabs>
          <w:tab w:pos="842" w:val="left"/>
        </w:tabs>
        <w:bidi w:val="0"/>
        <w:spacing w:before="0" w:after="0" w:line="312" w:lineRule="exact"/>
        <w:ind w:left="0" w:right="0" w:firstLine="440"/>
        <w:jc w:val="left"/>
      </w:pPr>
      <w:bookmarkStart w:id="1902" w:name="bookmark1902"/>
      <w:r>
        <w:rPr>
          <w:rFonts w:ascii="Times New Roman" w:eastAsia="Times New Roman" w:hAnsi="Times New Roman" w:cs="Times New Roman"/>
          <w:color w:val="000000"/>
          <w:spacing w:val="0"/>
          <w:w w:val="100"/>
          <w:position w:val="0"/>
          <w:sz w:val="18"/>
          <w:szCs w:val="18"/>
        </w:rPr>
        <w:t>（</w:t>
      </w:r>
      <w:bookmarkEnd w:id="190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信用风险的评价方法</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公司在每个资产负债表日评估相关金融工具的信用风险自初始确认后是否已显著增加。在确定信用风险自初始确认后 是否显著增加时，公司考虑在无须付出不必要的额外成本或努力即可获得合理且有依据的信息，包括基于历史数据的定性和 定量分析、外部信用风险评级以及前瞻性信息。公司以单项金融工具或者具有相似信用风险特征的金融工具组合为基础，通 过比较金融工具在资产负债表日发生违约的风险与在初始确认日发生违约的风险，以确定金融工具预计存续期内发生违约风 险的变化情况。</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34"/>
        <w:keepNext w:val="0"/>
        <w:keepLines w:val="0"/>
        <w:widowControl w:val="0"/>
        <w:shd w:val="clear" w:color="auto" w:fill="auto"/>
        <w:tabs>
          <w:tab w:pos="770" w:val="left"/>
        </w:tabs>
        <w:bidi w:val="0"/>
        <w:spacing w:before="0" w:after="0" w:line="312" w:lineRule="exact"/>
        <w:ind w:left="0" w:right="0" w:firstLine="440"/>
        <w:jc w:val="left"/>
      </w:pPr>
      <w:bookmarkStart w:id="1903" w:name="bookmark1903"/>
      <w:r>
        <w:rPr>
          <w:rFonts w:ascii="Times New Roman" w:eastAsia="Times New Roman" w:hAnsi="Times New Roman" w:cs="Times New Roman"/>
          <w:color w:val="000000"/>
          <w:spacing w:val="0"/>
          <w:w w:val="100"/>
          <w:position w:val="0"/>
          <w:sz w:val="18"/>
          <w:szCs w:val="18"/>
        </w:rPr>
        <w:t>1</w:t>
      </w:r>
      <w:bookmarkEnd w:id="19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34"/>
        <w:keepNext w:val="0"/>
        <w:keepLines w:val="0"/>
        <w:widowControl w:val="0"/>
        <w:shd w:val="clear" w:color="auto" w:fill="auto"/>
        <w:tabs>
          <w:tab w:pos="766" w:val="left"/>
        </w:tabs>
        <w:bidi w:val="0"/>
        <w:spacing w:before="0" w:after="0" w:line="312" w:lineRule="exact"/>
        <w:ind w:left="0" w:right="0" w:firstLine="440"/>
        <w:jc w:val="left"/>
      </w:pPr>
      <w:bookmarkStart w:id="1904" w:name="bookmark1904"/>
      <w:r>
        <w:rPr>
          <w:rFonts w:ascii="Times New Roman" w:eastAsia="Times New Roman" w:hAnsi="Times New Roman" w:cs="Times New Roman"/>
          <w:color w:val="000000"/>
          <w:spacing w:val="0"/>
          <w:w w:val="100"/>
          <w:position w:val="0"/>
          <w:sz w:val="18"/>
          <w:szCs w:val="18"/>
        </w:rPr>
        <w:t>2</w:t>
      </w:r>
      <w:bookmarkEnd w:id="19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34"/>
        <w:keepNext w:val="0"/>
        <w:keepLines w:val="0"/>
        <w:widowControl w:val="0"/>
        <w:shd w:val="clear" w:color="auto" w:fill="auto"/>
        <w:tabs>
          <w:tab w:pos="842" w:val="left"/>
        </w:tabs>
        <w:bidi w:val="0"/>
        <w:spacing w:before="0" w:after="0" w:line="312" w:lineRule="exact"/>
        <w:ind w:left="0" w:right="0" w:firstLine="440"/>
        <w:jc w:val="left"/>
      </w:pPr>
      <w:bookmarkStart w:id="1905" w:name="bookmark1905"/>
      <w:r>
        <w:rPr>
          <w:rFonts w:ascii="Times New Roman" w:eastAsia="Times New Roman" w:hAnsi="Times New Roman" w:cs="Times New Roman"/>
          <w:color w:val="000000"/>
          <w:spacing w:val="0"/>
          <w:w w:val="100"/>
          <w:position w:val="0"/>
          <w:sz w:val="18"/>
          <w:szCs w:val="18"/>
        </w:rPr>
        <w:t>（</w:t>
      </w:r>
      <w:bookmarkEnd w:id="1905"/>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违约和已发生信用减值资产的定义</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当金融工具符合以下一项或多项条件时，公司将该金融资产界定为已发生违约，其标准与已发生信用减值的定义一致:</w:t>
      </w:r>
    </w:p>
    <w:p>
      <w:pPr>
        <w:pStyle w:val="Style34"/>
        <w:keepNext w:val="0"/>
        <w:keepLines w:val="0"/>
        <w:widowControl w:val="0"/>
        <w:shd w:val="clear" w:color="auto" w:fill="auto"/>
        <w:tabs>
          <w:tab w:pos="770" w:val="left"/>
        </w:tabs>
        <w:bidi w:val="0"/>
        <w:spacing w:before="0" w:after="0" w:line="312" w:lineRule="exact"/>
        <w:ind w:left="0" w:right="0" w:firstLine="440"/>
        <w:jc w:val="left"/>
      </w:pPr>
      <w:bookmarkStart w:id="1906" w:name="bookmark1906"/>
      <w:r>
        <w:rPr>
          <w:rFonts w:ascii="Times New Roman" w:eastAsia="Times New Roman" w:hAnsi="Times New Roman" w:cs="Times New Roman"/>
          <w:color w:val="000000"/>
          <w:spacing w:val="0"/>
          <w:w w:val="100"/>
          <w:position w:val="0"/>
          <w:sz w:val="18"/>
          <w:szCs w:val="18"/>
        </w:rPr>
        <w:t>1</w:t>
      </w:r>
      <w:bookmarkEnd w:id="19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债务人发生重大财务困难；</w:t>
      </w:r>
    </w:p>
    <w:p>
      <w:pPr>
        <w:pStyle w:val="Style34"/>
        <w:keepNext w:val="0"/>
        <w:keepLines w:val="0"/>
        <w:widowControl w:val="0"/>
        <w:shd w:val="clear" w:color="auto" w:fill="auto"/>
        <w:tabs>
          <w:tab w:pos="789" w:val="left"/>
        </w:tabs>
        <w:bidi w:val="0"/>
        <w:spacing w:before="0" w:after="0" w:line="312" w:lineRule="exact"/>
        <w:ind w:left="0" w:right="0" w:firstLine="440"/>
        <w:jc w:val="left"/>
      </w:pPr>
      <w:bookmarkStart w:id="1907" w:name="bookmark1907"/>
      <w:r>
        <w:rPr>
          <w:rFonts w:ascii="Times New Roman" w:eastAsia="Times New Roman" w:hAnsi="Times New Roman" w:cs="Times New Roman"/>
          <w:color w:val="000000"/>
          <w:spacing w:val="0"/>
          <w:w w:val="100"/>
          <w:position w:val="0"/>
          <w:sz w:val="18"/>
          <w:szCs w:val="18"/>
        </w:rPr>
        <w:t>2</w:t>
      </w:r>
      <w:bookmarkEnd w:id="19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债务人违反合同中对债务人的约束条款；</w:t>
      </w:r>
    </w:p>
    <w:p>
      <w:pPr>
        <w:pStyle w:val="Style34"/>
        <w:keepNext w:val="0"/>
        <w:keepLines w:val="0"/>
        <w:widowControl w:val="0"/>
        <w:shd w:val="clear" w:color="auto" w:fill="auto"/>
        <w:tabs>
          <w:tab w:pos="789" w:val="left"/>
        </w:tabs>
        <w:bidi w:val="0"/>
        <w:spacing w:before="0" w:after="0" w:line="312" w:lineRule="exact"/>
        <w:ind w:left="0" w:right="0" w:firstLine="440"/>
        <w:jc w:val="left"/>
      </w:pPr>
      <w:bookmarkStart w:id="1908" w:name="bookmark1908"/>
      <w:r>
        <w:rPr>
          <w:rFonts w:ascii="Times New Roman" w:eastAsia="Times New Roman" w:hAnsi="Times New Roman" w:cs="Times New Roman"/>
          <w:color w:val="000000"/>
          <w:spacing w:val="0"/>
          <w:w w:val="100"/>
          <w:position w:val="0"/>
          <w:sz w:val="18"/>
          <w:szCs w:val="18"/>
        </w:rPr>
        <w:t>3</w:t>
      </w:r>
      <w:bookmarkEnd w:id="19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债务人很可能破产或进行其他财务重组；</w:t>
      </w:r>
    </w:p>
    <w:p>
      <w:pPr>
        <w:pStyle w:val="Style34"/>
        <w:keepNext w:val="0"/>
        <w:keepLines w:val="0"/>
        <w:widowControl w:val="0"/>
        <w:shd w:val="clear" w:color="auto" w:fill="auto"/>
        <w:tabs>
          <w:tab w:pos="789" w:val="left"/>
        </w:tabs>
        <w:bidi w:val="0"/>
        <w:spacing w:before="0" w:after="0" w:line="312" w:lineRule="exact"/>
        <w:ind w:left="0" w:right="0" w:firstLine="440"/>
        <w:jc w:val="left"/>
      </w:pPr>
      <w:bookmarkStart w:id="1909" w:name="bookmark1909"/>
      <w:r>
        <w:rPr>
          <w:rFonts w:ascii="Times New Roman" w:eastAsia="Times New Roman" w:hAnsi="Times New Roman" w:cs="Times New Roman"/>
          <w:color w:val="000000"/>
          <w:spacing w:val="0"/>
          <w:w w:val="100"/>
          <w:position w:val="0"/>
          <w:sz w:val="18"/>
          <w:szCs w:val="18"/>
        </w:rPr>
        <w:t>4</w:t>
      </w:r>
      <w:bookmarkEnd w:id="19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债权人出于与债务人财务困难有关的经济或合同考虑，给予债务人在任何其他情况下都不会做出的让步。</w:t>
      </w:r>
    </w:p>
    <w:p>
      <w:pPr>
        <w:pStyle w:val="Style34"/>
        <w:keepNext w:val="0"/>
        <w:keepLines w:val="0"/>
        <w:widowControl w:val="0"/>
        <w:numPr>
          <w:ilvl w:val="0"/>
          <w:numId w:val="123"/>
        </w:numPr>
        <w:shd w:val="clear" w:color="auto" w:fill="auto"/>
        <w:tabs>
          <w:tab w:pos="760" w:val="left"/>
        </w:tabs>
        <w:bidi w:val="0"/>
        <w:spacing w:before="0" w:after="0" w:line="312" w:lineRule="exact"/>
        <w:ind w:left="0" w:right="0" w:firstLine="440"/>
        <w:jc w:val="left"/>
      </w:pPr>
      <w:bookmarkStart w:id="1910" w:name="bookmark1910"/>
      <w:bookmarkEnd w:id="1910"/>
      <w:r>
        <w:rPr>
          <w:color w:val="000000"/>
          <w:spacing w:val="0"/>
          <w:w w:val="100"/>
          <w:position w:val="0"/>
        </w:rPr>
        <w:t>预期信用损失的计量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 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的定量分析及前瞻性信息，建立违约概率、违约损失率及违约风险敞口模型。</w:t>
      </w:r>
    </w:p>
    <w:p>
      <w:pPr>
        <w:pStyle w:val="Style34"/>
        <w:keepNext w:val="0"/>
        <w:keepLines w:val="0"/>
        <w:widowControl w:val="0"/>
        <w:numPr>
          <w:ilvl w:val="0"/>
          <w:numId w:val="123"/>
        </w:numPr>
        <w:shd w:val="clear" w:color="auto" w:fill="auto"/>
        <w:tabs>
          <w:tab w:pos="760" w:val="left"/>
        </w:tabs>
        <w:bidi w:val="0"/>
        <w:spacing w:before="0" w:after="0" w:line="312" w:lineRule="exact"/>
        <w:ind w:left="0" w:right="0" w:firstLine="440"/>
        <w:jc w:val="left"/>
      </w:pPr>
      <w:bookmarkStart w:id="1911" w:name="bookmark1911"/>
      <w:bookmarkEnd w:id="1911"/>
      <w:r>
        <w:rPr>
          <w:color w:val="000000"/>
          <w:spacing w:val="0"/>
          <w:w w:val="100"/>
          <w:position w:val="0"/>
        </w:rPr>
        <w:t>金融工具损失准备期初余额与期末余额调节表详见本财务报表附注七（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）之说明。</w:t>
      </w:r>
    </w:p>
    <w:p>
      <w:pPr>
        <w:pStyle w:val="Style34"/>
        <w:keepNext w:val="0"/>
        <w:keepLines w:val="0"/>
        <w:widowControl w:val="0"/>
        <w:numPr>
          <w:ilvl w:val="0"/>
          <w:numId w:val="123"/>
        </w:numPr>
        <w:shd w:val="clear" w:color="auto" w:fill="auto"/>
        <w:tabs>
          <w:tab w:pos="760" w:val="left"/>
        </w:tabs>
        <w:bidi w:val="0"/>
        <w:spacing w:before="0" w:after="0" w:line="312" w:lineRule="exact"/>
        <w:ind w:left="0" w:right="0" w:firstLine="440"/>
        <w:jc w:val="left"/>
      </w:pPr>
      <w:bookmarkStart w:id="1912" w:name="bookmark1912"/>
      <w:bookmarkEnd w:id="1912"/>
      <w:r>
        <w:rPr>
          <w:color w:val="000000"/>
          <w:spacing w:val="0"/>
          <w:w w:val="100"/>
          <w:position w:val="0"/>
        </w:rPr>
        <w:t>信用风险敞口及信用风险集中度</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本公司的信用风险主要来自货币资金和应收款项。为控制上述相关风险，本公司分别采取了以下措施。</w:t>
      </w:r>
    </w:p>
    <w:p>
      <w:pPr>
        <w:pStyle w:val="Style34"/>
        <w:keepNext w:val="0"/>
        <w:keepLines w:val="0"/>
        <w:widowControl w:val="0"/>
        <w:shd w:val="clear" w:color="auto" w:fill="auto"/>
        <w:tabs>
          <w:tab w:pos="786" w:val="left"/>
        </w:tabs>
        <w:bidi w:val="0"/>
        <w:spacing w:before="0" w:after="0" w:line="312" w:lineRule="exact"/>
        <w:ind w:left="0" w:right="0"/>
        <w:jc w:val="left"/>
      </w:pPr>
      <w:bookmarkStart w:id="1913" w:name="bookmark1913"/>
      <w:r>
        <w:rPr>
          <w:rFonts w:ascii="Times New Roman" w:eastAsia="Times New Roman" w:hAnsi="Times New Roman" w:cs="Times New Roman"/>
          <w:color w:val="000000"/>
          <w:spacing w:val="0"/>
          <w:w w:val="100"/>
          <w:position w:val="0"/>
          <w:sz w:val="18"/>
          <w:szCs w:val="18"/>
        </w:rPr>
        <w:t>（</w:t>
      </w:r>
      <w:bookmarkEnd w:id="191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货币资金</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本公司将银行存款和其他货币资金存放于信用评级较高的金融机构，故其信用风险较低。</w:t>
      </w:r>
    </w:p>
    <w:p>
      <w:pPr>
        <w:pStyle w:val="Style34"/>
        <w:keepNext w:val="0"/>
        <w:keepLines w:val="0"/>
        <w:widowControl w:val="0"/>
        <w:shd w:val="clear" w:color="auto" w:fill="auto"/>
        <w:tabs>
          <w:tab w:pos="786" w:val="left"/>
        </w:tabs>
        <w:bidi w:val="0"/>
        <w:spacing w:before="0" w:after="0" w:line="312" w:lineRule="exact"/>
        <w:ind w:left="0" w:right="0"/>
        <w:jc w:val="both"/>
      </w:pPr>
      <w:bookmarkStart w:id="1914" w:name="bookmark1914"/>
      <w:r>
        <w:rPr>
          <w:rFonts w:ascii="Times New Roman" w:eastAsia="Times New Roman" w:hAnsi="Times New Roman" w:cs="Times New Roman"/>
          <w:color w:val="000000"/>
          <w:spacing w:val="0"/>
          <w:w w:val="100"/>
          <w:position w:val="0"/>
          <w:sz w:val="18"/>
          <w:szCs w:val="18"/>
        </w:rPr>
        <w:t>（</w:t>
      </w:r>
      <w:bookmarkEnd w:id="191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应收款项</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Style34"/>
        <w:keepNext w:val="0"/>
        <w:keepLines w:val="0"/>
        <w:widowControl w:val="0"/>
        <w:shd w:val="clear" w:color="auto" w:fill="auto"/>
        <w:tabs>
          <w:tab w:pos="5974" w:val="left"/>
        </w:tabs>
        <w:bidi w:val="0"/>
        <w:spacing w:before="0" w:after="0" w:line="312" w:lineRule="exact"/>
        <w:ind w:left="0" w:right="0" w:firstLine="440"/>
        <w:jc w:val="both"/>
      </w:pPr>
      <w:r>
        <w:rPr>
          <w:color w:val="000000"/>
          <w:spacing w:val="0"/>
          <w:w w:val="100"/>
          <w:position w:val="0"/>
        </w:rPr>
        <w:t>由于本公司仅与经认可的且信用良好的第三方进行交易，所以无需担保物。信用风险集中按照客户进行管理。截至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日，本公司存在一定的信用集中风险，本公司应收账款的</w:t>
      </w:r>
      <w:r>
        <w:rPr>
          <w:rFonts w:ascii="Times New Roman" w:eastAsia="Times New Roman" w:hAnsi="Times New Roman" w:cs="Times New Roman"/>
          <w:color w:val="000000"/>
          <w:spacing w:val="0"/>
          <w:w w:val="100"/>
          <w:position w:val="0"/>
          <w:sz w:val="18"/>
          <w:szCs w:val="18"/>
        </w:rPr>
        <w:t>41.32%</w:t>
        <w:tab/>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64.59%</w:t>
      </w:r>
      <w:r>
        <w:rPr>
          <w:color w:val="000000"/>
          <w:spacing w:val="0"/>
          <w:w w:val="100"/>
          <w:position w:val="0"/>
        </w:rPr>
        <w:t>）源于余额前五名客</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户。本公司对应收账款余额未持有任何担保物或其他信用增级。</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本公司所承受的最大信用风险敞口为资产负债表中每项金融资产的账面价值。</w:t>
      </w:r>
    </w:p>
    <w:p>
      <w:pPr>
        <w:pStyle w:val="Style34"/>
        <w:keepNext w:val="0"/>
        <w:keepLines w:val="0"/>
        <w:widowControl w:val="0"/>
        <w:shd w:val="clear" w:color="auto" w:fill="auto"/>
        <w:bidi w:val="0"/>
        <w:spacing w:before="0" w:after="0" w:line="360" w:lineRule="auto"/>
        <w:ind w:left="0" w:right="0" w:firstLine="440"/>
        <w:jc w:val="both"/>
      </w:pPr>
      <w:bookmarkStart w:id="1915" w:name="bookmark1915"/>
      <w:r>
        <w:rPr>
          <w:rFonts w:ascii="Times New Roman" w:eastAsia="Times New Roman" w:hAnsi="Times New Roman" w:cs="Times New Roman"/>
          <w:color w:val="000000"/>
          <w:spacing w:val="0"/>
          <w:w w:val="100"/>
          <w:position w:val="0"/>
          <w:sz w:val="18"/>
          <w:szCs w:val="18"/>
        </w:rPr>
        <w:t>（</w:t>
      </w:r>
      <w:bookmarkEnd w:id="1915"/>
      <w:r>
        <w:rPr>
          <w:color w:val="000000"/>
          <w:spacing w:val="0"/>
          <w:w w:val="100"/>
          <w:position w:val="0"/>
        </w:rPr>
        <w:t>二</w:t>
      </w:r>
      <w:r>
        <w:rPr>
          <w:color w:val="000000"/>
          <w:spacing w:val="0"/>
          <w:w w:val="100"/>
          <w:position w:val="0"/>
          <w:sz w:val="18"/>
          <w:szCs w:val="18"/>
        </w:rPr>
        <w:t>）</w:t>
      </w:r>
      <w:r>
        <w:rPr>
          <w:color w:val="000000"/>
          <w:spacing w:val="0"/>
          <w:w w:val="100"/>
          <w:position w:val="0"/>
        </w:rPr>
        <w:t>流动性风险</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流动性风险，是指本公司在履行以交付现金或其他金融资产的方式结算的义务时发生资金短缺的风险。流动性风险可 能源于无法尽快以公允价值售出金融资产；或者源于对方无法偿还其合同债务；或者源于提前到期的债务；或者源于无法产 生预期的现金流量。</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为控制该项风险，本公司综合运用票据结算、银行借款等多种融资手段，并采取长、短期融资方式适当结合，优化融 资结构的方法，保持融资持续性与灵活性之间的平衡。本公司已从多家商业银行取得银行授信额度以满足营运资金需求和资 本开支。</w:t>
      </w:r>
    </w:p>
    <w:p>
      <w:pPr>
        <w:pStyle w:val="Style32"/>
        <w:keepNext w:val="0"/>
        <w:keepLines w:val="0"/>
        <w:widowControl w:val="0"/>
        <w:shd w:val="clear" w:color="auto" w:fill="auto"/>
        <w:bidi w:val="0"/>
        <w:spacing w:before="0" w:after="0" w:line="240" w:lineRule="auto"/>
        <w:ind w:left="422" w:right="0" w:firstLine="0"/>
        <w:jc w:val="left"/>
      </w:pPr>
      <w:r>
        <w:rPr>
          <w:color w:val="000000"/>
          <w:spacing w:val="0"/>
          <w:w w:val="100"/>
          <w:position w:val="0"/>
        </w:rPr>
        <w:t>金融负债按剩余到期日分类</w:t>
      </w:r>
    </w:p>
    <w:tbl>
      <w:tblPr>
        <w:tblOverlap w:val="never"/>
        <w:jc w:val="center"/>
        <w:tblLayout w:type="fixed"/>
      </w:tblPr>
      <w:tblGrid>
        <w:gridCol w:w="1440"/>
        <w:gridCol w:w="1824"/>
        <w:gridCol w:w="1824"/>
        <w:gridCol w:w="1829"/>
        <w:gridCol w:w="1373"/>
        <w:gridCol w:w="1387"/>
      </w:tblGrid>
      <w:tr>
        <w:trPr>
          <w:trHeight w:val="355"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未折现合同金额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130,000,042.68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145,672,895.00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64,425,590.88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340,098,528.56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340,098,528.56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340,098,528.56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418"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1440"/>
        <w:gridCol w:w="2122"/>
        <w:gridCol w:w="2026"/>
        <w:gridCol w:w="2030"/>
        <w:gridCol w:w="898"/>
        <w:gridCol w:w="1162"/>
      </w:tblGrid>
      <w:tr>
        <w:trPr>
          <w:trHeight w:val="341"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36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未折现合同金额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585,887,257.45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585,887,257.45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585,887,257.45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422,020,050.18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422,020,050.18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422,020,050.18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106,391,995.42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106,391,995.42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106,391,995.42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1,114,299,303.05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1,114,299,303.05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1,114,299,303.05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4"/>
        <w:keepNext w:val="0"/>
        <w:keepLines w:val="0"/>
        <w:widowControl w:val="0"/>
        <w:shd w:val="clear" w:color="auto" w:fill="auto"/>
        <w:bidi w:val="0"/>
        <w:spacing w:before="0" w:after="0" w:line="317" w:lineRule="exact"/>
        <w:ind w:left="0" w:right="0" w:firstLine="440"/>
        <w:jc w:val="both"/>
      </w:pPr>
      <w:bookmarkStart w:id="1916" w:name="bookmark1916"/>
      <w:r>
        <w:rPr>
          <w:rFonts w:ascii="Times New Roman" w:eastAsia="Times New Roman" w:hAnsi="Times New Roman" w:cs="Times New Roman"/>
          <w:color w:val="000000"/>
          <w:spacing w:val="0"/>
          <w:w w:val="100"/>
          <w:position w:val="0"/>
          <w:sz w:val="18"/>
          <w:szCs w:val="18"/>
        </w:rPr>
        <w:t>（</w:t>
      </w:r>
      <w:bookmarkEnd w:id="1916"/>
      <w:r>
        <w:rPr>
          <w:color w:val="000000"/>
          <w:spacing w:val="0"/>
          <w:w w:val="100"/>
          <w:position w:val="0"/>
        </w:rPr>
        <w:t>三</w:t>
      </w:r>
      <w:r>
        <w:rPr>
          <w:color w:val="000000"/>
          <w:spacing w:val="0"/>
          <w:w w:val="100"/>
          <w:position w:val="0"/>
          <w:sz w:val="18"/>
          <w:szCs w:val="18"/>
        </w:rPr>
        <w:t>）</w:t>
      </w:r>
      <w:r>
        <w:rPr>
          <w:color w:val="000000"/>
          <w:spacing w:val="0"/>
          <w:w w:val="100"/>
          <w:position w:val="0"/>
        </w:rPr>
        <w:t>市场风险</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市场风险，是指金融工具的公允价值或未来现金流量因市场价格变动而发生波动的风险。市场风险主要包括利率风险和 外汇风险。</w:t>
      </w:r>
    </w:p>
    <w:p>
      <w:pPr>
        <w:pStyle w:val="Style34"/>
        <w:keepNext w:val="0"/>
        <w:keepLines w:val="0"/>
        <w:widowControl w:val="0"/>
        <w:numPr>
          <w:ilvl w:val="0"/>
          <w:numId w:val="125"/>
        </w:numPr>
        <w:shd w:val="clear" w:color="auto" w:fill="auto"/>
        <w:tabs>
          <w:tab w:pos="661" w:val="left"/>
        </w:tabs>
        <w:bidi w:val="0"/>
        <w:spacing w:before="0" w:after="0" w:line="317" w:lineRule="exact"/>
        <w:ind w:left="0" w:right="0" w:firstLine="360"/>
        <w:jc w:val="both"/>
      </w:pPr>
      <w:bookmarkStart w:id="1917" w:name="bookmark1917"/>
      <w:bookmarkEnd w:id="1917"/>
      <w:r>
        <w:rPr>
          <w:color w:val="000000"/>
          <w:spacing w:val="0"/>
          <w:w w:val="100"/>
          <w:position w:val="0"/>
        </w:rPr>
        <w:t>利率风险</w:t>
      </w:r>
    </w:p>
    <w:p>
      <w:pPr>
        <w:pStyle w:val="Style34"/>
        <w:keepNext w:val="0"/>
        <w:keepLines w:val="0"/>
        <w:widowControl w:val="0"/>
        <w:shd w:val="clear" w:color="auto" w:fill="auto"/>
        <w:bidi w:val="0"/>
        <w:spacing w:before="0" w:after="0" w:line="295" w:lineRule="exact"/>
        <w:ind w:left="0" w:right="0" w:firstLine="360"/>
        <w:jc w:val="both"/>
      </w:pPr>
      <w:r>
        <w:rPr>
          <w:color w:val="000000"/>
          <w:spacing w:val="0"/>
          <w:w w:val="100"/>
          <w:position w:val="0"/>
        </w:rPr>
        <w:t>利率风险，是指金融工具的公允价值或未来现金流量因市场利率变动而发生波动的风险。固定利率的带息金融工具使本 公司面临公允价值利率风险，浮动利率的带息金融工具使本公司面临现金流量利率风险。本公司根据市场环境来决定固定利 率与浮动利率金融工具的比例，并通过定期审阅与监控维持适当的金融工具组合。</w:t>
      </w:r>
    </w:p>
    <w:p>
      <w:pPr>
        <w:pStyle w:val="Style34"/>
        <w:keepNext w:val="0"/>
        <w:keepLines w:val="0"/>
        <w:widowControl w:val="0"/>
        <w:numPr>
          <w:ilvl w:val="0"/>
          <w:numId w:val="125"/>
        </w:numPr>
        <w:shd w:val="clear" w:color="auto" w:fill="auto"/>
        <w:tabs>
          <w:tab w:pos="680" w:val="left"/>
        </w:tabs>
        <w:bidi w:val="0"/>
        <w:spacing w:before="0" w:after="0" w:line="312" w:lineRule="exact"/>
        <w:ind w:left="0" w:right="0" w:firstLine="360"/>
        <w:jc w:val="both"/>
      </w:pPr>
      <w:bookmarkStart w:id="1918" w:name="bookmark1918"/>
      <w:bookmarkEnd w:id="1918"/>
      <w:r>
        <w:rPr>
          <w:color w:val="000000"/>
          <w:spacing w:val="0"/>
          <w:w w:val="100"/>
          <w:position w:val="0"/>
        </w:rPr>
        <w:t>外汇风险</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外汇风险，是指金融工具的公允价值或未来现金流量因外汇汇率变动而发生波动的风险。本公司面临的汇率变动的风险 主要与本公司外币货币性资产和负债有关。本公司于中国内地经营，且主要活动以人民币计价。因此，本公司所承担的外汇 变动市场风险不重大。</w:t>
      </w:r>
    </w:p>
    <w:p>
      <w:pPr>
        <w:pStyle w:val="Style3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本公司期末外币货币性资产和负债情况详见本财务报表附注七</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之说明。</w:t>
      </w:r>
    </w:p>
    <w:p>
      <w:pPr>
        <w:pStyle w:val="Style30"/>
        <w:keepNext/>
        <w:keepLines/>
        <w:widowControl w:val="0"/>
        <w:shd w:val="clear" w:color="auto" w:fill="auto"/>
        <w:bidi w:val="0"/>
        <w:spacing w:before="0" w:after="360" w:line="240" w:lineRule="auto"/>
        <w:ind w:left="0" w:right="0" w:firstLine="0"/>
        <w:jc w:val="left"/>
      </w:pPr>
      <w:bookmarkStart w:id="1919" w:name="bookmark1919"/>
      <w:bookmarkStart w:id="1920" w:name="bookmark1920"/>
      <w:bookmarkStart w:id="1921" w:name="bookmark1921"/>
      <w:r>
        <w:rPr>
          <w:color w:val="000000"/>
          <w:spacing w:val="0"/>
          <w:w w:val="100"/>
          <w:position w:val="0"/>
          <w:sz w:val="24"/>
          <w:szCs w:val="24"/>
        </w:rPr>
        <w:t>十一、公允价值的披露</w:t>
      </w:r>
      <w:bookmarkEnd w:id="1919"/>
      <w:bookmarkEnd w:id="1920"/>
      <w:bookmarkEnd w:id="1921"/>
    </w:p>
    <w:p>
      <w:pPr>
        <w:pStyle w:val="Style37"/>
        <w:keepNext/>
        <w:keepLines/>
        <w:widowControl w:val="0"/>
        <w:shd w:val="clear" w:color="auto" w:fill="auto"/>
        <w:bidi w:val="0"/>
        <w:spacing w:before="0" w:after="260" w:line="240" w:lineRule="auto"/>
        <w:ind w:left="0" w:right="0" w:firstLine="0"/>
        <w:jc w:val="left"/>
      </w:pPr>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22"/>
      <w:bookmarkEnd w:id="1923"/>
      <w:bookmarkEnd w:id="1924"/>
    </w:p>
    <w:p>
      <w:pPr>
        <w:pStyle w:val="Style34"/>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2002"/>
        <w:gridCol w:w="7589"/>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tbl>
      <w:tblPr>
        <w:tblOverlap w:val="never"/>
        <w:jc w:val="center"/>
        <w:tblLayout w:type="fixed"/>
      </w:tblPr>
      <w:tblGrid>
        <w:gridCol w:w="2002"/>
        <w:gridCol w:w="1838"/>
        <w:gridCol w:w="1910"/>
        <w:gridCol w:w="1915"/>
        <w:gridCol w:w="192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55,179,570.22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55,179,570.22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15,489,939.55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15,489,939.55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70,669,509.77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70,669,509.77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7"/>
        <w:keepNext/>
        <w:keepLines/>
        <w:widowControl w:val="0"/>
        <w:shd w:val="clear" w:color="auto" w:fill="auto"/>
        <w:tabs>
          <w:tab w:pos="378" w:val="left"/>
        </w:tabs>
        <w:bidi w:val="0"/>
        <w:spacing w:before="0" w:after="28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2</w:t>
      </w:r>
      <w:bookmarkEnd w:id="1927"/>
      <w:r>
        <w:rPr>
          <w:color w:val="000000"/>
          <w:spacing w:val="0"/>
          <w:w w:val="100"/>
          <w:position w:val="0"/>
        </w:rPr>
        <w:t>、</w:t>
        <w:tab/>
        <w:t>持续和非持续第一层次公允价值计量项目市价的确定依据</w:t>
      </w:r>
      <w:bookmarkEnd w:id="1925"/>
      <w:bookmarkEnd w:id="1926"/>
      <w:bookmarkEnd w:id="1928"/>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3</w:t>
      </w:r>
      <w:bookmarkEnd w:id="1931"/>
      <w:r>
        <w:rPr>
          <w:color w:val="000000"/>
          <w:spacing w:val="0"/>
          <w:w w:val="100"/>
          <w:position w:val="0"/>
        </w:rPr>
        <w:t>、</w:t>
        <w:tab/>
        <w:t>持续和非持续第二层次公允价值计量项目，采用的估值技术和重要参数的定性及定量信息</w:t>
      </w:r>
      <w:bookmarkEnd w:id="1929"/>
      <w:bookmarkEnd w:id="1930"/>
      <w:bookmarkEnd w:id="1932"/>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4</w:t>
      </w:r>
      <w:bookmarkEnd w:id="1935"/>
      <w:r>
        <w:rPr>
          <w:color w:val="000000"/>
          <w:spacing w:val="0"/>
          <w:w w:val="100"/>
          <w:position w:val="0"/>
        </w:rPr>
        <w:t>、</w:t>
        <w:tab/>
        <w:t>持续和非持续第三层次公允价值计量项目，采用的估值技术和重要参数的定性及定量信息</w:t>
      </w:r>
      <w:bookmarkEnd w:id="1933"/>
      <w:bookmarkEnd w:id="1934"/>
      <w:bookmarkEnd w:id="1936"/>
    </w:p>
    <w:p>
      <w:pPr>
        <w:pStyle w:val="Style34"/>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公司持有的其他权益工具投资以公司持有被投资单位账面净资产的份额作为公允价值；持有的应收款项融资公允价值与 账面价值差异较小，故以账面价值作为公允价值。</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5</w:t>
      </w:r>
      <w:bookmarkEnd w:id="1939"/>
      <w:r>
        <w:rPr>
          <w:color w:val="000000"/>
          <w:spacing w:val="0"/>
          <w:w w:val="100"/>
          <w:position w:val="0"/>
        </w:rPr>
        <w:t>、</w:t>
        <w:tab/>
        <w:t>持续的第三层次公允价值计量项目，期初与期末账面价值间的调节信息及不可观察参数敏感性分析</w:t>
      </w:r>
      <w:bookmarkEnd w:id="1937"/>
      <w:bookmarkEnd w:id="1938"/>
      <w:bookmarkEnd w:id="1940"/>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6</w:t>
      </w:r>
      <w:bookmarkEnd w:id="1943"/>
      <w:r>
        <w:rPr>
          <w:color w:val="000000"/>
          <w:spacing w:val="0"/>
          <w:w w:val="100"/>
          <w:position w:val="0"/>
        </w:rPr>
        <w:t>、</w:t>
        <w:tab/>
        <w:t>持续的公允价值计量项目，本期内发生各层级之间转换的，转换的原因及确定转换时点的政策</w:t>
      </w:r>
      <w:bookmarkEnd w:id="1941"/>
      <w:bookmarkEnd w:id="1942"/>
      <w:bookmarkEnd w:id="1944"/>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7</w:t>
      </w:r>
      <w:bookmarkEnd w:id="1947"/>
      <w:r>
        <w:rPr>
          <w:color w:val="000000"/>
          <w:spacing w:val="0"/>
          <w:w w:val="100"/>
          <w:position w:val="0"/>
        </w:rPr>
        <w:t>、</w:t>
        <w:tab/>
        <w:t>本期内发生的估值技术变更及变更原因</w:t>
      </w:r>
      <w:bookmarkEnd w:id="1945"/>
      <w:bookmarkEnd w:id="1946"/>
      <w:bookmarkEnd w:id="1948"/>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8</w:t>
      </w:r>
      <w:bookmarkEnd w:id="1951"/>
      <w:r>
        <w:rPr>
          <w:color w:val="000000"/>
          <w:spacing w:val="0"/>
          <w:w w:val="100"/>
          <w:position w:val="0"/>
        </w:rPr>
        <w:t>、</w:t>
        <w:tab/>
        <w:t>不以公允价值计量的金融资产和金融负债的公允价值情况</w:t>
      </w:r>
      <w:bookmarkEnd w:id="1949"/>
      <w:bookmarkEnd w:id="1950"/>
      <w:bookmarkEnd w:id="1952"/>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9</w:t>
      </w:r>
      <w:bookmarkEnd w:id="1955"/>
      <w:r>
        <w:rPr>
          <w:color w:val="000000"/>
          <w:spacing w:val="0"/>
          <w:w w:val="100"/>
          <w:position w:val="0"/>
        </w:rPr>
        <w:t>、</w:t>
        <w:tab/>
        <w:t>其他</w:t>
      </w:r>
      <w:bookmarkEnd w:id="1953"/>
      <w:bookmarkEnd w:id="1954"/>
      <w:bookmarkEnd w:id="1956"/>
    </w:p>
    <w:p>
      <w:pPr>
        <w:pStyle w:val="Style3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59" w:name="bookmark1959"/>
      <w:r>
        <w:rPr>
          <w:color w:val="000000"/>
          <w:spacing w:val="0"/>
          <w:w w:val="100"/>
          <w:position w:val="0"/>
          <w:sz w:val="24"/>
          <w:szCs w:val="24"/>
        </w:rPr>
        <w:t>十二、关联方及关联交易</w:t>
      </w:r>
      <w:bookmarkEnd w:id="1957"/>
      <w:bookmarkEnd w:id="1958"/>
      <w:bookmarkEnd w:id="1959"/>
    </w:p>
    <w:p>
      <w:pPr>
        <w:pStyle w:val="Style37"/>
        <w:keepNext/>
        <w:keepLines/>
        <w:widowControl w:val="0"/>
        <w:shd w:val="clear" w:color="auto" w:fill="auto"/>
        <w:bidi w:val="0"/>
        <w:spacing w:before="0" w:after="320" w:line="240" w:lineRule="auto"/>
        <w:ind w:left="0" w:right="0" w:firstLine="0"/>
        <w:jc w:val="left"/>
      </w:pPr>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60"/>
      <w:bookmarkEnd w:id="1961"/>
      <w:bookmarkEnd w:id="1962"/>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深圳市敏行电子有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信息传输、软件和信 息技术服务业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万元人民币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r>
    </w:tbl>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本企业的母公司情况的说明 本企业最终控制方是罗瑞发。 其他说明：</w:t>
      </w:r>
    </w:p>
    <w:p>
      <w:pPr>
        <w:pStyle w:val="Style34"/>
        <w:keepNext w:val="0"/>
        <w:keepLines w:val="0"/>
        <w:widowControl w:val="0"/>
        <w:shd w:val="clear" w:color="auto" w:fill="auto"/>
        <w:bidi w:val="0"/>
        <w:spacing w:before="0" w:after="700" w:line="312" w:lineRule="exact"/>
        <w:ind w:left="0" w:right="0"/>
        <w:jc w:val="left"/>
      </w:pPr>
      <w:r>
        <w:rPr>
          <w:color w:val="000000"/>
          <w:spacing w:val="0"/>
          <w:w w:val="100"/>
          <w:position w:val="0"/>
        </w:rPr>
        <w:t>罗瑞发持有敏行电子</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的股权，为敏行电子的实际控制人。截至资产负债表日，罗瑞发直接持有公司</w:t>
      </w:r>
      <w:r>
        <w:rPr>
          <w:rFonts w:ascii="Times New Roman" w:eastAsia="Times New Roman" w:hAnsi="Times New Roman" w:cs="Times New Roman"/>
          <w:color w:val="000000"/>
          <w:spacing w:val="0"/>
          <w:w w:val="100"/>
          <w:position w:val="0"/>
          <w:sz w:val="18"/>
          <w:szCs w:val="18"/>
        </w:rPr>
        <w:t>4.52%</w:t>
      </w:r>
      <w:r>
        <w:rPr>
          <w:color w:val="000000"/>
          <w:spacing w:val="0"/>
          <w:w w:val="100"/>
          <w:position w:val="0"/>
        </w:rPr>
        <w:t>的股权, 通过其控制的敏行电子间接持有本公司</w:t>
      </w:r>
      <w:r>
        <w:rPr>
          <w:rFonts w:ascii="Times New Roman" w:eastAsia="Times New Roman" w:hAnsi="Times New Roman" w:cs="Times New Roman"/>
          <w:color w:val="000000"/>
          <w:spacing w:val="0"/>
          <w:w w:val="100"/>
          <w:position w:val="0"/>
          <w:sz w:val="18"/>
          <w:szCs w:val="18"/>
        </w:rPr>
        <w:t>16.87%</w:t>
      </w:r>
      <w:r>
        <w:rPr>
          <w:color w:val="000000"/>
          <w:spacing w:val="0"/>
          <w:w w:val="100"/>
          <w:position w:val="0"/>
        </w:rPr>
        <w:t>的股权。</w:t>
      </w:r>
    </w:p>
    <w:p>
      <w:pPr>
        <w:pStyle w:val="Style37"/>
        <w:keepNext/>
        <w:keepLines/>
        <w:widowControl w:val="0"/>
        <w:shd w:val="clear" w:color="auto" w:fill="auto"/>
        <w:tabs>
          <w:tab w:pos="378" w:val="left"/>
        </w:tabs>
        <w:bidi w:val="0"/>
        <w:spacing w:before="0" w:after="260" w:line="240" w:lineRule="auto"/>
        <w:ind w:left="0" w:right="0" w:firstLine="0"/>
        <w:jc w:val="both"/>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2</w:t>
      </w:r>
      <w:bookmarkEnd w:id="1965"/>
      <w:r>
        <w:rPr>
          <w:color w:val="000000"/>
          <w:spacing w:val="0"/>
          <w:w w:val="100"/>
          <w:position w:val="0"/>
        </w:rPr>
        <w:t>、</w:t>
        <w:tab/>
        <w:t>本企业的子公司情况</w:t>
      </w:r>
      <w:bookmarkEnd w:id="1963"/>
      <w:bookmarkEnd w:id="1964"/>
      <w:bookmarkEnd w:id="1966"/>
    </w:p>
    <w:p>
      <w:pPr>
        <w:pStyle w:val="Style3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本企业子公司的情况详见附注九、在其他主体中的权益。</w:t>
      </w:r>
    </w:p>
    <w:p>
      <w:pPr>
        <w:pStyle w:val="Style37"/>
        <w:keepNext/>
        <w:keepLines/>
        <w:widowControl w:val="0"/>
        <w:shd w:val="clear" w:color="auto" w:fill="auto"/>
        <w:tabs>
          <w:tab w:pos="378" w:val="left"/>
        </w:tabs>
        <w:bidi w:val="0"/>
        <w:spacing w:before="0" w:after="260" w:line="240" w:lineRule="auto"/>
        <w:ind w:left="0" w:right="0" w:firstLine="0"/>
        <w:jc w:val="both"/>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3</w:t>
      </w:r>
      <w:bookmarkEnd w:id="1969"/>
      <w:r>
        <w:rPr>
          <w:color w:val="000000"/>
          <w:spacing w:val="0"/>
          <w:w w:val="100"/>
          <w:position w:val="0"/>
        </w:rPr>
        <w:t>、</w:t>
        <w:tab/>
        <w:t>本企业合营和联营企业情况</w:t>
      </w:r>
      <w:bookmarkEnd w:id="1967"/>
      <w:bookmarkEnd w:id="1968"/>
      <w:bookmarkEnd w:id="1970"/>
    </w:p>
    <w:p>
      <w:pPr>
        <w:pStyle w:val="Style3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本企业重要的合营或联营企业详见附注九、在其他主体中的权益。</w:t>
      </w:r>
    </w:p>
    <w:p>
      <w:pPr>
        <w:pStyle w:val="Style37"/>
        <w:keepNext/>
        <w:keepLines/>
        <w:widowControl w:val="0"/>
        <w:shd w:val="clear" w:color="auto" w:fill="auto"/>
        <w:tabs>
          <w:tab w:pos="378" w:val="left"/>
        </w:tabs>
        <w:bidi w:val="0"/>
        <w:spacing w:before="0" w:after="320" w:line="240" w:lineRule="auto"/>
        <w:ind w:left="0" w:right="0" w:firstLine="0"/>
        <w:jc w:val="both"/>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4</w:t>
      </w:r>
      <w:bookmarkEnd w:id="1973"/>
      <w:r>
        <w:rPr>
          <w:color w:val="000000"/>
          <w:spacing w:val="0"/>
          <w:w w:val="100"/>
          <w:position w:val="0"/>
        </w:rPr>
        <w:t>、</w:t>
        <w:tab/>
        <w:t>其他关联方情况</w:t>
      </w:r>
      <w:bookmarkEnd w:id="1971"/>
      <w:bookmarkEnd w:id="1972"/>
      <w:bookmarkEnd w:id="197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WeiLong Electronics Engineering Pte Ltd.</w:t>
            </w:r>
            <w:r>
              <w:rPr>
                <w:color w:val="000000"/>
                <w:spacing w:val="0"/>
                <w:w w:val="100"/>
                <w:position w:val="0"/>
              </w:rPr>
              <w:t>（新加坡伟龙）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子公司伟龙金溢科技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有限公司之少数股东</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深圳前海车米云图科技有限公司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公司高管蔡福春投资的企业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山东高速信联科技股份有限公司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伟龙科技（广东）有限公司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公司股东杨成控制的企业</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山东高速信联支付有限公司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317"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日，公司委派原董事郑映虹任职山东高速信联支付有限公司董事，山东高速信联支付有限公司完成 工商变更，公司持股比例为</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,山东高速信联支付有限公司为本公司联营企业。因未来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个月内山东高速信联支付有 限公司为关联方，本期视同关联方。</w:t>
      </w:r>
    </w:p>
    <w:p>
      <w:pPr>
        <w:pStyle w:val="Style37"/>
        <w:keepNext/>
        <w:keepLines/>
        <w:widowControl w:val="0"/>
        <w:shd w:val="clear" w:color="auto" w:fill="auto"/>
        <w:bidi w:val="0"/>
        <w:spacing w:before="0" w:after="38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5</w:t>
      </w:r>
      <w:bookmarkEnd w:id="1977"/>
      <w:r>
        <w:rPr>
          <w:color w:val="000000"/>
          <w:spacing w:val="0"/>
          <w:w w:val="100"/>
          <w:position w:val="0"/>
        </w:rPr>
        <w:t>、关联交易情况</w:t>
      </w:r>
      <w:bookmarkEnd w:id="1975"/>
      <w:bookmarkEnd w:id="1976"/>
      <w:bookmarkEnd w:id="1978"/>
    </w:p>
    <w:p>
      <w:pPr>
        <w:pStyle w:val="Style71"/>
        <w:keepNext/>
        <w:keepLines/>
        <w:widowControl w:val="0"/>
        <w:shd w:val="clear" w:color="auto" w:fill="auto"/>
        <w:bidi w:val="0"/>
        <w:spacing w:before="0" w:after="260" w:line="240" w:lineRule="auto"/>
        <w:ind w:left="0" w:right="0" w:firstLine="0"/>
        <w:jc w:val="left"/>
      </w:pPr>
      <w:bookmarkStart w:id="1979" w:name="bookmark1979"/>
      <w:bookmarkStart w:id="1980" w:name="bookmark1980"/>
      <w:bookmarkStart w:id="1981" w:name="bookmark19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79"/>
      <w:bookmarkEnd w:id="1980"/>
      <w:bookmarkEnd w:id="1981"/>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WeiLong Electronics</w:t>
            </w:r>
          </w:p>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Engineering Pte Ltd.</w:t>
            </w:r>
            <w:r>
              <w:rPr>
                <w:color w:val="000000"/>
                <w:spacing w:val="0"/>
                <w:w w:val="100"/>
                <w:position w:val="0"/>
              </w:rPr>
              <w:t>（新加坡伟 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1,580,490.17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伟龙科技（广东）有限公司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山东高速信威信息科技有限公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67,928,483.31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3,465,257.09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深圳宝溢交通科技有限公司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1,598,300.77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深圳前海车米云图科技有限公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1,794,927.52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山东高速信联科技股份有限公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40,288,918.44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179,603,539.57</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山东高速信联支付有限公司</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7"/>
                <w:szCs w:val="17"/>
              </w:rPr>
              <w:t xml:space="preserve">69, </w:t>
            </w:r>
            <w:r>
              <w:rPr>
                <w:color w:val="000000"/>
                <w:spacing w:val="0"/>
                <w:w w:val="100"/>
                <w:position w:val="0"/>
                <w:sz w:val="17"/>
                <w:szCs w:val="17"/>
              </w:rPr>
              <w:t xml:space="preserve">955. </w:t>
            </w:r>
            <w:r>
              <w:rPr>
                <w:color w:val="000000"/>
                <w:spacing w:val="0"/>
                <w:w w:val="100"/>
                <w:position w:val="0"/>
                <w:sz w:val="17"/>
                <w:szCs w:val="17"/>
              </w:rPr>
              <w:t>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本期数为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日销售金额。</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上年同期数详见本财务报告附注十六</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之说明。</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82"/>
      <w:bookmarkEnd w:id="1983"/>
      <w:bookmarkEnd w:id="198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86"/>
      <w:bookmarkEnd w:id="1987"/>
      <w:bookmarkEnd w:id="198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90"/>
      <w:bookmarkEnd w:id="1991"/>
      <w:bookmarkEnd w:id="199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94"/>
      <w:bookmarkEnd w:id="1995"/>
      <w:bookmarkEnd w:id="199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1998" w:name="bookmark1998"/>
      <w:bookmarkStart w:id="1999" w:name="bookmark1999"/>
      <w:bookmarkStart w:id="2000" w:name="bookmark2000"/>
      <w:bookmarkStart w:id="2001" w:name="bookmark2001"/>
      <w:r>
        <w:rPr>
          <w:color w:val="000000"/>
          <w:spacing w:val="0"/>
          <w:w w:val="100"/>
          <w:position w:val="0"/>
        </w:rPr>
        <w:t>（</w:t>
      </w:r>
      <w:bookmarkEnd w:id="2000"/>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98"/>
      <w:bookmarkEnd w:id="1999"/>
      <w:bookmarkEnd w:id="2001"/>
    </w:p>
    <w:p>
      <w:pPr>
        <w:pStyle w:val="Style3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伟龙科技（广东）有限公司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28,496,387.62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WeiLong Electronics</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Engineering Pte Ltd.（</w:t>
            </w:r>
            <w:r>
              <w:rPr>
                <w:color w:val="000000"/>
                <w:spacing w:val="0"/>
                <w:w w:val="100"/>
                <w:position w:val="0"/>
              </w:rPr>
              <w:t>新加坡伟 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2002" w:name="bookmark2002"/>
      <w:bookmarkStart w:id="2003" w:name="bookmark2003"/>
      <w:bookmarkStart w:id="2004" w:name="bookmark2004"/>
      <w:bookmarkStart w:id="2005" w:name="bookmark2005"/>
      <w:r>
        <w:rPr>
          <w:color w:val="000000"/>
          <w:spacing w:val="0"/>
          <w:w w:val="100"/>
          <w:position w:val="0"/>
        </w:rPr>
        <w:t>（</w:t>
      </w:r>
      <w:bookmarkEnd w:id="200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02"/>
      <w:bookmarkEnd w:id="2003"/>
      <w:bookmarkEnd w:id="2005"/>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1,476.02</w:t>
            </w:r>
          </w:p>
        </w:tc>
      </w:tr>
    </w:tbl>
    <w:p>
      <w:pPr>
        <w:widowControl w:val="0"/>
        <w:spacing w:after="319" w:line="1" w:lineRule="exact"/>
      </w:pPr>
    </w:p>
    <w:p>
      <w:pPr>
        <w:pStyle w:val="Style71"/>
        <w:keepNext/>
        <w:keepLines/>
        <w:widowControl w:val="0"/>
        <w:shd w:val="clear" w:color="auto" w:fill="auto"/>
        <w:bidi w:val="0"/>
        <w:spacing w:before="0" w:after="320" w:line="240" w:lineRule="auto"/>
        <w:ind w:left="0" w:right="0" w:firstLine="220"/>
        <w:jc w:val="left"/>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06"/>
      <w:bookmarkEnd w:id="2007"/>
      <w:bookmarkEnd w:id="2009"/>
    </w:p>
    <w:tbl>
      <w:tblPr>
        <w:tblOverlap w:val="never"/>
        <w:jc w:val="center"/>
        <w:tblLayout w:type="fixed"/>
      </w:tblPr>
      <w:tblGrid>
        <w:gridCol w:w="4210"/>
        <w:gridCol w:w="1886"/>
        <w:gridCol w:w="1882"/>
        <w:gridCol w:w="164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山东高速信联支付有限公司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违约金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7"/>
                <w:szCs w:val="17"/>
              </w:rPr>
              <w:t>42,815,000.00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6</w:t>
      </w:r>
      <w:bookmarkEnd w:id="2012"/>
      <w:r>
        <w:rPr>
          <w:color w:val="000000"/>
          <w:spacing w:val="0"/>
          <w:w w:val="100"/>
          <w:position w:val="0"/>
        </w:rPr>
        <w:t>、关联方应收应付款项</w:t>
      </w:r>
      <w:bookmarkEnd w:id="2010"/>
      <w:bookmarkEnd w:id="2011"/>
      <w:bookmarkEnd w:id="2013"/>
    </w:p>
    <w:p>
      <w:pPr>
        <w:pStyle w:val="Style71"/>
        <w:keepNext/>
        <w:keepLines/>
        <w:widowControl w:val="0"/>
        <w:shd w:val="clear" w:color="auto" w:fill="auto"/>
        <w:bidi w:val="0"/>
        <w:spacing w:before="0" w:after="320" w:line="240" w:lineRule="auto"/>
        <w:ind w:left="0" w:right="0" w:firstLine="0"/>
        <w:jc w:val="left"/>
      </w:pPr>
      <w:bookmarkStart w:id="2014" w:name="bookmark2014"/>
      <w:bookmarkStart w:id="2015" w:name="bookmark2015"/>
      <w:bookmarkStart w:id="2016" w:name="bookmark20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14"/>
      <w:bookmarkEnd w:id="2015"/>
      <w:bookmarkEnd w:id="2016"/>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山东高速信联科技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50,652,500.00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4,673,375.00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74,736,992.42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3,736,849.62</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伟龙科技（广东）有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山东高速信威信息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22,129,642.74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2,033,314.75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深圳宝溢交通科技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山东高速信联支付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12,519,781.24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1,251,978.12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85,928,656.78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7,990,004.51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74,736,992.42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3,736,849.62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伟龙科技（广东）有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山东高速信联科技 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山东高速信威信息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1,950,252.73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山东高速信联支付 有限公司［注］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12,870,026.45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1,287,002.65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14,841,979.18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1,484,197.92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山东高速信联科技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12,395,000.00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1,239,500.00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9,394,202.31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939,420.23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山东高速信威信息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7,753,102.90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775,310.29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20,148,102.90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2,014,810.29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370" w:right="0" w:firstLine="0"/>
        <w:jc w:val="left"/>
      </w:pPr>
      <w:r>
        <w:rPr>
          <w:color w:val="000000"/>
          <w:spacing w:val="0"/>
          <w:w w:val="100"/>
          <w:position w:val="0"/>
        </w:rPr>
        <w:t>［注］期初数详见本财务报告附注十六</w:t>
      </w:r>
      <w:r>
        <w:rPr>
          <w:color w:val="000000"/>
          <w:spacing w:val="0"/>
          <w:w w:val="100"/>
          <w:position w:val="0"/>
          <w:sz w:val="17"/>
          <w:szCs w:val="17"/>
        </w:rPr>
        <w:t>(7)</w:t>
      </w:r>
      <w:r>
        <w:rPr>
          <w:color w:val="000000"/>
          <w:spacing w:val="0"/>
          <w:w w:val="100"/>
          <w:position w:val="0"/>
        </w:rPr>
        <w:t>之说明。</w:t>
      </w:r>
    </w:p>
    <w:p>
      <w:pPr>
        <w:widowControl w:val="0"/>
        <w:spacing w:after="359" w:line="1" w:lineRule="exact"/>
      </w:pPr>
    </w:p>
    <w:p>
      <w:pPr>
        <w:pStyle w:val="Style71"/>
        <w:keepNext/>
        <w:keepLines/>
        <w:widowControl w:val="0"/>
        <w:shd w:val="clear" w:color="auto" w:fill="auto"/>
        <w:bidi w:val="0"/>
        <w:spacing w:before="0" w:line="240" w:lineRule="auto"/>
        <w:ind w:left="0" w:right="0" w:firstLine="140"/>
        <w:jc w:val="left"/>
      </w:pPr>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17"/>
      <w:bookmarkEnd w:id="2018"/>
      <w:bookmarkEnd w:id="201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WeiLong Electronics</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Engineering Pte Ltd.（</w:t>
            </w:r>
            <w:r>
              <w:rPr>
                <w:color w:val="000000"/>
                <w:spacing w:val="0"/>
                <w:w w:val="100"/>
                <w:position w:val="0"/>
              </w:rPr>
              <w:t>新加坡伟 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48,443.90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山东高速信威信息科技有限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377,601.96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39,226,000.14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377,601.96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39,274,444.04</w:t>
            </w:r>
          </w:p>
        </w:tc>
      </w:tr>
    </w:tbl>
    <w:p>
      <w:pPr>
        <w:widowControl w:val="0"/>
        <w:spacing w:after="359" w:line="1" w:lineRule="exact"/>
      </w:pPr>
    </w:p>
    <w:p>
      <w:pPr>
        <w:pStyle w:val="Style37"/>
        <w:keepNext/>
        <w:keepLines/>
        <w:widowControl w:val="0"/>
        <w:shd w:val="clear" w:color="auto" w:fill="auto"/>
        <w:tabs>
          <w:tab w:pos="373" w:val="left"/>
        </w:tabs>
        <w:bidi w:val="0"/>
        <w:spacing w:before="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7</w:t>
      </w:r>
      <w:bookmarkEnd w:id="2022"/>
      <w:r>
        <w:rPr>
          <w:color w:val="000000"/>
          <w:spacing w:val="0"/>
          <w:w w:val="100"/>
          <w:position w:val="0"/>
        </w:rPr>
        <w:t>、</w:t>
        <w:tab/>
        <w:t>关联方承诺</w:t>
      </w:r>
      <w:bookmarkEnd w:id="2020"/>
      <w:bookmarkEnd w:id="2021"/>
      <w:bookmarkEnd w:id="2023"/>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8</w:t>
      </w:r>
      <w:bookmarkEnd w:id="2026"/>
      <w:r>
        <w:rPr>
          <w:color w:val="000000"/>
          <w:spacing w:val="0"/>
          <w:w w:val="100"/>
          <w:position w:val="0"/>
        </w:rPr>
        <w:t>、</w:t>
        <w:tab/>
        <w:t>其他</w:t>
      </w:r>
      <w:bookmarkEnd w:id="2024"/>
      <w:bookmarkEnd w:id="2025"/>
      <w:bookmarkEnd w:id="202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2028" w:name="bookmark2028"/>
      <w:bookmarkStart w:id="2029" w:name="bookmark2029"/>
      <w:bookmarkStart w:id="2030" w:name="bookmark2030"/>
      <w:r>
        <w:rPr>
          <w:color w:val="000000"/>
          <w:spacing w:val="0"/>
          <w:w w:val="100"/>
          <w:position w:val="0"/>
          <w:sz w:val="24"/>
          <w:szCs w:val="24"/>
        </w:rPr>
        <w:t>十三、股份支付</w:t>
      </w:r>
      <w:bookmarkEnd w:id="2028"/>
      <w:bookmarkEnd w:id="2029"/>
      <w:bookmarkEnd w:id="2030"/>
    </w:p>
    <w:p>
      <w:pPr>
        <w:pStyle w:val="Style37"/>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31"/>
      <w:bookmarkEnd w:id="2032"/>
      <w:bookmarkEnd w:id="2033"/>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1,968,045.00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141,144.00</w:t>
            </w:r>
          </w:p>
        </w:tc>
      </w:tr>
    </w:tbl>
    <w:p>
      <w:pPr>
        <w:spacing w:lineRule="exact" w:line="1"/>
        <w:rPr>
          <w:sz w:val="2"/>
          <w:szCs w:val="2"/>
        </w:rPr>
      </w:pPr>
      <w:r>
        <w:br w:type="page"/>
      </w:r>
    </w:p>
    <w:tbl>
      <w:tblPr>
        <w:tblOverlap w:val="never"/>
        <w:jc w:val="center"/>
        <w:tblLayout w:type="fixed"/>
      </w:tblPr>
      <w:tblGrid>
        <w:gridCol w:w="5462"/>
        <w:gridCol w:w="4123"/>
      </w:tblGrid>
      <w:tr>
        <w:trPr>
          <w:trHeight w:val="10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公司期末发行在外的权益工具总额为</w:t>
            </w:r>
            <w:r>
              <w:rPr>
                <w:rFonts w:ascii="Times New Roman" w:eastAsia="Times New Roman" w:hAnsi="Times New Roman" w:cs="Times New Roman"/>
                <w:color w:val="000000"/>
                <w:spacing w:val="0"/>
                <w:w w:val="100"/>
                <w:position w:val="0"/>
                <w:sz w:val="18"/>
                <w:szCs w:val="18"/>
              </w:rPr>
              <w:t>1,968,052</w:t>
            </w:r>
            <w:r>
              <w:rPr>
                <w:color w:val="000000"/>
                <w:spacing w:val="0"/>
                <w:w w:val="100"/>
                <w:position w:val="0"/>
              </w:rPr>
              <w:t>股， 限制性股票授予价格为</w:t>
            </w:r>
            <w:r>
              <w:rPr>
                <w:rFonts w:ascii="Times New Roman" w:eastAsia="Times New Roman" w:hAnsi="Times New Roman" w:cs="Times New Roman"/>
                <w:color w:val="000000"/>
                <w:spacing w:val="0"/>
                <w:w w:val="100"/>
                <w:position w:val="0"/>
                <w:sz w:val="18"/>
                <w:szCs w:val="18"/>
              </w:rPr>
              <w:t>14.43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股，合同剩余期限最 长为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基本情况</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w:t>
      </w:r>
      <w:r>
        <w:rPr>
          <w:color w:val="000000"/>
          <w:spacing w:val="0"/>
          <w:w w:val="100"/>
          <w:position w:val="0"/>
        </w:rPr>
        <w:t>公司第二届董事会第二十六次会议审议通过《关于公司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及摘要的 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及摘要 的议案》。</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日，公司第二届董事会第三十二次会议和第二届监事会第十六次会议审议通过《关于调整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 票激励计划首次授予限制性股票授予价格的议案》。公司本次激励计划首次授予限制性股票的授予价格从</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sz w:val="18"/>
          <w:szCs w:val="18"/>
        </w:rPr>
        <w:t xml:space="preserve">21.64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4"/>
        <w:keepNext w:val="0"/>
        <w:keepLines w:val="0"/>
        <w:widowControl w:val="0"/>
        <w:shd w:val="clear" w:color="auto" w:fill="auto"/>
        <w:bidi w:val="0"/>
        <w:spacing w:before="0" w:after="8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日，公司第二届董事会第三十三次会议和第二届监事会第十七次会议审议通过《关于调整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 票激励计划激励对象名单及授予数量的议案》和《关于向激励对象首次授予限制性股票的议案》。授予日为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本次调整后激励计划首次授予的激励对象人数由</w:t>
      </w:r>
      <w:r>
        <w:rPr>
          <w:rFonts w:ascii="Times New Roman" w:eastAsia="Times New Roman" w:hAnsi="Times New Roman" w:cs="Times New Roman"/>
          <w:color w:val="000000"/>
          <w:spacing w:val="0"/>
          <w:w w:val="100"/>
          <w:position w:val="0"/>
          <w:sz w:val="18"/>
          <w:szCs w:val="18"/>
        </w:rPr>
        <w:t>281</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人；授予限制性股票总数由</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3,156,789</w:t>
      </w:r>
      <w:r>
        <w:rPr>
          <w:color w:val="000000"/>
          <w:spacing w:val="0"/>
          <w:w w:val="100"/>
          <w:position w:val="0"/>
        </w:rPr>
        <w:t>股， 其中首次授予限制性股票数量由</w:t>
      </w:r>
      <w:r>
        <w:rPr>
          <w:rFonts w:ascii="Times New Roman" w:eastAsia="Times New Roman" w:hAnsi="Times New Roman" w:cs="Times New Roman"/>
          <w:color w:val="000000"/>
          <w:spacing w:val="0"/>
          <w:w w:val="100"/>
          <w:position w:val="0"/>
          <w:sz w:val="18"/>
          <w:szCs w:val="18"/>
        </w:rPr>
        <w:t>3,561,372</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2,718,161</w:t>
      </w:r>
      <w:r>
        <w:rPr>
          <w:color w:val="000000"/>
          <w:spacing w:val="0"/>
          <w:w w:val="100"/>
          <w:position w:val="0"/>
        </w:rPr>
        <w:t>股，预留授予限制性股票</w:t>
      </w:r>
      <w:r>
        <w:rPr>
          <w:rFonts w:ascii="Times New Roman" w:eastAsia="Times New Roman" w:hAnsi="Times New Roman" w:cs="Times New Roman"/>
          <w:color w:val="000000"/>
          <w:spacing w:val="0"/>
          <w:w w:val="100"/>
          <w:position w:val="0"/>
          <w:sz w:val="18"/>
          <w:szCs w:val="18"/>
        </w:rPr>
        <w:t>438,628</w:t>
      </w:r>
      <w:r>
        <w:rPr>
          <w:color w:val="000000"/>
          <w:spacing w:val="0"/>
          <w:w w:val="100"/>
          <w:position w:val="0"/>
        </w:rPr>
        <w:t>股数量不变。</w:t>
      </w:r>
    </w:p>
    <w:p>
      <w:pPr>
        <w:pStyle w:val="Style32"/>
        <w:keepNext w:val="0"/>
        <w:keepLines w:val="0"/>
        <w:widowControl w:val="0"/>
        <w:shd w:val="clear" w:color="auto" w:fill="auto"/>
        <w:bidi w:val="0"/>
        <w:spacing w:before="0" w:after="100" w:line="240" w:lineRule="auto"/>
        <w:ind w:left="35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解锁期及解锁比例</w:t>
      </w:r>
    </w:p>
    <w:p>
      <w:pPr>
        <w:pStyle w:val="Style32"/>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本计划首次授予的限制性股票在有效期内按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的比例分三期解锁，具体安排如下:</w:t>
      </w:r>
    </w:p>
    <w:tbl>
      <w:tblPr>
        <w:tblOverlap w:val="never"/>
        <w:jc w:val="center"/>
        <w:tblLayout w:type="fixed"/>
      </w:tblPr>
      <w:tblGrid>
        <w:gridCol w:w="2813"/>
        <w:gridCol w:w="5770"/>
        <w:gridCol w:w="1094"/>
      </w:tblGrid>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解锁安排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解锁比例</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第一个解锁期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 后一个交易日当日止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65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第二个解锁期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 后一个交易日当日止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第三个解锁期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 后一个交易日当日止</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32"/>
        <w:keepNext w:val="0"/>
        <w:keepLines w:val="0"/>
        <w:widowControl w:val="0"/>
        <w:shd w:val="clear" w:color="auto" w:fill="auto"/>
        <w:bidi w:val="0"/>
        <w:spacing w:before="0" w:after="0" w:line="240" w:lineRule="auto"/>
        <w:ind w:left="360" w:right="0" w:firstLine="0"/>
        <w:jc w:val="left"/>
      </w:pPr>
      <w:r>
        <w:rPr>
          <w:color w:val="000000"/>
          <w:spacing w:val="0"/>
          <w:w w:val="100"/>
          <w:position w:val="0"/>
        </w:rPr>
        <w:t>预留授予的限制性股票在有效期内按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的比例解锁，安排如下:</w:t>
      </w:r>
    </w:p>
    <w:tbl>
      <w:tblPr>
        <w:tblOverlap w:val="never"/>
        <w:jc w:val="center"/>
        <w:tblLayout w:type="fixed"/>
      </w:tblPr>
      <w:tblGrid>
        <w:gridCol w:w="2813"/>
        <w:gridCol w:w="5770"/>
        <w:gridCol w:w="1094"/>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解锁安排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解锁比例</w:t>
            </w:r>
          </w:p>
        </w:tc>
      </w:tr>
      <w:tr>
        <w:trPr>
          <w:trHeight w:val="65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第一个解锁期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自预留授予日起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个月后的首个交易日起至预留授予日起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 后一个交易日当日止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6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第二个解锁期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自预留授予日起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个月后的首个交易日起至预留授予日起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 后一个交易日当日止</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pStyle w:val="Style32"/>
        <w:keepNext w:val="0"/>
        <w:keepLines w:val="0"/>
        <w:widowControl w:val="0"/>
        <w:shd w:val="clear" w:color="auto" w:fill="auto"/>
        <w:bidi w:val="0"/>
        <w:spacing w:before="0" w:after="120" w:line="240" w:lineRule="auto"/>
        <w:ind w:left="355"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业绩考核要求</w:t>
      </w:r>
    </w:p>
    <w:p>
      <w:pPr>
        <w:pStyle w:val="Style32"/>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公司业绩考核要求</w:t>
      </w:r>
    </w:p>
    <w:p>
      <w:pPr>
        <w:pStyle w:val="Style32"/>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本计划首次授予的限制性股票分三期解锁，解锁考核年度为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年，预留授予的限制性股票分两期解 锁，解锁考核年度为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年。公司将对激励对象分年度进行绩效考核，以达到绩效考核目标作为激励对象的解锁条 件。各年度绩效考核目标如下表所示：</w:t>
      </w:r>
    </w:p>
    <w:tbl>
      <w:tblPr>
        <w:tblOverlap w:val="never"/>
        <w:jc w:val="center"/>
        <w:tblLayout w:type="fixed"/>
      </w:tblPr>
      <w:tblGrid>
        <w:gridCol w:w="4286"/>
        <w:gridCol w:w="5390"/>
      </w:tblGrid>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业绩考核目标</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首次授予限制性股票的第一个解锁期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年公司净利润较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年增长率不低于</w:t>
            </w:r>
            <w:r>
              <w:rPr>
                <w:rFonts w:ascii="Times New Roman" w:eastAsia="Times New Roman" w:hAnsi="Times New Roman" w:cs="Times New Roman"/>
                <w:color w:val="000000"/>
                <w:spacing w:val="0"/>
                <w:w w:val="100"/>
                <w:position w:val="0"/>
                <w:sz w:val="18"/>
                <w:szCs w:val="18"/>
              </w:rPr>
              <w:t>25%</w:t>
            </w:r>
          </w:p>
        </w:tc>
      </w:tr>
      <w:tr>
        <w:trPr>
          <w:trHeight w:val="65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首次授予限制性股票的第二个解锁期及预留授予限制 性股票的第一个解锁期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年公司净利润较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年增长率不低于</w:t>
            </w:r>
            <w:r>
              <w:rPr>
                <w:rFonts w:ascii="Times New Roman" w:eastAsia="Times New Roman" w:hAnsi="Times New Roman" w:cs="Times New Roman"/>
                <w:color w:val="000000"/>
                <w:spacing w:val="0"/>
                <w:w w:val="100"/>
                <w:position w:val="0"/>
                <w:sz w:val="18"/>
                <w:szCs w:val="18"/>
              </w:rPr>
              <w:t>30%</w:t>
            </w:r>
          </w:p>
        </w:tc>
      </w:tr>
      <w:tr>
        <w:trPr>
          <w:trHeight w:val="6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首次授予限制性股票的第三个解锁期及预留授予限制 性股票的第二个解锁期</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年公司净利润较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年增长率不低于</w:t>
            </w:r>
            <w:r>
              <w:rPr>
                <w:rFonts w:ascii="Times New Roman" w:eastAsia="Times New Roman" w:hAnsi="Times New Roman" w:cs="Times New Roman"/>
                <w:color w:val="000000"/>
                <w:spacing w:val="0"/>
                <w:w w:val="100"/>
                <w:position w:val="0"/>
                <w:sz w:val="18"/>
                <w:szCs w:val="18"/>
              </w:rPr>
              <w:t>35%</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公司未满足上述业绩考核目标的，所有激励对象对应考核当年可解除限售的限制性股票份额不得解锁，由公司进行回购 注销。</w:t>
      </w:r>
    </w:p>
    <w:p>
      <w:pPr>
        <w:pStyle w:val="Style34"/>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个人业绩考核要求</w:t>
      </w:r>
    </w:p>
    <w:p>
      <w:pPr>
        <w:pStyle w:val="Style34"/>
        <w:keepNext w:val="0"/>
        <w:keepLines w:val="0"/>
        <w:widowControl w:val="0"/>
        <w:shd w:val="clear" w:color="auto" w:fill="auto"/>
        <w:bidi w:val="0"/>
        <w:spacing w:before="0" w:after="100" w:line="316" w:lineRule="exact"/>
        <w:ind w:left="0" w:right="0"/>
        <w:jc w:val="both"/>
      </w:pPr>
      <w:r>
        <w:rPr>
          <w:color w:val="000000"/>
          <w:spacing w:val="0"/>
          <w:w w:val="100"/>
          <w:position w:val="0"/>
        </w:rPr>
        <w:t>根据公司制定的《深圳市金溢科技股份有限公司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年限制性股票激励计划实施考核管理办法》（以下简称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《考核管 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），若激励对象上一年度个人绩效考核结果为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，则公司按照激励计划的有关规定将激励对象所获限制性 股票当期可解锁份额注销。激励对象只有在上一年度绩效考核为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以上，才能解锁当期激励股份，个人实际可解锁额度 与个人层面考核系数相关，具体考核内容根据《考核管理办法》执行。</w:t>
      </w:r>
    </w:p>
    <w:p>
      <w:pPr>
        <w:pStyle w:val="Style34"/>
        <w:keepNext w:val="0"/>
        <w:keepLines w:val="0"/>
        <w:widowControl w:val="0"/>
        <w:shd w:val="clear" w:color="auto" w:fill="auto"/>
        <w:tabs>
          <w:tab w:pos="755" w:val="left"/>
        </w:tabs>
        <w:bidi w:val="0"/>
        <w:spacing w:before="0" w:after="0" w:line="360" w:lineRule="auto"/>
        <w:ind w:left="0" w:right="0"/>
        <w:jc w:val="both"/>
      </w:pPr>
      <w:bookmarkStart w:id="2034" w:name="bookmark2034"/>
      <w:r>
        <w:rPr>
          <w:rFonts w:ascii="Times New Roman" w:eastAsia="Times New Roman" w:hAnsi="Times New Roman" w:cs="Times New Roman"/>
          <w:color w:val="000000"/>
          <w:spacing w:val="0"/>
          <w:w w:val="100"/>
          <w:position w:val="0"/>
          <w:sz w:val="18"/>
          <w:szCs w:val="18"/>
        </w:rPr>
        <w:t>（</w:t>
      </w:r>
      <w:bookmarkEnd w:id="2034"/>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本期限制性股票的授予价格和数量的调整</w:t>
      </w:r>
    </w:p>
    <w:p>
      <w:pPr>
        <w:pStyle w:val="Style34"/>
        <w:keepNext w:val="0"/>
        <w:keepLines w:val="0"/>
        <w:widowControl w:val="0"/>
        <w:shd w:val="clear" w:color="auto" w:fill="auto"/>
        <w:tabs>
          <w:tab w:pos="678" w:val="left"/>
        </w:tabs>
        <w:bidi w:val="0"/>
        <w:spacing w:before="0" w:after="0" w:line="360" w:lineRule="auto"/>
        <w:ind w:left="0" w:right="0"/>
        <w:jc w:val="both"/>
      </w:pPr>
      <w:bookmarkStart w:id="2035" w:name="bookmark2035"/>
      <w:r>
        <w:rPr>
          <w:rFonts w:ascii="Times New Roman" w:eastAsia="Times New Roman" w:hAnsi="Times New Roman" w:cs="Times New Roman"/>
          <w:color w:val="000000"/>
          <w:spacing w:val="0"/>
          <w:w w:val="100"/>
          <w:position w:val="0"/>
          <w:sz w:val="18"/>
          <w:szCs w:val="18"/>
        </w:rPr>
        <w:t>1</w:t>
      </w:r>
      <w:bookmarkEnd w:id="20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限制性股票的数量调整</w:t>
      </w:r>
    </w:p>
    <w:p>
      <w:pPr>
        <w:pStyle w:val="Style34"/>
        <w:keepNext w:val="0"/>
        <w:keepLines w:val="0"/>
        <w:widowControl w:val="0"/>
        <w:shd w:val="clear" w:color="auto" w:fill="auto"/>
        <w:bidi w:val="0"/>
        <w:spacing w:before="0" w:after="100" w:line="316"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年度利润分配预案》，向全体股东以每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 xml:space="preserve">21.80 </w:t>
      </w:r>
      <w:r>
        <w:rPr>
          <w:color w:val="000000"/>
          <w:spacing w:val="0"/>
          <w:w w:val="100"/>
          <w:position w:val="0"/>
        </w:rPr>
        <w:t>元（含税）的现金红利，以资本公积金向全体股东每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年限制性股票激励计划已授予的限制性股票数量由 </w:t>
      </w:r>
      <w:r>
        <w:rPr>
          <w:rFonts w:ascii="Times New Roman" w:eastAsia="Times New Roman" w:hAnsi="Times New Roman" w:cs="Times New Roman"/>
          <w:color w:val="000000"/>
          <w:spacing w:val="0"/>
          <w:w w:val="100"/>
          <w:position w:val="0"/>
          <w:sz w:val="18"/>
          <w:szCs w:val="18"/>
        </w:rPr>
        <w:t>271.816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407.724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w:t>
      </w:r>
    </w:p>
    <w:p>
      <w:pPr>
        <w:pStyle w:val="Style34"/>
        <w:keepNext w:val="0"/>
        <w:keepLines w:val="0"/>
        <w:widowControl w:val="0"/>
        <w:shd w:val="clear" w:color="auto" w:fill="auto"/>
        <w:tabs>
          <w:tab w:pos="698" w:val="left"/>
        </w:tabs>
        <w:bidi w:val="0"/>
        <w:spacing w:before="0" w:after="0" w:line="360" w:lineRule="auto"/>
        <w:ind w:left="0" w:right="0"/>
        <w:jc w:val="both"/>
      </w:pPr>
      <w:bookmarkStart w:id="2036" w:name="bookmark2036"/>
      <w:r>
        <w:rPr>
          <w:rFonts w:ascii="Times New Roman" w:eastAsia="Times New Roman" w:hAnsi="Times New Roman" w:cs="Times New Roman"/>
          <w:color w:val="000000"/>
          <w:spacing w:val="0"/>
          <w:w w:val="100"/>
          <w:position w:val="0"/>
          <w:sz w:val="18"/>
          <w:szCs w:val="18"/>
        </w:rPr>
        <w:t>2</w:t>
      </w:r>
      <w:bookmarkEnd w:id="20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限制性股票的价格调整</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日召开公司第三届董事会第六次会议和第三届监事会第五次会议，审议通过《关于调整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性股票激励计划首次授予限制性股票回购价格的议案》，同意根据公司《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年限制性股票激励计划（草案）》的相关规定 和公司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年第三次临时股东大会的授权，对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年限制性股票激励计划首次授予激励对象已获授但尚未解除限售的限制 性股票回购价格进行调整。</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年限制性股票激励计划（草案）》的相关规定，限制性股票的回购价格不得高于授予价格加上银行同期 存款利息之和，如激励对象获授的限制性股票完成股份登记后，若公司发生资本公积转增股本、派送股票红利、股份拆细、 配股或缩股、派息等影响公司股本总额或公司股票价格事项的，公司应对尚未解除限售的限制性股票的回购价格做相应的调 整。调整方法如下：</w:t>
      </w:r>
    </w:p>
    <w:p>
      <w:pPr>
        <w:pStyle w:val="Style34"/>
        <w:keepNext w:val="0"/>
        <w:keepLines w:val="0"/>
        <w:widowControl w:val="0"/>
        <w:numPr>
          <w:ilvl w:val="0"/>
          <w:numId w:val="127"/>
        </w:numPr>
        <w:shd w:val="clear" w:color="auto" w:fill="auto"/>
        <w:tabs>
          <w:tab w:pos="722" w:val="left"/>
        </w:tabs>
        <w:bidi w:val="0"/>
        <w:spacing w:before="0" w:after="100" w:line="316" w:lineRule="exact"/>
        <w:ind w:left="0" w:right="0"/>
        <w:jc w:val="both"/>
      </w:pPr>
      <w:bookmarkStart w:id="2037" w:name="bookmark2037"/>
      <w:bookmarkEnd w:id="2037"/>
      <w:r>
        <w:rPr>
          <w:color w:val="000000"/>
          <w:spacing w:val="0"/>
          <w:w w:val="100"/>
          <w:position w:val="0"/>
        </w:rPr>
        <w:t>若公司发生资本公积转增股本、派送股票红利、股份拆细</w:t>
      </w:r>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P0</w:t>
      </w:r>
      <w:r>
        <w:rPr>
          <w:color w:val="000000"/>
          <w:spacing w:val="0"/>
          <w:w w:val="100"/>
          <w:position w:val="0"/>
        </w:rPr>
        <w:t>为调整前的授予价格；</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为每股的资本公积转增股本、派送股票红利、股份拆细的比率；</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为调整后的回购价 格。</w:t>
      </w:r>
    </w:p>
    <w:p>
      <w:pPr>
        <w:pStyle w:val="Style34"/>
        <w:keepNext w:val="0"/>
        <w:keepLines w:val="0"/>
        <w:widowControl w:val="0"/>
        <w:numPr>
          <w:ilvl w:val="0"/>
          <w:numId w:val="127"/>
        </w:numPr>
        <w:shd w:val="clear" w:color="auto" w:fill="auto"/>
        <w:tabs>
          <w:tab w:pos="722" w:val="left"/>
        </w:tabs>
        <w:bidi w:val="0"/>
        <w:spacing w:before="0" w:after="100" w:line="311" w:lineRule="exact"/>
        <w:ind w:left="0" w:right="0"/>
        <w:jc w:val="both"/>
      </w:pPr>
      <w:bookmarkStart w:id="2038" w:name="bookmark2038"/>
      <w:bookmarkEnd w:id="2038"/>
      <w:r>
        <w:rPr>
          <w:color w:val="000000"/>
          <w:spacing w:val="0"/>
          <w:w w:val="100"/>
          <w:position w:val="0"/>
        </w:rPr>
        <w:t>若公司发生派息</w:t>
      </w:r>
    </w:p>
    <w:p>
      <w:pPr>
        <w:pStyle w:val="Style27"/>
        <w:keepNext w:val="0"/>
        <w:keepLines w:val="0"/>
        <w:widowControl w:val="0"/>
        <w:shd w:val="clear" w:color="auto" w:fill="auto"/>
        <w:bidi w:val="0"/>
        <w:spacing w:before="0" w:after="0" w:line="36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P0-V</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P0</w:t>
      </w:r>
      <w:r>
        <w:rPr>
          <w:color w:val="000000"/>
          <w:spacing w:val="0"/>
          <w:w w:val="100"/>
          <w:position w:val="0"/>
        </w:rPr>
        <w:t>为调整前的授予价格；</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为每股的派息额；</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为调整后的回购价格。经派息调整后，</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仍须大于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依据上述调整方法，若公司同时发生资本公积转增股本、派送股票红利、股份拆细及派息事项，限制性股票价格调整方 法为：</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（P0-V）</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w:t>
      </w:r>
    </w:p>
    <w:p>
      <w:pPr>
        <w:pStyle w:val="Style34"/>
        <w:keepNext w:val="0"/>
        <w:keepLines w:val="0"/>
        <w:widowControl w:val="0"/>
        <w:shd w:val="clear" w:color="auto" w:fill="auto"/>
        <w:bidi w:val="0"/>
        <w:spacing w:before="0" w:after="100" w:line="311" w:lineRule="exact"/>
        <w:ind w:left="0" w:right="0"/>
        <w:jc w:val="both"/>
      </w:pPr>
      <w:r>
        <w:rPr>
          <w:color w:val="000000"/>
          <w:spacing w:val="0"/>
          <w:w w:val="100"/>
          <w:position w:val="0"/>
        </w:rPr>
        <w:t>综上，公司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年限制性股票激励计划激励对象已获授但尚未解除限售的限制性股票的回购价格调整为不高于</w:t>
      </w:r>
      <w:r>
        <w:rPr>
          <w:rFonts w:ascii="Times New Roman" w:eastAsia="Times New Roman" w:hAnsi="Times New Roman" w:cs="Times New Roman"/>
          <w:color w:val="000000"/>
          <w:spacing w:val="0"/>
          <w:w w:val="100"/>
          <w:position w:val="0"/>
          <w:sz w:val="18"/>
          <w:szCs w:val="18"/>
        </w:rPr>
        <w:t xml:space="preserve">P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股加上银行同期存款利息之和。</w:t>
      </w:r>
    </w:p>
    <w:p>
      <w:pPr>
        <w:pStyle w:val="Style34"/>
        <w:keepNext w:val="0"/>
        <w:keepLines w:val="0"/>
        <w:widowControl w:val="0"/>
        <w:shd w:val="clear" w:color="auto" w:fill="auto"/>
        <w:tabs>
          <w:tab w:pos="755" w:val="left"/>
        </w:tabs>
        <w:bidi w:val="0"/>
        <w:spacing w:before="0" w:after="0" w:line="360" w:lineRule="auto"/>
        <w:ind w:left="0" w:right="0"/>
        <w:jc w:val="both"/>
      </w:pPr>
      <w:bookmarkStart w:id="2039" w:name="bookmark2039"/>
      <w:r>
        <w:rPr>
          <w:rFonts w:ascii="Times New Roman" w:eastAsia="Times New Roman" w:hAnsi="Times New Roman" w:cs="Times New Roman"/>
          <w:color w:val="000000"/>
          <w:spacing w:val="0"/>
          <w:w w:val="100"/>
          <w:position w:val="0"/>
          <w:sz w:val="18"/>
          <w:szCs w:val="18"/>
        </w:rPr>
        <w:t>（</w:t>
      </w:r>
      <w:bookmarkEnd w:id="2039"/>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本期解除限售的限制性股票</w:t>
      </w:r>
    </w:p>
    <w:p>
      <w:pPr>
        <w:pStyle w:val="Style34"/>
        <w:keepNext w:val="0"/>
        <w:keepLines w:val="0"/>
        <w:widowControl w:val="0"/>
        <w:shd w:val="clear" w:color="auto" w:fill="auto"/>
        <w:tabs>
          <w:tab w:pos="678" w:val="left"/>
        </w:tabs>
        <w:bidi w:val="0"/>
        <w:spacing w:before="0" w:after="0" w:line="360" w:lineRule="auto"/>
        <w:ind w:left="0" w:right="0"/>
        <w:jc w:val="both"/>
      </w:pPr>
      <w:bookmarkStart w:id="2040" w:name="bookmark2040"/>
      <w:r>
        <w:rPr>
          <w:rFonts w:ascii="Times New Roman" w:eastAsia="Times New Roman" w:hAnsi="Times New Roman" w:cs="Times New Roman"/>
          <w:color w:val="000000"/>
          <w:spacing w:val="0"/>
          <w:w w:val="100"/>
          <w:position w:val="0"/>
          <w:sz w:val="18"/>
          <w:szCs w:val="18"/>
        </w:rPr>
        <w:t>1</w:t>
      </w:r>
      <w:bookmarkEnd w:id="20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公司业绩实现情况</w:t>
      </w:r>
    </w:p>
    <w:p>
      <w:pPr>
        <w:pStyle w:val="Style34"/>
        <w:keepNext w:val="0"/>
        <w:keepLines w:val="0"/>
        <w:widowControl w:val="0"/>
        <w:shd w:val="clear" w:color="auto" w:fill="auto"/>
        <w:bidi w:val="0"/>
        <w:spacing w:before="0" w:after="100" w:line="311"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年归属于上市公司股东的净利润为</w:t>
      </w:r>
      <w:r>
        <w:rPr>
          <w:rFonts w:ascii="Times New Roman" w:eastAsia="Times New Roman" w:hAnsi="Times New Roman" w:cs="Times New Roman"/>
          <w:color w:val="000000"/>
          <w:spacing w:val="0"/>
          <w:w w:val="100"/>
          <w:position w:val="0"/>
          <w:sz w:val="18"/>
          <w:szCs w:val="18"/>
        </w:rPr>
        <w:t>87,526.49</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年增长率为</w:t>
      </w:r>
      <w:r>
        <w:rPr>
          <w:rFonts w:ascii="Times New Roman" w:eastAsia="Times New Roman" w:hAnsi="Times New Roman" w:cs="Times New Roman"/>
          <w:color w:val="000000"/>
          <w:spacing w:val="0"/>
          <w:w w:val="100"/>
          <w:position w:val="0"/>
          <w:sz w:val="18"/>
          <w:szCs w:val="18"/>
        </w:rPr>
        <w:t>3,942.96%</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年度业绩考核达标。</w:t>
      </w:r>
    </w:p>
    <w:p>
      <w:pPr>
        <w:pStyle w:val="Style34"/>
        <w:keepNext w:val="0"/>
        <w:keepLines w:val="0"/>
        <w:widowControl w:val="0"/>
        <w:shd w:val="clear" w:color="auto" w:fill="auto"/>
        <w:tabs>
          <w:tab w:pos="698" w:val="left"/>
        </w:tabs>
        <w:bidi w:val="0"/>
        <w:spacing w:before="0" w:after="0" w:line="360" w:lineRule="auto"/>
        <w:ind w:left="0" w:right="0"/>
        <w:jc w:val="both"/>
      </w:pPr>
      <w:bookmarkStart w:id="2041" w:name="bookmark2041"/>
      <w:r>
        <w:rPr>
          <w:rFonts w:ascii="Times New Roman" w:eastAsia="Times New Roman" w:hAnsi="Times New Roman" w:cs="Times New Roman"/>
          <w:color w:val="000000"/>
          <w:spacing w:val="0"/>
          <w:w w:val="100"/>
          <w:position w:val="0"/>
          <w:sz w:val="18"/>
          <w:szCs w:val="18"/>
        </w:rPr>
        <w:t>2</w:t>
      </w:r>
      <w:bookmarkEnd w:id="20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本期解除限售的限制性股票数量</w:t>
      </w:r>
    </w:p>
    <w:p>
      <w:pPr>
        <w:pStyle w:val="Style34"/>
        <w:keepNext w:val="0"/>
        <w:keepLines w:val="0"/>
        <w:widowControl w:val="0"/>
        <w:shd w:val="clear" w:color="auto" w:fill="auto"/>
        <w:bidi w:val="0"/>
        <w:spacing w:before="0" w:after="100" w:line="311" w:lineRule="exact"/>
        <w:ind w:left="0" w:right="0"/>
        <w:jc w:val="both"/>
      </w:pPr>
      <w:r>
        <w:rPr>
          <w:color w:val="000000"/>
          <w:spacing w:val="0"/>
          <w:w w:val="100"/>
          <w:position w:val="0"/>
        </w:rPr>
        <w:t>公司首次授予限制性股票的第一个锁定期为自激励对象获授限制性股票完成授予登记并上市之日（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个月内，即第一个锁定期于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日届满。根据公司于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日召开公司第三届董事会第六次会议，审议通过 《关于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年限制性股票激励计划首次授予限制性股票第一个解锁期解锁条件成就的议案》，公司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 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）首次授予限制性股票第一个解锁期其他解锁条件已经成就，符合激励计划首次授予限制性股票第 一个解锁期解锁条件的激励对象共计</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人，可解锁的限制性股票数量</w:t>
      </w:r>
      <w:r>
        <w:rPr>
          <w:rFonts w:ascii="Times New Roman" w:eastAsia="Times New Roman" w:hAnsi="Times New Roman" w:cs="Times New Roman"/>
          <w:color w:val="000000"/>
          <w:spacing w:val="0"/>
          <w:w w:val="100"/>
          <w:position w:val="0"/>
          <w:sz w:val="18"/>
          <w:szCs w:val="18"/>
        </w:rPr>
        <w:t>1,968,045</w:t>
      </w:r>
      <w:r>
        <w:rPr>
          <w:color w:val="000000"/>
          <w:spacing w:val="0"/>
          <w:w w:val="100"/>
          <w:position w:val="0"/>
        </w:rPr>
        <w:t>股。</w:t>
      </w:r>
    </w:p>
    <w:p>
      <w:pPr>
        <w:pStyle w:val="Style34"/>
        <w:keepNext w:val="0"/>
        <w:keepLines w:val="0"/>
        <w:widowControl w:val="0"/>
        <w:shd w:val="clear" w:color="auto" w:fill="auto"/>
        <w:tabs>
          <w:tab w:pos="698" w:val="left"/>
        </w:tabs>
        <w:bidi w:val="0"/>
        <w:spacing w:before="0" w:after="0" w:line="360" w:lineRule="auto"/>
        <w:ind w:left="0" w:right="0"/>
        <w:jc w:val="both"/>
      </w:pPr>
      <w:bookmarkStart w:id="2042" w:name="bookmark2042"/>
      <w:r>
        <w:rPr>
          <w:rFonts w:ascii="Times New Roman" w:eastAsia="Times New Roman" w:hAnsi="Times New Roman" w:cs="Times New Roman"/>
          <w:color w:val="000000"/>
          <w:spacing w:val="0"/>
          <w:w w:val="100"/>
          <w:position w:val="0"/>
          <w:sz w:val="18"/>
          <w:szCs w:val="18"/>
        </w:rPr>
        <w:t>3</w:t>
      </w:r>
      <w:bookmarkEnd w:id="20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回购注销</w:t>
      </w:r>
    </w:p>
    <w:p>
      <w:pPr>
        <w:pStyle w:val="Style34"/>
        <w:keepNext w:val="0"/>
        <w:keepLines w:val="0"/>
        <w:widowControl w:val="0"/>
        <w:shd w:val="clear" w:color="auto" w:fill="auto"/>
        <w:bidi w:val="0"/>
        <w:spacing w:before="0" w:after="100" w:line="311" w:lineRule="exact"/>
        <w:ind w:left="0" w:right="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日召开的第三届董事会第六次会议决议审议通过《关于回购注销部分首次授予的限制性股票的 议案》，鉴于公司首次授予限制性股票原激励对象肖斌、卢秋全、程远、江杰、孟洋共计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人已离职，原激励对象叶青、许 洪斌、刘棉发、庞绍铭、张瑜、周红、赵佩佩、袁建平、万文友共计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人已不属于公司或公司的控股子公司员工，根据公司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年限制性股票激励计划（草案）》的相关规定，上述</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名人员已不符合激励条件，并失去本次限制性股票激励资格。</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公司决定回购并注销其已获授但尚未解锁的合计</w:t>
      </w:r>
      <w:r>
        <w:rPr>
          <w:rFonts w:ascii="Times New Roman" w:eastAsia="Times New Roman" w:hAnsi="Times New Roman" w:cs="Times New Roman"/>
          <w:color w:val="000000"/>
          <w:spacing w:val="0"/>
          <w:w w:val="100"/>
          <w:position w:val="0"/>
          <w:sz w:val="18"/>
          <w:szCs w:val="18"/>
        </w:rPr>
        <w:t>141,144</w:t>
      </w:r>
      <w:r>
        <w:rPr>
          <w:color w:val="000000"/>
          <w:spacing w:val="0"/>
          <w:w w:val="100"/>
          <w:position w:val="0"/>
        </w:rPr>
        <w:t>股限制性股票。</w:t>
      </w:r>
    </w:p>
    <w:p>
      <w:pPr>
        <w:pStyle w:val="Style37"/>
        <w:keepNext/>
        <w:keepLines/>
        <w:widowControl w:val="0"/>
        <w:shd w:val="clear" w:color="auto" w:fill="auto"/>
        <w:bidi w:val="0"/>
        <w:spacing w:before="0" w:after="380" w:line="240" w:lineRule="auto"/>
        <w:ind w:left="0" w:right="0" w:firstLine="0"/>
        <w:jc w:val="both"/>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43"/>
      <w:bookmarkEnd w:id="2044"/>
      <w:bookmarkEnd w:id="2045"/>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授予日公司股票的收盘价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公司业绩考核及个人业绩考核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89,180,347.92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63,672,336.74</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378" w:val="left"/>
        </w:tabs>
        <w:bidi w:val="0"/>
        <w:spacing w:before="0" w:after="38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3</w:t>
      </w:r>
      <w:bookmarkEnd w:id="2048"/>
      <w:r>
        <w:rPr>
          <w:color w:val="000000"/>
          <w:spacing w:val="0"/>
          <w:w w:val="100"/>
          <w:position w:val="0"/>
        </w:rPr>
        <w:t>、</w:t>
        <w:tab/>
        <w:t>以现金结算的股份支付情况</w:t>
      </w:r>
      <w:bookmarkEnd w:id="2046"/>
      <w:bookmarkEnd w:id="2047"/>
      <w:bookmarkEnd w:id="2049"/>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4</w:t>
      </w:r>
      <w:bookmarkEnd w:id="2052"/>
      <w:r>
        <w:rPr>
          <w:color w:val="000000"/>
          <w:spacing w:val="0"/>
          <w:w w:val="100"/>
          <w:position w:val="0"/>
        </w:rPr>
        <w:t>、</w:t>
        <w:tab/>
        <w:t>股份支付的修改、终止情况</w:t>
      </w:r>
      <w:bookmarkEnd w:id="2050"/>
      <w:bookmarkEnd w:id="2051"/>
      <w:bookmarkEnd w:id="205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5</w:t>
      </w:r>
      <w:bookmarkEnd w:id="2056"/>
      <w:r>
        <w:rPr>
          <w:color w:val="000000"/>
          <w:spacing w:val="0"/>
          <w:w w:val="100"/>
          <w:position w:val="0"/>
        </w:rPr>
        <w:t>、</w:t>
        <w:tab/>
        <w:t>其他</w:t>
      </w:r>
      <w:bookmarkEnd w:id="2054"/>
      <w:bookmarkEnd w:id="2055"/>
      <w:bookmarkEnd w:id="205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2058" w:name="bookmark2058"/>
      <w:bookmarkStart w:id="2059" w:name="bookmark2059"/>
      <w:bookmarkStart w:id="2060" w:name="bookmark2060"/>
      <w:r>
        <w:rPr>
          <w:color w:val="000000"/>
          <w:spacing w:val="0"/>
          <w:w w:val="100"/>
          <w:position w:val="0"/>
          <w:sz w:val="24"/>
          <w:szCs w:val="24"/>
        </w:rPr>
        <w:t>十四、承诺及或有事项</w:t>
      </w:r>
      <w:bookmarkEnd w:id="2058"/>
      <w:bookmarkEnd w:id="2059"/>
      <w:bookmarkEnd w:id="2060"/>
    </w:p>
    <w:p>
      <w:pPr>
        <w:pStyle w:val="Style37"/>
        <w:keepNext/>
        <w:keepLines/>
        <w:widowControl w:val="0"/>
        <w:shd w:val="clear" w:color="auto" w:fill="auto"/>
        <w:bidi w:val="0"/>
        <w:spacing w:before="0" w:after="38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61"/>
      <w:bookmarkEnd w:id="2062"/>
      <w:bookmarkEnd w:id="206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0" w:line="240" w:lineRule="auto"/>
        <w:ind w:left="413" w:right="0" w:firstLine="0"/>
        <w:jc w:val="left"/>
      </w:pPr>
      <w:r>
        <w:rPr>
          <w:color w:val="000000"/>
          <w:spacing w:val="0"/>
          <w:w w:val="100"/>
          <w:position w:val="0"/>
        </w:rPr>
        <w:t>根据已签订的正在或准备履行的重要租赁合同，详情如下:</w:t>
      </w:r>
    </w:p>
    <w:tbl>
      <w:tblPr>
        <w:tblOverlap w:val="never"/>
        <w:jc w:val="center"/>
        <w:tblLayout w:type="fixed"/>
      </w:tblPr>
      <w:tblGrid>
        <w:gridCol w:w="3072"/>
        <w:gridCol w:w="1579"/>
        <w:gridCol w:w="2746"/>
        <w:gridCol w:w="2136"/>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预计最低支付总额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2020/12/14-2023/12/13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42,238,676.80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深圳市科技评审管理中心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2018/2/1-2023/1/31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16,560,795.96</w:t>
            </w:r>
          </w:p>
        </w:tc>
      </w:tr>
    </w:tbl>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64"/>
      <w:bookmarkEnd w:id="2065"/>
      <w:bookmarkEnd w:id="2066"/>
    </w:p>
    <w:p>
      <w:pPr>
        <w:pStyle w:val="Style71"/>
        <w:keepNext/>
        <w:keepLines/>
        <w:widowControl w:val="0"/>
        <w:shd w:val="clear" w:color="auto" w:fill="auto"/>
        <w:bidi w:val="0"/>
        <w:spacing w:before="0" w:after="260" w:line="240" w:lineRule="auto"/>
        <w:ind w:left="0" w:right="0" w:firstLine="0"/>
        <w:jc w:val="left"/>
      </w:pPr>
      <w:bookmarkStart w:id="2067" w:name="bookmark2067"/>
      <w:bookmarkStart w:id="2068" w:name="bookmark2068"/>
      <w:bookmarkStart w:id="2069" w:name="bookmark2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67"/>
      <w:bookmarkEnd w:id="2068"/>
      <w:bookmarkEnd w:id="2069"/>
    </w:p>
    <w:p>
      <w:pPr>
        <w:pStyle w:val="Style34"/>
        <w:keepNext w:val="0"/>
        <w:keepLines w:val="0"/>
        <w:widowControl w:val="0"/>
        <w:numPr>
          <w:ilvl w:val="0"/>
          <w:numId w:val="129"/>
        </w:numPr>
        <w:shd w:val="clear" w:color="auto" w:fill="auto"/>
        <w:bidi w:val="0"/>
        <w:spacing w:before="0" w:after="0" w:line="312" w:lineRule="exact"/>
        <w:ind w:left="0" w:right="0"/>
        <w:jc w:val="both"/>
      </w:pPr>
      <w:bookmarkStart w:id="2070" w:name="bookmark2070"/>
      <w:bookmarkEnd w:id="2070"/>
      <w:r>
        <w:rPr>
          <w:color w:val="000000"/>
          <w:spacing w:val="0"/>
          <w:w w:val="100"/>
          <w:position w:val="0"/>
        </w:rPr>
        <w:t>江西网是科技有限公司于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日向江西省萍乡市中级人民法院提起诉讼，请求人民法院依法判令公司支付拖欠 委托加工及采购费</w:t>
      </w:r>
      <w:r>
        <w:rPr>
          <w:rFonts w:ascii="Times New Roman" w:eastAsia="Times New Roman" w:hAnsi="Times New Roman" w:cs="Times New Roman"/>
          <w:color w:val="000000"/>
          <w:spacing w:val="0"/>
          <w:w w:val="100"/>
          <w:position w:val="0"/>
          <w:sz w:val="18"/>
          <w:szCs w:val="18"/>
        </w:rPr>
        <w:t>118.33</w:t>
      </w:r>
      <w:r>
        <w:rPr>
          <w:color w:val="000000"/>
          <w:spacing w:val="0"/>
          <w:w w:val="100"/>
          <w:position w:val="0"/>
        </w:rPr>
        <w:t>万元、委托加工费和采购款迟延付款期间违约金</w:t>
      </w:r>
      <w:r>
        <w:rPr>
          <w:rFonts w:ascii="Times New Roman" w:eastAsia="Times New Roman" w:hAnsi="Times New Roman" w:cs="Times New Roman"/>
          <w:color w:val="000000"/>
          <w:spacing w:val="0"/>
          <w:w w:val="100"/>
          <w:position w:val="0"/>
          <w:sz w:val="18"/>
          <w:szCs w:val="18"/>
        </w:rPr>
        <w:t>587.6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万元、终止合同所产生的损失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万元（暂定， 以司法鉴定为准）、律师代理费损失</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万元，以上诉讼请求金额共计</w:t>
      </w:r>
      <w:r>
        <w:rPr>
          <w:rFonts w:ascii="Times New Roman" w:eastAsia="Times New Roman" w:hAnsi="Times New Roman" w:cs="Times New Roman"/>
          <w:color w:val="000000"/>
          <w:spacing w:val="0"/>
          <w:w w:val="100"/>
          <w:position w:val="0"/>
          <w:sz w:val="18"/>
          <w:szCs w:val="18"/>
        </w:rPr>
        <w:t>1,235.93</w:t>
      </w:r>
      <w:r>
        <w:rPr>
          <w:color w:val="000000"/>
          <w:spacing w:val="0"/>
          <w:w w:val="100"/>
          <w:position w:val="0"/>
        </w:rPr>
        <w:t xml:space="preserve">万元。案件处于司法鉴定阶段，截至资产负债 </w:t>
      </w:r>
      <w:r>
        <w:rPr>
          <w:color w:val="000000"/>
          <w:spacing w:val="0"/>
          <w:w w:val="100"/>
          <w:position w:val="0"/>
        </w:rPr>
        <w:t>表日，尚未收到司法鉴定意见。</w:t>
      </w:r>
    </w:p>
    <w:p>
      <w:pPr>
        <w:pStyle w:val="Style34"/>
        <w:keepNext w:val="0"/>
        <w:keepLines w:val="0"/>
        <w:widowControl w:val="0"/>
        <w:numPr>
          <w:ilvl w:val="0"/>
          <w:numId w:val="129"/>
        </w:numPr>
        <w:shd w:val="clear" w:color="auto" w:fill="auto"/>
        <w:bidi w:val="0"/>
        <w:spacing w:before="0" w:after="700" w:line="312" w:lineRule="exact"/>
        <w:ind w:left="0" w:right="0"/>
        <w:jc w:val="left"/>
      </w:pPr>
      <w:bookmarkStart w:id="2071" w:name="bookmark2071"/>
      <w:bookmarkEnd w:id="2071"/>
      <w:r>
        <w:rPr>
          <w:color w:val="000000"/>
          <w:spacing w:val="0"/>
          <w:w w:val="100"/>
          <w:position w:val="0"/>
        </w:rPr>
        <w:t>深圳市南泽智能科技有限公司于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日向广东省深圳市龙华区人民法院提起民事诉讼状，诉讼请求人民法院 依法判令公司支付锡膏打折处理价差等物料备货小计</w:t>
      </w:r>
      <w:r>
        <w:rPr>
          <w:color w:val="000000"/>
          <w:spacing w:val="0"/>
          <w:w w:val="100"/>
          <w:position w:val="0"/>
          <w:sz w:val="17"/>
          <w:szCs w:val="17"/>
        </w:rPr>
        <w:t>40.8</w:t>
      </w:r>
      <w:r>
        <w:rPr>
          <w:color w:val="000000"/>
          <w:spacing w:val="0"/>
          <w:w w:val="100"/>
          <w:position w:val="0"/>
          <w:sz w:val="17"/>
          <w:szCs w:val="17"/>
        </w:rPr>
        <w:t>7</w:t>
      </w:r>
      <w:r>
        <w:rPr>
          <w:color w:val="000000"/>
          <w:spacing w:val="0"/>
          <w:w w:val="100"/>
          <w:position w:val="0"/>
        </w:rPr>
        <w:t>万元，支付迟延付款违约金</w:t>
      </w:r>
      <w:r>
        <w:rPr>
          <w:color w:val="000000"/>
          <w:spacing w:val="0"/>
          <w:w w:val="100"/>
          <w:position w:val="0"/>
          <w:sz w:val="17"/>
          <w:szCs w:val="17"/>
        </w:rPr>
        <w:t>715.2</w:t>
      </w:r>
      <w:r>
        <w:rPr>
          <w:color w:val="000000"/>
          <w:spacing w:val="0"/>
          <w:w w:val="100"/>
          <w:position w:val="0"/>
          <w:sz w:val="17"/>
          <w:szCs w:val="17"/>
        </w:rPr>
        <w:t>7</w:t>
      </w:r>
      <w:r>
        <w:rPr>
          <w:color w:val="000000"/>
          <w:spacing w:val="0"/>
          <w:w w:val="100"/>
          <w:position w:val="0"/>
        </w:rPr>
        <w:t>万元，因终止合同、取消订单、 变更订单所产生的设备损失</w:t>
      </w:r>
      <w:r>
        <w:rPr>
          <w:color w:val="000000"/>
          <w:spacing w:val="0"/>
          <w:w w:val="100"/>
          <w:position w:val="0"/>
          <w:sz w:val="17"/>
          <w:szCs w:val="17"/>
        </w:rPr>
        <w:t>393.93</w:t>
      </w:r>
      <w:r>
        <w:rPr>
          <w:color w:val="000000"/>
          <w:spacing w:val="0"/>
          <w:w w:val="100"/>
          <w:position w:val="0"/>
        </w:rPr>
        <w:t>万元，物料清尾盘点与贴标签、隔离尾盘物料损失</w:t>
      </w:r>
      <w:r>
        <w:rPr>
          <w:color w:val="000000"/>
          <w:spacing w:val="0"/>
          <w:w w:val="100"/>
          <w:position w:val="0"/>
          <w:sz w:val="17"/>
          <w:szCs w:val="17"/>
        </w:rPr>
        <w:t>10.4</w:t>
      </w:r>
      <w:r>
        <w:rPr>
          <w:color w:val="000000"/>
          <w:spacing w:val="0"/>
          <w:w w:val="100"/>
          <w:position w:val="0"/>
          <w:sz w:val="17"/>
          <w:szCs w:val="17"/>
        </w:rPr>
        <w:t>0</w:t>
      </w:r>
      <w:r>
        <w:rPr>
          <w:color w:val="000000"/>
          <w:spacing w:val="0"/>
          <w:w w:val="100"/>
          <w:position w:val="0"/>
        </w:rPr>
        <w:t>万元，停工停线损失</w:t>
      </w:r>
      <w:r>
        <w:rPr>
          <w:color w:val="000000"/>
          <w:spacing w:val="0"/>
          <w:w w:val="100"/>
          <w:position w:val="0"/>
          <w:sz w:val="17"/>
          <w:szCs w:val="17"/>
        </w:rPr>
        <w:t>175.04</w:t>
      </w:r>
      <w:r>
        <w:rPr>
          <w:color w:val="000000"/>
          <w:spacing w:val="0"/>
          <w:w w:val="100"/>
          <w:position w:val="0"/>
        </w:rPr>
        <w:t>万元, 货款差额损失</w:t>
      </w:r>
      <w:r>
        <w:rPr>
          <w:color w:val="000000"/>
          <w:spacing w:val="0"/>
          <w:w w:val="100"/>
          <w:position w:val="0"/>
          <w:sz w:val="17"/>
          <w:szCs w:val="17"/>
        </w:rPr>
        <w:t>189.77</w:t>
      </w:r>
      <w:r>
        <w:rPr>
          <w:color w:val="000000"/>
          <w:spacing w:val="0"/>
          <w:w w:val="100"/>
          <w:position w:val="0"/>
        </w:rPr>
        <w:t>万元，律师代理费损失</w:t>
      </w:r>
      <w:r>
        <w:rPr>
          <w:color w:val="000000"/>
          <w:spacing w:val="0"/>
          <w:w w:val="100"/>
          <w:position w:val="0"/>
          <w:sz w:val="17"/>
          <w:szCs w:val="17"/>
        </w:rPr>
        <w:t>18.0</w:t>
      </w:r>
      <w:r>
        <w:rPr>
          <w:color w:val="000000"/>
          <w:spacing w:val="0"/>
          <w:w w:val="100"/>
          <w:position w:val="0"/>
          <w:sz w:val="17"/>
          <w:szCs w:val="17"/>
        </w:rPr>
        <w:t>0</w:t>
      </w:r>
      <w:r>
        <w:rPr>
          <w:color w:val="000000"/>
          <w:spacing w:val="0"/>
          <w:w w:val="100"/>
          <w:position w:val="0"/>
        </w:rPr>
        <w:t>万元</w:t>
      </w:r>
      <w:r>
        <w:rPr>
          <w:color w:val="000000"/>
          <w:spacing w:val="0"/>
          <w:w w:val="100"/>
          <w:position w:val="0"/>
          <w:sz w:val="18"/>
          <w:szCs w:val="18"/>
        </w:rPr>
        <w:t>，</w:t>
      </w:r>
      <w:r>
        <w:rPr>
          <w:color w:val="000000"/>
          <w:spacing w:val="0"/>
          <w:w w:val="100"/>
          <w:position w:val="0"/>
        </w:rPr>
        <w:t>货款</w:t>
      </w:r>
      <w:r>
        <w:rPr>
          <w:color w:val="000000"/>
          <w:spacing w:val="0"/>
          <w:w w:val="100"/>
          <w:position w:val="0"/>
          <w:sz w:val="17"/>
          <w:szCs w:val="17"/>
        </w:rPr>
        <w:t>26.0</w:t>
      </w:r>
      <w:r>
        <w:rPr>
          <w:color w:val="000000"/>
          <w:spacing w:val="0"/>
          <w:w w:val="100"/>
          <w:position w:val="0"/>
          <w:sz w:val="17"/>
          <w:szCs w:val="17"/>
        </w:rPr>
        <w:t>0</w:t>
      </w:r>
      <w:r>
        <w:rPr>
          <w:color w:val="000000"/>
          <w:spacing w:val="0"/>
          <w:w w:val="100"/>
          <w:position w:val="0"/>
        </w:rPr>
        <w:t>万元，物流费</w:t>
      </w:r>
      <w:r>
        <w:rPr>
          <w:color w:val="000000"/>
          <w:spacing w:val="0"/>
          <w:w w:val="100"/>
          <w:position w:val="0"/>
          <w:sz w:val="17"/>
          <w:szCs w:val="17"/>
        </w:rPr>
        <w:t>4.14</w:t>
      </w:r>
      <w:r>
        <w:rPr>
          <w:color w:val="000000"/>
          <w:spacing w:val="0"/>
          <w:w w:val="100"/>
          <w:position w:val="0"/>
        </w:rPr>
        <w:t>万元，案件受理费、保全费、保险费、 鉴定费等实现债权的费用全部，以上款项暂共计</w:t>
      </w:r>
      <w:r>
        <w:rPr>
          <w:color w:val="000000"/>
          <w:spacing w:val="0"/>
          <w:w w:val="100"/>
          <w:position w:val="0"/>
          <w:sz w:val="17"/>
          <w:szCs w:val="17"/>
        </w:rPr>
        <w:t>1,573.4</w:t>
      </w:r>
      <w:r>
        <w:rPr>
          <w:color w:val="000000"/>
          <w:spacing w:val="0"/>
          <w:w w:val="100"/>
          <w:position w:val="0"/>
          <w:sz w:val="17"/>
          <w:szCs w:val="17"/>
        </w:rPr>
        <w:t>1</w:t>
      </w:r>
      <w:r>
        <w:rPr>
          <w:color w:val="000000"/>
          <w:spacing w:val="0"/>
          <w:w w:val="100"/>
          <w:position w:val="0"/>
        </w:rPr>
        <w:t>万元。龙华区人民法院已于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日立案，案号为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0309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5461</w:t>
      </w:r>
      <w:r>
        <w:rPr>
          <w:color w:val="000000"/>
          <w:spacing w:val="0"/>
          <w:w w:val="100"/>
          <w:position w:val="0"/>
        </w:rPr>
        <w:t>号。截至资产负债表日，尚未开庭审理。</w:t>
      </w:r>
    </w:p>
    <w:p>
      <w:pPr>
        <w:pStyle w:val="Style71"/>
        <w:keepNext/>
        <w:keepLines/>
        <w:widowControl w:val="0"/>
        <w:shd w:val="clear" w:color="auto" w:fill="auto"/>
        <w:bidi w:val="0"/>
        <w:spacing w:before="0" w:after="380" w:line="240" w:lineRule="auto"/>
        <w:ind w:left="0" w:right="0" w:firstLine="0"/>
        <w:jc w:val="left"/>
      </w:pPr>
      <w:bookmarkStart w:id="2072" w:name="bookmark2072"/>
      <w:bookmarkStart w:id="2073" w:name="bookmark2073"/>
      <w:bookmarkStart w:id="2074" w:name="bookmark20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72"/>
      <w:bookmarkEnd w:id="2073"/>
      <w:bookmarkEnd w:id="207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7"/>
        <w:keepNext/>
        <w:keepLines/>
        <w:widowControl w:val="0"/>
        <w:shd w:val="clear" w:color="auto" w:fill="auto"/>
        <w:bidi w:val="0"/>
        <w:spacing w:before="0" w:after="38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3</w:t>
      </w:r>
      <w:bookmarkEnd w:id="2077"/>
      <w:r>
        <w:rPr>
          <w:color w:val="000000"/>
          <w:spacing w:val="0"/>
          <w:w w:val="100"/>
          <w:position w:val="0"/>
        </w:rPr>
        <w:t>、其他</w:t>
      </w:r>
      <w:bookmarkEnd w:id="2075"/>
      <w:bookmarkEnd w:id="2076"/>
      <w:bookmarkEnd w:id="207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2079" w:name="bookmark2079"/>
      <w:bookmarkStart w:id="2080" w:name="bookmark2080"/>
      <w:bookmarkStart w:id="2081" w:name="bookmark2081"/>
      <w:r>
        <w:rPr>
          <w:color w:val="000000"/>
          <w:spacing w:val="0"/>
          <w:w w:val="100"/>
          <w:position w:val="0"/>
          <w:sz w:val="24"/>
          <w:szCs w:val="24"/>
        </w:rPr>
        <w:t>十五、资产负债表日后事项</w:t>
      </w:r>
      <w:bookmarkEnd w:id="2079"/>
      <w:bookmarkEnd w:id="2080"/>
      <w:bookmarkEnd w:id="2081"/>
    </w:p>
    <w:p>
      <w:pPr>
        <w:pStyle w:val="Style37"/>
        <w:keepNext/>
        <w:keepLines/>
        <w:widowControl w:val="0"/>
        <w:shd w:val="clear" w:color="auto" w:fill="auto"/>
        <w:bidi w:val="0"/>
        <w:spacing w:before="0" w:after="380" w:line="240" w:lineRule="auto"/>
        <w:ind w:left="0" w:right="0" w:firstLine="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82"/>
      <w:bookmarkEnd w:id="2083"/>
      <w:bookmarkEnd w:id="208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630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公司已通过参与山东产权交 易中心公开挂牌引进战略投 资者的形式获得对山东高速 信联支付有限公司(以下简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信联支付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)的增资资格， 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日与信联 支付原出资人山东高速集团 有限公司及信联支付签订了</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《增资协议书》。根据《增资 协议书》约定，公司认缴出 资额为</w:t>
            </w:r>
            <w:r>
              <w:rPr>
                <w:color w:val="000000"/>
                <w:spacing w:val="0"/>
                <w:w w:val="100"/>
                <w:position w:val="0"/>
                <w:sz w:val="17"/>
                <w:szCs w:val="17"/>
              </w:rPr>
              <w:t xml:space="preserve">2, </w:t>
            </w:r>
            <w:r>
              <w:rPr>
                <w:color w:val="000000"/>
                <w:spacing w:val="0"/>
                <w:w w:val="100"/>
                <w:position w:val="0"/>
                <w:sz w:val="17"/>
                <w:szCs w:val="17"/>
              </w:rPr>
              <w:t xml:space="preserve">300. </w:t>
            </w:r>
            <w:r>
              <w:rPr>
                <w:color w:val="000000"/>
                <w:spacing w:val="0"/>
                <w:w w:val="100"/>
                <w:position w:val="0"/>
                <w:sz w:val="17"/>
                <w:szCs w:val="17"/>
              </w:rPr>
              <w:t>00</w:t>
            </w:r>
            <w:r>
              <w:rPr>
                <w:color w:val="000000"/>
                <w:spacing w:val="0"/>
                <w:w w:val="100"/>
                <w:position w:val="0"/>
              </w:rPr>
              <w:t>万元人民 币，持股比例为</w:t>
            </w:r>
            <w:r>
              <w:rPr>
                <w:color w:val="000000"/>
                <w:spacing w:val="0"/>
                <w:w w:val="100"/>
                <w:position w:val="0"/>
                <w:sz w:val="17"/>
                <w:szCs w:val="17"/>
              </w:rPr>
              <w:t xml:space="preserve">23. </w:t>
            </w:r>
            <w:r>
              <w:rPr>
                <w:color w:val="000000"/>
                <w:spacing w:val="0"/>
                <w:w w:val="100"/>
                <w:position w:val="0"/>
                <w:sz w:val="17"/>
                <w:szCs w:val="17"/>
              </w:rPr>
              <w:t>00%</w:t>
            </w:r>
            <w:r>
              <w:rPr>
                <w:color w:val="000000"/>
                <w:spacing w:val="0"/>
                <w:w w:val="100"/>
                <w:position w:val="0"/>
              </w:rPr>
              <w:t>，并 于</w:t>
            </w:r>
            <w:r>
              <w:rPr>
                <w:color w:val="000000"/>
                <w:spacing w:val="0"/>
                <w:w w:val="100"/>
                <w:position w:val="0"/>
                <w:sz w:val="17"/>
                <w:szCs w:val="17"/>
              </w:rPr>
              <w:t>2019</w:t>
            </w:r>
            <w:r>
              <w:rPr>
                <w:color w:val="000000"/>
                <w:spacing w:val="0"/>
                <w:w w:val="100"/>
                <w:position w:val="0"/>
              </w:rPr>
              <w:t>年支付认缴的股权投 资款。</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7</w:t>
            </w:r>
            <w:r>
              <w:rPr>
                <w:color w:val="000000"/>
                <w:spacing w:val="0"/>
                <w:w w:val="100"/>
                <w:position w:val="0"/>
              </w:rPr>
              <w:t>日，公 司委派董事郑映虹任职信联 支付董事，信联支付完成工 商变更。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 成工商变更，公司认缴出资 额为</w:t>
            </w:r>
            <w:r>
              <w:rPr>
                <w:rFonts w:ascii="Times New Roman" w:eastAsia="Times New Roman" w:hAnsi="Times New Roman" w:cs="Times New Roman"/>
                <w:color w:val="000000"/>
                <w:spacing w:val="0"/>
                <w:w w:val="100"/>
                <w:position w:val="0"/>
                <w:sz w:val="18"/>
                <w:szCs w:val="18"/>
              </w:rPr>
              <w:t>2,300.00</w:t>
            </w:r>
            <w:r>
              <w:rPr>
                <w:color w:val="000000"/>
                <w:spacing w:val="0"/>
                <w:w w:val="100"/>
                <w:position w:val="0"/>
              </w:rPr>
              <w:t>万元人民币， 持股比例为</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,委派原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1"/>
        <w:gridCol w:w="2294"/>
        <w:gridCol w:w="2390"/>
        <w:gridCol w:w="2400"/>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董事郑映虹任职信联支付董 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85"/>
      <w:bookmarkEnd w:id="2086"/>
      <w:bookmarkEnd w:id="208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191,474,262.82</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3</w:t>
      </w:r>
      <w:bookmarkEnd w:id="2090"/>
      <w:r>
        <w:rPr>
          <w:color w:val="000000"/>
          <w:spacing w:val="0"/>
          <w:w w:val="100"/>
          <w:position w:val="0"/>
        </w:rPr>
        <w:t>、</w:t>
        <w:tab/>
        <w:t>销售退回</w:t>
      </w:r>
      <w:bookmarkEnd w:id="2088"/>
      <w:bookmarkEnd w:id="2089"/>
      <w:bookmarkEnd w:id="209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4</w:t>
      </w:r>
      <w:bookmarkEnd w:id="2094"/>
      <w:r>
        <w:rPr>
          <w:color w:val="000000"/>
          <w:spacing w:val="0"/>
          <w:w w:val="100"/>
          <w:position w:val="0"/>
        </w:rPr>
        <w:t>、</w:t>
        <w:tab/>
        <w:t>其他资产负债表日后事项说明</w:t>
      </w:r>
      <w:bookmarkEnd w:id="2092"/>
      <w:bookmarkEnd w:id="2093"/>
      <w:bookmarkEnd w:id="2095"/>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2096" w:name="bookmark2096"/>
      <w:bookmarkStart w:id="2097" w:name="bookmark2097"/>
      <w:bookmarkStart w:id="2098" w:name="bookmark2098"/>
      <w:r>
        <w:rPr>
          <w:color w:val="000000"/>
          <w:spacing w:val="0"/>
          <w:w w:val="100"/>
          <w:position w:val="0"/>
          <w:sz w:val="24"/>
          <w:szCs w:val="24"/>
        </w:rPr>
        <w:t>十六、其他重要事项</w:t>
      </w:r>
      <w:bookmarkEnd w:id="2096"/>
      <w:bookmarkEnd w:id="2097"/>
      <w:bookmarkEnd w:id="2098"/>
    </w:p>
    <w:p>
      <w:pPr>
        <w:pStyle w:val="Style37"/>
        <w:keepNext/>
        <w:keepLines/>
        <w:widowControl w:val="0"/>
        <w:shd w:val="clear" w:color="auto" w:fill="auto"/>
        <w:tabs>
          <w:tab w:pos="368" w:val="left"/>
        </w:tabs>
        <w:bidi w:val="0"/>
        <w:spacing w:before="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1</w:t>
      </w:r>
      <w:bookmarkEnd w:id="2101"/>
      <w:r>
        <w:rPr>
          <w:color w:val="000000"/>
          <w:spacing w:val="0"/>
          <w:w w:val="100"/>
          <w:position w:val="0"/>
        </w:rPr>
        <w:t>、</w:t>
        <w:tab/>
        <w:t>前期会计差错更正</w:t>
      </w:r>
      <w:bookmarkEnd w:id="2099"/>
      <w:bookmarkEnd w:id="2100"/>
      <w:bookmarkEnd w:id="2102"/>
    </w:p>
    <w:p>
      <w:pPr>
        <w:pStyle w:val="Style71"/>
        <w:keepNext/>
        <w:keepLines/>
        <w:widowControl w:val="0"/>
        <w:shd w:val="clear" w:color="auto" w:fill="auto"/>
        <w:tabs>
          <w:tab w:pos="493" w:val="left"/>
        </w:tabs>
        <w:bidi w:val="0"/>
        <w:spacing w:before="0" w:line="240" w:lineRule="auto"/>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103"/>
      <w:bookmarkEnd w:id="2104"/>
      <w:bookmarkEnd w:id="210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107"/>
      <w:bookmarkEnd w:id="2108"/>
      <w:bookmarkEnd w:id="211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2</w:t>
      </w:r>
      <w:bookmarkEnd w:id="2113"/>
      <w:r>
        <w:rPr>
          <w:color w:val="000000"/>
          <w:spacing w:val="0"/>
          <w:w w:val="100"/>
          <w:position w:val="0"/>
        </w:rPr>
        <w:t>、</w:t>
        <w:tab/>
        <w:t>债务重组</w:t>
      </w:r>
      <w:bookmarkEnd w:id="2111"/>
      <w:bookmarkEnd w:id="2112"/>
      <w:bookmarkEnd w:id="2114"/>
    </w:p>
    <w:p>
      <w:pPr>
        <w:pStyle w:val="Style32"/>
        <w:keepNext w:val="0"/>
        <w:keepLines w:val="0"/>
        <w:widowControl w:val="0"/>
        <w:shd w:val="clear" w:color="auto" w:fill="auto"/>
        <w:bidi w:val="0"/>
        <w:spacing w:before="0" w:after="0" w:line="240" w:lineRule="auto"/>
        <w:ind w:left="427" w:right="0" w:firstLine="0"/>
        <w:jc w:val="left"/>
      </w:pPr>
      <w:r>
        <w:rPr>
          <w:color w:val="000000"/>
          <w:spacing w:val="0"/>
          <w:w w:val="100"/>
          <w:position w:val="0"/>
        </w:rPr>
        <w:t>公司作为债权人</w:t>
      </w:r>
    </w:p>
    <w:tbl>
      <w:tblPr>
        <w:tblOverlap w:val="never"/>
        <w:jc w:val="center"/>
        <w:tblLayout w:type="fixed"/>
      </w:tblPr>
      <w:tblGrid>
        <w:gridCol w:w="2054"/>
        <w:gridCol w:w="1694"/>
        <w:gridCol w:w="1834"/>
        <w:gridCol w:w="2203"/>
        <w:gridCol w:w="1891"/>
      </w:tblGrid>
      <w:tr>
        <w:trPr>
          <w:trHeight w:val="97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债务重组方式</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债权账面价值</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债务重组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债务重组导致的对联营企业 或合营企业的权益性投资增 加额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权益性投资占联营企业 或合营企业股份总额的 比例</w:t>
            </w:r>
          </w:p>
        </w:tc>
      </w:tr>
      <w:tr>
        <w:trPr>
          <w:trHeight w:val="67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修改其他债务条件-减少 债务本金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28,496,387.62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-17,896,387.62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8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8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420" w:line="240" w:lineRule="auto"/>
        <w:ind w:left="0" w:right="0" w:firstLine="0"/>
        <w:jc w:val="left"/>
      </w:pPr>
      <w:r>
        <w:rPr>
          <w:color w:val="000000"/>
          <w:spacing w:val="0"/>
          <w:w w:val="100"/>
          <w:position w:val="0"/>
        </w:rPr>
        <w:t>债务重组情况详见本财务报告附注八</w:t>
      </w:r>
      <w:r>
        <w:rPr>
          <w:color w:val="000000"/>
          <w:spacing w:val="0"/>
          <w:w w:val="100"/>
          <w:position w:val="0"/>
          <w:sz w:val="17"/>
          <w:szCs w:val="17"/>
        </w:rPr>
        <w:t>（4）</w:t>
      </w:r>
      <w:r>
        <w:rPr>
          <w:color w:val="000000"/>
          <w:spacing w:val="0"/>
          <w:w w:val="100"/>
          <w:position w:val="0"/>
        </w:rPr>
        <w:t>之说明</w:t>
      </w:r>
    </w:p>
    <w:p>
      <w:pPr>
        <w:pStyle w:val="Style37"/>
        <w:keepNext/>
        <w:keepLines/>
        <w:widowControl w:val="0"/>
        <w:shd w:val="clear" w:color="auto" w:fill="auto"/>
        <w:bidi w:val="0"/>
        <w:spacing w:before="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3</w:t>
      </w:r>
      <w:bookmarkEnd w:id="2117"/>
      <w:r>
        <w:rPr>
          <w:color w:val="000000"/>
          <w:spacing w:val="0"/>
          <w:w w:val="100"/>
          <w:position w:val="0"/>
        </w:rPr>
        <w:t>、资产置换</w:t>
      </w:r>
      <w:bookmarkEnd w:id="2115"/>
      <w:bookmarkEnd w:id="2116"/>
      <w:bookmarkEnd w:id="2118"/>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both"/>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4</w:t>
      </w:r>
      <w:bookmarkEnd w:id="2121"/>
      <w:r>
        <w:rPr>
          <w:color w:val="000000"/>
          <w:spacing w:val="0"/>
          <w:w w:val="100"/>
          <w:position w:val="0"/>
        </w:rPr>
        <w:t>、</w:t>
        <w:tab/>
        <w:t>年金计划</w:t>
      </w:r>
      <w:bookmarkEnd w:id="2119"/>
      <w:bookmarkEnd w:id="2120"/>
      <w:bookmarkEnd w:id="2122"/>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both"/>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5</w:t>
      </w:r>
      <w:bookmarkEnd w:id="2125"/>
      <w:r>
        <w:rPr>
          <w:color w:val="000000"/>
          <w:spacing w:val="0"/>
          <w:w w:val="100"/>
          <w:position w:val="0"/>
        </w:rPr>
        <w:t>、</w:t>
        <w:tab/>
        <w:t>终止经营</w:t>
      </w:r>
      <w:bookmarkEnd w:id="2123"/>
      <w:bookmarkEnd w:id="2124"/>
      <w:bookmarkEnd w:id="21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所得税费用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广东华信金溢信 息技术有限公司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62,801.72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334,960.99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334,960.99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237,822.30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广东华信金溢信息技术有限公司于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日召开股东大会，鉴于严重亏损不能到期清偿债务，并且资产不足以 清偿全部债务，拟向广东省东莞市中级人民法院提出破产清算。</w:t>
      </w:r>
    </w:p>
    <w:p>
      <w:pPr>
        <w:pStyle w:val="Style34"/>
        <w:keepNext w:val="0"/>
        <w:keepLines w:val="0"/>
        <w:widowControl w:val="0"/>
        <w:shd w:val="clear" w:color="auto" w:fill="auto"/>
        <w:bidi w:val="0"/>
        <w:spacing w:before="0" w:after="380" w:line="312"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日，广东省东莞市中级人民法院裁定受理广东华信金溢信息技术有限公司提出的破产清算申请，并出具了 民事裁定书（（</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p>
    <w:p>
      <w:pPr>
        <w:pStyle w:val="Style37"/>
        <w:keepNext/>
        <w:keepLines/>
        <w:widowControl w:val="0"/>
        <w:shd w:val="clear" w:color="auto" w:fill="auto"/>
        <w:bidi w:val="0"/>
        <w:spacing w:before="0" w:after="38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6</w:t>
      </w:r>
      <w:bookmarkEnd w:id="2129"/>
      <w:r>
        <w:rPr>
          <w:color w:val="000000"/>
          <w:spacing w:val="0"/>
          <w:w w:val="100"/>
          <w:position w:val="0"/>
        </w:rPr>
        <w:t>、分部信息</w:t>
      </w:r>
      <w:bookmarkEnd w:id="2127"/>
      <w:bookmarkEnd w:id="2128"/>
      <w:bookmarkEnd w:id="2130"/>
    </w:p>
    <w:p>
      <w:pPr>
        <w:pStyle w:val="Style71"/>
        <w:keepNext/>
        <w:keepLines/>
        <w:widowControl w:val="0"/>
        <w:shd w:val="clear" w:color="auto" w:fill="auto"/>
        <w:tabs>
          <w:tab w:pos="493" w:val="left"/>
        </w:tabs>
        <w:bidi w:val="0"/>
        <w:spacing w:before="0" w:after="26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31"/>
      <w:bookmarkEnd w:id="2132"/>
      <w:bookmarkEnd w:id="2134"/>
    </w:p>
    <w:p>
      <w:pPr>
        <w:pStyle w:val="Style34"/>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260" w:line="240" w:lineRule="auto"/>
        <w:ind w:left="0" w:right="0" w:firstLine="0"/>
        <w:jc w:val="left"/>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35"/>
      <w:bookmarkEnd w:id="2136"/>
      <w:bookmarkEnd w:id="2138"/>
    </w:p>
    <w:p>
      <w:pPr>
        <w:pStyle w:val="Style34"/>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8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39"/>
      <w:bookmarkEnd w:id="2140"/>
      <w:bookmarkEnd w:id="2142"/>
    </w:p>
    <w:p>
      <w:pPr>
        <w:pStyle w:val="Style32"/>
        <w:keepNext w:val="0"/>
        <w:keepLines w:val="0"/>
        <w:widowControl w:val="0"/>
        <w:shd w:val="clear" w:color="auto" w:fill="auto"/>
        <w:bidi w:val="0"/>
        <w:spacing w:before="0" w:after="0" w:line="240" w:lineRule="auto"/>
        <w:ind w:left="288" w:right="0" w:firstLine="0"/>
        <w:jc w:val="left"/>
      </w:pPr>
      <w:r>
        <w:rPr>
          <w:color w:val="000000"/>
          <w:spacing w:val="0"/>
          <w:w w:val="100"/>
          <w:position w:val="0"/>
        </w:rPr>
        <w:t>本公司不存在多种经营或跨地区经营，故无报告分部。本公司按业务类别的主营业务收入及主营业务成本明细如下:</w:t>
      </w:r>
    </w:p>
    <w:tbl>
      <w:tblPr>
        <w:tblOverlap w:val="never"/>
        <w:jc w:val="center"/>
        <w:tblLayout w:type="fixed"/>
      </w:tblPr>
      <w:tblGrid>
        <w:gridCol w:w="3667"/>
        <w:gridCol w:w="3000"/>
        <w:gridCol w:w="3010"/>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高速公路</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1,530,102,536.60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562,878,439.49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智能停车场设备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9,473,474.93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2,743,173.98</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10,336,751.46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4,468,029.11</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1,549,912,762.99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570,089,642.58</w:t>
            </w:r>
          </w:p>
        </w:tc>
      </w:tr>
    </w:tbl>
    <w:p>
      <w:pPr>
        <w:widowControl w:val="0"/>
        <w:spacing w:after="619" w:line="1" w:lineRule="exact"/>
      </w:pPr>
    </w:p>
    <w:p>
      <w:pPr>
        <w:pStyle w:val="Style71"/>
        <w:keepNext/>
        <w:keepLines/>
        <w:widowControl w:val="0"/>
        <w:shd w:val="clear" w:color="auto" w:fill="auto"/>
        <w:bidi w:val="0"/>
        <w:spacing w:before="0" w:after="38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w:t>
      </w:r>
      <w:bookmarkEnd w:id="2145"/>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2143"/>
      <w:bookmarkEnd w:id="2144"/>
      <w:bookmarkEnd w:id="214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7"/>
        <w:keepNext/>
        <w:keepLines/>
        <w:widowControl w:val="0"/>
        <w:shd w:val="clear" w:color="auto" w:fill="auto"/>
        <w:bidi w:val="0"/>
        <w:spacing w:before="0" w:after="38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7</w:t>
      </w:r>
      <w:bookmarkEnd w:id="2149"/>
      <w:r>
        <w:rPr>
          <w:color w:val="000000"/>
          <w:spacing w:val="0"/>
          <w:w w:val="100"/>
          <w:position w:val="0"/>
        </w:rPr>
        <w:t>、其他对投资者决策有影响的重要交易和事项</w:t>
      </w:r>
      <w:bookmarkEnd w:id="2147"/>
      <w:bookmarkEnd w:id="2148"/>
      <w:bookmarkEnd w:id="2150"/>
    </w:p>
    <w:p>
      <w:pPr>
        <w:pStyle w:val="Style32"/>
        <w:keepNext w:val="0"/>
        <w:keepLines w:val="0"/>
        <w:widowControl w:val="0"/>
        <w:shd w:val="clear" w:color="auto" w:fill="auto"/>
        <w:bidi w:val="0"/>
        <w:spacing w:before="0" w:after="0" w:line="240" w:lineRule="auto"/>
        <w:ind w:left="37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基本情况</w:t>
      </w:r>
    </w:p>
    <w:tbl>
      <w:tblPr>
        <w:tblOverlap w:val="never"/>
        <w:jc w:val="center"/>
        <w:tblLayout w:type="fixed"/>
      </w:tblPr>
      <w:tblGrid>
        <w:gridCol w:w="5285"/>
        <w:gridCol w:w="4392"/>
      </w:tblGrid>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单位名称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山东高速信联支付有限公司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参股公司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江苏通行宝智慧交通科技股份有限公司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联营方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bl>
    <w:p>
      <w:pPr>
        <w:pStyle w:val="Style32"/>
        <w:keepNext w:val="0"/>
        <w:keepLines w:val="0"/>
        <w:widowControl w:val="0"/>
        <w:shd w:val="clear" w:color="auto" w:fill="auto"/>
        <w:bidi w:val="0"/>
        <w:spacing w:before="0" w:after="0" w:line="312" w:lineRule="exact"/>
        <w:ind w:left="0" w:right="0" w:firstLine="0"/>
        <w:jc w:val="distribute"/>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:山东高速信联支付有限公司为本公司投资企业，上年同期与关联方山东高速信联科技股份有限公司为同一实际 控制人山东省人民政府国有资产监督管理委员会控制下的企业，同山东高速信联科技股份有限公司自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日起与本 公司产生关系；本期与本公司关系详见本财务报告附注十二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之说明。</w:t>
      </w:r>
    </w:p>
    <w:p>
      <w:pPr>
        <w:pStyle w:val="Style34"/>
        <w:keepNext w:val="0"/>
        <w:keepLines w:val="0"/>
        <w:widowControl w:val="0"/>
        <w:shd w:val="clear" w:color="auto" w:fill="auto"/>
        <w:bidi w:val="0"/>
        <w:spacing w:before="0" w:after="380" w:line="312"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本公司与江苏通行宝智慧交通科技股份有限公司于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日共同设立深圳宝溢交通科技有限公司，本公 司持股</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w:t>
      </w:r>
    </w:p>
    <w:p>
      <w:pPr>
        <w:pStyle w:val="Style32"/>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购销商品、提供和接受劳务的交易</w:t>
      </w:r>
    </w:p>
    <w:tbl>
      <w:tblPr>
        <w:tblOverlap w:val="never"/>
        <w:jc w:val="center"/>
        <w:tblLayout w:type="fixed"/>
      </w:tblPr>
      <w:tblGrid>
        <w:gridCol w:w="3024"/>
        <w:gridCol w:w="2438"/>
        <w:gridCol w:w="2251"/>
        <w:gridCol w:w="1963"/>
      </w:tblGrid>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上年同期数</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山东高速信联支付有限公司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414,609,421.03</w:t>
            </w:r>
          </w:p>
        </w:tc>
      </w:tr>
      <w:tr>
        <w:trPr>
          <w:trHeight w:val="67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江苏通行宝智慧交通科技股份有限公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销售商品、提供服务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73,168,671.07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575,221.24</w:t>
            </w:r>
          </w:p>
        </w:tc>
      </w:tr>
    </w:tbl>
    <w:p>
      <w:pPr>
        <w:pStyle w:val="Style32"/>
        <w:keepNext w:val="0"/>
        <w:keepLines w:val="0"/>
        <w:widowControl w:val="0"/>
        <w:shd w:val="clear" w:color="auto" w:fill="auto"/>
        <w:bidi w:val="0"/>
        <w:spacing w:before="0" w:after="0" w:line="240" w:lineRule="auto"/>
        <w:ind w:left="365"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山东高速信联支付有限公司上年同期数为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日销售金额；本期与公司关联交易情况详见本</w:t>
      </w:r>
    </w:p>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财务报告附注十二</w:t>
      </w:r>
      <w:r>
        <w:rPr>
          <w:color w:val="000000"/>
          <w:spacing w:val="0"/>
          <w:w w:val="100"/>
          <w:position w:val="0"/>
          <w:sz w:val="17"/>
          <w:szCs w:val="17"/>
        </w:rPr>
        <w:t>(5)1</w:t>
      </w:r>
      <w:r>
        <w:rPr>
          <w:color w:val="000000"/>
          <w:spacing w:val="0"/>
          <w:w w:val="100"/>
          <w:position w:val="0"/>
        </w:rPr>
        <w:t>之说明。</w:t>
      </w:r>
    </w:p>
    <w:p>
      <w:pPr>
        <w:pStyle w:val="Style34"/>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上期数为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日销售金额。</w:t>
      </w:r>
    </w:p>
    <w:p>
      <w:pPr>
        <w:pStyle w:val="Style32"/>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应收款项</w:t>
      </w:r>
    </w:p>
    <w:tbl>
      <w:tblPr>
        <w:tblOverlap w:val="never"/>
        <w:jc w:val="center"/>
        <w:tblLayout w:type="fixed"/>
      </w:tblPr>
      <w:tblGrid>
        <w:gridCol w:w="1205"/>
        <w:gridCol w:w="1392"/>
        <w:gridCol w:w="1733"/>
        <w:gridCol w:w="1742"/>
        <w:gridCol w:w="1858"/>
        <w:gridCol w:w="1747"/>
      </w:tblGrid>
      <w:tr>
        <w:trPr>
          <w:trHeight w:val="346"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320"/>
              <w:jc w:val="left"/>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山东高速信联支 付有限公司［注］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34,906,801.79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1,935,450.42</w:t>
            </w:r>
          </w:p>
        </w:tc>
      </w:tr>
      <w:tr>
        <w:trPr>
          <w:trHeight w:val="9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江苏通行宝智慧 交通科技股份有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97,304,636.49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8,974,962.85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297,290,830.85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15,464,507.94</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97,304,636.49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8,974,962.85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332,197,632.64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17,399,958.36</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山东高速信联支 付有限公司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937,195.17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93,719.52</w:t>
            </w:r>
          </w:p>
        </w:tc>
      </w:tr>
      <w:tr>
        <w:trPr>
          <w:trHeight w:val="9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江苏通行宝智慧 交通科技股份有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26,569,301.64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2,656,930.16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6,894,218.61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689,421.86</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26,569,301.64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2,656,930.16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7,831,413.78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783,141.38</w:t>
            </w:r>
          </w:p>
        </w:tc>
      </w:tr>
      <w:tr>
        <w:trPr>
          <w:trHeight w:val="9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江苏通行宝智慧 交通科技股份有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2,340,970.00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234,097.00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21,643,440.78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2,164,344.08</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其他非流动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山东高速信联支 付有限公司［注］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12,109,926.28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1,210,992.63</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2,340,970.00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234,097.00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33,753,367.06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3,375,336.71</w:t>
            </w:r>
          </w:p>
        </w:tc>
      </w:tr>
    </w:tbl>
    <w:p>
      <w:pPr>
        <w:spacing w:lineRule="exact" w:line="1"/>
        <w:rPr>
          <w:sz w:val="2"/>
          <w:szCs w:val="2"/>
        </w:rPr>
      </w:pPr>
      <w:r>
        <w:br w:type="page"/>
      </w:r>
    </w:p>
    <w:p>
      <w:pPr>
        <w:widowControl w:val="0"/>
        <w:jc w:val="center"/>
        <w:rPr>
          <w:sz w:val="2"/>
          <w:szCs w:val="2"/>
        </w:rPr>
      </w:pPr>
      <w:r>
        <w:drawing>
          <wp:inline>
            <wp:extent cx="6266815" cy="1908175"/>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3"/>
                    <a:stretch/>
                  </pic:blipFill>
                  <pic:spPr>
                    <a:xfrm>
                      <a:ext cx="6266815" cy="1908175"/>
                    </a:xfrm>
                    <a:prstGeom prst="rect"/>
                  </pic:spPr>
                </pic:pic>
              </a:graphicData>
            </a:graphic>
          </wp:inline>
        </w:drawing>
      </w:r>
    </w:p>
    <w:p>
      <w:pPr>
        <w:widowControl w:val="0"/>
        <w:spacing w:after="639" w:line="1" w:lineRule="exact"/>
      </w:pPr>
    </w:p>
    <w:p>
      <w:pPr>
        <w:pStyle w:val="Style27"/>
        <w:keepNext w:val="0"/>
        <w:keepLines w:val="0"/>
        <w:widowControl w:val="0"/>
        <w:shd w:val="clear" w:color="auto" w:fill="auto"/>
        <w:bidi w:val="0"/>
        <w:spacing w:before="0" w:after="360" w:line="240" w:lineRule="auto"/>
        <w:ind w:left="0" w:right="0" w:firstLine="0"/>
        <w:jc w:val="left"/>
        <w:rPr>
          <w:sz w:val="20"/>
          <w:szCs w:val="20"/>
        </w:rPr>
      </w:pPr>
      <w:bookmarkStart w:id="2151" w:name="bookmark2151"/>
      <w:bookmarkStart w:id="2152" w:name="bookmark2152"/>
      <w:bookmarkStart w:id="2153" w:name="bookmark2153"/>
      <w:r>
        <w:rPr>
          <w:rFonts w:ascii="Times New Roman" w:eastAsia="Times New Roman" w:hAnsi="Times New Roman" w:cs="Times New Roman"/>
          <w:b/>
          <w:bCs/>
          <w:color w:val="000000"/>
          <w:spacing w:val="0"/>
          <w:w w:val="100"/>
          <w:position w:val="0"/>
          <w:sz w:val="20"/>
          <w:szCs w:val="20"/>
        </w:rPr>
        <w:t>8</w:t>
      </w:r>
      <w:bookmarkEnd w:id="2151"/>
      <w:r>
        <w:rPr>
          <w:b/>
          <w:bCs/>
          <w:color w:val="000000"/>
          <w:spacing w:val="0"/>
          <w:w w:val="100"/>
          <w:position w:val="0"/>
          <w:sz w:val="20"/>
          <w:szCs w:val="20"/>
        </w:rPr>
        <w:t>、其他</w:t>
      </w:r>
      <w:bookmarkEnd w:id="2152"/>
      <w:bookmarkEnd w:id="2153"/>
    </w:p>
    <w:p>
      <w:pPr>
        <w:pStyle w:val="Style34"/>
        <w:keepNext w:val="0"/>
        <w:keepLines w:val="0"/>
        <w:widowControl w:val="0"/>
        <w:shd w:val="clear" w:color="auto" w:fill="auto"/>
        <w:bidi w:val="0"/>
        <w:spacing w:before="0" w:after="360" w:line="240" w:lineRule="auto"/>
        <w:ind w:left="0" w:right="0" w:firstLine="0"/>
        <w:jc w:val="left"/>
      </w:pPr>
      <w:bookmarkStart w:id="2154" w:name="bookmark2154"/>
      <w:r>
        <w:rPr>
          <w:color w:val="000000"/>
          <w:spacing w:val="0"/>
          <w:w w:val="100"/>
          <w:position w:val="0"/>
        </w:rPr>
        <w:t>无</w:t>
      </w:r>
      <w:bookmarkEnd w:id="2154"/>
    </w:p>
    <w:p>
      <w:pPr>
        <w:pStyle w:val="Style30"/>
        <w:keepNext/>
        <w:keepLines/>
        <w:widowControl w:val="0"/>
        <w:shd w:val="clear" w:color="auto" w:fill="auto"/>
        <w:bidi w:val="0"/>
        <w:spacing w:before="0" w:after="360" w:line="240" w:lineRule="auto"/>
        <w:ind w:left="0" w:right="0" w:firstLine="0"/>
        <w:jc w:val="left"/>
      </w:pPr>
      <w:bookmarkStart w:id="2155" w:name="bookmark2155"/>
      <w:bookmarkStart w:id="2156" w:name="bookmark2156"/>
      <w:bookmarkStart w:id="2157" w:name="bookmark2157"/>
      <w:r>
        <w:rPr>
          <w:color w:val="000000"/>
          <w:spacing w:val="0"/>
          <w:w w:val="100"/>
          <w:position w:val="0"/>
          <w:sz w:val="24"/>
          <w:szCs w:val="24"/>
        </w:rPr>
        <w:t>十七、母公司财务报表主要项目注释</w:t>
      </w:r>
      <w:bookmarkEnd w:id="2155"/>
      <w:bookmarkEnd w:id="2156"/>
      <w:bookmarkEnd w:id="2157"/>
    </w:p>
    <w:p>
      <w:pPr>
        <w:pStyle w:val="Style37"/>
        <w:keepNext/>
        <w:keepLines/>
        <w:widowControl w:val="0"/>
        <w:shd w:val="clear" w:color="auto" w:fill="auto"/>
        <w:bidi w:val="0"/>
        <w:spacing w:before="0" w:line="240" w:lineRule="auto"/>
        <w:ind w:left="0" w:right="0" w:firstLine="0"/>
        <w:jc w:val="left"/>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58"/>
      <w:bookmarkEnd w:id="2159"/>
      <w:bookmarkEnd w:id="2160"/>
    </w:p>
    <w:p>
      <w:pPr>
        <w:pStyle w:val="Style71"/>
        <w:keepNext/>
        <w:keepLines/>
        <w:widowControl w:val="0"/>
        <w:shd w:val="clear" w:color="auto" w:fill="auto"/>
        <w:bidi w:val="0"/>
        <w:spacing w:before="0" w:line="240" w:lineRule="auto"/>
        <w:ind w:left="0" w:right="0" w:firstLine="0"/>
        <w:jc w:val="left"/>
      </w:pPr>
      <w:bookmarkStart w:id="2161" w:name="bookmark2161"/>
      <w:bookmarkStart w:id="2162" w:name="bookmark2162"/>
      <w:bookmarkStart w:id="2163" w:name="bookmark21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61"/>
      <w:bookmarkEnd w:id="2162"/>
      <w:bookmarkEnd w:id="216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3,714,644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3,714,644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3,714,644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560,952,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74,606,2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486,346,4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763,296,3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69,364,04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693,932,27</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609.12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488,326,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55,188,5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433,137,6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711,440,1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651,407,03</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43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6,640,882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12,177,69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9,330,964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2,846,730.8</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3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52,589,8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6,021,94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46,567,90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39,678,50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39,678,504.</w:t>
            </w: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78,940,5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486,346,4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767,010,9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73,078,68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693,932,27</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4,334,349.67</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2,621,846.25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2,621,846.25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合同纠纷，预计无法收 回</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1,470,500.00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1,470,500.00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合同纠纷，预计无法收 回</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经营不善无履约能力，</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合同纠纷，预计无法收 回</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4,334,349.67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55,188,500.98</w:t>
      </w:r>
    </w:p>
    <w:p>
      <w:pPr>
        <w:widowControl w:val="0"/>
        <w:spacing w:after="119" w:line="1" w:lineRule="exact"/>
      </w:pPr>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287,337,387.51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14,366,869.38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152,398,425.98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15,239,842.60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19,662,248.06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5,898,674.42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17,987,917.66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8,993,958.84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1,254,926.53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1,003,941.22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9,685,214.52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9,685,214.52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488,326,120.26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55,188,500.98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13,395,761.72</w:t>
      </w:r>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13,281,764.86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6,640,882.44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超质保期一年以上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6,754,879.28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6,754,879.28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20,036,644.14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13,395,761.72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6,021,940.42</w:t>
      </w:r>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52,589,844.72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6,021,940.42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52,589,844.72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6,021,940.42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331,826,275.60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161,985,023.99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25,097,270.56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23,460,516.73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3,157,193.74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19,760,678.17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565,286,958.79</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2164" w:name="bookmark2164"/>
      <w:bookmarkStart w:id="2165" w:name="bookmark2165"/>
      <w:bookmarkStart w:id="2166" w:name="bookmark21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64"/>
      <w:bookmarkEnd w:id="2165"/>
      <w:bookmarkEnd w:id="2166"/>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3,714,644.33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952,305.34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4,334,349.67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69,364,045.23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7,007,812.89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1,765,655.00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74,606,203.12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73,078,689.56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7,007,812.89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1,765,655.00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952,305.34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78,940,552.79</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bidi w:val="0"/>
        <w:spacing w:before="0" w:after="380" w:line="240" w:lineRule="auto"/>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67"/>
      <w:bookmarkEnd w:id="2168"/>
      <w:bookmarkEnd w:id="2170"/>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1,765,655.00</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71"/>
      <w:bookmarkEnd w:id="2172"/>
      <w:bookmarkEnd w:id="2174"/>
    </w:p>
    <w:p>
      <w:pPr>
        <w:pStyle w:val="Style34"/>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97,304,636.49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8,974,962.85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50,652,500.00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4,673,375.00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31,632,141.39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22,813,200.00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4,800,823.80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22,614,300.07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4,854,610.37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225,016,777.95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71"/>
        <w:keepNext/>
        <w:keepLines/>
        <w:widowControl w:val="0"/>
        <w:shd w:val="clear" w:color="auto" w:fill="auto"/>
        <w:tabs>
          <w:tab w:pos="493" w:val="left"/>
        </w:tabs>
        <w:bidi w:val="0"/>
        <w:spacing w:before="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75"/>
      <w:bookmarkEnd w:id="2176"/>
      <w:bookmarkEnd w:id="2178"/>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79"/>
      <w:bookmarkEnd w:id="2180"/>
      <w:bookmarkEnd w:id="2182"/>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83"/>
      <w:bookmarkEnd w:id="2184"/>
      <w:bookmarkEnd w:id="218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80,661,591.60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108,486,278.43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80,661,591.60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108,486,278.43</w:t>
            </w:r>
          </w:p>
        </w:tc>
      </w:tr>
    </w:tbl>
    <w:p>
      <w:pPr>
        <w:widowControl w:val="0"/>
        <w:spacing w:after="359" w:line="1" w:lineRule="exact"/>
      </w:pPr>
    </w:p>
    <w:p>
      <w:pPr>
        <w:pStyle w:val="Style71"/>
        <w:keepNext/>
        <w:keepLines/>
        <w:widowControl w:val="0"/>
        <w:shd w:val="clear" w:color="auto" w:fill="auto"/>
        <w:tabs>
          <w:tab w:pos="493" w:val="left"/>
        </w:tabs>
        <w:bidi w:val="0"/>
        <w:spacing w:before="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186"/>
      <w:bookmarkEnd w:id="2187"/>
      <w:bookmarkEnd w:id="2189"/>
    </w:p>
    <w:p>
      <w:pPr>
        <w:pStyle w:val="Style95"/>
        <w:keepNext/>
        <w:keepLines/>
        <w:widowControl w:val="0"/>
        <w:shd w:val="clear" w:color="auto" w:fill="auto"/>
        <w:bidi w:val="0"/>
        <w:spacing w:before="0" w:after="360" w:line="240" w:lineRule="auto"/>
        <w:ind w:left="0" w:right="0" w:firstLine="0"/>
        <w:jc w:val="left"/>
      </w:pPr>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190"/>
      <w:bookmarkEnd w:id="2191"/>
      <w:bookmarkEnd w:id="2192"/>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2193" w:name="bookmark2193"/>
      <w:bookmarkStart w:id="2194" w:name="bookmark2194"/>
      <w:bookmarkStart w:id="2195" w:name="bookmark2195"/>
      <w:bookmarkStart w:id="2196" w:name="bookmark2196"/>
      <w:r>
        <w:rPr>
          <w:color w:val="000000"/>
          <w:spacing w:val="0"/>
          <w:w w:val="100"/>
          <w:position w:val="0"/>
        </w:rPr>
        <w:t>（</w:t>
      </w:r>
      <w:bookmarkEnd w:id="219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93"/>
      <w:bookmarkEnd w:id="2194"/>
      <w:bookmarkEnd w:id="219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2197" w:name="bookmark2197"/>
      <w:bookmarkStart w:id="2198" w:name="bookmark2198"/>
      <w:bookmarkStart w:id="2199" w:name="bookmark2199"/>
      <w:bookmarkStart w:id="2200" w:name="bookmark2200"/>
      <w:r>
        <w:rPr>
          <w:color w:val="000000"/>
          <w:spacing w:val="0"/>
          <w:w w:val="100"/>
          <w:position w:val="0"/>
        </w:rPr>
        <w:t>（</w:t>
      </w:r>
      <w:bookmarkEnd w:id="219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197"/>
      <w:bookmarkEnd w:id="2198"/>
      <w:bookmarkEnd w:id="2200"/>
    </w:p>
    <w:p>
      <w:pPr>
        <w:pStyle w:val="Style95"/>
        <w:keepNext/>
        <w:keepLines/>
        <w:widowControl w:val="0"/>
        <w:shd w:val="clear" w:color="auto" w:fill="auto"/>
        <w:bidi w:val="0"/>
        <w:spacing w:before="0" w:after="360" w:line="240" w:lineRule="auto"/>
        <w:ind w:left="0" w:right="0" w:firstLine="0"/>
        <w:jc w:val="left"/>
      </w:pPr>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01"/>
      <w:bookmarkEnd w:id="2202"/>
      <w:bookmarkEnd w:id="220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合并范围内的关联方往来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65,626,218.96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74,740,401.77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应收债务重组款项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7,254,687.24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11,304,180.28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应退税款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24,919,484.96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代缴社保及公积金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701,781.46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1,863,019.01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220,310.35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84,907,048.37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111,886,158.82</w:t>
            </w:r>
          </w:p>
        </w:tc>
      </w:tr>
    </w:tbl>
    <w:p>
      <w:pPr>
        <w:widowControl w:val="0"/>
        <w:spacing w:after="319" w:line="1" w:lineRule="exact"/>
      </w:pPr>
    </w:p>
    <w:p>
      <w:pPr>
        <w:pStyle w:val="Style95"/>
        <w:keepNext/>
        <w:keepLines/>
        <w:widowControl w:val="0"/>
        <w:shd w:val="clear" w:color="auto" w:fill="auto"/>
        <w:bidi w:val="0"/>
        <w:spacing w:before="0" w:line="240" w:lineRule="auto"/>
        <w:ind w:left="0" w:right="0" w:firstLine="0"/>
        <w:jc w:val="left"/>
      </w:pPr>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04"/>
      <w:bookmarkEnd w:id="2205"/>
      <w:bookmarkEnd w:id="220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1,544,716.16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197,338.75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1,657,825.48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3,399,880.39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-113,069.80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113,069.80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-88,747.97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-834,014.27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1,675,111.64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845,576.38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597,632.09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226,139.59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3,421,685.09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4,245,456.77</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14,225,756.11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9,971,242.09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13,630,588.37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14,573,539.67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31,386,352.66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1,119,569.47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84,907,048.37</w:t>
            </w:r>
          </w:p>
        </w:tc>
      </w:tr>
    </w:tbl>
    <w:p>
      <w:pPr>
        <w:widowControl w:val="0"/>
        <w:spacing w:after="319" w:line="1" w:lineRule="exact"/>
      </w:pPr>
    </w:p>
    <w:p>
      <w:pPr>
        <w:pStyle w:val="Style95"/>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3</w:t>
      </w:r>
      <w:bookmarkEnd w:id="2209"/>
      <w:r>
        <w:rPr>
          <w:color w:val="000000"/>
          <w:spacing w:val="0"/>
          <w:w w:val="100"/>
          <w:position w:val="0"/>
        </w:rPr>
        <w:t>）本期计提、收回或转回的坏账准备情况</w:t>
      </w:r>
      <w:bookmarkEnd w:id="2207"/>
      <w:bookmarkEnd w:id="2208"/>
      <w:bookmarkEnd w:id="221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3,399,880.39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118,791.19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3,518,671.58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合并范围内的关联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方往来组合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726,785.19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726,785.19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3,399,880.39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845,576.38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4,245,456.77</w:t>
            </w:r>
          </w:p>
        </w:tc>
      </w:tr>
    </w:tbl>
    <w:p>
      <w:pPr>
        <w:widowControl w:val="0"/>
        <w:spacing w:after="359" w:line="1" w:lineRule="exact"/>
      </w:pPr>
    </w:p>
    <w:p>
      <w:pPr>
        <w:pStyle w:val="Style95"/>
        <w:keepNext/>
        <w:keepLines/>
        <w:widowControl w:val="0"/>
        <w:shd w:val="clear" w:color="auto" w:fill="auto"/>
        <w:tabs>
          <w:tab w:pos="392" w:val="left"/>
        </w:tabs>
        <w:bidi w:val="0"/>
        <w:spacing w:before="0" w:after="360" w:line="240" w:lineRule="auto"/>
        <w:ind w:left="0" w:right="0" w:firstLine="0"/>
        <w:jc w:val="left"/>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4</w:t>
      </w:r>
      <w:bookmarkEnd w:id="2213"/>
      <w:r>
        <w:rPr>
          <w:color w:val="000000"/>
          <w:spacing w:val="0"/>
          <w:w w:val="100"/>
          <w:position w:val="0"/>
        </w:rPr>
        <w:t>）</w:t>
        <w:tab/>
        <w:t>本期实际核销的其他应收款情况</w:t>
      </w:r>
      <w:bookmarkEnd w:id="2211"/>
      <w:bookmarkEnd w:id="2212"/>
      <w:bookmarkEnd w:id="221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95"/>
        <w:keepNext/>
        <w:keepLines/>
        <w:widowControl w:val="0"/>
        <w:shd w:val="clear" w:color="auto" w:fill="auto"/>
        <w:tabs>
          <w:tab w:pos="392" w:val="left"/>
        </w:tabs>
        <w:bidi w:val="0"/>
        <w:spacing w:before="0" w:after="36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5</w:t>
      </w:r>
      <w:bookmarkEnd w:id="2217"/>
      <w:r>
        <w:rPr>
          <w:color w:val="000000"/>
          <w:spacing w:val="0"/>
          <w:w w:val="100"/>
          <w:position w:val="0"/>
        </w:rPr>
        <w:t>）</w:t>
        <w:tab/>
        <w:t>按欠款方归集的期末余额前五名的其他应收款情况</w:t>
      </w:r>
      <w:bookmarkEnd w:id="2215"/>
      <w:bookmarkEnd w:id="2216"/>
      <w:bookmarkEnd w:id="221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合并范围内的关联 往来组合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63,898,306.03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应收债务重组款项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2,504,344.18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1,147,399.06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1,303,914.00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130,391.40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合并范围内的关联 往来组合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1,000,693.41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78,247,257.62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1,754,790.46</w:t>
            </w:r>
          </w:p>
        </w:tc>
      </w:tr>
    </w:tbl>
    <w:p>
      <w:pPr>
        <w:widowControl w:val="0"/>
        <w:spacing w:after="359" w:line="1" w:lineRule="exact"/>
      </w:pPr>
    </w:p>
    <w:p>
      <w:pPr>
        <w:pStyle w:val="Style95"/>
        <w:keepNext/>
        <w:keepLines/>
        <w:widowControl w:val="0"/>
        <w:shd w:val="clear" w:color="auto" w:fill="auto"/>
        <w:tabs>
          <w:tab w:pos="392" w:val="left"/>
        </w:tabs>
        <w:bidi w:val="0"/>
        <w:spacing w:before="0" w:after="36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6</w:t>
      </w:r>
      <w:bookmarkEnd w:id="2221"/>
      <w:r>
        <w:rPr>
          <w:color w:val="000000"/>
          <w:spacing w:val="0"/>
          <w:w w:val="100"/>
          <w:position w:val="0"/>
        </w:rPr>
        <w:t>）</w:t>
        <w:tab/>
        <w:t>涉及政府补助的应收款项</w:t>
      </w:r>
      <w:bookmarkEnd w:id="2219"/>
      <w:bookmarkEnd w:id="2220"/>
      <w:bookmarkEnd w:id="2222"/>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95"/>
        <w:keepNext/>
        <w:keepLines/>
        <w:widowControl w:val="0"/>
        <w:shd w:val="clear" w:color="auto" w:fill="auto"/>
        <w:tabs>
          <w:tab w:pos="387" w:val="left"/>
        </w:tabs>
        <w:bidi w:val="0"/>
        <w:spacing w:before="0" w:after="36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7</w:t>
      </w:r>
      <w:bookmarkEnd w:id="2225"/>
      <w:r>
        <w:rPr>
          <w:color w:val="000000"/>
          <w:spacing w:val="0"/>
          <w:w w:val="100"/>
          <w:position w:val="0"/>
        </w:rPr>
        <w:t>）</w:t>
        <w:tab/>
        <w:t>因金融资产转移而终止确认的其他应收款</w:t>
      </w:r>
      <w:bookmarkEnd w:id="2223"/>
      <w:bookmarkEnd w:id="2224"/>
      <w:bookmarkEnd w:id="222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95"/>
        <w:keepNext/>
        <w:keepLines/>
        <w:widowControl w:val="0"/>
        <w:shd w:val="clear" w:color="auto" w:fill="auto"/>
        <w:tabs>
          <w:tab w:pos="392" w:val="left"/>
        </w:tabs>
        <w:bidi w:val="0"/>
        <w:spacing w:before="0" w:after="42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8</w:t>
      </w:r>
      <w:bookmarkEnd w:id="2229"/>
      <w:r>
        <w:rPr>
          <w:color w:val="000000"/>
          <w:spacing w:val="0"/>
          <w:w w:val="100"/>
          <w:position w:val="0"/>
        </w:rPr>
        <w:t>）</w:t>
        <w:tab/>
        <w:t>转移其他应收款且继续涉入形成的资产、负债金额</w:t>
      </w:r>
      <w:bookmarkEnd w:id="2227"/>
      <w:bookmarkEnd w:id="2228"/>
      <w:bookmarkEnd w:id="223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3</w:t>
      </w:r>
      <w:bookmarkEnd w:id="2233"/>
      <w:r>
        <w:rPr>
          <w:color w:val="000000"/>
          <w:spacing w:val="0"/>
          <w:w w:val="100"/>
          <w:position w:val="0"/>
        </w:rPr>
        <w:t>、长期股权投资</w:t>
      </w:r>
      <w:bookmarkEnd w:id="2231"/>
      <w:bookmarkEnd w:id="2232"/>
      <w:bookmarkEnd w:id="2234"/>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358,240,684.47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351,140,684.47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357,514,544.74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13,469,974.40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344,044,570.34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16,867,700.40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18,474,727.96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18,474,727.96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375,108,384.87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368,008,384.87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375,989,272.70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13,469,974.40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362,519,298.30</w:t>
            </w:r>
          </w:p>
        </w:tc>
      </w:tr>
    </w:tbl>
    <w:p>
      <w:pPr>
        <w:widowControl w:val="0"/>
        <w:spacing w:after="339" w:line="1" w:lineRule="exact"/>
      </w:pPr>
    </w:p>
    <w:p>
      <w:pPr>
        <w:pStyle w:val="Style71"/>
        <w:keepNext/>
        <w:keepLines/>
        <w:widowControl w:val="0"/>
        <w:shd w:val="clear" w:color="auto" w:fill="auto"/>
        <w:bidi w:val="0"/>
        <w:spacing w:before="0" w:after="340" w:line="240" w:lineRule="auto"/>
        <w:ind w:left="0" w:right="0" w:firstLine="0"/>
        <w:jc w:val="left"/>
      </w:pPr>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35"/>
      <w:bookmarkEnd w:id="2236"/>
      <w:bookmarkEnd w:id="22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青岛金溢科技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30,234,780.00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广东华信金溢 信息技术有限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伟龙金溢科技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6,369,974.40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北京中交金溢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无锡金溢科技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佛山金溢科技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308,209,790.3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3,763,894.13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311,973,684.47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福建金溢科技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344,044,570.3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6,369,974.40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4,096,114.13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351,140,684.47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7,100,000.00</w:t>
            </w:r>
          </w:p>
        </w:tc>
      </w:tr>
    </w:tbl>
    <w:p>
      <w:pPr>
        <w:widowControl w:val="0"/>
        <w:spacing w:after="339" w:line="1" w:lineRule="exact"/>
      </w:pPr>
    </w:p>
    <w:p>
      <w:pPr>
        <w:pStyle w:val="Style71"/>
        <w:keepNext/>
        <w:keepLines/>
        <w:widowControl w:val="0"/>
        <w:shd w:val="clear" w:color="auto" w:fill="auto"/>
        <w:bidi w:val="0"/>
        <w:spacing w:before="0" w:after="340" w:line="240" w:lineRule="auto"/>
        <w:ind w:left="0" w:right="0" w:firstLine="0"/>
        <w:jc w:val="left"/>
      </w:pPr>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38"/>
      <w:bookmarkEnd w:id="2239"/>
      <w:bookmarkEnd w:id="22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7"/>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山东高速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2,125,255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信威信息 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深圳宝溢 交通科技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14,683,51</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14,742,44</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18,474,72</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-1,607,02</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16,867,70</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18,474,72</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-1,607,02</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16,867,70</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1"/>
        <w:keepNext/>
        <w:keepLines/>
        <w:widowControl w:val="0"/>
        <w:numPr>
          <w:ilvl w:val="0"/>
          <w:numId w:val="131"/>
        </w:numPr>
        <w:shd w:val="clear" w:color="auto" w:fill="auto"/>
        <w:bidi w:val="0"/>
        <w:spacing w:before="0" w:after="380" w:line="240" w:lineRule="auto"/>
        <w:ind w:left="0" w:right="0" w:firstLine="140"/>
        <w:jc w:val="left"/>
      </w:pPr>
      <w:bookmarkStart w:id="2241" w:name="bookmark2241"/>
      <w:bookmarkStart w:id="2242" w:name="bookmark2242"/>
      <w:bookmarkStart w:id="2243" w:name="bookmark2243"/>
      <w:bookmarkStart w:id="2244" w:name="bookmark2244"/>
      <w:bookmarkEnd w:id="2243"/>
      <w:r>
        <w:rPr>
          <w:color w:val="000000"/>
          <w:spacing w:val="0"/>
          <w:w w:val="100"/>
          <w:position w:val="0"/>
        </w:rPr>
        <w:t>其他说明</w:t>
      </w:r>
      <w:bookmarkEnd w:id="2241"/>
      <w:bookmarkEnd w:id="2242"/>
      <w:bookmarkEnd w:id="2244"/>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both"/>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4</w:t>
      </w:r>
      <w:bookmarkEnd w:id="2247"/>
      <w:r>
        <w:rPr>
          <w:color w:val="000000"/>
          <w:spacing w:val="0"/>
          <w:w w:val="100"/>
          <w:position w:val="0"/>
        </w:rPr>
        <w:t>、营业收入和营业成本</w:t>
      </w:r>
      <w:bookmarkEnd w:id="2245"/>
      <w:bookmarkEnd w:id="2246"/>
      <w:bookmarkEnd w:id="224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1,574,396,568.58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599,769,053.84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2,831,071,542.21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1,480,873,322.90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12,847,663.73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8,156,661.72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14,188,400.89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8,527,502.45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1,587,244,232.31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607,925,715.56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2,845,259,943.10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1,489,400,825.35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5</w:t>
      </w:r>
      <w:bookmarkEnd w:id="2251"/>
      <w:r>
        <w:rPr>
          <w:color w:val="000000"/>
          <w:spacing w:val="0"/>
          <w:w w:val="100"/>
          <w:position w:val="0"/>
        </w:rPr>
        <w:t>、投资收益</w:t>
      </w:r>
      <w:bookmarkEnd w:id="2249"/>
      <w:bookmarkEnd w:id="2250"/>
      <w:bookmarkEnd w:id="2252"/>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-1,607,027.56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991,777.56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-17,896,386.62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5,131,540.50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1,543,808.23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-14,371,873.68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2,535,585.79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6</w:t>
      </w:r>
      <w:bookmarkEnd w:id="2255"/>
      <w:r>
        <w:rPr>
          <w:color w:val="000000"/>
          <w:spacing w:val="0"/>
          <w:w w:val="100"/>
          <w:position w:val="0"/>
        </w:rPr>
        <w:t>、其他</w:t>
      </w:r>
      <w:bookmarkEnd w:id="2253"/>
      <w:bookmarkEnd w:id="2254"/>
      <w:bookmarkEnd w:id="225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0"/>
        <w:keepNext/>
        <w:keepLines/>
        <w:widowControl w:val="0"/>
        <w:shd w:val="clear" w:color="auto" w:fill="auto"/>
        <w:bidi w:val="0"/>
        <w:spacing w:before="0" w:after="360" w:line="240" w:lineRule="auto"/>
        <w:ind w:left="0" w:right="0" w:firstLine="0"/>
        <w:jc w:val="left"/>
      </w:pPr>
      <w:bookmarkStart w:id="2257" w:name="bookmark2257"/>
      <w:bookmarkStart w:id="2258" w:name="bookmark2258"/>
      <w:bookmarkStart w:id="2259" w:name="bookmark2259"/>
      <w:r>
        <w:rPr>
          <w:color w:val="000000"/>
          <w:spacing w:val="0"/>
          <w:w w:val="100"/>
          <w:position w:val="0"/>
          <w:sz w:val="24"/>
          <w:szCs w:val="24"/>
        </w:rPr>
        <w:t>十八、补充资料</w:t>
      </w:r>
      <w:bookmarkEnd w:id="2257"/>
      <w:bookmarkEnd w:id="2258"/>
      <w:bookmarkEnd w:id="2259"/>
    </w:p>
    <w:p>
      <w:pPr>
        <w:pStyle w:val="Style37"/>
        <w:keepNext/>
        <w:keepLines/>
        <w:widowControl w:val="0"/>
        <w:shd w:val="clear" w:color="auto" w:fill="auto"/>
        <w:bidi w:val="0"/>
        <w:spacing w:before="0" w:line="240" w:lineRule="auto"/>
        <w:ind w:left="0" w:right="0" w:firstLine="0"/>
        <w:jc w:val="left"/>
      </w:pPr>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60"/>
      <w:bookmarkEnd w:id="2261"/>
      <w:bookmarkEnd w:id="226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15,255,152.56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固定资产处置损益及原控股子公司长 期股权投资处置损益</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13,212,323.07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研发项目补助及其他补助</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对联营企业的投资成本小于取得投资时 应享有被投资单位可辨认净资产公允价 值产生的收益</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公司购买理财产品产生的收益</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-17,896,387.62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公司对原控股子公司进行债务重组产生 的收益</w:t>
            </w:r>
          </w:p>
        </w:tc>
      </w:tr>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公司购买理财产品产生的收益</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-48,621,366.15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主要系交货延期产生的违约金</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1,388,308.50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-34,658,569.64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-5,438,288.00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94,215.18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-29,314,496.82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rPr>
          <w:sz w:val="20"/>
          <w:szCs w:val="20"/>
        </w:rPr>
      </w:pPr>
      <w:bookmarkStart w:id="2263" w:name="bookmark226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263"/>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bl>
    <w:p>
      <w:pPr>
        <w:widowControl w:val="0"/>
        <w:spacing w:after="239" w:line="1" w:lineRule="exact"/>
      </w:pPr>
    </w:p>
    <w:p>
      <w:pPr>
        <w:pStyle w:val="Style37"/>
        <w:keepNext/>
        <w:keepLines/>
        <w:widowControl w:val="0"/>
        <w:shd w:val="clear" w:color="auto" w:fill="auto"/>
        <w:tabs>
          <w:tab w:pos="378" w:val="left"/>
        </w:tabs>
        <w:bidi w:val="0"/>
        <w:spacing w:before="0" w:after="300" w:line="326" w:lineRule="exact"/>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3</w:t>
      </w:r>
      <w:bookmarkEnd w:id="2266"/>
      <w:r>
        <w:rPr>
          <w:color w:val="000000"/>
          <w:spacing w:val="0"/>
          <w:w w:val="100"/>
          <w:position w:val="0"/>
        </w:rPr>
        <w:t>、</w:t>
        <w:tab/>
        <w:t>境内外会计准则下会计数据差异</w:t>
      </w:r>
      <w:bookmarkEnd w:id="2264"/>
      <w:bookmarkEnd w:id="2265"/>
      <w:bookmarkEnd w:id="2267"/>
    </w:p>
    <w:p>
      <w:pPr>
        <w:pStyle w:val="Style71"/>
        <w:keepNext/>
        <w:keepLines/>
        <w:widowControl w:val="0"/>
        <w:shd w:val="clear" w:color="auto" w:fill="auto"/>
        <w:tabs>
          <w:tab w:pos="493" w:val="left"/>
        </w:tabs>
        <w:bidi w:val="0"/>
        <w:spacing w:before="0" w:after="380" w:line="326" w:lineRule="exact"/>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w:t>
      </w:r>
      <w:bookmarkEnd w:id="227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68"/>
      <w:bookmarkEnd w:id="2269"/>
      <w:bookmarkEnd w:id="2271"/>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tabs>
          <w:tab w:pos="493" w:val="left"/>
        </w:tabs>
        <w:bidi w:val="0"/>
        <w:spacing w:before="0" w:after="380" w:line="326" w:lineRule="exact"/>
        <w:ind w:left="0" w:right="0" w:firstLine="0"/>
        <w:jc w:val="left"/>
      </w:pPr>
      <w:bookmarkStart w:id="2272" w:name="bookmark2272"/>
      <w:bookmarkStart w:id="2273" w:name="bookmark2273"/>
      <w:bookmarkStart w:id="2274" w:name="bookmark2274"/>
      <w:bookmarkStart w:id="2275" w:name="bookmark2275"/>
      <w:r>
        <w:rPr>
          <w:color w:val="000000"/>
          <w:spacing w:val="0"/>
          <w:w w:val="100"/>
          <w:position w:val="0"/>
        </w:rPr>
        <w:t>（</w:t>
      </w:r>
      <w:bookmarkEnd w:id="227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72"/>
      <w:bookmarkEnd w:id="2273"/>
      <w:bookmarkEnd w:id="2275"/>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bidi w:val="0"/>
        <w:spacing w:before="0" w:after="380" w:line="326" w:lineRule="exact"/>
        <w:ind w:left="0" w:right="0" w:firstLine="0"/>
        <w:jc w:val="left"/>
      </w:pPr>
      <w:bookmarkStart w:id="2276" w:name="bookmark2276"/>
      <w:bookmarkStart w:id="2277" w:name="bookmark2277"/>
      <w:bookmarkStart w:id="2278" w:name="bookmark2278"/>
      <w:bookmarkStart w:id="2279" w:name="bookmark2279"/>
      <w:r>
        <w:rPr>
          <w:color w:val="000000"/>
          <w:spacing w:val="0"/>
          <w:w w:val="100"/>
          <w:position w:val="0"/>
        </w:rPr>
        <w:t>（</w:t>
      </w:r>
      <w:bookmarkEnd w:id="227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76"/>
      <w:bookmarkEnd w:id="2277"/>
      <w:bookmarkEnd w:id="2279"/>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326" w:lineRule="exact"/>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4</w:t>
      </w:r>
      <w:bookmarkEnd w:id="2282"/>
      <w:r>
        <w:rPr>
          <w:color w:val="000000"/>
          <w:spacing w:val="0"/>
          <w:w w:val="100"/>
          <w:position w:val="0"/>
        </w:rPr>
        <w:t>、</w:t>
        <w:tab/>
        <w:t>其他</w:t>
      </w:r>
      <w:bookmarkEnd w:id="2280"/>
      <w:bookmarkEnd w:id="2281"/>
      <w:bookmarkEnd w:id="2283"/>
    </w:p>
    <w:p>
      <w:pPr>
        <w:pStyle w:val="Style34"/>
        <w:keepNext w:val="0"/>
        <w:keepLines w:val="0"/>
        <w:widowControl w:val="0"/>
        <w:shd w:val="clear" w:color="auto" w:fill="auto"/>
        <w:bidi w:val="0"/>
        <w:spacing w:before="0" w:after="340" w:line="240" w:lineRule="auto"/>
        <w:ind w:left="0" w:right="0" w:firstLine="0"/>
        <w:jc w:val="left"/>
        <w:sectPr>
          <w:headerReference w:type="default" r:id="rId25"/>
          <w:footerReference w:type="default" r:id="rId26"/>
          <w:headerReference w:type="first" r:id="rId27"/>
          <w:footerReference w:type="first" r:id="rId28"/>
          <w:footnotePr>
            <w:pos w:val="pageBottom"/>
            <w:numFmt w:val="decimal"/>
            <w:numRestart w:val="continuous"/>
          </w:footnotePr>
          <w:pgSz w:w="11900" w:h="16840"/>
          <w:pgMar w:top="1139" w:right="1029" w:bottom="1373" w:left="1003" w:header="0" w:footer="3" w:gutter="0"/>
          <w:cols w:space="720"/>
          <w:noEndnote/>
          <w:titlePg/>
          <w:rtlGutter w:val="0"/>
          <w:docGrid w:linePitch="360"/>
        </w:sectPr>
      </w:pPr>
      <w:r>
        <w:rPr>
          <w:color w:val="000000"/>
          <w:spacing w:val="0"/>
          <w:w w:val="100"/>
          <w:position w:val="0"/>
        </w:rPr>
        <w:t>无</w:t>
      </w:r>
    </w:p>
    <w:p>
      <w:pPr>
        <w:pStyle w:val="Style17"/>
        <w:keepNext/>
        <w:keepLines/>
        <w:widowControl w:val="0"/>
        <w:shd w:val="clear" w:color="auto" w:fill="auto"/>
        <w:bidi w:val="0"/>
        <w:spacing w:before="0" w:after="600" w:line="240" w:lineRule="auto"/>
        <w:ind w:left="0" w:right="0" w:firstLine="0"/>
        <w:jc w:val="center"/>
      </w:pPr>
      <w:bookmarkStart w:id="2284" w:name="bookmark2284"/>
      <w:bookmarkStart w:id="2285" w:name="bookmark2285"/>
      <w:bookmarkStart w:id="2286" w:name="bookmark2286"/>
      <w:r>
        <w:rPr>
          <w:color w:val="000000"/>
          <w:spacing w:val="0"/>
          <w:w w:val="100"/>
          <w:position w:val="0"/>
        </w:rPr>
        <w:t>第十三节备查文件目录</w:t>
      </w:r>
      <w:bookmarkEnd w:id="2284"/>
      <w:bookmarkEnd w:id="2285"/>
      <w:bookmarkEnd w:id="2286"/>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2287" w:name="bookmark2287"/>
      <w:bookmarkStart w:id="2288" w:name="bookmark2288"/>
      <w:r>
        <w:rPr>
          <w:color w:val="000000"/>
          <w:spacing w:val="0"/>
          <w:w w:val="100"/>
          <w:position w:val="0"/>
        </w:rPr>
        <w:t>一</w:t>
      </w:r>
      <w:bookmarkEnd w:id="2288"/>
      <w:r>
        <w:rPr>
          <w:color w:val="000000"/>
          <w:spacing w:val="0"/>
          <w:w w:val="100"/>
          <w:position w:val="0"/>
        </w:rPr>
        <w:t>、</w:t>
        <w:tab/>
        <w:t>载有公司法定代表人、主管会计工作负责人、会计机构负责人签名并盖章的财务报表。</w:t>
      </w:r>
      <w:bookmarkEnd w:id="2287"/>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2289" w:name="bookmark2289"/>
      <w:r>
        <w:rPr>
          <w:color w:val="000000"/>
          <w:spacing w:val="0"/>
          <w:w w:val="100"/>
          <w:position w:val="0"/>
        </w:rPr>
        <w:t>二</w:t>
      </w:r>
      <w:bookmarkEnd w:id="2289"/>
      <w:r>
        <w:rPr>
          <w:color w:val="000000"/>
          <w:spacing w:val="0"/>
          <w:w w:val="100"/>
          <w:position w:val="0"/>
        </w:rPr>
        <w:t>、</w:t>
        <w:tab/>
        <w:t>载有会计师事务所盖章、注册会计师签名并盖章的审计报告原件。</w:t>
      </w:r>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2290" w:name="bookmark2290"/>
      <w:r>
        <w:rPr>
          <w:color w:val="000000"/>
          <w:spacing w:val="0"/>
          <w:w w:val="100"/>
          <w:position w:val="0"/>
        </w:rPr>
        <w:t>三</w:t>
      </w:r>
      <w:bookmarkEnd w:id="2290"/>
      <w:r>
        <w:rPr>
          <w:color w:val="000000"/>
          <w:spacing w:val="0"/>
          <w:w w:val="100"/>
          <w:position w:val="0"/>
        </w:rPr>
        <w:t>、</w:t>
        <w:tab/>
        <w:t>载有公司法定代表人签名并盖章的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年年度报告原件。</w:t>
      </w:r>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2291" w:name="bookmark2291"/>
      <w:r>
        <w:rPr>
          <w:color w:val="000000"/>
          <w:spacing w:val="0"/>
          <w:w w:val="100"/>
          <w:position w:val="0"/>
        </w:rPr>
        <w:t>四</w:t>
      </w:r>
      <w:bookmarkEnd w:id="2291"/>
      <w:r>
        <w:rPr>
          <w:color w:val="000000"/>
          <w:spacing w:val="0"/>
          <w:w w:val="100"/>
          <w:position w:val="0"/>
        </w:rPr>
        <w:t>、</w:t>
        <w:tab/>
        <w:t>报告期内在中国证监会指定报纸上公开披露过的所有公司文件的正本及公告的原稿。</w:t>
      </w:r>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2292" w:name="bookmark2292"/>
      <w:r>
        <w:rPr>
          <w:color w:val="000000"/>
          <w:spacing w:val="0"/>
          <w:w w:val="100"/>
          <w:position w:val="0"/>
        </w:rPr>
        <w:t>五</w:t>
      </w:r>
      <w:bookmarkEnd w:id="2292"/>
      <w:r>
        <w:rPr>
          <w:color w:val="000000"/>
          <w:spacing w:val="0"/>
          <w:w w:val="100"/>
          <w:position w:val="0"/>
        </w:rPr>
        <w:t>、</w:t>
        <w:tab/>
        <w:t>以上文件均齐备、完整，并备于本公司董事会办公室以供查阅。</w:t>
      </w:r>
    </w:p>
    <w:p>
      <w:pPr>
        <w:widowControl w:val="0"/>
        <w:spacing w:line="1" w:lineRule="exact"/>
      </w:pPr>
      <w:r>
        <mc:AlternateContent>
          <mc:Choice Requires="wps">
            <w:drawing>
              <wp:anchor distT="457200" distB="0" distL="0" distR="0" simplePos="0" relativeHeight="125829420" behindDoc="0" locked="0" layoutInCell="1" allowOverlap="1">
                <wp:simplePos x="0" y="0"/>
                <wp:positionH relativeFrom="page">
                  <wp:posOffset>5340350</wp:posOffset>
                </wp:positionH>
                <wp:positionV relativeFrom="paragraph">
                  <wp:posOffset>457200</wp:posOffset>
                </wp:positionV>
                <wp:extent cx="1511935" cy="597535"/>
                <wp:wrapTopAndBottom/>
                <wp:docPr id="97" name="Shape 97"/>
                <a:graphic xmlns:a="http://schemas.openxmlformats.org/drawingml/2006/main">
                  <a:graphicData uri="http://schemas.microsoft.com/office/word/2010/wordprocessingShape">
                    <wps:wsp>
                      <wps:cNvSpPr txBox="1"/>
                      <wps:spPr>
                        <a:xfrm>
                          <a:ext cx="1511935" cy="597535"/>
                        </a:xfrm>
                        <a:prstGeom prst="rect"/>
                        <a:noFill/>
                      </wps:spPr>
                      <wps:txbx>
                        <w:txbxContent>
                          <w:p>
                            <w:pPr>
                              <w:pStyle w:val="Style3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深圳市金溢科技股份有限公司</w:t>
                            </w:r>
                          </w:p>
                          <w:p>
                            <w:pPr>
                              <w:pStyle w:val="Style3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法定代表人：罗瑞发</w:t>
                            </w:r>
                          </w:p>
                          <w:p>
                            <w:pPr>
                              <w:pStyle w:val="Style3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二一年四月二十九日</w:t>
                            </w:r>
                          </w:p>
                        </w:txbxContent>
                      </wps:txbx>
                      <wps:bodyPr lIns="0" tIns="0" rIns="0" bIns="0">
                        <a:noAutoFit/>
                      </wps:bodyPr>
                    </wps:wsp>
                  </a:graphicData>
                </a:graphic>
              </wp:anchor>
            </w:drawing>
          </mc:Choice>
          <mc:Fallback>
            <w:pict>
              <v:shape id="_x0000_s1123" type="#_x0000_t202" style="position:absolute;margin-left:420.5pt;margin-top:36.pt;width:119.05pt;height:47.050000000000004pt;z-index:-125829333;mso-wrap-distance-left:0;mso-wrap-distance-top:36.pt;mso-wrap-distance-right:0;mso-position-horizontal-relative:page" filled="f" stroked="f">
                <v:textbox inset="0,0,0,0">
                  <w:txbxContent>
                    <w:p>
                      <w:pPr>
                        <w:pStyle w:val="Style3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深圳市金溢科技股份有限公司</w:t>
                      </w:r>
                    </w:p>
                    <w:p>
                      <w:pPr>
                        <w:pStyle w:val="Style3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法定代表人：罗瑞发</w:t>
                      </w:r>
                    </w:p>
                    <w:p>
                      <w:pPr>
                        <w:pStyle w:val="Style3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二一年四月二十九日</w:t>
                      </w:r>
                    </w:p>
                  </w:txbxContent>
                </v:textbox>
                <w10:wrap type="topAndBottom" anchorx="page"/>
              </v:shape>
            </w:pict>
          </mc:Fallback>
        </mc:AlternateContent>
      </w:r>
    </w:p>
    <w:sectPr>
      <w:footnotePr>
        <w:pos w:val="pageBottom"/>
        <w:numFmt w:val="decimal"/>
        <w:numRestart w:val="continuous"/>
      </w:footnotePr>
      <w:pgSz w:w="11900" w:h="16840"/>
      <w:pgMar w:top="1959" w:right="1114" w:bottom="195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6754495</wp:posOffset>
              </wp:positionH>
              <wp:positionV relativeFrom="page">
                <wp:posOffset>9991725</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1.85000000000002pt;margin-top:786.75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6765925</wp:posOffset>
              </wp:positionH>
              <wp:positionV relativeFrom="page">
                <wp:posOffset>10183495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2.75pt;margin-top:801.85000000000002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6822440</wp:posOffset>
              </wp:positionV>
              <wp:extent cx="109855" cy="79375"/>
              <wp:wrapNone/>
              <wp:docPr id="19" name="Shape 1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761.10000000000002pt;margin-top:537.2000000000000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6725285</wp:posOffset>
              </wp:positionH>
              <wp:positionV relativeFrom="page">
                <wp:posOffset>9977120</wp:posOffset>
              </wp:positionV>
              <wp:extent cx="106680" cy="79375"/>
              <wp:wrapNone/>
              <wp:docPr id="25" name="Shape 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29.54999999999995pt;margin-top:785.60000000000002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6382385</wp:posOffset>
              </wp:positionH>
              <wp:positionV relativeFrom="page">
                <wp:posOffset>9737725</wp:posOffset>
              </wp:positionV>
              <wp:extent cx="445135" cy="106680"/>
              <wp:wrapNone/>
              <wp:docPr id="68" name="Shape 6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4" type="#_x0000_t202" style="position:absolute;margin-left:502.55000000000001pt;margin-top:766.75pt;width:35.05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6671945</wp:posOffset>
              </wp:positionH>
              <wp:positionV relativeFrom="page">
                <wp:posOffset>10093960</wp:posOffset>
              </wp:positionV>
              <wp:extent cx="155575" cy="79375"/>
              <wp:wrapNone/>
              <wp:docPr id="70" name="Shape 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25.35000000000002pt;margin-top:794.80000000000007pt;width:12.25pt;height:6.25pt;z-index:-18874404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6382385</wp:posOffset>
              </wp:positionH>
              <wp:positionV relativeFrom="page">
                <wp:posOffset>9673590</wp:posOffset>
              </wp:positionV>
              <wp:extent cx="445135" cy="106680"/>
              <wp:wrapNone/>
              <wp:docPr id="75" name="Shape 7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1" type="#_x0000_t202" style="position:absolute;margin-left:502.55000000000001pt;margin-top:761.70000000000005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6671945</wp:posOffset>
              </wp:positionH>
              <wp:positionV relativeFrom="page">
                <wp:posOffset>10158095</wp:posOffset>
              </wp:positionV>
              <wp:extent cx="152400" cy="79375"/>
              <wp:wrapNone/>
              <wp:docPr id="77" name="Shape 7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25.35000000000002pt;margin-top:799.85000000000002pt;width:12.pt;height:6.25pt;z-index:-18874403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6725285</wp:posOffset>
              </wp:positionH>
              <wp:positionV relativeFrom="page">
                <wp:posOffset>9977120</wp:posOffset>
              </wp:positionV>
              <wp:extent cx="106680" cy="79375"/>
              <wp:wrapNone/>
              <wp:docPr id="82" name="Shape 8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29.54999999999995pt;margin-top:785.60000000000002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6725285</wp:posOffset>
              </wp:positionH>
              <wp:positionV relativeFrom="page">
                <wp:posOffset>9977120</wp:posOffset>
              </wp:positionV>
              <wp:extent cx="106680" cy="79375"/>
              <wp:wrapNone/>
              <wp:docPr id="88" name="Shape 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29.54999999999995pt;margin-top:785.60000000000002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6382385</wp:posOffset>
              </wp:positionH>
              <wp:positionV relativeFrom="page">
                <wp:posOffset>9737725</wp:posOffset>
              </wp:positionV>
              <wp:extent cx="445135" cy="106680"/>
              <wp:wrapNone/>
              <wp:docPr id="93" name="Shape 9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9" type="#_x0000_t202" style="position:absolute;margin-left:502.55000000000001pt;margin-top:766.75pt;width:35.050000000000004pt;height:8.4000000000000004pt;z-index:-18874402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6671945</wp:posOffset>
              </wp:positionH>
              <wp:positionV relativeFrom="page">
                <wp:posOffset>10093960</wp:posOffset>
              </wp:positionV>
              <wp:extent cx="155575" cy="79375"/>
              <wp:wrapNone/>
              <wp:docPr id="95" name="Shape 9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25.35000000000002pt;margin-top:794.80000000000007pt;width:12.25pt;height:6.25pt;z-index:-18874402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4294505</wp:posOffset>
              </wp:positionH>
              <wp:positionV relativeFrom="page">
                <wp:posOffset>530225</wp:posOffset>
              </wp:positionV>
              <wp:extent cx="2563495" cy="106680"/>
              <wp:wrapNone/>
              <wp:docPr id="2" name="Shape 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深圳市金溢科技股份有限公司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8.15000000000003pt;margin-top:41.75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深圳市金溢科技股份有限公司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4244975</wp:posOffset>
              </wp:positionH>
              <wp:positionV relativeFrom="page">
                <wp:posOffset>530225</wp:posOffset>
              </wp:positionV>
              <wp:extent cx="2563495" cy="106680"/>
              <wp:wrapNone/>
              <wp:docPr id="7" name="Shape 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深圳市金溢科技股份有限公司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34.25pt;margin-top:41.75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深圳市金溢科技股份有限公司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675005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3.149999999999999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7212330</wp:posOffset>
              </wp:positionH>
              <wp:positionV relativeFrom="page">
                <wp:posOffset>555625</wp:posOffset>
              </wp:positionV>
              <wp:extent cx="2563495" cy="106680"/>
              <wp:wrapNone/>
              <wp:docPr id="16" name="Shape 1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2" type="#_x0000_t202" style="position:absolute;margin-left:567.89999999999998pt;margin-top:43.75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18" name="Shape 1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4268470</wp:posOffset>
              </wp:positionH>
              <wp:positionV relativeFrom="page">
                <wp:posOffset>553085</wp:posOffset>
              </wp:positionV>
              <wp:extent cx="2563495" cy="106680"/>
              <wp:wrapNone/>
              <wp:docPr id="22" name="Shape 2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336.10000000000002pt;margin-top:43.550000000000004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4264025</wp:posOffset>
              </wp:positionH>
              <wp:positionV relativeFrom="page">
                <wp:posOffset>677545</wp:posOffset>
              </wp:positionV>
              <wp:extent cx="2563495" cy="106680"/>
              <wp:wrapNone/>
              <wp:docPr id="65" name="Shape 6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1" type="#_x0000_t202" style="position:absolute;margin-left:335.75pt;margin-top:53.350000000000001pt;width:201.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845185</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66.549999999999997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4264025</wp:posOffset>
              </wp:positionH>
              <wp:positionV relativeFrom="page">
                <wp:posOffset>764540</wp:posOffset>
              </wp:positionV>
              <wp:extent cx="2563495" cy="106680"/>
              <wp:wrapNone/>
              <wp:docPr id="72" name="Shape 7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335.75pt;margin-top:60.200000000000003pt;width:201.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908685</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1.549999999999997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4268470</wp:posOffset>
              </wp:positionH>
              <wp:positionV relativeFrom="page">
                <wp:posOffset>553085</wp:posOffset>
              </wp:positionV>
              <wp:extent cx="2563495" cy="106680"/>
              <wp:wrapNone/>
              <wp:docPr id="79" name="Shape 7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5" type="#_x0000_t202" style="position:absolute;margin-left:336.10000000000002pt;margin-top:43.550000000000004pt;width:201.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81" name="Shape 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4268470</wp:posOffset>
              </wp:positionH>
              <wp:positionV relativeFrom="page">
                <wp:posOffset>553085</wp:posOffset>
              </wp:positionV>
              <wp:extent cx="2563495" cy="106680"/>
              <wp:wrapNone/>
              <wp:docPr id="85" name="Shape 8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336.10000000000002pt;margin-top:43.550000000000004pt;width:201.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4264025</wp:posOffset>
              </wp:positionH>
              <wp:positionV relativeFrom="page">
                <wp:posOffset>677545</wp:posOffset>
              </wp:positionV>
              <wp:extent cx="2563495" cy="106680"/>
              <wp:wrapNone/>
              <wp:docPr id="90" name="Shape 9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6" type="#_x0000_t202" style="position:absolute;margin-left:335.75pt;margin-top:53.350000000000001pt;width:201.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深圳市金溢科技股份有限公司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845185</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66.549999999999997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48"/>
      <w:szCs w:val="4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2)_"/>
    <w:basedOn w:val="DefaultParagraphFont"/>
    <w:link w:val="Style8"/>
    <w:rPr>
      <w:rFonts w:ascii="SimSun" w:eastAsia="SimSun" w:hAnsi="SimSun" w:cs="SimSun"/>
      <w:b/>
      <w:bCs/>
      <w:i w:val="0"/>
      <w:iCs w:val="0"/>
      <w:smallCaps w:val="0"/>
      <w:strike w:val="0"/>
      <w:sz w:val="28"/>
      <w:szCs w:val="28"/>
      <w:u w:val="none"/>
      <w:shd w:val="clear" w:color="auto" w:fill="auto"/>
    </w:rPr>
  </w:style>
  <w:style w:type="character" w:customStyle="1" w:styleId="CharStyle12">
    <w:name w:val="正文文本 (3)_"/>
    <w:basedOn w:val="DefaultParagraphFont"/>
    <w:link w:val="Style11"/>
    <w:rPr>
      <w:rFonts w:ascii="SimSun" w:eastAsia="SimSun" w:hAnsi="SimSun" w:cs="SimSun"/>
      <w:b w:val="0"/>
      <w:bCs w:val="0"/>
      <w:i w:val="0"/>
      <w:iCs w:val="0"/>
      <w:smallCaps w:val="0"/>
      <w:strike w:val="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6)_"/>
    <w:basedOn w:val="DefaultParagraphFont"/>
    <w:link w:val="Style20"/>
    <w:rPr>
      <w:rFonts w:ascii="SimSun" w:eastAsia="SimSun" w:hAnsi="SimSun" w:cs="SimSun"/>
      <w:b/>
      <w:bCs/>
      <w:i w:val="0"/>
      <w:iCs w:val="0"/>
      <w:smallCaps w:val="0"/>
      <w:strike w:val="0"/>
      <w:sz w:val="36"/>
      <w:szCs w:val="36"/>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正文文本 (5)_"/>
    <w:basedOn w:val="DefaultParagraphFont"/>
    <w:link w:val="Style25"/>
    <w:rPr>
      <w:rFonts w:ascii="SimSun" w:eastAsia="SimSun" w:hAnsi="SimSun" w:cs="SimSun"/>
      <w:b/>
      <w:bCs/>
      <w:i w:val="0"/>
      <w:iCs w:val="0"/>
      <w:smallCaps w:val="0"/>
      <w:strike w:val="0"/>
      <w:sz w:val="32"/>
      <w:szCs w:val="32"/>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72">
    <w:name w:val="标题 #4_"/>
    <w:basedOn w:val="DefaultParagraphFont"/>
    <w:link w:val="Style71"/>
    <w:rPr>
      <w:rFonts w:ascii="SimSun" w:eastAsia="SimSun" w:hAnsi="SimSun" w:cs="SimSun"/>
      <w:b/>
      <w:bCs/>
      <w:i w:val="0"/>
      <w:iCs w:val="0"/>
      <w:smallCaps w:val="0"/>
      <w:strike w:val="0"/>
      <w:sz w:val="20"/>
      <w:szCs w:val="20"/>
      <w:u w:val="none"/>
      <w:shd w:val="clear" w:color="auto" w:fill="auto"/>
    </w:rPr>
  </w:style>
  <w:style w:type="character" w:customStyle="1" w:styleId="CharStyle83">
    <w:name w:val="页眉或页脚_"/>
    <w:basedOn w:val="DefaultParagraphFont"/>
    <w:link w:val="Style82"/>
    <w:rPr>
      <w:rFonts w:ascii="SimSun" w:eastAsia="SimSun" w:hAnsi="SimSun" w:cs="SimSun"/>
      <w:b w:val="0"/>
      <w:bCs w:val="0"/>
      <w:i w:val="0"/>
      <w:iCs w:val="0"/>
      <w:smallCaps w:val="0"/>
      <w:strike w:val="0"/>
      <w:sz w:val="17"/>
      <w:szCs w:val="17"/>
      <w:u w:val="none"/>
      <w:shd w:val="clear" w:color="auto" w:fill="auto"/>
    </w:rPr>
  </w:style>
  <w:style w:type="character" w:customStyle="1" w:styleId="CharStyle96">
    <w:name w:val="标题 #5_"/>
    <w:basedOn w:val="DefaultParagraphFont"/>
    <w:link w:val="Style95"/>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before="1360" w:after="2250"/>
      <w:jc w:val="center"/>
    </w:pPr>
    <w:rPr>
      <w:rFonts w:ascii="SimSun" w:eastAsia="SimSun" w:hAnsi="SimSun" w:cs="SimSun"/>
      <w:b/>
      <w:bCs/>
      <w:i w:val="0"/>
      <w:iCs w:val="0"/>
      <w:smallCaps w:val="0"/>
      <w:strike w:val="0"/>
      <w:sz w:val="48"/>
      <w:szCs w:val="4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2)"/>
    <w:basedOn w:val="Normal"/>
    <w:link w:val="CharStyle9"/>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1">
    <w:name w:val="正文文本 (3)"/>
    <w:basedOn w:val="Normal"/>
    <w:link w:val="CharStyle12"/>
    <w:pPr>
      <w:widowControl w:val="0"/>
      <w:shd w:val="clear" w:color="auto" w:fill="auto"/>
      <w:spacing w:after="1200"/>
      <w:jc w:val="center"/>
    </w:pPr>
    <w:rPr>
      <w:rFonts w:ascii="SimSun" w:eastAsia="SimSun" w:hAnsi="SimSun" w:cs="SimSun"/>
      <w:b w:val="0"/>
      <w:bCs w:val="0"/>
      <w:i w:val="0"/>
      <w:iCs w:val="0"/>
      <w:smallCaps w:val="0"/>
      <w:strike w:val="0"/>
      <w:u w:val="none"/>
      <w:shd w:val="clear" w:color="auto" w:fill="auto"/>
    </w:rPr>
  </w:style>
  <w:style w:type="paragraph" w:customStyle="1" w:styleId="Style17">
    <w:name w:val="标题 #1"/>
    <w:basedOn w:val="Normal"/>
    <w:link w:val="CharStyle18"/>
    <w:pPr>
      <w:widowControl w:val="0"/>
      <w:shd w:val="clear" w:color="auto" w:fill="auto"/>
      <w:spacing w:before="5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6)"/>
    <w:basedOn w:val="Normal"/>
    <w:link w:val="CharStyle21"/>
    <w:pPr>
      <w:widowControl w:val="0"/>
      <w:shd w:val="clear" w:color="auto" w:fill="auto"/>
      <w:spacing w:after="15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正文文本 (5)"/>
    <w:basedOn w:val="Normal"/>
    <w:link w:val="CharStyle26"/>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2"/>
    <w:basedOn w:val="Normal"/>
    <w:link w:val="CharStyle31"/>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正文文本"/>
    <w:basedOn w:val="Normal"/>
    <w:link w:val="CharStyle35"/>
    <w:pPr>
      <w:widowControl w:val="0"/>
      <w:shd w:val="clear" w:color="auto" w:fill="auto"/>
      <w:spacing w:line="377"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3"/>
    <w:basedOn w:val="Normal"/>
    <w:link w:val="CharStyle3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71">
    <w:name w:val="标题 #4"/>
    <w:basedOn w:val="Normal"/>
    <w:link w:val="CharStyle7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2">
    <w:name w:val="页眉或页脚"/>
    <w:basedOn w:val="Normal"/>
    <w:link w:val="CharStyle8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5">
    <w:name w:val="标题 #5"/>
    <w:basedOn w:val="Normal"/>
    <w:link w:val="CharStyle96"/>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image" Target="media/image3.jpeg"/><Relationship Id="rId24" Type="http://schemas.openxmlformats.org/officeDocument/2006/relationships/image" Target="media/image3.jpeg" TargetMode="Externa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深圳市金溢科技股份有限公司2020年年度报告全文</dc:title>
  <dc:subject/>
  <dc:creator>深圳市金溢科技股份有限公司</dc:creator>
  <cp:keywords/>
</cp:coreProperties>
</file>