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p>
      <w:pPr>
        <w:spacing w:line="1457" w:lineRule="exact"/>
        <w:ind w:left="302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8"/>
          <w:sz w:val="20"/>
          <w:szCs w:val="20"/>
        </w:rPr>
        <w:drawing>
          <wp:inline distT="0" distB="0" distL="0" distR="0">
            <wp:extent cx="2420253" cy="925353"/>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420253" cy="925353"/>
                    </a:xfrm>
                    <a:prstGeom prst="rect">
                      <a:avLst/>
                    </a:prstGeom>
                  </pic:spPr>
                </pic:pic>
              </a:graphicData>
            </a:graphic>
          </wp:inline>
        </w:drawing>
      </w:r>
      <w:r>
        <w:rPr>
          <w:rFonts w:ascii="Times New Roman" w:hAnsi="Times New Roman" w:cs="Times New Roman" w:eastAsia="Times New Roman" w:hint="default"/>
          <w:position w:val="-2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460" w:lineRule="exact" w:before="0"/>
        <w:ind w:left="3068" w:right="4089" w:firstLine="0"/>
        <w:jc w:val="center"/>
        <w:rPr>
          <w:rFonts w:ascii="宋体" w:hAnsi="宋体" w:cs="宋体" w:eastAsia="宋体" w:hint="default"/>
          <w:sz w:val="36"/>
          <w:szCs w:val="36"/>
        </w:rPr>
      </w:pPr>
      <w:r>
        <w:rPr>
          <w:rFonts w:ascii="宋体" w:hAnsi="宋体" w:cs="宋体" w:eastAsia="宋体" w:hint="default"/>
          <w:b/>
          <w:bCs/>
          <w:sz w:val="36"/>
          <w:szCs w:val="36"/>
        </w:rPr>
        <w:t>润建股份有限公司</w:t>
      </w:r>
      <w:r>
        <w:rPr>
          <w:rFonts w:ascii="宋体" w:hAnsi="宋体" w:cs="宋体" w:eastAsia="宋体" w:hint="default"/>
          <w:sz w:val="36"/>
          <w:szCs w:val="36"/>
        </w:rPr>
      </w:r>
    </w:p>
    <w:p>
      <w:pPr>
        <w:spacing w:line="240" w:lineRule="auto" w:before="6"/>
        <w:rPr>
          <w:rFonts w:ascii="宋体" w:hAnsi="宋体" w:cs="宋体" w:eastAsia="宋体" w:hint="default"/>
          <w:b/>
          <w:bCs/>
          <w:sz w:val="30"/>
          <w:szCs w:val="30"/>
        </w:rPr>
      </w:pPr>
    </w:p>
    <w:p>
      <w:pPr>
        <w:spacing w:before="0"/>
        <w:ind w:left="3068" w:right="408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8"/>
          <w:szCs w:val="48"/>
        </w:rPr>
      </w:pPr>
    </w:p>
    <w:p>
      <w:pPr>
        <w:spacing w:before="0"/>
        <w:ind w:left="3068" w:right="408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9" w:footer="1013" w:top="110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763" w:right="977"/>
        <w:jc w:val="left"/>
        <w:rPr>
          <w:b w:val="0"/>
          <w:bCs w:val="0"/>
        </w:rPr>
      </w:pP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1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1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公司负责人许文杰、主管会计工作负责人梁姬及会计机构负责人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黄宇声明：保证年度报告中财务报告的真实、准确、完整。</w:t>
      </w:r>
      <w:r>
        <w:rPr>
          <w:rFonts w:ascii="宋体" w:hAnsi="宋体" w:cs="宋体" w:eastAsia="宋体" w:hint="default"/>
          <w:sz w:val="28"/>
          <w:szCs w:val="28"/>
        </w:rPr>
      </w:r>
    </w:p>
    <w:p>
      <w:pPr>
        <w:spacing w:before="148"/>
        <w:ind w:left="674" w:right="977"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before="0"/>
        <w:ind w:left="674" w:right="977" w:firstLine="0"/>
        <w:jc w:val="left"/>
        <w:rPr>
          <w:rFonts w:ascii="宋体" w:hAnsi="宋体" w:cs="宋体" w:eastAsia="宋体" w:hint="default"/>
          <w:sz w:val="28"/>
          <w:szCs w:val="28"/>
        </w:rPr>
      </w:pPr>
      <w:r>
        <w:rPr>
          <w:rFonts w:ascii="宋体" w:hAnsi="宋体" w:cs="宋体" w:eastAsia="宋体" w:hint="default"/>
          <w:b/>
          <w:bCs/>
          <w:sz w:val="28"/>
          <w:szCs w:val="28"/>
        </w:rPr>
        <w:t>公司于</w:t>
      </w:r>
      <w:r>
        <w:rPr>
          <w:rFonts w:ascii="宋体" w:hAnsi="宋体" w:cs="宋体" w:eastAsia="宋体" w:hint="default"/>
          <w:b/>
          <w:bCs/>
          <w:spacing w:val="-77"/>
          <w:sz w:val="28"/>
          <w:szCs w:val="28"/>
        </w:rPr>
        <w:t> </w:t>
      </w:r>
      <w:r>
        <w:rPr>
          <w:rFonts w:ascii="Times New Roman" w:hAnsi="Times New Roman" w:cs="Times New Roman" w:eastAsia="Times New Roman" w:hint="default"/>
          <w:b/>
          <w:bCs/>
          <w:sz w:val="28"/>
          <w:szCs w:val="28"/>
        </w:rPr>
        <w:t>2019</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年</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3</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月</w:t>
      </w:r>
      <w:r>
        <w:rPr>
          <w:rFonts w:ascii="宋体" w:hAnsi="宋体" w:cs="宋体" w:eastAsia="宋体" w:hint="default"/>
          <w:b/>
          <w:bCs/>
          <w:spacing w:val="-77"/>
          <w:sz w:val="28"/>
          <w:szCs w:val="28"/>
        </w:rPr>
        <w:t> </w:t>
      </w:r>
      <w:r>
        <w:rPr>
          <w:rFonts w:ascii="Times New Roman" w:hAnsi="Times New Roman" w:cs="Times New Roman" w:eastAsia="Times New Roman" w:hint="default"/>
          <w:b/>
          <w:bCs/>
          <w:sz w:val="28"/>
          <w:szCs w:val="28"/>
        </w:rPr>
        <w:t>8</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日和</w:t>
      </w:r>
      <w:r>
        <w:rPr>
          <w:rFonts w:ascii="宋体" w:hAnsi="宋体" w:cs="宋体" w:eastAsia="宋体" w:hint="default"/>
          <w:b/>
          <w:bCs/>
          <w:spacing w:val="-77"/>
          <w:sz w:val="28"/>
          <w:szCs w:val="28"/>
        </w:rPr>
        <w:t> </w:t>
      </w:r>
      <w:r>
        <w:rPr>
          <w:rFonts w:ascii="Times New Roman" w:hAnsi="Times New Roman" w:cs="Times New Roman" w:eastAsia="Times New Roman" w:hint="default"/>
          <w:b/>
          <w:bCs/>
          <w:sz w:val="28"/>
          <w:szCs w:val="28"/>
        </w:rPr>
        <w:t>2019</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年</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3</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月</w:t>
      </w:r>
      <w:r>
        <w:rPr>
          <w:rFonts w:ascii="宋体" w:hAnsi="宋体" w:cs="宋体" w:eastAsia="宋体" w:hint="default"/>
          <w:b/>
          <w:bCs/>
          <w:spacing w:val="-77"/>
          <w:sz w:val="28"/>
          <w:szCs w:val="28"/>
        </w:rPr>
        <w:t> </w:t>
      </w:r>
      <w:r>
        <w:rPr>
          <w:rFonts w:ascii="Times New Roman" w:hAnsi="Times New Roman" w:cs="Times New Roman" w:eastAsia="Times New Roman" w:hint="default"/>
          <w:b/>
          <w:bCs/>
          <w:sz w:val="28"/>
          <w:szCs w:val="28"/>
        </w:rPr>
        <w:t>25</w:t>
      </w:r>
      <w:r>
        <w:rPr>
          <w:rFonts w:ascii="Times New Roman" w:hAnsi="Times New Roman" w:cs="Times New Roman" w:eastAsia="Times New Roman" w:hint="default"/>
          <w:b/>
          <w:bCs/>
          <w:spacing w:val="-7"/>
          <w:sz w:val="28"/>
          <w:szCs w:val="28"/>
        </w:rPr>
        <w:t> </w:t>
      </w:r>
      <w:r>
        <w:rPr>
          <w:rFonts w:ascii="宋体" w:hAnsi="宋体" w:cs="宋体" w:eastAsia="宋体" w:hint="default"/>
          <w:b/>
          <w:bCs/>
          <w:sz w:val="28"/>
          <w:szCs w:val="28"/>
        </w:rPr>
        <w:t>日分别召开了第三届董事会第十</w:t>
      </w:r>
      <w:r>
        <w:rPr>
          <w:rFonts w:ascii="宋体" w:hAnsi="宋体" w:cs="宋体" w:eastAsia="宋体" w:hint="default"/>
          <w:sz w:val="28"/>
          <w:szCs w:val="28"/>
        </w:rPr>
      </w:r>
    </w:p>
    <w:p>
      <w:pPr>
        <w:spacing w:before="236"/>
        <w:ind w:left="112" w:right="977" w:firstLine="0"/>
        <w:jc w:val="left"/>
        <w:rPr>
          <w:rFonts w:ascii="宋体" w:hAnsi="宋体" w:cs="宋体" w:eastAsia="宋体" w:hint="default"/>
          <w:sz w:val="28"/>
          <w:szCs w:val="28"/>
        </w:rPr>
      </w:pPr>
      <w:r>
        <w:rPr>
          <w:rFonts w:ascii="宋体" w:hAnsi="宋体" w:cs="宋体" w:eastAsia="宋体" w:hint="default"/>
          <w:b/>
          <w:bCs/>
          <w:sz w:val="28"/>
          <w:szCs w:val="28"/>
        </w:rPr>
        <w:t>七次会议和</w:t>
      </w:r>
      <w:r>
        <w:rPr>
          <w:rFonts w:ascii="宋体" w:hAnsi="宋体" w:cs="宋体" w:eastAsia="宋体" w:hint="default"/>
          <w:b/>
          <w:bCs/>
          <w:spacing w:val="-102"/>
          <w:sz w:val="28"/>
          <w:szCs w:val="28"/>
        </w:rPr>
        <w:t> </w:t>
      </w:r>
      <w:r>
        <w:rPr>
          <w:rFonts w:ascii="Times New Roman" w:hAnsi="Times New Roman" w:cs="Times New Roman" w:eastAsia="Times New Roman" w:hint="default"/>
          <w:b/>
          <w:bCs/>
          <w:sz w:val="28"/>
          <w:szCs w:val="28"/>
        </w:rPr>
        <w:t>2019</w:t>
      </w:r>
      <w:r>
        <w:rPr>
          <w:rFonts w:ascii="Times New Roman" w:hAnsi="Times New Roman" w:cs="Times New Roman" w:eastAsia="Times New Roman" w:hint="default"/>
          <w:b/>
          <w:bCs/>
          <w:spacing w:val="-31"/>
          <w:sz w:val="28"/>
          <w:szCs w:val="28"/>
        </w:rPr>
        <w:t> </w:t>
      </w:r>
      <w:r>
        <w:rPr>
          <w:rFonts w:ascii="宋体" w:hAnsi="宋体" w:cs="宋体" w:eastAsia="宋体" w:hint="default"/>
          <w:b/>
          <w:bCs/>
          <w:sz w:val="28"/>
          <w:szCs w:val="28"/>
        </w:rPr>
        <w:t>年第二次临时股东大会，审议通过了《关于拟变更公司名称的</w:t>
      </w:r>
      <w:r>
        <w:rPr>
          <w:rFonts w:ascii="宋体" w:hAnsi="宋体" w:cs="宋体" w:eastAsia="宋体" w:hint="default"/>
          <w:sz w:val="28"/>
          <w:szCs w:val="28"/>
        </w:rPr>
      </w:r>
    </w:p>
    <w:p>
      <w:pPr>
        <w:spacing w:line="398" w:lineRule="auto" w:before="237"/>
        <w:ind w:left="112" w:right="977" w:firstLine="0"/>
        <w:jc w:val="left"/>
        <w:rPr>
          <w:rFonts w:ascii="宋体" w:hAnsi="宋体" w:cs="宋体" w:eastAsia="宋体" w:hint="default"/>
          <w:sz w:val="28"/>
          <w:szCs w:val="28"/>
        </w:rPr>
      </w:pPr>
      <w:r>
        <w:rPr>
          <w:rFonts w:ascii="宋体" w:hAnsi="宋体" w:cs="宋体" w:eastAsia="宋体" w:hint="default"/>
          <w:b/>
          <w:bCs/>
          <w:w w:val="99"/>
          <w:sz w:val="28"/>
          <w:szCs w:val="28"/>
        </w:rPr>
        <w:t>议</w:t>
      </w:r>
      <w:r>
        <w:rPr>
          <w:rFonts w:ascii="宋体" w:hAnsi="宋体" w:cs="宋体" w:eastAsia="宋体" w:hint="default"/>
          <w:b/>
          <w:bCs/>
          <w:spacing w:val="2"/>
          <w:w w:val="99"/>
          <w:sz w:val="28"/>
          <w:szCs w:val="28"/>
        </w:rPr>
        <w:t>案</w:t>
      </w:r>
      <w:r>
        <w:rPr>
          <w:rFonts w:ascii="宋体" w:hAnsi="宋体" w:cs="宋体" w:eastAsia="宋体" w:hint="default"/>
          <w:b/>
          <w:bCs/>
          <w:spacing w:val="-141"/>
          <w:w w:val="99"/>
          <w:sz w:val="28"/>
          <w:szCs w:val="28"/>
        </w:rPr>
        <w:t>》</w:t>
      </w:r>
      <w:r>
        <w:rPr>
          <w:rFonts w:ascii="宋体" w:hAnsi="宋体" w:cs="宋体" w:eastAsia="宋体" w:hint="default"/>
          <w:b/>
          <w:bCs/>
          <w:spacing w:val="-29"/>
          <w:w w:val="99"/>
          <w:sz w:val="28"/>
          <w:szCs w:val="28"/>
        </w:rPr>
        <w:t>，</w:t>
      </w:r>
      <w:r>
        <w:rPr>
          <w:rFonts w:ascii="宋体" w:hAnsi="宋体" w:cs="宋体" w:eastAsia="宋体" w:hint="default"/>
          <w:b/>
          <w:bCs/>
          <w:spacing w:val="2"/>
          <w:w w:val="99"/>
          <w:sz w:val="28"/>
          <w:szCs w:val="28"/>
        </w:rPr>
        <w:t>并</w:t>
      </w:r>
      <w:r>
        <w:rPr>
          <w:rFonts w:ascii="宋体" w:hAnsi="宋体" w:cs="宋体" w:eastAsia="宋体" w:hint="default"/>
          <w:b/>
          <w:bCs/>
          <w:w w:val="99"/>
          <w:sz w:val="28"/>
          <w:szCs w:val="28"/>
        </w:rPr>
        <w:t>于</w:t>
      </w:r>
      <w:r>
        <w:rPr>
          <w:rFonts w:ascii="宋体" w:hAnsi="宋体" w:cs="宋体" w:eastAsia="宋体" w:hint="default"/>
          <w:b/>
          <w:bCs/>
          <w:spacing w:val="-72"/>
          <w:sz w:val="28"/>
          <w:szCs w:val="28"/>
        </w:rPr>
        <w:t> </w:t>
      </w:r>
      <w:r>
        <w:rPr>
          <w:rFonts w:ascii="Times New Roman" w:hAnsi="Times New Roman" w:cs="Times New Roman" w:eastAsia="Times New Roman" w:hint="default"/>
          <w:b/>
          <w:bCs/>
          <w:w w:val="100"/>
          <w:sz w:val="28"/>
          <w:szCs w:val="28"/>
        </w:rPr>
        <w:t>2</w:t>
      </w:r>
      <w:r>
        <w:rPr>
          <w:rFonts w:ascii="Times New Roman" w:hAnsi="Times New Roman" w:cs="Times New Roman" w:eastAsia="Times New Roman" w:hint="default"/>
          <w:b/>
          <w:bCs/>
          <w:spacing w:val="-2"/>
          <w:w w:val="100"/>
          <w:sz w:val="28"/>
          <w:szCs w:val="28"/>
        </w:rPr>
        <w:t>01</w:t>
      </w:r>
      <w:r>
        <w:rPr>
          <w:rFonts w:ascii="Times New Roman" w:hAnsi="Times New Roman" w:cs="Times New Roman" w:eastAsia="Times New Roman" w:hint="default"/>
          <w:b/>
          <w:bCs/>
          <w:w w:val="100"/>
          <w:sz w:val="28"/>
          <w:szCs w:val="28"/>
        </w:rPr>
        <w:t>9</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年</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4</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月</w:t>
      </w:r>
      <w:r>
        <w:rPr>
          <w:rFonts w:ascii="宋体" w:hAnsi="宋体" w:cs="宋体" w:eastAsia="宋体" w:hint="default"/>
          <w:b/>
          <w:bCs/>
          <w:spacing w:val="-70"/>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8</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日完成了工商</w:t>
      </w:r>
      <w:r>
        <w:rPr>
          <w:rFonts w:ascii="宋体" w:hAnsi="宋体" w:cs="宋体" w:eastAsia="宋体" w:hint="default"/>
          <w:b/>
          <w:bCs/>
          <w:spacing w:val="2"/>
          <w:w w:val="99"/>
          <w:sz w:val="28"/>
          <w:szCs w:val="28"/>
        </w:rPr>
        <w:t>变</w:t>
      </w:r>
      <w:r>
        <w:rPr>
          <w:rFonts w:ascii="宋体" w:hAnsi="宋体" w:cs="宋体" w:eastAsia="宋体" w:hint="default"/>
          <w:b/>
          <w:bCs/>
          <w:w w:val="99"/>
          <w:sz w:val="28"/>
          <w:szCs w:val="28"/>
        </w:rPr>
        <w:t>更登记手续</w:t>
      </w:r>
      <w:r>
        <w:rPr>
          <w:rFonts w:ascii="宋体" w:hAnsi="宋体" w:cs="宋体" w:eastAsia="宋体" w:hint="default"/>
          <w:b/>
          <w:bCs/>
          <w:spacing w:val="-27"/>
          <w:w w:val="99"/>
          <w:sz w:val="28"/>
          <w:szCs w:val="28"/>
        </w:rPr>
        <w:t>，</w:t>
      </w:r>
      <w:r>
        <w:rPr>
          <w:rFonts w:ascii="宋体" w:hAnsi="宋体" w:cs="宋体" w:eastAsia="宋体" w:hint="default"/>
          <w:b/>
          <w:bCs/>
          <w:w w:val="99"/>
          <w:sz w:val="28"/>
          <w:szCs w:val="28"/>
        </w:rPr>
        <w:t>并取得了广西壮族自</w:t>
      </w:r>
      <w:r>
        <w:rPr>
          <w:rFonts w:ascii="宋体" w:hAnsi="宋体" w:cs="宋体" w:eastAsia="宋体" w:hint="default"/>
          <w:b/>
          <w:bCs/>
          <w:w w:val="99"/>
          <w:sz w:val="28"/>
          <w:szCs w:val="28"/>
        </w:rPr>
        <w:t> 治区</w:t>
      </w:r>
      <w:r>
        <w:rPr>
          <w:rFonts w:ascii="宋体" w:hAnsi="宋体" w:cs="宋体" w:eastAsia="宋体" w:hint="default"/>
          <w:b/>
          <w:bCs/>
          <w:spacing w:val="2"/>
          <w:w w:val="99"/>
          <w:sz w:val="28"/>
          <w:szCs w:val="28"/>
        </w:rPr>
        <w:t>市</w:t>
      </w:r>
      <w:r>
        <w:rPr>
          <w:rFonts w:ascii="宋体" w:hAnsi="宋体" w:cs="宋体" w:eastAsia="宋体" w:hint="default"/>
          <w:b/>
          <w:bCs/>
          <w:w w:val="99"/>
          <w:sz w:val="28"/>
          <w:szCs w:val="28"/>
        </w:rPr>
        <w:t>场监督管理局换</w:t>
      </w:r>
      <w:r>
        <w:rPr>
          <w:rFonts w:ascii="宋体" w:hAnsi="宋体" w:cs="宋体" w:eastAsia="宋体" w:hint="default"/>
          <w:b/>
          <w:bCs/>
          <w:spacing w:val="2"/>
          <w:w w:val="99"/>
          <w:sz w:val="28"/>
          <w:szCs w:val="28"/>
        </w:rPr>
        <w:t>发</w:t>
      </w:r>
      <w:r>
        <w:rPr>
          <w:rFonts w:ascii="宋体" w:hAnsi="宋体" w:cs="宋体" w:eastAsia="宋体" w:hint="default"/>
          <w:b/>
          <w:bCs/>
          <w:spacing w:val="-68"/>
          <w:w w:val="99"/>
          <w:sz w:val="28"/>
          <w:szCs w:val="28"/>
        </w:rPr>
        <w:t>的</w:t>
      </w:r>
      <w:r>
        <w:rPr>
          <w:rFonts w:ascii="宋体" w:hAnsi="宋体" w:cs="宋体" w:eastAsia="宋体" w:hint="default"/>
          <w:b/>
          <w:bCs/>
          <w:w w:val="99"/>
          <w:sz w:val="28"/>
          <w:szCs w:val="28"/>
        </w:rPr>
        <w:t>《营业执</w:t>
      </w:r>
      <w:r>
        <w:rPr>
          <w:rFonts w:ascii="宋体" w:hAnsi="宋体" w:cs="宋体" w:eastAsia="宋体" w:hint="default"/>
          <w:b/>
          <w:bCs/>
          <w:spacing w:val="2"/>
          <w:w w:val="99"/>
          <w:sz w:val="28"/>
          <w:szCs w:val="28"/>
        </w:rPr>
        <w:t>照</w:t>
      </w:r>
      <w:r>
        <w:rPr>
          <w:rFonts w:ascii="宋体" w:hAnsi="宋体" w:cs="宋体" w:eastAsia="宋体" w:hint="default"/>
          <w:b/>
          <w:bCs/>
          <w:spacing w:val="-141"/>
          <w:w w:val="99"/>
          <w:sz w:val="28"/>
          <w:szCs w:val="28"/>
        </w:rPr>
        <w:t>》</w:t>
      </w:r>
      <w:r>
        <w:rPr>
          <w:rFonts w:ascii="宋体" w:hAnsi="宋体" w:cs="宋体" w:eastAsia="宋体" w:hint="default"/>
          <w:b/>
          <w:bCs/>
          <w:spacing w:val="-67"/>
          <w:w w:val="99"/>
          <w:sz w:val="28"/>
          <w:szCs w:val="28"/>
        </w:rPr>
        <w:t>，</w:t>
      </w:r>
      <w:r>
        <w:rPr>
          <w:rFonts w:ascii="宋体" w:hAnsi="宋体" w:cs="宋体" w:eastAsia="宋体" w:hint="default"/>
          <w:b/>
          <w:bCs/>
          <w:w w:val="99"/>
          <w:sz w:val="28"/>
          <w:szCs w:val="28"/>
        </w:rPr>
        <w:t>公司</w:t>
      </w:r>
      <w:r>
        <w:rPr>
          <w:rFonts w:ascii="宋体" w:hAnsi="宋体" w:cs="宋体" w:eastAsia="宋体" w:hint="default"/>
          <w:b/>
          <w:bCs/>
          <w:spacing w:val="2"/>
          <w:w w:val="99"/>
          <w:sz w:val="28"/>
          <w:szCs w:val="28"/>
        </w:rPr>
        <w:t>名</w:t>
      </w:r>
      <w:r>
        <w:rPr>
          <w:rFonts w:ascii="宋体" w:hAnsi="宋体" w:cs="宋体" w:eastAsia="宋体" w:hint="default"/>
          <w:b/>
          <w:bCs/>
          <w:w w:val="99"/>
          <w:sz w:val="28"/>
          <w:szCs w:val="28"/>
        </w:rPr>
        <w:t>称</w:t>
      </w:r>
      <w:r>
        <w:rPr>
          <w:rFonts w:ascii="宋体" w:hAnsi="宋体" w:cs="宋体" w:eastAsia="宋体" w:hint="default"/>
          <w:b/>
          <w:bCs/>
          <w:spacing w:val="-68"/>
          <w:w w:val="99"/>
          <w:sz w:val="28"/>
          <w:szCs w:val="28"/>
        </w:rPr>
        <w:t>由</w:t>
      </w:r>
      <w:r>
        <w:rPr>
          <w:rFonts w:ascii="宋体" w:hAnsi="宋体" w:cs="宋体" w:eastAsia="宋体" w:hint="default"/>
          <w:b/>
          <w:bCs/>
          <w:w w:val="99"/>
          <w:sz w:val="28"/>
          <w:szCs w:val="28"/>
        </w:rPr>
        <w:t>“润建</w:t>
      </w:r>
      <w:r>
        <w:rPr>
          <w:rFonts w:ascii="宋体" w:hAnsi="宋体" w:cs="宋体" w:eastAsia="宋体" w:hint="default"/>
          <w:b/>
          <w:bCs/>
          <w:spacing w:val="2"/>
          <w:w w:val="99"/>
          <w:sz w:val="28"/>
          <w:szCs w:val="28"/>
        </w:rPr>
        <w:t>通</w:t>
      </w:r>
      <w:r>
        <w:rPr>
          <w:rFonts w:ascii="宋体" w:hAnsi="宋体" w:cs="宋体" w:eastAsia="宋体" w:hint="default"/>
          <w:b/>
          <w:bCs/>
          <w:w w:val="99"/>
          <w:sz w:val="28"/>
          <w:szCs w:val="28"/>
        </w:rPr>
        <w:t>信股份有限公</w:t>
      </w:r>
      <w:r>
        <w:rPr>
          <w:rFonts w:ascii="宋体" w:hAnsi="宋体" w:cs="宋体" w:eastAsia="宋体" w:hint="default"/>
          <w:b/>
          <w:bCs/>
          <w:spacing w:val="2"/>
          <w:w w:val="99"/>
          <w:sz w:val="28"/>
          <w:szCs w:val="28"/>
        </w:rPr>
        <w:t>司</w:t>
      </w:r>
      <w:r>
        <w:rPr>
          <w:rFonts w:ascii="宋体" w:hAnsi="宋体" w:cs="宋体" w:eastAsia="宋体" w:hint="default"/>
          <w:b/>
          <w:bCs/>
          <w:w w:val="99"/>
          <w:sz w:val="28"/>
          <w:szCs w:val="28"/>
        </w:rPr>
        <w:t>”</w:t>
      </w:r>
      <w:r>
        <w:rPr>
          <w:rFonts w:ascii="宋体" w:hAnsi="宋体" w:cs="宋体" w:eastAsia="宋体" w:hint="default"/>
          <w:b/>
          <w:bCs/>
          <w:w w:val="99"/>
          <w:sz w:val="28"/>
          <w:szCs w:val="28"/>
        </w:rPr>
        <w:t> 变更</w:t>
      </w:r>
      <w:r>
        <w:rPr>
          <w:rFonts w:ascii="宋体" w:hAnsi="宋体" w:cs="宋体" w:eastAsia="宋体" w:hint="default"/>
          <w:b/>
          <w:bCs/>
          <w:spacing w:val="2"/>
          <w:w w:val="99"/>
          <w:sz w:val="28"/>
          <w:szCs w:val="28"/>
        </w:rPr>
        <w:t>为</w:t>
      </w:r>
      <w:r>
        <w:rPr>
          <w:rFonts w:ascii="宋体" w:hAnsi="宋体" w:cs="宋体" w:eastAsia="宋体" w:hint="default"/>
          <w:b/>
          <w:bCs/>
          <w:w w:val="99"/>
          <w:sz w:val="28"/>
          <w:szCs w:val="28"/>
        </w:rPr>
        <w:t>“润建股份有限</w:t>
      </w:r>
      <w:r>
        <w:rPr>
          <w:rFonts w:ascii="宋体" w:hAnsi="宋体" w:cs="宋体" w:eastAsia="宋体" w:hint="default"/>
          <w:b/>
          <w:bCs/>
          <w:spacing w:val="2"/>
          <w:w w:val="99"/>
          <w:sz w:val="28"/>
          <w:szCs w:val="28"/>
        </w:rPr>
        <w:t>公</w:t>
      </w:r>
      <w:r>
        <w:rPr>
          <w:rFonts w:ascii="宋体" w:hAnsi="宋体" w:cs="宋体" w:eastAsia="宋体" w:hint="default"/>
          <w:b/>
          <w:bCs/>
          <w:w w:val="99"/>
          <w:sz w:val="28"/>
          <w:szCs w:val="28"/>
        </w:rPr>
        <w:t>司</w:t>
      </w:r>
      <w:r>
        <w:rPr>
          <w:rFonts w:ascii="宋体" w:hAnsi="宋体" w:cs="宋体" w:eastAsia="宋体" w:hint="default"/>
          <w:b/>
          <w:bCs/>
          <w:spacing w:val="-141"/>
          <w:w w:val="99"/>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line="408" w:lineRule="auto" w:before="173"/>
        <w:ind w:left="11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本年度报告涉及未来发展规划和经营目标的相关陈述，属于公司计划性事</w:t>
      </w:r>
      <w:r>
        <w:rPr>
          <w:rFonts w:ascii="宋体" w:hAnsi="宋体" w:cs="宋体" w:eastAsia="宋体" w:hint="default"/>
          <w:b/>
          <w:bCs/>
          <w:w w:val="99"/>
          <w:sz w:val="28"/>
          <w:szCs w:val="28"/>
        </w:rPr>
        <w:t> </w:t>
      </w:r>
      <w:r>
        <w:rPr>
          <w:rFonts w:ascii="宋体" w:hAnsi="宋体" w:cs="宋体" w:eastAsia="宋体" w:hint="default"/>
          <w:b/>
          <w:bCs/>
          <w:sz w:val="28"/>
          <w:szCs w:val="28"/>
        </w:rPr>
        <w:t>务，不构成公司对投资者的实质承诺，请投资者注意投资风险。</w:t>
      </w:r>
      <w:r>
        <w:rPr>
          <w:rFonts w:ascii="宋体" w:hAnsi="宋体" w:cs="宋体" w:eastAsia="宋体" w:hint="default"/>
          <w:sz w:val="28"/>
          <w:szCs w:val="28"/>
        </w:rPr>
      </w:r>
    </w:p>
    <w:p>
      <w:pPr>
        <w:spacing w:line="408" w:lineRule="auto" w:before="163"/>
        <w:ind w:left="112" w:right="1130"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公司主要存在市场竞争的风险、对大客户依赖的风险、公司快速发展带来</w:t>
      </w:r>
      <w:r>
        <w:rPr>
          <w:rFonts w:ascii="宋体" w:hAnsi="宋体" w:cs="宋体" w:eastAsia="宋体" w:hint="default"/>
          <w:b/>
          <w:bCs/>
          <w:w w:val="99"/>
          <w:sz w:val="28"/>
          <w:szCs w:val="28"/>
        </w:rPr>
        <w:t> </w:t>
      </w:r>
      <w:r>
        <w:rPr>
          <w:rFonts w:ascii="宋体" w:hAnsi="宋体" w:cs="宋体" w:eastAsia="宋体" w:hint="default"/>
          <w:b/>
          <w:bCs/>
          <w:spacing w:val="2"/>
          <w:sz w:val="28"/>
          <w:szCs w:val="28"/>
        </w:rPr>
        <w:t>的管理风险、技术和产品更新风险等，敬请广大投资者注意投资风险。详细内</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w w:val="99"/>
          <w:sz w:val="28"/>
          <w:szCs w:val="28"/>
        </w:rPr>
        <w:t>容见本报告“第四节</w:t>
      </w:r>
      <w:r>
        <w:rPr>
          <w:rFonts w:ascii="宋体" w:hAnsi="宋体" w:cs="宋体" w:eastAsia="宋体" w:hint="default"/>
          <w:b/>
          <w:bCs/>
          <w:spacing w:val="5"/>
          <w:w w:val="99"/>
          <w:sz w:val="28"/>
          <w:szCs w:val="28"/>
        </w:rPr>
        <w:t> </w:t>
      </w:r>
      <w:r>
        <w:rPr>
          <w:rFonts w:ascii="宋体" w:hAnsi="宋体" w:cs="宋体" w:eastAsia="宋体" w:hint="default"/>
          <w:b/>
          <w:bCs/>
          <w:spacing w:val="-11"/>
          <w:w w:val="99"/>
          <w:sz w:val="28"/>
          <w:szCs w:val="28"/>
        </w:rPr>
        <w:t>九、</w:t>
      </w:r>
      <w:r>
        <w:rPr>
          <w:rFonts w:ascii="Times New Roman" w:hAnsi="Times New Roman" w:cs="Times New Roman" w:eastAsia="Times New Roman" w:hint="default"/>
          <w:b/>
          <w:bCs/>
          <w:spacing w:val="-11"/>
          <w:w w:val="99"/>
          <w:sz w:val="28"/>
          <w:szCs w:val="28"/>
        </w:rPr>
        <w:t>4</w:t>
      </w:r>
      <w:r>
        <w:rPr>
          <w:rFonts w:ascii="宋体" w:hAnsi="宋体" w:cs="宋体" w:eastAsia="宋体" w:hint="default"/>
          <w:b/>
          <w:bCs/>
          <w:spacing w:val="-11"/>
          <w:w w:val="99"/>
          <w:sz w:val="28"/>
          <w:szCs w:val="28"/>
        </w:rPr>
        <w:t>、可能面对的风险”。</w:t>
      </w:r>
      <w:r>
        <w:rPr>
          <w:rFonts w:ascii="宋体" w:hAnsi="宋体" w:cs="宋体" w:eastAsia="宋体" w:hint="default"/>
          <w:spacing w:val="-11"/>
          <w:sz w:val="28"/>
          <w:szCs w:val="28"/>
        </w:rPr>
      </w:r>
    </w:p>
    <w:p>
      <w:pPr>
        <w:spacing w:before="117"/>
        <w:ind w:left="674" w:right="977"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8"/>
          <w:sz w:val="28"/>
          <w:szCs w:val="28"/>
        </w:rPr>
        <w:t> </w:t>
      </w:r>
      <w:r>
        <w:rPr>
          <w:rFonts w:ascii="Times New Roman" w:hAnsi="Times New Roman" w:cs="Times New Roman" w:eastAsia="Times New Roman" w:hint="default"/>
          <w:b/>
          <w:bCs/>
          <w:sz w:val="28"/>
          <w:szCs w:val="28"/>
        </w:rPr>
        <w:t>220,746,347</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86" w:lineRule="auto" w:before="236"/>
        <w:ind w:left="112" w:right="1126"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100"/>
          <w:sz w:val="28"/>
          <w:szCs w:val="28"/>
        </w:rPr>
        <w:t>10 </w:t>
      </w:r>
      <w:r>
        <w:rPr>
          <w:rFonts w:ascii="宋体" w:hAnsi="宋体" w:cs="宋体" w:eastAsia="宋体" w:hint="default"/>
          <w:b/>
          <w:bCs/>
          <w:w w:val="99"/>
          <w:sz w:val="28"/>
          <w:szCs w:val="28"/>
        </w:rPr>
        <w:t>股派发现金红利</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spacing w:val="-1"/>
          <w:w w:val="100"/>
          <w:sz w:val="28"/>
          <w:szCs w:val="28"/>
        </w:rPr>
        <w:t>1.20</w:t>
      </w:r>
      <w:r>
        <w:rPr>
          <w:rFonts w:ascii="Times New Roman" w:hAnsi="Times New Roman" w:cs="Times New Roman" w:eastAsia="Times New Roman" w:hint="default"/>
          <w:b/>
          <w:bCs/>
          <w:spacing w:val="3"/>
          <w:w w:val="100"/>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100"/>
          <w:sz w:val="28"/>
          <w:szCs w:val="28"/>
        </w:rPr>
        <w:t>0 </w:t>
      </w:r>
      <w:r>
        <w:rPr>
          <w:rFonts w:ascii="宋体" w:hAnsi="宋体" w:cs="宋体" w:eastAsia="宋体" w:hint="default"/>
          <w:b/>
          <w:bCs/>
          <w:spacing w:val="-21"/>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1013" w:header="789" w:top="1100" w:bottom="1200" w:left="102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spacing w:line="460" w:lineRule="exact" w:before="0"/>
        <w:ind w:left="3068" w:right="408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43" w:val="right" w:leader="dot"/>
            </w:tabs>
            <w:spacing w:line="240" w:lineRule="auto" w:before="814"/>
            <w:ind w:right="0"/>
            <w:jc w:val="left"/>
            <w:rPr>
              <w:rFonts w:ascii="Times New Roman" w:hAnsi="Times New Roman" w:cs="Times New Roman" w:eastAsia="Times New Roman" w:hint="default"/>
              <w:b w:val="0"/>
              <w:bCs w:val="0"/>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4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
              </w:rPr>
              <w:t> </w:t>
            </w:r>
            <w:r>
              <w:rPr/>
              <w:t>优先股相关情况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1"/>
              </w:rPr>
              <w:t> </w:t>
            </w:r>
            <w:r>
              <w:rPr/>
              <w:t>董事、监事、高级管理人员和员工情况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
              </w:rPr>
              <w:t> </w:t>
            </w:r>
            <w:r>
              <w:rPr/>
              <w:t>公司治理</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
              </w:rPr>
              <w:t> </w:t>
            </w:r>
            <w:r>
              <w:rPr/>
              <w:t>公司债券相关情况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4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9">
            <w:r>
              <w:rPr/>
              <w:t>第十一节</w:t>
            </w:r>
            <w:r>
              <w:rPr>
                <w:spacing w:val="-2"/>
              </w:rPr>
              <w:t> </w:t>
            </w:r>
            <w:r>
              <w:rPr/>
              <w:t>财务报告</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
              </w:rPr>
              <w:t> </w:t>
            </w:r>
            <w:r>
              <w:rPr/>
              <w:t>备查文件目录</w:t>
            </w:r>
            <w:r>
              <w:rPr>
                <w:rFonts w:ascii="Times New Roman" w:hAnsi="Times New Roman" w:cs="Times New Roman" w:eastAsia="Times New Roman" w:hint="default"/>
              </w:rPr>
              <w:tab/>
              <w:t>167</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89" w:footer="1013" w:top="1100" w:bottom="1200" w:left="1020" w:right="0"/>
        </w:sectPr>
      </w:pPr>
    </w:p>
    <w:p>
      <w:pPr>
        <w:spacing w:before="902"/>
        <w:ind w:left="3068" w:right="408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公司、本公司、润建通信、润建股份</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润建股份有限公司（原名称：润建通信股份有限公司）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润建有限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公司前身广西润建通信发展有限公司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诚本设计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公司全资子公司广西诚本规划设计咨询有限公司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润联信息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公司全资子公司广西润联信息技术有限公司</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卓联信息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98"/>
              <w:jc w:val="left"/>
              <w:rPr>
                <w:rFonts w:ascii="宋体" w:hAnsi="宋体" w:cs="宋体" w:eastAsia="宋体" w:hint="default"/>
                <w:sz w:val="18"/>
                <w:szCs w:val="18"/>
              </w:rPr>
            </w:pPr>
            <w:r>
              <w:rPr>
                <w:rFonts w:ascii="宋体" w:hAnsi="宋体" w:cs="宋体" w:eastAsia="宋体" w:hint="default"/>
                <w:spacing w:val="-1"/>
                <w:sz w:val="18"/>
                <w:szCs w:val="18"/>
              </w:rPr>
              <w:t>公司全资子公司广州卓联信息技术有限公司（原珠海卓联信息技术</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有限公司）</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逸信科技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5" w:right="175"/>
              <w:jc w:val="left"/>
              <w:rPr>
                <w:rFonts w:ascii="宋体" w:hAnsi="宋体" w:cs="宋体" w:eastAsia="宋体" w:hint="default"/>
                <w:sz w:val="18"/>
                <w:szCs w:val="18"/>
              </w:rPr>
            </w:pPr>
            <w:r>
              <w:rPr>
                <w:rFonts w:ascii="宋体" w:hAnsi="宋体" w:cs="宋体" w:eastAsia="宋体" w:hint="default"/>
                <w:sz w:val="18"/>
                <w:szCs w:val="18"/>
              </w:rPr>
              <w:t>公司原全资子公司广州逸信电子科技有限公司，于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月注 销</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安润盛达</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云南安润盛达科技有限公司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威克德力</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公司股东广西威克德力投资管理中心（有限合伙）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弘泽熙元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公司股东珠海弘泽熙元投资管理中心（有限合伙）</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盛欧投资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公司股东广西盛欧投资管理中心（有限合伙）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中国铁塔</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中国铁塔股份有限公司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润建股份有限公司章程</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人民币元、万元、亿元</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通信网络</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99"/>
              <w:jc w:val="both"/>
              <w:rPr>
                <w:rFonts w:ascii="宋体" w:hAnsi="宋体" w:cs="宋体" w:eastAsia="宋体" w:hint="default"/>
                <w:sz w:val="18"/>
                <w:szCs w:val="18"/>
              </w:rPr>
            </w:pPr>
            <w:r>
              <w:rPr>
                <w:rFonts w:ascii="宋体" w:hAnsi="宋体" w:cs="宋体" w:eastAsia="宋体" w:hint="default"/>
                <w:spacing w:val="-7"/>
                <w:sz w:val="18"/>
                <w:szCs w:val="18"/>
              </w:rPr>
              <w:t>现代通信网络是由专业机构以通信设备（硬件）和相关工作程序（软</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件）有机建立的通信系统，为个人、企事业单位和社会提供各类通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信服务的总和核心网</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核心网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97"/>
              <w:jc w:val="both"/>
              <w:rPr>
                <w:rFonts w:ascii="宋体" w:hAnsi="宋体" w:cs="宋体" w:eastAsia="宋体" w:hint="default"/>
                <w:sz w:val="18"/>
                <w:szCs w:val="18"/>
              </w:rPr>
            </w:pPr>
            <w:r>
              <w:rPr>
                <w:rFonts w:ascii="宋体" w:hAnsi="宋体" w:cs="宋体" w:eastAsia="宋体" w:hint="default"/>
                <w:spacing w:val="-1"/>
                <w:sz w:val="18"/>
                <w:szCs w:val="18"/>
              </w:rPr>
              <w:t>起到核心交换或者呼叫路由功能的网元，它的功能主要是提供用户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连接、对用户的管理以及对业务完成承载，作为承载网络提供到外</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部网络的接口</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无线网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采用无线通信技术实现的网络，既包括允许用户建立远距离无线连</w:t>
            </w:r>
          </w:p>
        </w:tc>
      </w:tr>
    </w:tbl>
    <w:p>
      <w:pPr>
        <w:spacing w:after="0" w:line="240" w:lineRule="auto"/>
        <w:jc w:val="left"/>
        <w:rPr>
          <w:rFonts w:ascii="宋体" w:hAnsi="宋体" w:cs="宋体" w:eastAsia="宋体" w:hint="default"/>
          <w:sz w:val="18"/>
          <w:szCs w:val="18"/>
        </w:rPr>
        <w:sectPr>
          <w:headerReference w:type="default" r:id="rId9"/>
          <w:pgSz w:w="11910" w:h="16840"/>
          <w:pgMar w:header="910" w:footer="1013" w:top="1100" w:bottom="1200" w:left="102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3525"/>
        <w:gridCol w:w="620"/>
        <w:gridCol w:w="5425"/>
      </w:tblGrid>
      <w:tr>
        <w:trPr>
          <w:trHeight w:val="1299"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105" w:right="7"/>
              <w:jc w:val="left"/>
              <w:rPr>
                <w:rFonts w:ascii="宋体" w:hAnsi="宋体" w:cs="宋体" w:eastAsia="宋体" w:hint="default"/>
                <w:sz w:val="18"/>
                <w:szCs w:val="18"/>
              </w:rPr>
            </w:pPr>
            <w:r>
              <w:rPr>
                <w:rFonts w:ascii="宋体" w:hAnsi="宋体" w:cs="宋体" w:eastAsia="宋体" w:hint="default"/>
                <w:sz w:val="18"/>
                <w:szCs w:val="18"/>
              </w:rPr>
              <w:t>接的全球语音和数据网络，也包括为近距离无线连接进行优化的红 外线技术及射频技术，目前主流应用的无线网络分为通过公众移动 </w:t>
            </w:r>
            <w:r>
              <w:rPr>
                <w:rFonts w:ascii="宋体" w:hAnsi="宋体" w:cs="宋体" w:eastAsia="宋体" w:hint="default"/>
                <w:spacing w:val="-5"/>
                <w:sz w:val="18"/>
                <w:szCs w:val="18"/>
              </w:rPr>
              <w:t>通信网实现的无线网络（如</w:t>
            </w:r>
            <w:r>
              <w:rPr>
                <w:rFonts w:ascii="宋体" w:hAnsi="宋体" w:cs="宋体" w:eastAsia="宋体" w:hint="default"/>
                <w:spacing w:val="-41"/>
                <w:sz w:val="18"/>
                <w:szCs w:val="18"/>
              </w:rPr>
              <w:t> </w:t>
            </w:r>
            <w:r>
              <w:rPr>
                <w:rFonts w:ascii="Times New Roman" w:hAnsi="Times New Roman" w:cs="Times New Roman" w:eastAsia="Times New Roman" w:hint="default"/>
                <w:spacing w:val="-12"/>
                <w:sz w:val="18"/>
                <w:szCs w:val="18"/>
              </w:rPr>
              <w:t>4G</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3G</w:t>
            </w:r>
            <w:r>
              <w:rPr>
                <w:rFonts w:ascii="Times New Roman" w:hAnsi="Times New Roman" w:cs="Times New Roman" w:eastAsia="Times New Roman" w:hint="default"/>
                <w:sz w:val="18"/>
                <w:szCs w:val="18"/>
              </w:rPr>
              <w:t> </w:t>
            </w:r>
            <w:r>
              <w:rPr>
                <w:rFonts w:ascii="宋体" w:hAnsi="宋体" w:cs="宋体" w:eastAsia="宋体" w:hint="default"/>
                <w:sz w:val="18"/>
                <w:szCs w:val="18"/>
              </w:rPr>
              <w:t>或</w:t>
            </w:r>
            <w:r>
              <w:rPr>
                <w:rFonts w:ascii="宋体" w:hAnsi="宋体" w:cs="宋体" w:eastAsia="宋体" w:hint="default"/>
                <w:spacing w:val="-41"/>
                <w:sz w:val="18"/>
                <w:szCs w:val="18"/>
              </w:rPr>
              <w:t> </w:t>
            </w:r>
            <w:r>
              <w:rPr>
                <w:rFonts w:ascii="Times New Roman" w:hAnsi="Times New Roman" w:cs="Times New Roman" w:eastAsia="Times New Roman" w:hint="default"/>
                <w:spacing w:val="-8"/>
                <w:sz w:val="18"/>
                <w:szCs w:val="18"/>
              </w:rPr>
              <w:t>GPRS</w:t>
            </w:r>
            <w:r>
              <w:rPr>
                <w:rFonts w:ascii="宋体" w:hAnsi="宋体" w:cs="宋体" w:eastAsia="宋体" w:hint="default"/>
                <w:spacing w:val="-8"/>
                <w:sz w:val="18"/>
                <w:szCs w:val="18"/>
              </w:rPr>
              <w:t>）和无线局域网（</w:t>
            </w:r>
            <w:r>
              <w:rPr>
                <w:rFonts w:ascii="Times New Roman" w:hAnsi="Times New Roman" w:cs="Times New Roman" w:eastAsia="Times New Roman" w:hint="default"/>
                <w:spacing w:val="-8"/>
                <w:sz w:val="18"/>
                <w:szCs w:val="18"/>
              </w:rPr>
              <w:t>WiFi</w:t>
            </w:r>
            <w:r>
              <w:rPr>
                <w:rFonts w:ascii="宋体" w:hAnsi="宋体" w:cs="宋体" w:eastAsia="宋体" w:hint="default"/>
                <w:spacing w:val="-8"/>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两种方式</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传输网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97"/>
              <w:jc w:val="both"/>
              <w:rPr>
                <w:rFonts w:ascii="宋体" w:hAnsi="宋体" w:cs="宋体" w:eastAsia="宋体" w:hint="default"/>
                <w:sz w:val="18"/>
                <w:szCs w:val="18"/>
              </w:rPr>
            </w:pPr>
            <w:r>
              <w:rPr>
                <w:rFonts w:ascii="宋体" w:hAnsi="宋体" w:cs="宋体" w:eastAsia="宋体" w:hint="default"/>
                <w:spacing w:val="-1"/>
                <w:sz w:val="18"/>
                <w:szCs w:val="18"/>
              </w:rPr>
              <w:t>将复接、线传输及交换功能集为一体的，并由统一管理系统操作的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综合信息传送网络，可实现诸如网络的有效管理、性能监视、动态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网络维护、不同供应厂商设备的互通等多项功能</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基站</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00"/>
              <w:jc w:val="left"/>
              <w:rPr>
                <w:rFonts w:ascii="宋体" w:hAnsi="宋体" w:cs="宋体" w:eastAsia="宋体" w:hint="default"/>
                <w:sz w:val="18"/>
                <w:szCs w:val="18"/>
              </w:rPr>
            </w:pPr>
            <w:r>
              <w:rPr>
                <w:rFonts w:ascii="宋体" w:hAnsi="宋体" w:cs="宋体" w:eastAsia="宋体" w:hint="default"/>
                <w:spacing w:val="-1"/>
                <w:sz w:val="18"/>
                <w:szCs w:val="18"/>
              </w:rPr>
              <w:t>是指在一定的无线电覆盖区中，通过移动通信交换中心，与移动电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话终端之间进行信息传递的无线电收发信电台</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2G</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第二代移动通信，以数字语音传输技术为核心</w:t>
            </w:r>
          </w:p>
        </w:tc>
      </w:tr>
      <w:tr>
        <w:trPr>
          <w:trHeight w:val="165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3G</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5" w:right="98"/>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第三代移动通信，将无线通信与国际互联网等多媒体通信结合的移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动通信系统。它支持高速数据传输，能够处理图像、音乐、视频流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等多种媒体形式，提供包括网页浏览、电话会议、电子商务等多种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信息服务。支持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网络的主流技术为码多分址技术，主要存在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种标准：</w:t>
            </w:r>
            <w:r>
              <w:rPr>
                <w:rFonts w:ascii="Times New Roman" w:hAnsi="Times New Roman" w:cs="Times New Roman" w:eastAsia="Times New Roman" w:hint="default"/>
                <w:sz w:val="18"/>
                <w:szCs w:val="18"/>
              </w:rPr>
              <w:t>WCDMA</w:t>
            </w:r>
            <w:r>
              <w:rPr>
                <w:rFonts w:ascii="宋体" w:hAnsi="宋体" w:cs="宋体" w:eastAsia="宋体" w:hint="default"/>
                <w:sz w:val="18"/>
                <w:szCs w:val="18"/>
              </w:rPr>
              <w:t>、</w:t>
            </w:r>
            <w:r>
              <w:rPr>
                <w:rFonts w:ascii="Times New Roman" w:hAnsi="Times New Roman" w:cs="Times New Roman" w:eastAsia="Times New Roman" w:hint="default"/>
                <w:sz w:val="18"/>
                <w:szCs w:val="18"/>
              </w:rPr>
              <w:t>CDMA2000  </w:t>
            </w:r>
            <w:r>
              <w:rPr>
                <w:rFonts w:ascii="宋体" w:hAnsi="宋体" w:cs="宋体" w:eastAsia="宋体" w:hint="default"/>
                <w:sz w:val="18"/>
                <w:szCs w:val="18"/>
              </w:rPr>
              <w:t>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TD</w:t>
            </w:r>
            <w:r>
              <w:rPr>
                <w:rFonts w:ascii="宋体" w:hAnsi="宋体" w:cs="宋体" w:eastAsia="宋体" w:hint="default"/>
                <w:sz w:val="18"/>
                <w:szCs w:val="18"/>
              </w:rPr>
              <w:t>－</w:t>
            </w:r>
            <w:r>
              <w:rPr>
                <w:rFonts w:ascii="Times New Roman" w:hAnsi="Times New Roman" w:cs="Times New Roman" w:eastAsia="Times New Roman" w:hint="default"/>
                <w:sz w:val="18"/>
                <w:szCs w:val="18"/>
              </w:rPr>
              <w:t>SCDMA</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4G</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5" w:right="98"/>
              <w:jc w:val="both"/>
              <w:rPr>
                <w:rFonts w:ascii="宋体" w:hAnsi="宋体" w:cs="宋体" w:eastAsia="宋体" w:hint="default"/>
                <w:sz w:val="18"/>
                <w:szCs w:val="18"/>
              </w:rPr>
            </w:pPr>
            <w:r>
              <w:rPr>
                <w:rFonts w:ascii="宋体" w:hAnsi="宋体" w:cs="宋体" w:eastAsia="宋体" w:hint="default"/>
                <w:spacing w:val="-5"/>
                <w:sz w:val="18"/>
                <w:szCs w:val="18"/>
              </w:rPr>
              <w:t>第四代移动通信，国际电信联盟（</w:t>
            </w:r>
            <w:r>
              <w:rPr>
                <w:rFonts w:ascii="Times New Roman" w:hAnsi="Times New Roman" w:cs="Times New Roman" w:eastAsia="Times New Roman" w:hint="default"/>
                <w:spacing w:val="-5"/>
                <w:sz w:val="18"/>
                <w:szCs w:val="18"/>
              </w:rPr>
              <w:t>ITU</w:t>
            </w:r>
            <w:r>
              <w:rPr>
                <w:rFonts w:ascii="宋体" w:hAnsi="宋体" w:cs="宋体" w:eastAsia="宋体" w:hint="default"/>
                <w:spacing w:val="-5"/>
                <w:sz w:val="18"/>
                <w:szCs w:val="18"/>
              </w:rPr>
              <w:t>）对</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网络的定义为静态传</w:t>
            </w:r>
            <w:r>
              <w:rPr>
                <w:rFonts w:ascii="宋体" w:hAnsi="宋体" w:cs="宋体" w:eastAsia="宋体" w:hint="default"/>
                <w:spacing w:val="-88"/>
                <w:sz w:val="18"/>
                <w:szCs w:val="18"/>
              </w:rPr>
              <w:t> </w:t>
            </w:r>
            <w:r>
              <w:rPr>
                <w:rFonts w:ascii="宋体" w:hAnsi="宋体" w:cs="宋体" w:eastAsia="宋体" w:hint="default"/>
                <w:sz w:val="18"/>
                <w:szCs w:val="18"/>
              </w:rPr>
              <w:t>输速率达到</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1Gbps</w:t>
            </w:r>
            <w:r>
              <w:rPr>
                <w:rFonts w:ascii="宋体" w:hAnsi="宋体" w:cs="宋体" w:eastAsia="宋体" w:hint="default"/>
                <w:sz w:val="18"/>
                <w:szCs w:val="18"/>
              </w:rPr>
              <w:t>，用户在高速移动状态下可以达到</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100Mbps</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的移 动通信系统，目前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网络的候选技术包括</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LTE</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WiMAX</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等</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5G</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5" w:right="86"/>
              <w:jc w:val="both"/>
              <w:rPr>
                <w:rFonts w:ascii="宋体" w:hAnsi="宋体" w:cs="宋体" w:eastAsia="宋体" w:hint="default"/>
                <w:sz w:val="18"/>
                <w:szCs w:val="18"/>
              </w:rPr>
            </w:pPr>
            <w:r>
              <w:rPr>
                <w:rFonts w:ascii="宋体" w:hAnsi="宋体" w:cs="宋体" w:eastAsia="宋体" w:hint="default"/>
                <w:spacing w:val="-6"/>
                <w:sz w:val="18"/>
                <w:szCs w:val="18"/>
              </w:rPr>
              <w:t>第五代移动通信技术，也是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之后的延伸，正在研究中，预计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年商用。关键技术包括大规模天线阵列、超密集组网、新型多址、 全频谱接入和新型网络架构</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5" w:right="8"/>
              <w:jc w:val="left"/>
              <w:rPr>
                <w:rFonts w:ascii="宋体" w:hAnsi="宋体" w:cs="宋体" w:eastAsia="宋体" w:hint="default"/>
                <w:sz w:val="18"/>
                <w:szCs w:val="18"/>
              </w:rPr>
            </w:pPr>
            <w:r>
              <w:rPr>
                <w:rFonts w:ascii="宋体" w:hAnsi="宋体" w:cs="宋体" w:eastAsia="宋体" w:hint="default"/>
                <w:spacing w:val="-5"/>
                <w:w w:val="99"/>
                <w:sz w:val="18"/>
                <w:szCs w:val="18"/>
              </w:rPr>
              <w:t>通过射频识别（</w:t>
            </w:r>
            <w:r>
              <w:rPr>
                <w:rFonts w:ascii="Times New Roman" w:hAnsi="Times New Roman" w:cs="Times New Roman" w:eastAsia="Times New Roman" w:hint="default"/>
                <w:spacing w:val="-5"/>
                <w:w w:val="99"/>
                <w:sz w:val="18"/>
                <w:szCs w:val="18"/>
              </w:rPr>
              <w:t>RFID</w:t>
            </w:r>
            <w:r>
              <w:rPr>
                <w:rFonts w:ascii="宋体" w:hAnsi="宋体" w:cs="宋体" w:eastAsia="宋体" w:hint="default"/>
                <w:spacing w:val="-5"/>
                <w:w w:val="99"/>
                <w:sz w:val="18"/>
                <w:szCs w:val="18"/>
              </w:rPr>
              <w:t>）、红外感应器、全球定位系统、激光扫描器、</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气体感应器等信息传感设备，按约定的协议，把任何物体与互联网</w:t>
            </w:r>
            <w:r>
              <w:rPr>
                <w:rFonts w:ascii="宋体" w:hAnsi="宋体" w:cs="宋体" w:eastAsia="宋体" w:hint="default"/>
                <w:sz w:val="18"/>
                <w:szCs w:val="18"/>
              </w:rPr>
              <w:t> 相连接，进行信息交换和通信，以实现智能化识别、定位、跟踪、 监控和管理的一种网络</w:t>
            </w:r>
          </w:p>
        </w:tc>
      </w:tr>
      <w:tr>
        <w:trPr>
          <w:trHeight w:val="133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03" w:right="0"/>
              <w:jc w:val="left"/>
              <w:rPr>
                <w:rFonts w:ascii="Times New Roman" w:hAnsi="Times New Roman" w:cs="Times New Roman" w:eastAsia="Times New Roman" w:hint="default"/>
                <w:sz w:val="18"/>
                <w:szCs w:val="18"/>
              </w:rPr>
            </w:pPr>
            <w:r>
              <w:rPr>
                <w:rFonts w:ascii="Times New Roman"/>
                <w:sz w:val="18"/>
              </w:rPr>
              <w:t>GSM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5" w:right="97"/>
              <w:jc w:val="left"/>
              <w:rPr>
                <w:rFonts w:ascii="宋体" w:hAnsi="宋体" w:cs="宋体" w:eastAsia="宋体" w:hint="default"/>
                <w:sz w:val="18"/>
                <w:szCs w:val="18"/>
              </w:rPr>
            </w:pPr>
            <w:r>
              <w:rPr>
                <w:rFonts w:ascii="宋体" w:hAnsi="宋体" w:cs="宋体" w:eastAsia="宋体" w:hint="default"/>
                <w:sz w:val="18"/>
                <w:szCs w:val="18"/>
              </w:rPr>
              <w:t>全称：</w:t>
            </w:r>
            <w:r>
              <w:rPr>
                <w:rFonts w:ascii="Times New Roman" w:hAnsi="Times New Roman" w:cs="Times New Roman" w:eastAsia="Times New Roman" w:hint="default"/>
                <w:sz w:val="18"/>
                <w:szCs w:val="18"/>
              </w:rPr>
              <w:t>Global System for Mobile</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Communications</w:t>
            </w:r>
            <w:r>
              <w:rPr>
                <w:rFonts w:ascii="宋体" w:hAnsi="宋体" w:cs="宋体" w:eastAsia="宋体" w:hint="default"/>
                <w:sz w:val="18"/>
                <w:szCs w:val="18"/>
              </w:rPr>
              <w:t>，中文为全球移动 </w:t>
            </w:r>
            <w:r>
              <w:rPr>
                <w:rFonts w:ascii="宋体" w:hAnsi="宋体" w:cs="宋体" w:eastAsia="宋体" w:hint="default"/>
                <w:spacing w:val="-1"/>
                <w:sz w:val="18"/>
                <w:szCs w:val="18"/>
              </w:rPr>
              <w:t>通信系统，是一种起源于欧洲的移动通信技术标准，属于第二代移</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动通信技术，自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 </w:t>
            </w:r>
            <w:r>
              <w:rPr>
                <w:rFonts w:ascii="宋体" w:hAnsi="宋体" w:cs="宋体" w:eastAsia="宋体" w:hint="default"/>
                <w:sz w:val="18"/>
                <w:szCs w:val="18"/>
              </w:rPr>
              <w:t>年代中期投入商用以来，被全球超过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个国 家采用</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TD-SCDMA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5" w:right="97"/>
              <w:jc w:val="both"/>
              <w:rPr>
                <w:rFonts w:ascii="宋体" w:hAnsi="宋体" w:cs="宋体" w:eastAsia="宋体" w:hint="default"/>
                <w:sz w:val="18"/>
                <w:szCs w:val="18"/>
              </w:rPr>
            </w:pPr>
            <w:r>
              <w:rPr>
                <w:rFonts w:ascii="宋体" w:hAnsi="宋体" w:cs="宋体" w:eastAsia="宋体" w:hint="default"/>
                <w:spacing w:val="-6"/>
                <w:sz w:val="18"/>
                <w:szCs w:val="18"/>
              </w:rPr>
              <w:t>全称“</w:t>
            </w:r>
            <w:r>
              <w:rPr>
                <w:rFonts w:ascii="Times New Roman" w:hAnsi="Times New Roman" w:cs="Times New Roman" w:eastAsia="Times New Roman" w:hint="default"/>
                <w:spacing w:val="-6"/>
                <w:sz w:val="18"/>
                <w:szCs w:val="18"/>
              </w:rPr>
              <w:t>Time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1"/>
                <w:w w:val="99"/>
                <w:sz w:val="18"/>
                <w:szCs w:val="18"/>
              </w:rPr>
              <w:t>Division-Synchronous</w:t>
            </w:r>
            <w:r>
              <w:rPr>
                <w:rFonts w:ascii="Times New Roman" w:hAnsi="Times New Roman" w:cs="Times New Roman" w:eastAsia="Times New Roman" w:hint="default"/>
                <w:spacing w:val="4"/>
                <w:w w:val="99"/>
                <w:sz w:val="18"/>
                <w:szCs w:val="18"/>
              </w:rPr>
              <w:t> </w:t>
            </w:r>
            <w:r>
              <w:rPr>
                <w:rFonts w:ascii="Times New Roman" w:hAnsi="Times New Roman" w:cs="Times New Roman" w:eastAsia="Times New Roman" w:hint="default"/>
                <w:spacing w:val="-1"/>
                <w:sz w:val="18"/>
                <w:szCs w:val="18"/>
              </w:rPr>
              <w:t>Code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w w:val="99"/>
                <w:sz w:val="18"/>
                <w:szCs w:val="18"/>
              </w:rPr>
              <w:t>Division</w:t>
            </w:r>
            <w:r>
              <w:rPr>
                <w:rFonts w:ascii="Times New Roman" w:hAnsi="Times New Roman" w:cs="Times New Roman" w:eastAsia="Times New Roman" w:hint="default"/>
                <w:spacing w:val="3"/>
                <w:w w:val="99"/>
                <w:sz w:val="18"/>
                <w:szCs w:val="18"/>
              </w:rPr>
              <w:t> </w:t>
            </w:r>
            <w:r>
              <w:rPr>
                <w:rFonts w:ascii="Times New Roman" w:hAnsi="Times New Roman" w:cs="Times New Roman" w:eastAsia="Times New Roman" w:hint="default"/>
                <w:w w:val="99"/>
                <w:sz w:val="18"/>
                <w:szCs w:val="18"/>
              </w:rPr>
              <w:t>Multiple</w:t>
            </w:r>
            <w:r>
              <w:rPr>
                <w:rFonts w:ascii="Times New Roman" w:hAnsi="Times New Roman" w:cs="Times New Roman" w:eastAsia="Times New Roman" w:hint="default"/>
                <w:spacing w:val="-7"/>
                <w:w w:val="99"/>
                <w:sz w:val="18"/>
                <w:szCs w:val="18"/>
              </w:rPr>
              <w:t> </w:t>
            </w:r>
            <w:r>
              <w:rPr>
                <w:rFonts w:ascii="Times New Roman" w:hAnsi="Times New Roman" w:cs="Times New Roman" w:eastAsia="Times New Roman" w:hint="default"/>
                <w:spacing w:val="-15"/>
                <w:w w:val="99"/>
                <w:sz w:val="18"/>
                <w:szCs w:val="18"/>
              </w:rPr>
              <w:t>Acces</w:t>
            </w:r>
            <w:r>
              <w:rPr>
                <w:rFonts w:ascii="宋体" w:hAnsi="宋体" w:cs="宋体" w:eastAsia="宋体" w:hint="default"/>
                <w:spacing w:val="-15"/>
                <w:w w:val="99"/>
                <w:sz w:val="18"/>
                <w:szCs w:val="18"/>
              </w:rPr>
              <w:t>”，指</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pacing w:val="-1"/>
                <w:sz w:val="18"/>
                <w:szCs w:val="18"/>
              </w:rPr>
              <w:t>时分同步码分多址接入技术，该标准由中国提出；属于第三代无线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通信技术标准</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CDMA2000</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5" w:right="142"/>
              <w:jc w:val="left"/>
              <w:rPr>
                <w:rFonts w:ascii="宋体" w:hAnsi="宋体" w:cs="宋体" w:eastAsia="宋体" w:hint="default"/>
                <w:sz w:val="18"/>
                <w:szCs w:val="18"/>
              </w:rPr>
            </w:pPr>
            <w:r>
              <w:rPr>
                <w:rFonts w:ascii="宋体" w:hAnsi="宋体" w:cs="宋体" w:eastAsia="宋体" w:hint="default"/>
                <w:sz w:val="18"/>
                <w:szCs w:val="18"/>
              </w:rPr>
              <w:t>全称“</w:t>
            </w:r>
            <w:r>
              <w:rPr>
                <w:rFonts w:ascii="Times New Roman" w:hAnsi="Times New Roman" w:cs="Times New Roman" w:eastAsia="Times New Roman" w:hint="default"/>
                <w:sz w:val="18"/>
                <w:szCs w:val="18"/>
              </w:rPr>
              <w:t>Code </w:t>
            </w:r>
            <w:r>
              <w:rPr>
                <w:rFonts w:ascii="Times New Roman" w:hAnsi="Times New Roman" w:cs="Times New Roman" w:eastAsia="Times New Roman" w:hint="default"/>
                <w:spacing w:val="-1"/>
                <w:w w:val="99"/>
                <w:sz w:val="18"/>
                <w:szCs w:val="18"/>
              </w:rPr>
              <w:t>Division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Multiple</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Access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3"/>
                <w:sz w:val="18"/>
                <w:szCs w:val="18"/>
              </w:rPr>
              <w:t>2000</w:t>
            </w:r>
            <w:r>
              <w:rPr>
                <w:rFonts w:ascii="宋体" w:hAnsi="宋体" w:cs="宋体" w:eastAsia="宋体" w:hint="default"/>
                <w:spacing w:val="-13"/>
                <w:sz w:val="18"/>
                <w:szCs w:val="18"/>
              </w:rPr>
              <w:t>”，是</w:t>
            </w:r>
            <w:r>
              <w:rPr>
                <w:rFonts w:ascii="宋体" w:hAnsi="宋体" w:cs="宋体" w:eastAsia="宋体" w:hint="default"/>
                <w:sz w:val="18"/>
                <w:szCs w:val="18"/>
              </w:rPr>
              <w:t> </w:t>
            </w:r>
            <w:r>
              <w:rPr>
                <w:rFonts w:ascii="Times New Roman" w:hAnsi="Times New Roman" w:cs="Times New Roman" w:eastAsia="Times New Roman" w:hint="default"/>
                <w:spacing w:val="-1"/>
                <w:w w:val="99"/>
                <w:sz w:val="18"/>
                <w:szCs w:val="18"/>
              </w:rPr>
              <w:t>TIA</w:t>
            </w:r>
            <w:r>
              <w:rPr>
                <w:rFonts w:ascii="Times New Roman" w:hAnsi="Times New Roman" w:cs="Times New Roman" w:eastAsia="Times New Roman" w:hint="default"/>
                <w:spacing w:val="6"/>
                <w:w w:val="99"/>
                <w:sz w:val="18"/>
                <w:szCs w:val="18"/>
              </w:rPr>
              <w:t> </w:t>
            </w:r>
            <w:r>
              <w:rPr>
                <w:rFonts w:ascii="宋体" w:hAnsi="宋体" w:cs="宋体" w:eastAsia="宋体" w:hint="default"/>
                <w:sz w:val="18"/>
                <w:szCs w:val="18"/>
              </w:rPr>
              <w:t>标准组织用于 指代第三代 </w:t>
            </w:r>
            <w:r>
              <w:rPr>
                <w:rFonts w:ascii="Times New Roman" w:hAnsi="Times New Roman" w:cs="Times New Roman" w:eastAsia="Times New Roman" w:hint="default"/>
                <w:sz w:val="18"/>
                <w:szCs w:val="18"/>
              </w:rPr>
              <w:t>CDMA</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的名称；属于第三代无线通信技术标准</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WCDMA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5" w:right="99"/>
              <w:jc w:val="both"/>
              <w:rPr>
                <w:rFonts w:ascii="宋体" w:hAnsi="宋体" w:cs="宋体" w:eastAsia="宋体" w:hint="default"/>
                <w:sz w:val="18"/>
                <w:szCs w:val="18"/>
              </w:rPr>
            </w:pPr>
            <w:r>
              <w:rPr>
                <w:rFonts w:ascii="宋体" w:hAnsi="宋体" w:cs="宋体" w:eastAsia="宋体" w:hint="default"/>
                <w:spacing w:val="-2"/>
                <w:sz w:val="18"/>
                <w:szCs w:val="18"/>
              </w:rPr>
              <w:t>全称“</w:t>
            </w:r>
            <w:r>
              <w:rPr>
                <w:rFonts w:ascii="Times New Roman" w:hAnsi="Times New Roman" w:cs="Times New Roman" w:eastAsia="Times New Roman" w:hint="default"/>
                <w:spacing w:val="-2"/>
                <w:sz w:val="18"/>
                <w:szCs w:val="18"/>
              </w:rPr>
              <w:t>Wideband</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1"/>
                <w:sz w:val="18"/>
                <w:szCs w:val="18"/>
              </w:rPr>
              <w:t>Code</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pacing w:val="-1"/>
                <w:w w:val="99"/>
                <w:sz w:val="18"/>
                <w:szCs w:val="18"/>
              </w:rPr>
              <w:t>Division</w:t>
            </w:r>
            <w:r>
              <w:rPr>
                <w:rFonts w:ascii="Times New Roman" w:hAnsi="Times New Roman" w:cs="Times New Roman" w:eastAsia="Times New Roman" w:hint="default"/>
                <w:spacing w:val="2"/>
                <w:w w:val="99"/>
                <w:sz w:val="18"/>
                <w:szCs w:val="18"/>
              </w:rPr>
              <w:t> </w:t>
            </w:r>
            <w:r>
              <w:rPr>
                <w:rFonts w:ascii="Times New Roman" w:hAnsi="Times New Roman" w:cs="Times New Roman" w:eastAsia="Times New Roman" w:hint="default"/>
                <w:w w:val="99"/>
                <w:sz w:val="18"/>
                <w:szCs w:val="18"/>
              </w:rPr>
              <w:t>Multiple</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7"/>
                <w:w w:val="99"/>
                <w:sz w:val="18"/>
                <w:szCs w:val="18"/>
              </w:rPr>
              <w:t>Acces</w:t>
            </w:r>
            <w:r>
              <w:rPr>
                <w:rFonts w:ascii="宋体" w:hAnsi="宋体" w:cs="宋体" w:eastAsia="宋体" w:hint="default"/>
                <w:spacing w:val="-7"/>
                <w:w w:val="99"/>
                <w:sz w:val="18"/>
                <w:szCs w:val="18"/>
              </w:rPr>
              <w:t>”，是一种利用码分多</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z w:val="18"/>
                <w:szCs w:val="18"/>
              </w:rPr>
              <w:t>址复用方法的宽带扩频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移动通信空中接口；属于第三代无线通 信技术标准</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pacing w:val="-7"/>
                <w:sz w:val="18"/>
              </w:rPr>
              <w:t>LTE</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5" w:right="182"/>
              <w:jc w:val="left"/>
              <w:rPr>
                <w:rFonts w:ascii="宋体" w:hAnsi="宋体" w:cs="宋体" w:eastAsia="宋体" w:hint="default"/>
                <w:sz w:val="18"/>
                <w:szCs w:val="18"/>
              </w:rPr>
            </w:pPr>
            <w:r>
              <w:rPr>
                <w:rFonts w:ascii="宋体" w:hAnsi="宋体" w:cs="宋体" w:eastAsia="宋体" w:hint="default"/>
                <w:sz w:val="18"/>
                <w:szCs w:val="18"/>
              </w:rPr>
              <w:t>全称“</w:t>
            </w:r>
            <w:r>
              <w:rPr>
                <w:rFonts w:ascii="Times New Roman" w:hAnsi="Times New Roman" w:cs="Times New Roman" w:eastAsia="Times New Roman" w:hint="default"/>
                <w:sz w:val="18"/>
                <w:szCs w:val="18"/>
              </w:rPr>
              <w:t>Long term </w:t>
            </w:r>
            <w:r>
              <w:rPr>
                <w:rFonts w:ascii="Times New Roman" w:hAnsi="Times New Roman" w:cs="Times New Roman" w:eastAsia="Times New Roman" w:hint="default"/>
                <w:spacing w:val="-8"/>
                <w:sz w:val="18"/>
                <w:szCs w:val="18"/>
              </w:rPr>
              <w:t>evolution</w:t>
            </w:r>
            <w:r>
              <w:rPr>
                <w:rFonts w:ascii="宋体" w:hAnsi="宋体" w:cs="宋体" w:eastAsia="宋体" w:hint="default"/>
                <w:spacing w:val="-8"/>
                <w:sz w:val="18"/>
                <w:szCs w:val="18"/>
              </w:rPr>
              <w:t>”，以</w:t>
            </w:r>
            <w:r>
              <w:rPr>
                <w:rFonts w:ascii="宋体" w:hAnsi="宋体" w:cs="宋体" w:eastAsia="宋体" w:hint="default"/>
                <w:sz w:val="18"/>
                <w:szCs w:val="18"/>
              </w:rPr>
              <w:t> </w:t>
            </w:r>
            <w:r>
              <w:rPr>
                <w:rFonts w:ascii="Times New Roman" w:hAnsi="Times New Roman" w:cs="Times New Roman" w:eastAsia="Times New Roman" w:hint="default"/>
                <w:w w:val="99"/>
                <w:sz w:val="18"/>
                <w:szCs w:val="18"/>
              </w:rPr>
              <w:t>OFDM/FDMA</w:t>
            </w:r>
            <w:r>
              <w:rPr>
                <w:rFonts w:ascii="Times New Roman" w:hAnsi="Times New Roman" w:cs="Times New Roman" w:eastAsia="Times New Roman" w:hint="default"/>
                <w:spacing w:val="-4"/>
                <w:w w:val="99"/>
                <w:sz w:val="18"/>
                <w:szCs w:val="18"/>
              </w:rPr>
              <w:t> </w:t>
            </w:r>
            <w:r>
              <w:rPr>
                <w:rFonts w:ascii="宋体" w:hAnsi="宋体" w:cs="宋体" w:eastAsia="宋体" w:hint="default"/>
                <w:spacing w:val="-1"/>
                <w:sz w:val="18"/>
                <w:szCs w:val="18"/>
              </w:rPr>
              <w:t>为核心的技术，可</w:t>
            </w:r>
            <w:r>
              <w:rPr>
                <w:rFonts w:ascii="宋体" w:hAnsi="宋体" w:cs="宋体" w:eastAsia="宋体" w:hint="default"/>
                <w:sz w:val="18"/>
                <w:szCs w:val="18"/>
              </w:rPr>
              <w:t> 以视为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Times New Roman" w:hAnsi="Times New Roman" w:cs="Times New Roman" w:eastAsia="Times New Roman" w:hint="default"/>
                <w:sz w:val="18"/>
                <w:szCs w:val="18"/>
              </w:rPr>
            </w:pPr>
            <w:r>
              <w:rPr>
                <w:rFonts w:ascii="Times New Roman"/>
                <w:sz w:val="18"/>
              </w:rPr>
              <w:t>NB-IoT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窄带物联网（</w:t>
            </w:r>
            <w:r>
              <w:rPr>
                <w:rFonts w:ascii="Times New Roman" w:hAnsi="Times New Roman" w:cs="Times New Roman" w:eastAsia="Times New Roman" w:hint="default"/>
                <w:sz w:val="18"/>
                <w:szCs w:val="18"/>
              </w:rPr>
              <w:t>Narrow Band Internet of Things,</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NB-IoT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910" w:footer="1013" w:top="1100" w:bottom="12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4"/>
          <w:szCs w:val="24"/>
        </w:rPr>
      </w:pPr>
    </w:p>
    <w:p>
      <w:pPr>
        <w:pStyle w:val="Heading1"/>
        <w:spacing w:line="240" w:lineRule="auto"/>
        <w:ind w:left="2602" w:right="977"/>
        <w:jc w:val="left"/>
        <w:rPr>
          <w:b w:val="0"/>
          <w:bCs w:val="0"/>
        </w:rPr>
      </w:pPr>
      <w:bookmarkStart w:name="_bookmark0" w:id="1"/>
      <w:bookmarkEnd w:id="1"/>
      <w:r>
        <w:rPr>
          <w:b w:val="0"/>
          <w:bCs w:val="0"/>
        </w:rPr>
      </w:r>
      <w:r>
        <w:rPr/>
        <w:t>第二节</w:t>
      </w:r>
      <w:r>
        <w:rPr>
          <w:spacing w:val="-6"/>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77"/>
        <w:jc w:val="left"/>
        <w:rPr>
          <w:b w:val="0"/>
          <w:bCs w:val="0"/>
        </w:rPr>
      </w:pPr>
      <w:r>
        <w:rPr/>
        <w:t>一、公司信息</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285"/>
        <w:gridCol w:w="2954"/>
        <w:gridCol w:w="2155"/>
        <w:gridCol w:w="2177"/>
      </w:tblGrid>
      <w:tr>
        <w:trPr>
          <w:trHeight w:val="408"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润建通信</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002929</w:t>
            </w:r>
          </w:p>
        </w:tc>
      </w:tr>
      <w:tr>
        <w:trPr>
          <w:trHeight w:val="396"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润建股份有限公司</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润建股份</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RUNJIAN CO.,</w:t>
            </w:r>
            <w:r>
              <w:rPr>
                <w:rFonts w:ascii="Times New Roman"/>
                <w:spacing w:val="-3"/>
                <w:sz w:val="18"/>
              </w:rPr>
              <w:t> </w:t>
            </w:r>
            <w:r>
              <w:rPr>
                <w:rFonts w:ascii="Times New Roman"/>
                <w:spacing w:val="-5"/>
                <w:sz w:val="18"/>
              </w:rPr>
              <w:t>LTD.</w:t>
            </w:r>
          </w:p>
        </w:tc>
      </w:tr>
      <w:tr>
        <w:trPr>
          <w:trHeight w:val="71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89"/>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许文杰</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广西壮族自治区南宁市西乡塘区总部路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号中国东盟科技企业孵化基地一期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D7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501 </w:t>
            </w:r>
            <w:r>
              <w:rPr>
                <w:rFonts w:ascii="宋体" w:hAnsi="宋体" w:cs="宋体" w:eastAsia="宋体" w:hint="default"/>
                <w:sz w:val="18"/>
                <w:szCs w:val="18"/>
              </w:rPr>
              <w:t>室</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530000</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广西南宁市青秀区民族大道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136-5 </w:t>
            </w:r>
            <w:r>
              <w:rPr>
                <w:rFonts w:ascii="宋体" w:hAnsi="宋体" w:cs="宋体" w:eastAsia="宋体" w:hint="default"/>
                <w:sz w:val="18"/>
                <w:szCs w:val="18"/>
              </w:rPr>
              <w:t>号华润大厦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 </w:t>
            </w:r>
            <w:r>
              <w:rPr>
                <w:rFonts w:ascii="宋体" w:hAnsi="宋体" w:cs="宋体" w:eastAsia="宋体" w:hint="default"/>
                <w:sz w:val="18"/>
                <w:szCs w:val="18"/>
              </w:rPr>
              <w:t>层</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530000</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Times New Roman" w:hAnsi="Times New Roman" w:cs="Times New Roman" w:eastAsia="Times New Roman" w:hint="default"/>
                <w:sz w:val="18"/>
                <w:szCs w:val="18"/>
              </w:rPr>
            </w:pPr>
            <w:hyperlink r:id="rId10">
              <w:r>
                <w:rPr>
                  <w:rFonts w:ascii="Times New Roman"/>
                  <w:sz w:val="18"/>
                </w:rPr>
                <w:t>http://www.rjtx.net/</w:t>
              </w:r>
            </w:hyperlink>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hyperlink r:id="rId11">
              <w:r>
                <w:rPr>
                  <w:rFonts w:ascii="Times New Roman"/>
                  <w:sz w:val="18"/>
                </w:rPr>
                <w:t>rjtxdsh@163.com</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977"/>
        <w:jc w:val="left"/>
        <w:rPr>
          <w:b w:val="0"/>
          <w:bCs w:val="0"/>
        </w:rPr>
      </w:pPr>
      <w:r>
        <w:rPr/>
        <w:t>二、联系人和联系方式</w:t>
      </w:r>
      <w:r>
        <w:rPr>
          <w:b w:val="0"/>
          <w:bCs w:val="0"/>
        </w:rPr>
      </w: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沈湘平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罗剑涛</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223"/>
              <w:jc w:val="left"/>
              <w:rPr>
                <w:rFonts w:ascii="宋体" w:hAnsi="宋体" w:cs="宋体" w:eastAsia="宋体" w:hint="default"/>
                <w:sz w:val="18"/>
                <w:szCs w:val="18"/>
              </w:rPr>
            </w:pPr>
            <w:r>
              <w:rPr>
                <w:rFonts w:ascii="宋体" w:hAnsi="宋体" w:cs="宋体" w:eastAsia="宋体" w:hint="default"/>
                <w:sz w:val="18"/>
                <w:szCs w:val="18"/>
              </w:rPr>
              <w:t>南宁市青秀区民族大道</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号华润 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 </w:t>
            </w:r>
            <w:r>
              <w:rPr>
                <w:rFonts w:ascii="宋体" w:hAnsi="宋体" w:cs="宋体" w:eastAsia="宋体" w:hint="default"/>
                <w:sz w:val="18"/>
                <w:szCs w:val="18"/>
              </w:rPr>
              <w:t>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223"/>
              <w:jc w:val="left"/>
              <w:rPr>
                <w:rFonts w:ascii="宋体" w:hAnsi="宋体" w:cs="宋体" w:eastAsia="宋体" w:hint="default"/>
                <w:sz w:val="18"/>
                <w:szCs w:val="18"/>
              </w:rPr>
            </w:pPr>
            <w:r>
              <w:rPr>
                <w:rFonts w:ascii="宋体" w:hAnsi="宋体" w:cs="宋体" w:eastAsia="宋体" w:hint="default"/>
                <w:sz w:val="18"/>
                <w:szCs w:val="18"/>
              </w:rPr>
              <w:t>南宁市青秀区民族大道</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号华润 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Times New Roman" w:hAnsi="Times New Roman" w:cs="Times New Roman" w:eastAsia="Times New Roman" w:hint="default"/>
                <w:sz w:val="18"/>
                <w:szCs w:val="18"/>
              </w:rPr>
            </w:pPr>
            <w:r>
              <w:rPr>
                <w:rFonts w:ascii="Times New Roman"/>
                <w:sz w:val="18"/>
              </w:rPr>
              <w:t>0771-2869133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Times New Roman" w:hAnsi="Times New Roman" w:cs="Times New Roman" w:eastAsia="Times New Roman" w:hint="default"/>
                <w:sz w:val="18"/>
                <w:szCs w:val="18"/>
              </w:rPr>
            </w:pPr>
            <w:r>
              <w:rPr>
                <w:rFonts w:ascii="Times New Roman"/>
                <w:sz w:val="18"/>
              </w:rPr>
              <w:t>0771-2869133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0771-2869133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0771-2869133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hyperlink r:id="rId11">
              <w:r>
                <w:rPr>
                  <w:rFonts w:ascii="Times New Roman"/>
                  <w:sz w:val="18"/>
                </w:rPr>
                <w:t>rjtxdsh@163.com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hyperlink r:id="rId11">
              <w:r>
                <w:rPr>
                  <w:rFonts w:ascii="Times New Roman"/>
                  <w:sz w:val="18"/>
                </w:rPr>
                <w:t>rjtxdsh@163.com</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977"/>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1"/>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《上海证券报》和《证券日报》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910" w:footer="1013" w:top="1100" w:bottom="1200" w:left="1020" w:right="0"/>
        </w:sectPr>
      </w:pPr>
    </w:p>
    <w:p>
      <w:pPr>
        <w:spacing w:line="240" w:lineRule="auto" w:before="7"/>
        <w:rPr>
          <w:rFonts w:ascii="宋体" w:hAnsi="宋体" w:cs="宋体" w:eastAsia="宋体" w:hint="default"/>
          <w:b/>
          <w:bCs/>
          <w:sz w:val="20"/>
          <w:szCs w:val="20"/>
        </w:rPr>
      </w:pPr>
    </w:p>
    <w:p>
      <w:pPr>
        <w:pStyle w:val="Heading2"/>
        <w:spacing w:line="240" w:lineRule="auto" w:before="26"/>
        <w:ind w:right="977"/>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5708" w:hRule="exact"/>
        </w:trPr>
        <w:tc>
          <w:tcPr>
            <w:tcW w:w="31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8"/>
              <w:ind w:right="0"/>
              <w:jc w:val="left"/>
              <w:rPr>
                <w:rFonts w:ascii="宋体" w:hAnsi="宋体" w:cs="宋体" w:eastAsia="宋体" w:hint="default"/>
                <w:b/>
                <w:bCs/>
                <w:sz w:val="23"/>
                <w:szCs w:val="23"/>
              </w:rPr>
            </w:pPr>
          </w:p>
          <w:p>
            <w:pPr>
              <w:pStyle w:val="TableParagraph"/>
              <w:spacing w:line="240" w:lineRule="auto"/>
              <w:ind w:left="102" w:right="0"/>
              <w:jc w:val="left"/>
              <w:rPr>
                <w:rFonts w:ascii="宋体" w:hAnsi="宋体" w:cs="宋体" w:eastAsia="宋体" w:hint="default"/>
                <w:sz w:val="24"/>
                <w:szCs w:val="24"/>
              </w:rPr>
            </w:pPr>
            <w:r>
              <w:rPr>
                <w:rFonts w:ascii="宋体" w:hAnsi="宋体" w:cs="宋体" w:eastAsia="宋体" w:hint="default"/>
                <w:sz w:val="18"/>
                <w:szCs w:val="18"/>
              </w:rPr>
              <w:t>公司上市以来主营业务的变化情况</w:t>
            </w:r>
            <w:r>
              <w:rPr>
                <w:rFonts w:ascii="宋体" w:hAnsi="宋体" w:cs="宋体" w:eastAsia="宋体" w:hint="default"/>
                <w:spacing w:val="1"/>
                <w:sz w:val="18"/>
                <w:szCs w:val="18"/>
              </w:rPr>
              <w:t> </w:t>
            </w:r>
            <w:r>
              <w:rPr>
                <w:rFonts w:ascii="宋体" w:hAnsi="宋体" w:cs="宋体" w:eastAsia="宋体" w:hint="default"/>
                <w:sz w:val="24"/>
                <w:szCs w:val="24"/>
              </w:rPr>
              <w:t> </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9"/>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日完成了工商变更登记手续，并取得了广西壮族自治区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市场监督管理局换发的《营业执照》，变更后经营范围为：计算机信息系统集成，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通信信息网络系统集成，信息系统的技术研发与销售，软件开发，网络托管业 务，增值电信业务，互联网数据服务，信息处理和存储支持服务，通信技术和 </w:t>
            </w:r>
            <w:r>
              <w:rPr>
                <w:rFonts w:ascii="宋体" w:hAnsi="宋体" w:cs="宋体" w:eastAsia="宋体" w:hint="default"/>
                <w:spacing w:val="-2"/>
                <w:sz w:val="18"/>
                <w:szCs w:val="18"/>
              </w:rPr>
              <w:t>产品的技术咨询、技术服务、技术研发，信息技术咨询服务；计算机硬件整机、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零配件制造，信息安全设备制造；计算机、软件及辅助设备、蓄电池、教学设 备、电力、集中式快速充电站、分布式交流充电桩、机械设备、五金产品及电 子产品的销售；网络产品、通讯设备、通讯器材的开发、生产、销售及售后服</w:t>
            </w:r>
            <w:r>
              <w:rPr>
                <w:rFonts w:ascii="宋体" w:hAnsi="宋体" w:cs="宋体" w:eastAsia="宋体" w:hint="default"/>
                <w:sz w:val="18"/>
                <w:szCs w:val="18"/>
              </w:rPr>
              <w:t> 务；新兴能源技术研发；机械设备租赁；电力技术咨询，节能方案技术咨询； 合同能源管理；工程设计与咨询服务；教育咨询；通信网络维护与优化，通信 </w:t>
            </w:r>
            <w:r>
              <w:rPr>
                <w:rFonts w:ascii="宋体" w:hAnsi="宋体" w:cs="宋体" w:eastAsia="宋体" w:hint="default"/>
                <w:spacing w:val="-2"/>
                <w:sz w:val="18"/>
                <w:szCs w:val="18"/>
              </w:rPr>
              <w:t>铁塔维护，制冷空调设备安装与维修服务，节能技术推广服务；通信设施租赁；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通信工程施工，建筑工程施工，建筑智能化工程设计与施工，机电工程施工，</w:t>
            </w:r>
            <w:r>
              <w:rPr>
                <w:rFonts w:ascii="宋体" w:hAnsi="宋体" w:cs="宋体" w:eastAsia="宋体" w:hint="default"/>
                <w:sz w:val="18"/>
                <w:szCs w:val="18"/>
              </w:rPr>
              <w:t> 建筑装修装饰工程施工，市政公用工程施工，钢结构工程施工，送变电工程施 工，防雷技术及防雷工程施工，消防设施工程施工，地基与基础工程施工，电 </w:t>
            </w:r>
            <w:r>
              <w:rPr>
                <w:rFonts w:ascii="宋体" w:hAnsi="宋体" w:cs="宋体" w:eastAsia="宋体" w:hint="default"/>
                <w:spacing w:val="-7"/>
                <w:sz w:val="18"/>
                <w:szCs w:val="18"/>
              </w:rPr>
              <w:t>力工程施工，水利水电工程施工，城市及道路照明工程施工，电力设施承装（修、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试），安全技术防范系统设计、施工、维修，公路交通工程施工，防水防腐保温</w:t>
            </w:r>
            <w:r>
              <w:rPr>
                <w:rFonts w:ascii="宋体" w:hAnsi="宋体" w:cs="宋体" w:eastAsia="宋体" w:hint="default"/>
                <w:sz w:val="18"/>
                <w:szCs w:val="18"/>
              </w:rPr>
              <w:t> 工程施工，环保工程施工，光伏电站工程施工，风力发电工程施工，节能工程 施工，通信用户管线建设，施工劳务分包。</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w:t>
            </w:r>
            <w:r>
              <w:rPr>
                <w:rFonts w:ascii="宋体" w:hAnsi="宋体" w:cs="宋体" w:eastAsia="宋体" w:hint="default"/>
                <w:sz w:val="18"/>
                <w:szCs w:val="18"/>
              </w:rPr>
              <w:t> </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3"/>
        <w:rPr>
          <w:rFonts w:ascii="宋体" w:hAnsi="宋体" w:cs="宋体" w:eastAsia="宋体" w:hint="default"/>
          <w:b/>
          <w:bCs/>
          <w:sz w:val="18"/>
          <w:szCs w:val="18"/>
        </w:rPr>
      </w:pPr>
    </w:p>
    <w:p>
      <w:pPr>
        <w:pStyle w:val="Heading2"/>
        <w:spacing w:line="240" w:lineRule="auto" w:before="26"/>
        <w:ind w:right="977"/>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77"/>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幢外经贸大厦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901-22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901-26</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纪玉红、崔勇趁、时静</w:t>
            </w:r>
          </w:p>
        </w:tc>
      </w:tr>
    </w:tbl>
    <w:p>
      <w:pPr>
        <w:pStyle w:val="BodyText"/>
        <w:spacing w:line="240" w:lineRule="auto" w:before="51"/>
        <w:ind w:right="977"/>
        <w:jc w:val="left"/>
      </w:pPr>
      <w:r>
        <w:rPr/>
        <w:t>公司聘请的报告期内履行持续督导职责的保荐机构</w:t>
      </w:r>
    </w:p>
    <w:p>
      <w:pPr>
        <w:pStyle w:val="BodyText"/>
        <w:spacing w:line="240" w:lineRule="auto" w:before="115"/>
        <w:ind w:right="977"/>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780"/>
        <w:gridCol w:w="2004"/>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北京市朝阳区安立路</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号楼</w:t>
            </w:r>
            <w:r>
              <w:rPr>
                <w:rFonts w:ascii="宋体" w:hAnsi="宋体" w:cs="宋体" w:eastAsia="宋体" w:hint="default"/>
                <w:sz w:val="18"/>
                <w:szCs w:val="18"/>
              </w:rPr>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张世举、韩新科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4" w:right="0"/>
              <w:jc w:val="left"/>
              <w:rPr>
                <w:rFonts w:ascii="Times New Roman" w:hAnsi="Times New Roman" w:cs="Times New Roman" w:eastAsia="Times New Roman" w:hint="default"/>
                <w:sz w:val="18"/>
                <w:szCs w:val="18"/>
              </w:rPr>
            </w:pPr>
            <w:r>
              <w:rPr>
                <w:rFonts w:ascii="Times New Roman"/>
                <w:sz w:val="18"/>
              </w:rPr>
              <w:t>2018.3.1-2020.12.31</w:t>
            </w:r>
          </w:p>
        </w:tc>
      </w:tr>
    </w:tbl>
    <w:p>
      <w:pPr>
        <w:pStyle w:val="BodyText"/>
        <w:spacing w:line="240" w:lineRule="auto" w:before="51"/>
        <w:ind w:right="977"/>
        <w:jc w:val="left"/>
      </w:pPr>
      <w:r>
        <w:rPr/>
        <w:t>公司聘请的报告期内履行持续督导职责的财务顾问</w:t>
      </w:r>
    </w:p>
    <w:p>
      <w:pPr>
        <w:pStyle w:val="BodyText"/>
        <w:spacing w:line="240" w:lineRule="auto" w:before="117"/>
        <w:ind w:right="977"/>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Heading2"/>
        <w:spacing w:line="240" w:lineRule="auto"/>
        <w:ind w:right="977"/>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77"/>
        <w:jc w:val="left"/>
      </w:pPr>
      <w:r>
        <w:rPr/>
        <w:t>公司是否需追溯调整或重述以前年度会计数据</w:t>
      </w:r>
    </w:p>
    <w:p>
      <w:pPr>
        <w:pStyle w:val="BodyText"/>
        <w:spacing w:line="240" w:lineRule="auto" w:before="115"/>
        <w:ind w:right="977"/>
        <w:jc w:val="left"/>
      </w:pPr>
      <w:r>
        <w:rPr/>
        <w:t>□ 是 √</w:t>
      </w:r>
      <w:r>
        <w:rPr>
          <w:spacing w:val="3"/>
        </w:rPr>
        <w:t> </w:t>
      </w:r>
      <w:r>
        <w:rPr/>
        <w:t>否</w:t>
      </w:r>
    </w:p>
    <w:p>
      <w:pPr>
        <w:spacing w:after="0" w:line="240" w:lineRule="auto"/>
        <w:jc w:val="left"/>
        <w:sectPr>
          <w:pgSz w:w="11910" w:h="16840"/>
          <w:pgMar w:header="910" w:footer="1013" w:top="1100" w:bottom="1200" w:left="1020" w:right="0"/>
        </w:sectPr>
      </w:pPr>
    </w:p>
    <w:p>
      <w:pPr>
        <w:spacing w:line="240" w:lineRule="auto" w:before="2"/>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622"/>
        <w:gridCol w:w="1738"/>
        <w:gridCol w:w="1738"/>
        <w:gridCol w:w="1738"/>
        <w:gridCol w:w="1735"/>
      </w:tblGrid>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3,231,680,137.02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2,778,394,660.03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16.31%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2,293,120,851.53</w:t>
            </w:r>
          </w:p>
        </w:tc>
      </w:tr>
      <w:tr>
        <w:trPr>
          <w:trHeight w:val="71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205,877,713.64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239,400,030.68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178,815,158.75</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178,122,049.06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229,986,346.41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-22.55%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171,506,300.63</w:t>
            </w:r>
          </w:p>
        </w:tc>
      </w:tr>
      <w:tr>
        <w:trPr>
          <w:trHeight w:val="71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170,930,253.78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-188,078,079.28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-77,062,579.50</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0.97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-33.10%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1.10</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0.97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1.45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-33.10%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1.10</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z w:val="18"/>
              </w:rPr>
              <w:t>8.84%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22.46%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z w:val="18"/>
              </w:rPr>
              <w:t>-13.62%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26.88%</w:t>
            </w:r>
          </w:p>
        </w:tc>
      </w:tr>
      <w:tr>
        <w:trPr>
          <w:trHeight w:val="71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2" w:right="142" w:hanging="629"/>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3,913,670,385.69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2,386,839,788.46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63.97%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1,908,711,960.80</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2,630,309,970.50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1,189,539,737.08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945,994,464.50</w:t>
            </w:r>
          </w:p>
        </w:tc>
      </w:tr>
    </w:tbl>
    <w:p>
      <w:pPr>
        <w:spacing w:line="240" w:lineRule="auto" w:before="3"/>
        <w:rPr>
          <w:rFonts w:ascii="宋体" w:hAnsi="宋体" w:cs="宋体" w:eastAsia="宋体" w:hint="default"/>
          <w:sz w:val="18"/>
          <w:szCs w:val="18"/>
        </w:rPr>
      </w:pPr>
    </w:p>
    <w:p>
      <w:pPr>
        <w:pStyle w:val="Heading2"/>
        <w:spacing w:line="240" w:lineRule="auto" w:before="26"/>
        <w:ind w:right="977"/>
        <w:jc w:val="left"/>
        <w:rPr>
          <w:b w:val="0"/>
          <w:bCs w:val="0"/>
        </w:rPr>
      </w:pPr>
      <w:r>
        <w:rPr/>
        <w:t>七、境内外会计准则下会计数据差异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77"/>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1845"/>
        <w:jc w:val="left"/>
      </w:pPr>
      <w:r>
        <w:rPr/>
        <w:t>□ 适用 √</w:t>
      </w:r>
      <w:r>
        <w:rPr>
          <w:spacing w:val="3"/>
        </w:rPr>
        <w:t> </w:t>
      </w:r>
      <w:r>
        <w:rPr/>
        <w:t>不适用</w:t>
      </w:r>
      <w:r>
        <w:rPr/>
        <w:t> 公司报告期不存在按照国际会计准则与按照中国会计准则披露的财务报告中净利润和净资产差异情况。</w:t>
      </w:r>
    </w:p>
    <w:p>
      <w:pPr>
        <w:spacing w:line="240" w:lineRule="auto" w:before="3"/>
        <w:rPr>
          <w:rFonts w:ascii="宋体" w:hAnsi="宋体" w:cs="宋体" w:eastAsia="宋体" w:hint="default"/>
          <w:sz w:val="20"/>
          <w:szCs w:val="20"/>
        </w:rPr>
      </w:pPr>
    </w:p>
    <w:p>
      <w:pPr>
        <w:pStyle w:val="Heading3"/>
        <w:spacing w:line="240" w:lineRule="auto"/>
        <w:ind w:right="977"/>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2654"/>
        <w:jc w:val="left"/>
      </w:pPr>
      <w:r>
        <w:rPr/>
        <w:t>□ 适用 √</w:t>
      </w:r>
      <w:r>
        <w:rPr>
          <w:spacing w:val="3"/>
        </w:rPr>
        <w:t> </w:t>
      </w:r>
      <w:r>
        <w:rPr/>
        <w:t>不适用</w:t>
      </w:r>
      <w:r>
        <w:rPr/>
        <w:t> 公司报告期不存在按照境外会计准则与按照中国会计准则披露的财务报告中净利润和净资产差异情况。</w:t>
      </w:r>
    </w:p>
    <w:p>
      <w:pPr>
        <w:spacing w:line="240" w:lineRule="auto" w:before="3"/>
        <w:rPr>
          <w:rFonts w:ascii="宋体" w:hAnsi="宋体" w:cs="宋体" w:eastAsia="宋体" w:hint="default"/>
          <w:sz w:val="18"/>
          <w:szCs w:val="18"/>
        </w:rPr>
      </w:pPr>
    </w:p>
    <w:p>
      <w:pPr>
        <w:pStyle w:val="Heading2"/>
        <w:spacing w:line="240" w:lineRule="auto"/>
        <w:ind w:right="977"/>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622"/>
        <w:gridCol w:w="1740"/>
        <w:gridCol w:w="1740"/>
        <w:gridCol w:w="1738"/>
        <w:gridCol w:w="1730"/>
      </w:tblGrid>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657,884,563.69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844,171,755.25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735,569,705.85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994,054,112.23</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39,146,540.03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63,550,619.32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37,075,082.57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66,105,471.72</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38,875,363.04</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62,682,182.97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24,496,454.80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52,068,048.25</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-396,720,643.49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-211,218,346.63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2"/>
                <w:sz w:val="18"/>
              </w:rPr>
              <w:t>111,427,746.01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667,441,497.89</w:t>
            </w:r>
          </w:p>
        </w:tc>
      </w:tr>
    </w:tbl>
    <w:p>
      <w:pPr>
        <w:pStyle w:val="BodyText"/>
        <w:spacing w:line="240" w:lineRule="auto" w:before="51"/>
        <w:ind w:right="977"/>
        <w:jc w:val="left"/>
      </w:pPr>
      <w:r>
        <w:rPr/>
        <w:t>上述财务指标或其加总数是否与公司已披露季度报告、半年度报告相关财务指标存在重大差异</w:t>
      </w:r>
    </w:p>
    <w:p>
      <w:pPr>
        <w:spacing w:after="0" w:line="240" w:lineRule="auto"/>
        <w:jc w:val="left"/>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240" w:lineRule="auto" w:before="44"/>
        <w:ind w:right="977"/>
        <w:jc w:val="left"/>
      </w:pPr>
      <w:r>
        <w:rPr/>
        <w:t>□ 是 √</w:t>
      </w:r>
      <w:r>
        <w:rPr>
          <w:spacing w:val="3"/>
        </w:rPr>
        <w:t> </w:t>
      </w:r>
      <w:r>
        <w:rPr/>
        <w:t>否</w:t>
      </w:r>
    </w:p>
    <w:p>
      <w:pPr>
        <w:spacing w:line="240" w:lineRule="auto" w:before="3"/>
        <w:rPr>
          <w:rFonts w:ascii="宋体" w:hAnsi="宋体" w:cs="宋体" w:eastAsia="宋体" w:hint="default"/>
          <w:sz w:val="25"/>
          <w:szCs w:val="25"/>
        </w:rPr>
      </w:pPr>
    </w:p>
    <w:p>
      <w:pPr>
        <w:pStyle w:val="Heading2"/>
        <w:spacing w:line="240" w:lineRule="auto"/>
        <w:ind w:right="977"/>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77"/>
        <w:jc w:val="left"/>
      </w:pPr>
      <w:r>
        <w:rPr/>
        <w:t>√ 适用 □</w:t>
      </w:r>
      <w:r>
        <w:rPr>
          <w:spacing w:val="3"/>
        </w:rPr>
        <w:t> </w:t>
      </w:r>
      <w:r>
        <w:rPr/>
        <w:t>不适用</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03" w:right="1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399,206.59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-719,221.49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-48,306.47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155"/>
              <w:jc w:val="left"/>
              <w:rPr>
                <w:rFonts w:ascii="宋体" w:hAnsi="宋体" w:cs="宋体" w:eastAsia="宋体" w:hint="default"/>
                <w:sz w:val="18"/>
                <w:szCs w:val="18"/>
              </w:rPr>
            </w:pPr>
            <w:r>
              <w:rPr>
                <w:rFonts w:ascii="宋体" w:hAnsi="宋体" w:cs="宋体" w:eastAsia="宋体" w:hint="default"/>
                <w:sz w:val="18"/>
                <w:szCs w:val="18"/>
              </w:rPr>
              <w:t>系固定资产变卖收 益所致。</w:t>
            </w:r>
          </w:p>
        </w:tc>
      </w:tr>
      <w:tr>
        <w:trPr>
          <w:trHeight w:val="102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19,325,604.83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10,720,600.00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8,563,082.94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14,735,225.37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1,553.42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155"/>
              <w:jc w:val="left"/>
              <w:rPr>
                <w:rFonts w:ascii="宋体" w:hAnsi="宋体" w:cs="宋体" w:eastAsia="宋体" w:hint="default"/>
                <w:sz w:val="18"/>
                <w:szCs w:val="18"/>
              </w:rPr>
            </w:pPr>
            <w:r>
              <w:rPr>
                <w:rFonts w:ascii="宋体" w:hAnsi="宋体" w:cs="宋体" w:eastAsia="宋体" w:hint="default"/>
                <w:sz w:val="18"/>
                <w:szCs w:val="18"/>
              </w:rPr>
              <w:t>系银行结构性存款 及理财收益</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-1,804,303.24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1,071,973.77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-477,474.09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55"/>
              <w:jc w:val="left"/>
              <w:rPr>
                <w:rFonts w:ascii="宋体" w:hAnsi="宋体" w:cs="宋体" w:eastAsia="宋体" w:hint="default"/>
                <w:sz w:val="18"/>
                <w:szCs w:val="18"/>
              </w:rPr>
            </w:pPr>
            <w:r>
              <w:rPr>
                <w:rFonts w:ascii="宋体" w:hAnsi="宋体" w:cs="宋体" w:eastAsia="宋体" w:hint="default"/>
                <w:sz w:val="18"/>
                <w:szCs w:val="18"/>
              </w:rPr>
              <w:t>主要系捐赠支出及 固定资产报废损失</w:t>
            </w: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4,900,068.97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1,661,221.43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728,444.26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27,755,664.58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9,413,684.27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7,308,858.12</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77"/>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号——非经常性损益》定义界定的非经常性损益项目，以及把《公</w:t>
      </w:r>
    </w:p>
    <w:p>
      <w:pPr>
        <w:pStyle w:val="BodyText"/>
        <w:spacing w:line="300" w:lineRule="auto" w:before="61"/>
        <w:ind w:right="112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号——非经常性损益》中列举的非经常性损益项目界定为经常性损益的项目，应</w:t>
      </w:r>
      <w:r>
        <w:rPr/>
        <w:t> 说明原因</w:t>
      </w:r>
    </w:p>
    <w:p>
      <w:pPr>
        <w:pStyle w:val="BodyText"/>
        <w:spacing w:line="240" w:lineRule="auto" w:before="72"/>
        <w:ind w:right="977"/>
        <w:jc w:val="left"/>
      </w:pPr>
      <w:r>
        <w:rPr/>
        <w:t>□ 适用 √</w:t>
      </w:r>
      <w:r>
        <w:rPr>
          <w:spacing w:val="3"/>
        </w:rPr>
        <w:t> </w:t>
      </w:r>
      <w:r>
        <w:rPr/>
        <w:t>不适用</w:t>
      </w:r>
    </w:p>
    <w:p>
      <w:pPr>
        <w:pStyle w:val="BodyText"/>
        <w:spacing w:line="300" w:lineRule="auto" w:before="117"/>
        <w:ind w:right="1118"/>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号——非经常性损益》定义、列举的非经常性损益</w:t>
      </w:r>
      <w:r>
        <w:rPr/>
        <w:t> 项目界定为经常性损益的项目的情形。</w:t>
      </w:r>
    </w:p>
    <w:p>
      <w:pPr>
        <w:spacing w:after="0" w:line="300" w:lineRule="auto"/>
        <w:jc w:val="left"/>
        <w:sectPr>
          <w:pgSz w:w="11910" w:h="16840"/>
          <w:pgMar w:header="910" w:footer="1013"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3406" w:right="977"/>
        <w:jc w:val="left"/>
        <w:rPr>
          <w:b w:val="0"/>
          <w:bCs w:val="0"/>
        </w:rPr>
      </w:pPr>
      <w:bookmarkStart w:name="_bookmark1" w:id="2"/>
      <w:bookmarkEnd w:id="2"/>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77"/>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977"/>
        <w:jc w:val="left"/>
      </w:pPr>
      <w:r>
        <w:rPr/>
        <w:t>软件与信息技术服务业</w:t>
      </w:r>
    </w:p>
    <w:p>
      <w:pPr>
        <w:pStyle w:val="BodyText"/>
        <w:spacing w:line="240" w:lineRule="auto" w:before="117"/>
        <w:ind w:right="97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w:t>
      </w:r>
    </w:p>
    <w:p>
      <w:pPr>
        <w:spacing w:line="240" w:lineRule="auto" w:before="12"/>
        <w:rPr>
          <w:rFonts w:ascii="宋体" w:hAnsi="宋体" w:cs="宋体" w:eastAsia="宋体" w:hint="default"/>
          <w:sz w:val="16"/>
          <w:szCs w:val="16"/>
        </w:rPr>
      </w:pPr>
    </w:p>
    <w:p>
      <w:pPr>
        <w:pStyle w:val="BodyText"/>
        <w:spacing w:line="477" w:lineRule="auto"/>
        <w:ind w:left="538" w:right="1845"/>
        <w:jc w:val="left"/>
        <w:rPr>
          <w:rFonts w:ascii="宋体" w:hAnsi="宋体" w:cs="宋体" w:eastAsia="宋体" w:hint="default"/>
        </w:rPr>
      </w:pPr>
      <w:r>
        <w:rPr/>
        <w:t>（一）公司从事的主营业务</w:t>
      </w:r>
      <w:r>
        <w:rPr>
          <w:rFonts w:ascii="宋体" w:hAnsi="宋体" w:cs="宋体" w:eastAsia="宋体" w:hint="default"/>
        </w:rPr>
        <w:t> </w:t>
      </w:r>
      <w:r>
        <w:rPr/>
        <w:t>公司主营业务包括通信网络建设服务、通信网络维护及优化服务，报告期内未发生变化。</w:t>
      </w:r>
      <w:r>
        <w:rPr>
          <w:rFonts w:ascii="宋体" w:hAnsi="宋体" w:cs="宋体" w:eastAsia="宋体" w:hint="default"/>
        </w:rPr>
        <w:t> 1</w:t>
      </w:r>
      <w:r>
        <w:rPr/>
        <w:t>、通信网络建设服务</w:t>
      </w:r>
      <w:r>
        <w:rPr>
          <w:rFonts w:ascii="宋体" w:hAnsi="宋体" w:cs="宋体" w:eastAsia="宋体" w:hint="default"/>
        </w:rPr>
        <w:t> </w:t>
      </w:r>
    </w:p>
    <w:p>
      <w:pPr>
        <w:pStyle w:val="BodyText"/>
        <w:spacing w:line="316" w:lineRule="auto" w:before="54"/>
        <w:ind w:right="1034" w:firstLine="425"/>
        <w:jc w:val="left"/>
        <w:rPr>
          <w:rFonts w:ascii="宋体" w:hAnsi="宋体" w:cs="宋体" w:eastAsia="宋体" w:hint="default"/>
        </w:rPr>
      </w:pPr>
      <w:r>
        <w:rPr/>
        <w:t>公司具备通信工程施工总承包壹级资质、通信信息网络系统集成甲级资质及安防工程、送变电工程、钢结构工程、建 筑智能化工程、机电设备安装工程等多项工程专业资质，可以承接各种规模的通信信息网络建设工程总体方案策划、设计、 </w:t>
      </w:r>
      <w:r>
        <w:rPr>
          <w:spacing w:val="-2"/>
        </w:rPr>
        <w:t>设备配置与选择、软件开发、工程实施、工程后期的运行保障等业务。目前，公司承接的通信网络建设服务涉及通信网络的</w:t>
      </w:r>
      <w:r>
        <w:rPr>
          <w:spacing w:val="-67"/>
        </w:rPr>
        <w:t> </w:t>
      </w:r>
      <w:r>
        <w:rPr>
          <w:spacing w:val="-67"/>
        </w:rPr>
      </w:r>
      <w:r>
        <w:rPr/>
        <w:t>核心网、传输网、无线及有线接入网等多个网络的建设以及通信铁塔基站配套设施的建设服务。</w:t>
      </w:r>
      <w:r>
        <w:rPr>
          <w:rFonts w:ascii="宋体" w:hAnsi="宋体" w:cs="宋体" w:eastAsia="宋体" w:hint="default"/>
        </w:rPr>
        <w:t> </w:t>
      </w:r>
    </w:p>
    <w:p>
      <w:pPr>
        <w:pStyle w:val="BodyText"/>
        <w:spacing w:line="468" w:lineRule="exact" w:before="13"/>
        <w:ind w:left="538" w:right="1148"/>
        <w:jc w:val="left"/>
      </w:pPr>
      <w:r>
        <w:rPr/>
        <w:t>核心网建设服务主要包括：</w:t>
      </w:r>
      <w:r>
        <w:rPr>
          <w:rFonts w:ascii="宋体" w:hAnsi="宋体" w:cs="宋体" w:eastAsia="宋体" w:hint="default"/>
        </w:rPr>
        <w:t>2G/3G/4G/5G </w:t>
      </w:r>
      <w:r>
        <w:rPr/>
        <w:t>融合核心网、信令网、短信网关等核心网设备的安装、调试、开通。</w:t>
      </w:r>
      <w:r>
        <w:rPr>
          <w:rFonts w:ascii="宋体" w:hAnsi="宋体" w:cs="宋体" w:eastAsia="宋体" w:hint="default"/>
        </w:rPr>
        <w:t> </w:t>
      </w:r>
      <w:r>
        <w:rPr/>
        <w:t>传输网建设服务主要包括：骨干网、城域网、本地网；配套设备及电源设备的安装、调试；传输骨干网、本地网的建</w:t>
      </w:r>
    </w:p>
    <w:p>
      <w:pPr>
        <w:pStyle w:val="BodyText"/>
        <w:spacing w:line="240" w:lineRule="auto" w:before="8"/>
        <w:ind w:right="977"/>
        <w:jc w:val="left"/>
        <w:rPr>
          <w:rFonts w:ascii="宋体" w:hAnsi="宋体" w:cs="宋体" w:eastAsia="宋体" w:hint="default"/>
        </w:rPr>
      </w:pPr>
      <w:r>
        <w:rPr/>
        <w:t>设。</w:t>
      </w:r>
      <w:r>
        <w:rPr>
          <w:rFonts w:ascii="宋体" w:hAnsi="宋体" w:cs="宋体" w:eastAsia="宋体" w:hint="default"/>
        </w:rPr>
        <w:t> </w:t>
      </w:r>
    </w:p>
    <w:p>
      <w:pPr>
        <w:spacing w:line="240" w:lineRule="auto" w:before="12"/>
        <w:rPr>
          <w:rFonts w:ascii="宋体" w:hAnsi="宋体" w:cs="宋体" w:eastAsia="宋体" w:hint="default"/>
          <w:sz w:val="17"/>
          <w:szCs w:val="17"/>
        </w:rPr>
      </w:pPr>
    </w:p>
    <w:p>
      <w:pPr>
        <w:pStyle w:val="BodyText"/>
        <w:spacing w:line="314" w:lineRule="auto"/>
        <w:ind w:right="1164" w:firstLine="425"/>
        <w:jc w:val="both"/>
        <w:rPr>
          <w:rFonts w:ascii="宋体" w:hAnsi="宋体" w:cs="宋体" w:eastAsia="宋体" w:hint="default"/>
        </w:rPr>
      </w:pPr>
      <w:r>
        <w:rPr/>
        <w:t>无线接入网建设服务主要包括：接入网基站选址；基站机房配套建设及装修；无线主设备安装、调试及开通；动力电 源的引入、安装、调试；室内室外天馈系统安装、调试；室内分布系统、</w:t>
      </w:r>
      <w:r>
        <w:rPr>
          <w:rFonts w:ascii="宋体" w:hAnsi="宋体" w:cs="宋体" w:eastAsia="宋体" w:hint="default"/>
        </w:rPr>
        <w:t>WLAN</w:t>
      </w:r>
      <w:r>
        <w:rPr/>
        <w:t>及直放站的选址、设计、安装、调试等。</w:t>
      </w:r>
      <w:r>
        <w:rPr>
          <w:rFonts w:ascii="宋体" w:hAnsi="宋体" w:cs="宋体" w:eastAsia="宋体" w:hint="default"/>
        </w:rPr>
        <w:t> </w:t>
      </w:r>
    </w:p>
    <w:p>
      <w:pPr>
        <w:pStyle w:val="BodyText"/>
        <w:spacing w:line="468" w:lineRule="exact" w:before="15"/>
        <w:ind w:left="538" w:right="1148"/>
        <w:jc w:val="left"/>
      </w:pPr>
      <w:r>
        <w:rPr/>
        <w:t>有线接入网建设服务主要包括：</w:t>
      </w:r>
      <w:r>
        <w:rPr>
          <w:rFonts w:ascii="宋体" w:hAnsi="宋体" w:cs="宋体" w:eastAsia="宋体" w:hint="default"/>
        </w:rPr>
        <w:t>FTTX</w:t>
      </w:r>
      <w:r>
        <w:rPr/>
        <w:t>（</w:t>
      </w:r>
      <w:r>
        <w:rPr>
          <w:rFonts w:ascii="宋体" w:hAnsi="宋体" w:cs="宋体" w:eastAsia="宋体" w:hint="default"/>
        </w:rPr>
        <w:t>FTTB/FTTH</w:t>
      </w:r>
      <w:r>
        <w:rPr/>
        <w:t>）工程；集团客户专线、家庭宽带客户网络等建设。</w:t>
      </w:r>
      <w:r>
        <w:rPr>
          <w:rFonts w:ascii="宋体" w:hAnsi="宋体" w:cs="宋体" w:eastAsia="宋体" w:hint="default"/>
        </w:rPr>
        <w:t> </w:t>
      </w:r>
      <w:r>
        <w:rPr/>
        <w:t>通信铁塔基站配套建设服务主要包括：新建、存量改造搬迁基站的开关电源、蓄电池、配电箱、电力电缆、接地排、</w:t>
      </w:r>
    </w:p>
    <w:p>
      <w:pPr>
        <w:pStyle w:val="BodyText"/>
        <w:spacing w:line="480" w:lineRule="auto" w:before="8"/>
        <w:ind w:left="538" w:right="1845" w:hanging="426"/>
        <w:jc w:val="left"/>
        <w:rPr>
          <w:rFonts w:ascii="宋体" w:hAnsi="宋体" w:cs="宋体" w:eastAsia="宋体" w:hint="default"/>
        </w:rPr>
      </w:pPr>
      <w:r>
        <w:rPr/>
        <w:t>走线架、空调、室外机柜、油机、旧塔新增天线支架的安装、搬迁、拆除、调试等工作。</w:t>
      </w:r>
      <w:r>
        <w:rPr>
          <w:rFonts w:ascii="宋体" w:hAnsi="宋体" w:cs="宋体" w:eastAsia="宋体" w:hint="default"/>
        </w:rPr>
        <w:t> 2</w:t>
      </w:r>
      <w:r>
        <w:rPr/>
        <w:t>、通信网络维护及优化服务</w:t>
      </w:r>
      <w:r>
        <w:rPr>
          <w:rFonts w:ascii="宋体" w:hAnsi="宋体" w:cs="宋体" w:eastAsia="宋体" w:hint="default"/>
        </w:rPr>
        <w:t> </w:t>
      </w:r>
    </w:p>
    <w:p>
      <w:pPr>
        <w:pStyle w:val="BodyText"/>
        <w:spacing w:line="240" w:lineRule="auto" w:before="53"/>
        <w:ind w:left="538" w:right="977"/>
        <w:jc w:val="left"/>
        <w:rPr>
          <w:rFonts w:ascii="宋体" w:hAnsi="宋体" w:cs="宋体" w:eastAsia="宋体" w:hint="default"/>
        </w:rPr>
      </w:pPr>
      <w:r>
        <w:rPr/>
        <w:t>（</w:t>
      </w:r>
      <w:r>
        <w:rPr>
          <w:rFonts w:ascii="宋体" w:hAnsi="宋体" w:cs="宋体" w:eastAsia="宋体" w:hint="default"/>
        </w:rPr>
        <w:t>1</w:t>
      </w:r>
      <w:r>
        <w:rPr/>
        <w:t>）通信网络维护服务</w:t>
      </w:r>
      <w:r>
        <w:rPr>
          <w:rFonts w:ascii="宋体" w:hAnsi="宋体" w:cs="宋体" w:eastAsia="宋体" w:hint="default"/>
        </w:rPr>
        <w:t> </w:t>
      </w:r>
    </w:p>
    <w:p>
      <w:pPr>
        <w:spacing w:line="240" w:lineRule="auto" w:before="12"/>
        <w:rPr>
          <w:rFonts w:ascii="宋体" w:hAnsi="宋体" w:cs="宋体" w:eastAsia="宋体" w:hint="default"/>
          <w:sz w:val="17"/>
          <w:szCs w:val="17"/>
        </w:rPr>
      </w:pPr>
    </w:p>
    <w:p>
      <w:pPr>
        <w:pStyle w:val="BodyText"/>
        <w:spacing w:line="316" w:lineRule="auto"/>
        <w:ind w:right="1129" w:firstLine="425"/>
        <w:jc w:val="both"/>
        <w:rPr>
          <w:rFonts w:ascii="宋体" w:hAnsi="宋体" w:cs="宋体" w:eastAsia="宋体" w:hint="default"/>
        </w:rPr>
      </w:pPr>
      <w:r>
        <w:rPr/>
        <w:t>通信网络维护服务主要是提供通信网络机房环境、基站设备、传输线路及附属设施的运行管理、例行检修及故障处理 </w:t>
      </w:r>
      <w:r>
        <w:rPr>
          <w:spacing w:val="-2"/>
        </w:rPr>
        <w:t>等全方位的专业技术服务；提供对因各种突发原因造成的通信网络重大故障做出快速响应并在最短时间内给予解决的应急通</w:t>
      </w:r>
      <w:r>
        <w:rPr>
          <w:spacing w:val="-64"/>
        </w:rPr>
        <w:t> </w:t>
      </w:r>
      <w:r>
        <w:rPr>
          <w:spacing w:val="-64"/>
        </w:rPr>
      </w:r>
      <w:r>
        <w:rPr>
          <w:spacing w:val="-2"/>
        </w:rPr>
        <w:t>信保障服务；为重要社会活动或特殊事件提供应急通信保障服务。通信网络维护服务主要包括机房环境维护、基站及配套维</w:t>
      </w:r>
      <w:r>
        <w:rPr>
          <w:spacing w:val="-62"/>
        </w:rPr>
        <w:t> </w:t>
      </w:r>
      <w:r>
        <w:rPr>
          <w:spacing w:val="-62"/>
        </w:rPr>
      </w:r>
      <w:r>
        <w:rPr/>
        <w:t>护、室分直放站及</w:t>
      </w:r>
      <w:r>
        <w:rPr>
          <w:rFonts w:ascii="宋体" w:hAnsi="宋体" w:cs="宋体" w:eastAsia="宋体" w:hint="default"/>
        </w:rPr>
        <w:t>WLAN</w:t>
      </w:r>
      <w:r>
        <w:rPr/>
        <w:t>维护、铁塔及天馈维护、传输线路维护、集团客户专线维护、家庭宽带维护等。</w:t>
      </w:r>
      <w:r>
        <w:rPr>
          <w:rFonts w:ascii="宋体" w:hAnsi="宋体" w:cs="宋体" w:eastAsia="宋体" w:hint="default"/>
        </w:rPr>
        <w:t> </w:t>
      </w:r>
    </w:p>
    <w:p>
      <w:pPr>
        <w:spacing w:line="240" w:lineRule="auto" w:before="7"/>
        <w:rPr>
          <w:rFonts w:ascii="宋体" w:hAnsi="宋体" w:cs="宋体" w:eastAsia="宋体" w:hint="default"/>
          <w:sz w:val="13"/>
          <w:szCs w:val="13"/>
        </w:rPr>
      </w:pPr>
    </w:p>
    <w:p>
      <w:pPr>
        <w:pStyle w:val="BodyText"/>
        <w:spacing w:line="316" w:lineRule="auto"/>
        <w:ind w:right="1131" w:firstLine="425"/>
        <w:jc w:val="both"/>
        <w:rPr>
          <w:rFonts w:ascii="宋体" w:hAnsi="宋体" w:cs="宋体" w:eastAsia="宋体" w:hint="default"/>
        </w:rPr>
      </w:pPr>
      <w:r>
        <w:rPr/>
        <w:t>目前，公司在全国二十余个省（市）承接通信运营商的通信网络综合维护服务和中国铁塔基站配套综合维护服务，在 </w:t>
      </w:r>
      <w:r>
        <w:rPr>
          <w:spacing w:val="-2"/>
        </w:rPr>
        <w:t>各省（市）对应维护区域设立维护驻点，满足日常维护要求并能够及时提供应急通信保障，为客户提供快速、及时、优质的</w:t>
      </w:r>
      <w:r>
        <w:rPr>
          <w:spacing w:val="-67"/>
        </w:rPr>
        <w:t> </w:t>
      </w:r>
      <w:r>
        <w:rPr>
          <w:spacing w:val="-67"/>
        </w:rPr>
      </w:r>
      <w:r>
        <w:rPr/>
        <w:t>通信网络维护服务，保证了通信运营商的网络畅通和用户的通信质量以及中国铁塔资产的保值增值。</w:t>
      </w:r>
      <w:r>
        <w:rPr>
          <w:rFonts w:ascii="宋体" w:hAnsi="宋体" w:cs="宋体" w:eastAsia="宋体" w:hint="default"/>
        </w:rPr>
        <w:t> </w:t>
      </w:r>
    </w:p>
    <w:p>
      <w:pPr>
        <w:spacing w:line="240" w:lineRule="auto" w:before="7"/>
        <w:rPr>
          <w:rFonts w:ascii="宋体" w:hAnsi="宋体" w:cs="宋体" w:eastAsia="宋体" w:hint="default"/>
          <w:sz w:val="13"/>
          <w:szCs w:val="13"/>
        </w:rPr>
      </w:pPr>
    </w:p>
    <w:p>
      <w:pPr>
        <w:pStyle w:val="BodyText"/>
        <w:spacing w:line="477" w:lineRule="auto"/>
        <w:ind w:left="538" w:right="1148"/>
        <w:jc w:val="left"/>
      </w:pPr>
      <w:r>
        <w:rPr/>
        <w:t>（</w:t>
      </w:r>
      <w:r>
        <w:rPr>
          <w:rFonts w:ascii="宋体" w:hAnsi="宋体" w:cs="宋体" w:eastAsia="宋体" w:hint="default"/>
        </w:rPr>
        <w:t>2</w:t>
      </w:r>
      <w:r>
        <w:rPr/>
        <w:t>）通信网络优化服务</w:t>
      </w:r>
      <w:r>
        <w:rPr>
          <w:rFonts w:ascii="宋体" w:hAnsi="宋体" w:cs="宋体" w:eastAsia="宋体" w:hint="default"/>
        </w:rPr>
        <w:t> </w:t>
      </w:r>
      <w:r>
        <w:rPr/>
        <w:t>通信网络优化服务主要是采集多维网络数据，结合业务种类及优化需求进行综合数据分析，通过调整优化，不断增强</w:t>
      </w:r>
    </w:p>
    <w:p>
      <w:pPr>
        <w:spacing w:after="0" w:line="477" w:lineRule="auto"/>
        <w:jc w:val="left"/>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240" w:lineRule="auto" w:before="44"/>
        <w:ind w:right="977"/>
        <w:jc w:val="left"/>
        <w:rPr>
          <w:rFonts w:ascii="宋体" w:hAnsi="宋体" w:cs="宋体" w:eastAsia="宋体" w:hint="default"/>
        </w:rPr>
      </w:pPr>
      <w:r>
        <w:rPr/>
        <w:t>移动通信网络的稳定性、可靠性、高效性、适用性，改善运营商的业务品质，提升移动通信终端用户感知。</w:t>
      </w:r>
      <w:r>
        <w:rPr>
          <w:rFonts w:ascii="宋体" w:hAnsi="宋体" w:cs="宋体" w:eastAsia="宋体" w:hint="default"/>
        </w:rPr>
        <w:t> </w:t>
      </w:r>
    </w:p>
    <w:p>
      <w:pPr>
        <w:spacing w:line="240" w:lineRule="auto" w:before="12"/>
        <w:rPr>
          <w:rFonts w:ascii="宋体" w:hAnsi="宋体" w:cs="宋体" w:eastAsia="宋体" w:hint="default"/>
          <w:sz w:val="17"/>
          <w:szCs w:val="17"/>
        </w:rPr>
      </w:pPr>
    </w:p>
    <w:p>
      <w:pPr>
        <w:pStyle w:val="BodyText"/>
        <w:spacing w:line="316" w:lineRule="auto"/>
        <w:ind w:right="1042" w:firstLine="425"/>
        <w:jc w:val="left"/>
        <w:rPr>
          <w:rFonts w:ascii="宋体" w:hAnsi="宋体" w:cs="宋体" w:eastAsia="宋体" w:hint="default"/>
        </w:rPr>
      </w:pPr>
      <w:r>
        <w:rPr/>
        <w:t>公司拥有专业的网络优化分析团队，与华为、中兴通讯等主流设备商建立了长期的合作关系，具备多厂家、多运营商 的综合性网络优化能力，能够针对</w:t>
      </w:r>
      <w:r>
        <w:rPr>
          <w:rFonts w:ascii="宋体" w:hAnsi="宋体" w:cs="宋体" w:eastAsia="宋体" w:hint="default"/>
        </w:rPr>
        <w:t>GSM</w:t>
      </w:r>
      <w:r>
        <w:rPr/>
        <w:t>、</w:t>
      </w:r>
      <w:r>
        <w:rPr>
          <w:rFonts w:ascii="宋体" w:hAnsi="宋体" w:cs="宋体" w:eastAsia="宋体" w:hint="default"/>
        </w:rPr>
        <w:t>CDMA</w:t>
      </w:r>
      <w:r>
        <w:rPr/>
        <w:t>、</w:t>
      </w:r>
      <w:r>
        <w:rPr>
          <w:rFonts w:ascii="宋体" w:hAnsi="宋体" w:cs="宋体" w:eastAsia="宋体" w:hint="default"/>
        </w:rPr>
        <w:t>WCDMA</w:t>
      </w:r>
      <w:r>
        <w:rPr/>
        <w:t>、</w:t>
      </w:r>
      <w:r>
        <w:rPr>
          <w:rFonts w:ascii="宋体" w:hAnsi="宋体" w:cs="宋体" w:eastAsia="宋体" w:hint="default"/>
        </w:rPr>
        <w:t>TD-SCDMA</w:t>
      </w:r>
      <w:r>
        <w:rPr/>
        <w:t>、</w:t>
      </w:r>
      <w:r>
        <w:rPr>
          <w:rFonts w:ascii="宋体" w:hAnsi="宋体" w:cs="宋体" w:eastAsia="宋体" w:hint="default"/>
        </w:rPr>
        <w:t>LTE</w:t>
      </w:r>
      <w:r>
        <w:rPr/>
        <w:t>等多种制式无线网络提供专业的优化解决方案，包括 </w:t>
      </w:r>
      <w:r>
        <w:rPr>
          <w:spacing w:val="-4"/>
        </w:rPr>
        <w:t>建网初期及后期扩容的工程优化服务、运维期间的日常网络优化服务、针对网络短板的专项网络优化服务，致力于节电功能、</w:t>
      </w:r>
      <w:r>
        <w:rPr>
          <w:spacing w:val="-43"/>
        </w:rPr>
        <w:t> </w:t>
      </w:r>
      <w:r>
        <w:rPr>
          <w:spacing w:val="-43"/>
        </w:rPr>
      </w:r>
      <w:r>
        <w:rPr/>
        <w:t>深度覆盖优化、基础射频优化等专项内容，切实提升无线网络质量和用户感知。</w:t>
      </w:r>
      <w:r>
        <w:rPr>
          <w:rFonts w:ascii="宋体" w:hAnsi="宋体" w:cs="宋体" w:eastAsia="宋体" w:hint="default"/>
        </w:rPr>
        <w:t> </w:t>
      </w:r>
    </w:p>
    <w:p>
      <w:pPr>
        <w:pStyle w:val="BodyText"/>
        <w:spacing w:line="470" w:lineRule="exact" w:before="11"/>
        <w:ind w:left="538" w:right="1148"/>
        <w:jc w:val="left"/>
      </w:pPr>
      <w:r>
        <w:rPr/>
        <w:t>（二）经营模式</w:t>
      </w:r>
      <w:r>
        <w:rPr>
          <w:rFonts w:ascii="宋体" w:hAnsi="宋体" w:cs="宋体" w:eastAsia="宋体" w:hint="default"/>
        </w:rPr>
        <w:t> </w:t>
      </w:r>
      <w:r>
        <w:rPr/>
        <w:t>公司为客户提供通信技术服务，主要客户为通信运营商、中国铁塔、设备厂家。客户根据自身需求，通过公开招标的</w:t>
      </w:r>
    </w:p>
    <w:p>
      <w:pPr>
        <w:pStyle w:val="BodyText"/>
        <w:spacing w:line="480" w:lineRule="auto" w:before="5"/>
        <w:ind w:left="538" w:right="977" w:hanging="426"/>
        <w:jc w:val="left"/>
        <w:rPr>
          <w:rFonts w:ascii="宋体" w:hAnsi="宋体" w:cs="宋体" w:eastAsia="宋体" w:hint="default"/>
        </w:rPr>
      </w:pPr>
      <w:r>
        <w:rPr/>
        <w:t>形式采购其所需的各类服务，公司获取客户业务主要是通过参与客户招标的方式实现。</w:t>
      </w:r>
      <w:r>
        <w:rPr>
          <w:rFonts w:ascii="宋体" w:hAnsi="宋体" w:cs="宋体" w:eastAsia="宋体" w:hint="default"/>
        </w:rPr>
        <w:t> </w:t>
      </w:r>
      <w:r>
        <w:rPr/>
        <w:t>报告期内公司的经营模式（采购、生产、销售等）未发生重大变化。</w:t>
      </w:r>
      <w:r>
        <w:rPr>
          <w:rFonts w:ascii="宋体" w:hAnsi="宋体" w:cs="宋体" w:eastAsia="宋体" w:hint="default"/>
        </w:rPr>
        <w:t> </w:t>
      </w:r>
    </w:p>
    <w:p>
      <w:pPr>
        <w:pStyle w:val="BodyText"/>
        <w:spacing w:line="240" w:lineRule="auto" w:before="55"/>
        <w:ind w:left="538" w:right="977"/>
        <w:jc w:val="left"/>
        <w:rPr>
          <w:rFonts w:ascii="宋体" w:hAnsi="宋体" w:cs="宋体" w:eastAsia="宋体" w:hint="default"/>
        </w:rPr>
      </w:pPr>
      <w:r>
        <w:rPr/>
        <w:t>（三）行业发展</w:t>
      </w:r>
      <w:r>
        <w:rPr>
          <w:rFonts w:ascii="宋体" w:hAnsi="宋体" w:cs="宋体" w:eastAsia="宋体" w:hint="default"/>
        </w:rPr>
        <w:t> </w:t>
      </w:r>
    </w:p>
    <w:p>
      <w:pPr>
        <w:spacing w:line="240" w:lineRule="auto" w:before="10"/>
        <w:rPr>
          <w:rFonts w:ascii="宋体" w:hAnsi="宋体" w:cs="宋体" w:eastAsia="宋体" w:hint="default"/>
          <w:sz w:val="17"/>
          <w:szCs w:val="17"/>
        </w:rPr>
      </w:pPr>
    </w:p>
    <w:p>
      <w:pPr>
        <w:pStyle w:val="BodyText"/>
        <w:spacing w:line="316" w:lineRule="auto"/>
        <w:ind w:right="1129" w:firstLine="425"/>
        <w:jc w:val="both"/>
        <w:rPr>
          <w:rFonts w:ascii="宋体" w:hAnsi="宋体" w:cs="宋体" w:eastAsia="宋体" w:hint="default"/>
        </w:rPr>
      </w:pPr>
      <w:r>
        <w:rPr/>
        <w:t>随着</w:t>
      </w:r>
      <w:r>
        <w:rPr>
          <w:rFonts w:ascii="宋体" w:hAnsi="宋体" w:cs="宋体" w:eastAsia="宋体" w:hint="default"/>
        </w:rPr>
        <w:t>5G</w:t>
      </w:r>
      <w:r>
        <w:rPr/>
        <w:t>、大数据、云计算、人工智能为代表的新一轮信息技术孕育兴起，技术创新与跨界融合趋势愈发明显，市场竞 </w:t>
      </w:r>
      <w:r>
        <w:rPr>
          <w:spacing w:val="-2"/>
        </w:rPr>
        <w:t>争更趋激烈复杂，业务形态发生深刻变化。随着实体经济和数字经济加速融合，信息通信与各行各业融通发展的新趋势正在</w:t>
      </w:r>
      <w:r>
        <w:rPr>
          <w:spacing w:val="-62"/>
        </w:rPr>
        <w:t> </w:t>
      </w:r>
      <w:r>
        <w:rPr>
          <w:spacing w:val="-62"/>
        </w:rPr>
      </w:r>
      <w:r>
        <w:rPr>
          <w:spacing w:val="-2"/>
        </w:rPr>
        <w:t>形成。智慧城市、数字家庭、共享服务、万物互联等产业互联网应用催化着流量型业务迅猛发展。基础电信企业的业务形态</w:t>
      </w:r>
      <w:r>
        <w:rPr>
          <w:spacing w:val="-64"/>
        </w:rPr>
        <w:t> </w:t>
      </w:r>
      <w:r>
        <w:rPr>
          <w:spacing w:val="-64"/>
        </w:rPr>
      </w:r>
      <w:r>
        <w:rPr/>
        <w:t>从面向语音、面向客户的传统通信服务，迅速拓展到为各行各业提供丰富快捷的数字化服务。</w:t>
      </w:r>
      <w:r>
        <w:rPr>
          <w:rFonts w:ascii="宋体" w:hAnsi="宋体" w:cs="宋体" w:eastAsia="宋体" w:hint="default"/>
        </w:rPr>
        <w:t> </w:t>
      </w:r>
    </w:p>
    <w:p>
      <w:pPr>
        <w:spacing w:line="240" w:lineRule="auto" w:before="7"/>
        <w:rPr>
          <w:rFonts w:ascii="宋体" w:hAnsi="宋体" w:cs="宋体" w:eastAsia="宋体" w:hint="default"/>
          <w:sz w:val="13"/>
          <w:szCs w:val="13"/>
        </w:rPr>
      </w:pPr>
    </w:p>
    <w:p>
      <w:pPr>
        <w:pStyle w:val="BodyText"/>
        <w:spacing w:line="316" w:lineRule="auto"/>
        <w:ind w:right="1034" w:firstLine="425"/>
        <w:jc w:val="left"/>
        <w:rPr>
          <w:rFonts w:ascii="宋体" w:hAnsi="宋体" w:cs="宋体" w:eastAsia="宋体" w:hint="default"/>
        </w:rPr>
      </w:pPr>
      <w:r>
        <w:rPr/>
        <w:t>同时，</w:t>
      </w:r>
      <w:r>
        <w:rPr>
          <w:rFonts w:ascii="宋体" w:hAnsi="宋体" w:cs="宋体" w:eastAsia="宋体" w:hint="default"/>
        </w:rPr>
        <w:t>5G2018</w:t>
      </w:r>
      <w:r>
        <w:rPr/>
        <w:t>年开始试点，将推动网络基础设施加速向高速率、全覆盖、智能化发展，从带宽、时延、同步、组网、 </w:t>
      </w:r>
      <w:r>
        <w:rPr>
          <w:spacing w:val="-5"/>
        </w:rPr>
        <w:t>基础资源等方面对传输网络提出了更高要求；</w:t>
      </w:r>
      <w:r>
        <w:rPr>
          <w:rFonts w:ascii="宋体" w:hAnsi="宋体" w:cs="宋体" w:eastAsia="宋体" w:hint="default"/>
          <w:spacing w:val="-5"/>
        </w:rPr>
        <w:t>5G</w:t>
      </w:r>
      <w:r>
        <w:rPr>
          <w:spacing w:val="-5"/>
        </w:rPr>
        <w:t>具有密集、高频段、多制式天线组网等特点，需要通过规模实验充分积累</w:t>
      </w:r>
      <w:r>
        <w:rPr>
          <w:rFonts w:ascii="宋体" w:hAnsi="宋体" w:cs="宋体" w:eastAsia="宋体" w:hint="default"/>
          <w:spacing w:val="-5"/>
        </w:rPr>
        <w:t>4/5G</w:t>
      </w:r>
      <w:r>
        <w:rPr>
          <w:rFonts w:ascii="宋体" w:hAnsi="宋体" w:cs="宋体" w:eastAsia="宋体" w:hint="default"/>
          <w:spacing w:val="-67"/>
        </w:rPr>
        <w:t> </w:t>
      </w:r>
      <w:r>
        <w:rPr>
          <w:rFonts w:ascii="宋体" w:hAnsi="宋体" w:cs="宋体" w:eastAsia="宋体" w:hint="default"/>
          <w:spacing w:val="-67"/>
        </w:rPr>
      </w:r>
      <w:r>
        <w:rPr/>
        <w:t>融合组网及运维经验。对下一代网络建设，需要技术服务提供商加快推进网络运维调整，提升运维智能化自动化支撑能力， 打造既懂</w:t>
      </w:r>
      <w:r>
        <w:rPr>
          <w:rFonts w:ascii="宋体" w:hAnsi="宋体" w:cs="宋体" w:eastAsia="宋体" w:hint="default"/>
        </w:rPr>
        <w:t>CT</w:t>
      </w:r>
      <w:r>
        <w:rPr/>
        <w:t>又懂</w:t>
      </w:r>
      <w:r>
        <w:rPr>
          <w:rFonts w:ascii="宋体" w:hAnsi="宋体" w:cs="宋体" w:eastAsia="宋体" w:hint="default"/>
        </w:rPr>
        <w:t>IT</w:t>
      </w:r>
      <w:r>
        <w:rPr/>
        <w:t>的新型数字化人才队伍。</w:t>
      </w:r>
      <w:r>
        <w:rPr>
          <w:rFonts w:ascii="宋体" w:hAnsi="宋体" w:cs="宋体" w:eastAsia="宋体" w:hint="default"/>
        </w:rPr>
        <w:t> </w:t>
      </w:r>
    </w:p>
    <w:p>
      <w:pPr>
        <w:spacing w:line="240" w:lineRule="auto" w:before="8"/>
        <w:rPr>
          <w:rFonts w:ascii="宋体" w:hAnsi="宋体" w:cs="宋体" w:eastAsia="宋体" w:hint="default"/>
          <w:sz w:val="13"/>
          <w:szCs w:val="13"/>
        </w:rPr>
      </w:pPr>
    </w:p>
    <w:p>
      <w:pPr>
        <w:pStyle w:val="BodyText"/>
        <w:spacing w:line="316" w:lineRule="auto"/>
        <w:ind w:right="1126" w:firstLine="425"/>
        <w:jc w:val="both"/>
        <w:rPr>
          <w:rFonts w:ascii="宋体" w:hAnsi="宋体" w:cs="宋体" w:eastAsia="宋体" w:hint="default"/>
        </w:rPr>
      </w:pPr>
      <w:r>
        <w:rPr>
          <w:rFonts w:ascii="宋体" w:hAnsi="宋体" w:cs="宋体" w:eastAsia="宋体" w:hint="default"/>
        </w:rPr>
        <w:t>2018</w:t>
      </w:r>
      <w:r>
        <w:rPr/>
        <w:t>年受流量漫游费取消、</w:t>
      </w:r>
      <w:r>
        <w:rPr>
          <w:rFonts w:ascii="宋体" w:hAnsi="宋体" w:cs="宋体" w:eastAsia="宋体" w:hint="default"/>
        </w:rPr>
        <w:t>4G</w:t>
      </w:r>
      <w:r>
        <w:rPr/>
        <w:t>流量下调资费价格等影响，运营商增量不增收压力加剧，在通信行业“增量不增收”的 大背景下，加剧行业深度洗牌，一些缺乏竞争力的企业面临出局风险。随着</w:t>
      </w:r>
      <w:r>
        <w:rPr>
          <w:rFonts w:ascii="宋体" w:hAnsi="宋体" w:cs="宋体" w:eastAsia="宋体" w:hint="default"/>
        </w:rPr>
        <w:t>5G</w:t>
      </w:r>
      <w:r>
        <w:rPr>
          <w:rFonts w:ascii="宋体" w:hAnsi="宋体" w:cs="宋体" w:eastAsia="宋体" w:hint="default"/>
          <w:spacing w:val="1"/>
        </w:rPr>
        <w:t> </w:t>
      </w:r>
      <w:r>
        <w:rPr/>
        <w:t>的快速发展和应用创新，推动网络基础设施 </w:t>
      </w:r>
      <w:r>
        <w:rPr>
          <w:spacing w:val="-2"/>
        </w:rPr>
        <w:t>加速向高速率、全覆盖、智能化发展，从带宽、时延、同步、组网、基础资源等方面对传输网络提出了更高要求，通信技术</w:t>
      </w:r>
      <w:r>
        <w:rPr>
          <w:spacing w:val="-65"/>
        </w:rPr>
        <w:t> </w:t>
      </w:r>
      <w:r>
        <w:rPr>
          <w:spacing w:val="-65"/>
        </w:rPr>
      </w:r>
      <w:r>
        <w:rPr>
          <w:spacing w:val="-2"/>
        </w:rPr>
        <w:t>是构建网络的底层技术，基础建设需求呈不断提升趋势，同时</w:t>
      </w:r>
      <w:r>
        <w:rPr>
          <w:rFonts w:ascii="宋体" w:hAnsi="宋体" w:cs="宋体" w:eastAsia="宋体" w:hint="default"/>
          <w:spacing w:val="-2"/>
        </w:rPr>
        <w:t>2018</w:t>
      </w:r>
      <w:r>
        <w:rPr>
          <w:spacing w:val="-2"/>
        </w:rPr>
        <w:t>年是</w:t>
      </w:r>
      <w:r>
        <w:rPr>
          <w:rFonts w:ascii="宋体" w:hAnsi="宋体" w:cs="宋体" w:eastAsia="宋体" w:hint="default"/>
          <w:spacing w:val="-2"/>
        </w:rPr>
        <w:t>5G</w:t>
      </w:r>
      <w:r>
        <w:rPr>
          <w:spacing w:val="-2"/>
        </w:rPr>
        <w:t>承前启后的一年，</w:t>
      </w:r>
      <w:r>
        <w:rPr>
          <w:rFonts w:ascii="宋体" w:hAnsi="宋体" w:cs="宋体" w:eastAsia="宋体" w:hint="default"/>
          <w:spacing w:val="-2"/>
        </w:rPr>
        <w:t>5G</w:t>
      </w:r>
      <w:r>
        <w:rPr>
          <w:spacing w:val="-2"/>
        </w:rPr>
        <w:t>今年开始试点，物联网</w:t>
      </w:r>
      <w:r>
        <w:rPr>
          <w:rFonts w:ascii="宋体" w:hAnsi="宋体" w:cs="宋体" w:eastAsia="宋体" w:hint="default"/>
          <w:spacing w:val="-2"/>
        </w:rPr>
        <w:t>NB-IoT</w:t>
      </w:r>
      <w:r>
        <w:rPr>
          <w:rFonts w:ascii="宋体" w:hAnsi="宋体" w:cs="宋体" w:eastAsia="宋体" w:hint="default"/>
          <w:spacing w:val="-52"/>
        </w:rPr>
        <w:t> </w:t>
      </w:r>
      <w:r>
        <w:rPr>
          <w:rFonts w:ascii="宋体" w:hAnsi="宋体" w:cs="宋体" w:eastAsia="宋体" w:hint="default"/>
          <w:spacing w:val="-52"/>
        </w:rPr>
      </w:r>
      <w:r>
        <w:rPr>
          <w:spacing w:val="-2"/>
        </w:rPr>
        <w:t>市场开始爆发，我国虽已初步形成完整的物联网产业体系，但尤其是工业物联网增长空间还有很大。物联网的爆炸式信息量</w:t>
      </w:r>
      <w:r>
        <w:rPr>
          <w:spacing w:val="-62"/>
        </w:rPr>
        <w:t> </w:t>
      </w:r>
      <w:r>
        <w:rPr>
          <w:spacing w:val="-62"/>
        </w:rPr>
      </w:r>
      <w:r>
        <w:rPr>
          <w:spacing w:val="-2"/>
        </w:rPr>
        <w:t>增长将超过以人为节点、人际关系为连接的用户网络，使得网络世界变得更加扁平化和个性化。</w:t>
      </w:r>
      <w:r>
        <w:rPr>
          <w:rFonts w:ascii="宋体" w:hAnsi="宋体" w:cs="宋体" w:eastAsia="宋体" w:hint="default"/>
          <w:spacing w:val="-2"/>
        </w:rPr>
        <w:t>5G</w:t>
      </w:r>
      <w:r>
        <w:rPr>
          <w:spacing w:val="-2"/>
        </w:rPr>
        <w:t>的智慧网络会带来人类生</w:t>
      </w:r>
      <w:r>
        <w:rPr>
          <w:spacing w:val="-62"/>
        </w:rPr>
        <w:t> </w:t>
      </w:r>
      <w:r>
        <w:rPr>
          <w:spacing w:val="-62"/>
        </w:rPr>
      </w:r>
      <w:r>
        <w:rPr>
          <w:spacing w:val="-3"/>
        </w:rPr>
        <w:t>产活动的革命性升级，基于 </w:t>
      </w:r>
      <w:r>
        <w:rPr>
          <w:rFonts w:ascii="宋体" w:hAnsi="宋体" w:cs="宋体" w:eastAsia="宋体" w:hint="default"/>
          <w:spacing w:val="-3"/>
        </w:rPr>
      </w:r>
      <w:r>
        <w:rPr>
          <w:rFonts w:ascii="宋体" w:hAnsi="宋体" w:cs="宋体" w:eastAsia="宋体" w:hint="default"/>
        </w:rPr>
        <w:t>5G </w:t>
      </w:r>
      <w:r>
        <w:rPr/>
        <w:t>网络的 </w:t>
      </w:r>
      <w:r>
        <w:rPr>
          <w:rFonts w:ascii="宋体" w:hAnsi="宋体" w:cs="宋体" w:eastAsia="宋体" w:hint="default"/>
        </w:rPr>
        <w:t>AI</w:t>
      </w:r>
      <w:r>
        <w:rPr>
          <w:rFonts w:ascii="宋体" w:hAnsi="宋体" w:cs="宋体" w:eastAsia="宋体" w:hint="default"/>
          <w:spacing w:val="-46"/>
        </w:rPr>
        <w:t> </w:t>
      </w:r>
      <w:r>
        <w:rPr/>
        <w:t>或机器人可以替代大部分目前由人力进行的生产和服务，劳动力进一步解放，转 向创新服务行业。</w:t>
      </w:r>
      <w:r>
        <w:rPr>
          <w:rFonts w:ascii="宋体" w:hAnsi="宋体" w:cs="宋体" w:eastAsia="宋体" w:hint="default"/>
        </w:rPr>
        <w:t> </w:t>
      </w:r>
    </w:p>
    <w:p>
      <w:pPr>
        <w:spacing w:line="240" w:lineRule="auto" w:before="7"/>
        <w:rPr>
          <w:rFonts w:ascii="宋体" w:hAnsi="宋体" w:cs="宋体" w:eastAsia="宋体" w:hint="default"/>
          <w:sz w:val="13"/>
          <w:szCs w:val="13"/>
        </w:rPr>
      </w:pPr>
    </w:p>
    <w:p>
      <w:pPr>
        <w:pStyle w:val="BodyText"/>
        <w:spacing w:line="319" w:lineRule="auto"/>
        <w:ind w:right="977" w:firstLine="425"/>
        <w:jc w:val="left"/>
        <w:rPr>
          <w:rFonts w:ascii="宋体" w:hAnsi="宋体" w:cs="宋体" w:eastAsia="宋体" w:hint="default"/>
        </w:rPr>
      </w:pPr>
      <w:r>
        <w:rPr>
          <w:spacing w:val="-2"/>
        </w:rPr>
        <w:t>针对市场环境的变化，公司进一步扩展服务范围。在主营业务通信技术服务方面，公司将在各业务区域推进业务迭加。</w:t>
      </w:r>
      <w:r>
        <w:rPr/>
        <w:t> </w:t>
      </w:r>
      <w:r>
        <w:rPr>
          <w:spacing w:val="-2"/>
        </w:rPr>
        <w:t>此外，公司将进一步扩展服务对象范围，除为通信运营商提供技术服务外，服务范围将逐渐扩展到为教育、金融、医疗、政</w:t>
      </w:r>
      <w:r>
        <w:rPr>
          <w:spacing w:val="-70"/>
        </w:rPr>
        <w:t> </w:t>
      </w:r>
      <w:r>
        <w:rPr>
          <w:spacing w:val="-70"/>
        </w:rPr>
      </w:r>
      <w:r>
        <w:rPr>
          <w:spacing w:val="-2"/>
        </w:rPr>
        <w:t>务、警务、旅游、物流、能源、交通等行业提供云服务、数据中心机房建设、维护、计算机系统集成服务、市政建设及迁改</w:t>
      </w:r>
      <w:r>
        <w:rPr>
          <w:spacing w:val="-69"/>
        </w:rPr>
        <w:t> </w:t>
      </w:r>
      <w:r>
        <w:rPr>
          <w:spacing w:val="-69"/>
        </w:rPr>
      </w:r>
      <w:r>
        <w:rPr>
          <w:spacing w:val="-2"/>
        </w:rPr>
        <w:t>等服务，随着社会信息化加速，对政府信息化、企业信息化的服务向纵深展开。公司的服务对象愈加广泛，不仅限于基础电</w:t>
      </w:r>
      <w:r>
        <w:rPr>
          <w:spacing w:val="-67"/>
        </w:rPr>
        <w:t> </w:t>
      </w:r>
      <w:r>
        <w:rPr>
          <w:spacing w:val="-67"/>
        </w:rPr>
      </w:r>
      <w:r>
        <w:rPr/>
        <w:t>信运营商，在立足通信原有业务基础上，向电力、</w:t>
      </w:r>
      <w:r>
        <w:rPr>
          <w:rFonts w:ascii="宋体" w:hAnsi="宋体" w:cs="宋体" w:eastAsia="宋体" w:hint="default"/>
        </w:rPr>
        <w:t>ICT</w:t>
      </w:r>
      <w:r>
        <w:rPr/>
        <w:t>、智慧城市等领域的政企业务探索。</w:t>
      </w:r>
      <w:r>
        <w:rPr>
          <w:rFonts w:ascii="宋体" w:hAnsi="宋体" w:cs="宋体" w:eastAsia="宋体" w:hint="default"/>
        </w:rPr>
        <w:t> </w:t>
      </w:r>
    </w:p>
    <w:p>
      <w:pPr>
        <w:spacing w:line="240" w:lineRule="auto" w:before="9"/>
        <w:rPr>
          <w:rFonts w:ascii="宋体" w:hAnsi="宋体" w:cs="宋体" w:eastAsia="宋体" w:hint="default"/>
          <w:sz w:val="20"/>
          <w:szCs w:val="20"/>
        </w:rPr>
      </w:pPr>
    </w:p>
    <w:p>
      <w:pPr>
        <w:pStyle w:val="Heading2"/>
        <w:spacing w:line="240" w:lineRule="auto"/>
        <w:ind w:right="977"/>
        <w:jc w:val="left"/>
        <w:rPr>
          <w:b w:val="0"/>
          <w:bCs w:val="0"/>
        </w:rPr>
      </w:pPr>
      <w:r>
        <w:rPr/>
        <w:t>二、主要资产重大变化情况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77"/>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0"/>
        <w:gridCol w:w="6519"/>
      </w:tblGrid>
      <w:tr>
        <w:trPr>
          <w:trHeight w:val="763"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4"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截至报告期末，股权资产无重大变化。</w:t>
            </w:r>
          </w:p>
        </w:tc>
      </w:tr>
    </w:tbl>
    <w:p>
      <w:pPr>
        <w:spacing w:after="0" w:line="240" w:lineRule="auto"/>
        <w:jc w:val="left"/>
        <w:rPr>
          <w:rFonts w:ascii="宋体" w:hAnsi="宋体" w:cs="宋体" w:eastAsia="宋体" w:hint="default"/>
          <w:sz w:val="18"/>
          <w:szCs w:val="18"/>
        </w:rPr>
        <w:sectPr>
          <w:pgSz w:w="11910" w:h="16840"/>
          <w:pgMar w:header="910" w:footer="1013" w:top="1100" w:bottom="1200" w:left="1020" w:right="0"/>
        </w:sectPr>
      </w:pPr>
    </w:p>
    <w:p>
      <w:pPr>
        <w:spacing w:line="240" w:lineRule="auto" w:before="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0"/>
        <w:gridCol w:w="6519"/>
      </w:tblGrid>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截至报告期末，固定资产无重大变化。</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截至报告期末，无形资产无重大变化。</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截至报告期末，无发生额。</w:t>
            </w:r>
          </w:p>
        </w:tc>
      </w:tr>
      <w:tr>
        <w:trPr>
          <w:trHeight w:val="715"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105" w:right="131"/>
              <w:jc w:val="left"/>
              <w:rPr>
                <w:rFonts w:ascii="宋体" w:hAnsi="宋体" w:cs="宋体" w:eastAsia="宋体" w:hint="default"/>
                <w:sz w:val="18"/>
                <w:szCs w:val="18"/>
              </w:rPr>
            </w:pPr>
            <w:r>
              <w:rPr>
                <w:rFonts w:ascii="宋体" w:hAnsi="宋体" w:cs="宋体" w:eastAsia="宋体" w:hint="default"/>
                <w:sz w:val="18"/>
                <w:szCs w:val="18"/>
              </w:rPr>
              <w:t>截至报告期末，货币资金较期初增长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489.99%</w:t>
            </w:r>
            <w:r>
              <w:rPr>
                <w:rFonts w:ascii="宋体" w:hAnsi="宋体" w:cs="宋体" w:eastAsia="宋体" w:hint="default"/>
                <w:sz w:val="18"/>
                <w:szCs w:val="18"/>
              </w:rPr>
              <w:t>，主要为公司完成公开发行股票， 取得募集资金，货币资金较期初有所增加所致。</w:t>
            </w:r>
          </w:p>
        </w:tc>
      </w:tr>
      <w:tr>
        <w:trPr>
          <w:trHeight w:val="715"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5" w:right="131"/>
              <w:jc w:val="left"/>
              <w:rPr>
                <w:rFonts w:ascii="宋体" w:hAnsi="宋体" w:cs="宋体" w:eastAsia="宋体" w:hint="default"/>
                <w:sz w:val="18"/>
                <w:szCs w:val="18"/>
              </w:rPr>
            </w:pPr>
            <w:r>
              <w:rPr>
                <w:rFonts w:ascii="宋体" w:hAnsi="宋体" w:cs="宋体" w:eastAsia="宋体" w:hint="default"/>
                <w:sz w:val="18"/>
                <w:szCs w:val="18"/>
              </w:rPr>
              <w:t>截至报告期末，其他流动资产较期初增长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588.20%</w:t>
            </w:r>
            <w:r>
              <w:rPr>
                <w:rFonts w:ascii="宋体" w:hAnsi="宋体" w:cs="宋体" w:eastAsia="宋体" w:hint="default"/>
                <w:sz w:val="18"/>
                <w:szCs w:val="18"/>
              </w:rPr>
              <w:t>，主要为公司合理利用闲置资 金进行现金管理所致。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977"/>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977"/>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240" w:lineRule="auto" w:before="29"/>
        <w:ind w:right="977"/>
        <w:jc w:val="left"/>
      </w:pPr>
      <w:r>
        <w:rPr/>
        <w:t>软件与信息技术服务业</w:t>
      </w:r>
    </w:p>
    <w:p>
      <w:pPr>
        <w:spacing w:line="240" w:lineRule="auto" w:before="12"/>
        <w:rPr>
          <w:rFonts w:ascii="宋体" w:hAnsi="宋体" w:cs="宋体" w:eastAsia="宋体" w:hint="default"/>
          <w:sz w:val="17"/>
          <w:szCs w:val="17"/>
        </w:rPr>
      </w:pPr>
    </w:p>
    <w:p>
      <w:pPr>
        <w:pStyle w:val="BodyText"/>
        <w:spacing w:line="240" w:lineRule="auto"/>
        <w:ind w:left="538" w:right="977"/>
        <w:jc w:val="left"/>
        <w:rPr>
          <w:rFonts w:ascii="宋体" w:hAnsi="宋体" w:cs="宋体" w:eastAsia="宋体" w:hint="default"/>
        </w:rPr>
      </w:pPr>
      <w:r>
        <w:rPr>
          <w:rFonts w:ascii="宋体" w:hAnsi="宋体" w:cs="宋体" w:eastAsia="宋体" w:hint="default"/>
        </w:rPr>
        <w:t>1</w:t>
      </w:r>
      <w:r>
        <w:rPr/>
        <w:t>、跨区域、一体化的综合服务能力优势</w:t>
      </w:r>
      <w:r>
        <w:rPr>
          <w:rFonts w:ascii="宋体" w:hAnsi="宋体" w:cs="宋体" w:eastAsia="宋体" w:hint="default"/>
        </w:rPr>
        <w:t> </w:t>
      </w:r>
    </w:p>
    <w:p>
      <w:pPr>
        <w:spacing w:line="240" w:lineRule="auto" w:before="10"/>
        <w:rPr>
          <w:rFonts w:ascii="宋体" w:hAnsi="宋体" w:cs="宋体" w:eastAsia="宋体" w:hint="default"/>
          <w:sz w:val="17"/>
          <w:szCs w:val="17"/>
        </w:rPr>
      </w:pPr>
    </w:p>
    <w:p>
      <w:pPr>
        <w:pStyle w:val="BodyText"/>
        <w:spacing w:line="319" w:lineRule="auto"/>
        <w:ind w:right="1131" w:firstLine="425"/>
        <w:jc w:val="both"/>
        <w:rPr>
          <w:rFonts w:ascii="宋体" w:hAnsi="宋体" w:cs="宋体" w:eastAsia="宋体" w:hint="default"/>
        </w:rPr>
      </w:pPr>
      <w:r>
        <w:rPr/>
        <w:t>公司业务资质种类齐全、等级高且业绩较为显著，承接了通信运营商和中国铁塔相关专业各类规模服务项目，为客户 </w:t>
      </w:r>
      <w:r>
        <w:rPr>
          <w:spacing w:val="-2"/>
        </w:rPr>
        <w:t>提供从通信网络工程建设到网络维护与优化的全方位、一体化的综合通信技术服务，这种一体化的服务优势具有良好的协同</w:t>
      </w:r>
      <w:r>
        <w:rPr>
          <w:spacing w:val="-65"/>
        </w:rPr>
        <w:t> </w:t>
      </w:r>
      <w:r>
        <w:rPr>
          <w:spacing w:val="-65"/>
        </w:rPr>
      </w:r>
      <w:r>
        <w:rPr/>
        <w:t>效应。</w:t>
      </w:r>
      <w:r>
        <w:rPr>
          <w:rFonts w:ascii="宋体" w:hAnsi="宋体" w:cs="宋体" w:eastAsia="宋体" w:hint="default"/>
        </w:rPr>
        <w:t> </w:t>
      </w:r>
    </w:p>
    <w:p>
      <w:pPr>
        <w:spacing w:line="240" w:lineRule="auto" w:before="5"/>
        <w:rPr>
          <w:rFonts w:ascii="宋体" w:hAnsi="宋体" w:cs="宋体" w:eastAsia="宋体" w:hint="default"/>
          <w:sz w:val="13"/>
          <w:szCs w:val="13"/>
        </w:rPr>
      </w:pPr>
    </w:p>
    <w:p>
      <w:pPr>
        <w:pStyle w:val="BodyText"/>
        <w:spacing w:line="314" w:lineRule="auto"/>
        <w:ind w:right="1164" w:firstLine="425"/>
        <w:jc w:val="both"/>
        <w:rPr>
          <w:rFonts w:ascii="宋体" w:hAnsi="宋体" w:cs="宋体" w:eastAsia="宋体" w:hint="default"/>
        </w:rPr>
      </w:pPr>
      <w:r>
        <w:rPr/>
        <w:t>公司已完成募投项目之区域服务网络建设，目前业务已经覆盖</w:t>
      </w:r>
      <w:r>
        <w:rPr>
          <w:rFonts w:ascii="宋体" w:hAnsi="宋体" w:cs="宋体" w:eastAsia="宋体" w:hint="default"/>
        </w:rPr>
        <w:t>29</w:t>
      </w:r>
      <w:r>
        <w:rPr/>
        <w:t>个省份，初步搭建了辐射全国的综合信息网络技术服 务平台，具备跨区域服务能力。</w:t>
      </w:r>
      <w:r>
        <w:rPr>
          <w:rFonts w:ascii="宋体" w:hAnsi="宋体" w:cs="宋体" w:eastAsia="宋体" w:hint="default"/>
        </w:rPr>
        <w:t> </w:t>
      </w:r>
    </w:p>
    <w:p>
      <w:pPr>
        <w:spacing w:line="240" w:lineRule="auto" w:before="9"/>
        <w:rPr>
          <w:rFonts w:ascii="宋体" w:hAnsi="宋体" w:cs="宋体" w:eastAsia="宋体" w:hint="default"/>
          <w:sz w:val="13"/>
          <w:szCs w:val="13"/>
        </w:rPr>
      </w:pPr>
    </w:p>
    <w:p>
      <w:pPr>
        <w:pStyle w:val="BodyText"/>
        <w:spacing w:line="316" w:lineRule="auto"/>
        <w:ind w:right="1164" w:firstLine="425"/>
        <w:jc w:val="both"/>
        <w:rPr>
          <w:rFonts w:ascii="宋体" w:hAnsi="宋体" w:cs="宋体" w:eastAsia="宋体" w:hint="default"/>
        </w:rPr>
      </w:pPr>
      <w:r>
        <w:rPr/>
        <w:t>公司是行业内为数不多的面向全国的集通信网络建设服务、通信网络维护与优化服务于一体的综合型通信技术服务商 之一，在通信运营商一体化服务外包的集中采购趋势下，公司跨区域、一体化的综合服务优势会更加突显。</w:t>
      </w:r>
      <w:r>
        <w:rPr>
          <w:rFonts w:ascii="宋体" w:hAnsi="宋体" w:cs="宋体" w:eastAsia="宋体" w:hint="default"/>
        </w:rPr>
        <w:t> </w:t>
      </w:r>
    </w:p>
    <w:p>
      <w:pPr>
        <w:spacing w:line="240" w:lineRule="auto" w:before="7"/>
        <w:rPr>
          <w:rFonts w:ascii="宋体" w:hAnsi="宋体" w:cs="宋体" w:eastAsia="宋体" w:hint="default"/>
          <w:sz w:val="13"/>
          <w:szCs w:val="13"/>
        </w:rPr>
      </w:pPr>
    </w:p>
    <w:p>
      <w:pPr>
        <w:pStyle w:val="BodyText"/>
        <w:spacing w:line="240" w:lineRule="auto"/>
        <w:ind w:left="538" w:right="977"/>
        <w:jc w:val="left"/>
        <w:rPr>
          <w:rFonts w:ascii="宋体" w:hAnsi="宋体" w:cs="宋体" w:eastAsia="宋体" w:hint="default"/>
        </w:rPr>
      </w:pPr>
      <w:r>
        <w:rPr>
          <w:rFonts w:ascii="宋体" w:hAnsi="宋体" w:cs="宋体" w:eastAsia="宋体" w:hint="default"/>
        </w:rPr>
        <w:t>2</w:t>
      </w:r>
      <w:r>
        <w:rPr/>
        <w:t>、高素质的人才队伍与专业技术优势</w:t>
      </w:r>
      <w:r>
        <w:rPr>
          <w:rFonts w:ascii="宋体" w:hAnsi="宋体" w:cs="宋体" w:eastAsia="宋体" w:hint="default"/>
        </w:rPr>
        <w:t> </w:t>
      </w:r>
    </w:p>
    <w:p>
      <w:pPr>
        <w:spacing w:line="240" w:lineRule="auto" w:before="10"/>
        <w:rPr>
          <w:rFonts w:ascii="宋体" w:hAnsi="宋体" w:cs="宋体" w:eastAsia="宋体" w:hint="default"/>
          <w:sz w:val="17"/>
          <w:szCs w:val="17"/>
        </w:rPr>
      </w:pPr>
    </w:p>
    <w:p>
      <w:pPr>
        <w:pStyle w:val="BodyText"/>
        <w:spacing w:line="316" w:lineRule="auto"/>
        <w:ind w:right="1165" w:firstLine="425"/>
        <w:jc w:val="both"/>
        <w:rPr>
          <w:rFonts w:ascii="宋体" w:hAnsi="宋体" w:cs="宋体" w:eastAsia="宋体" w:hint="default"/>
        </w:rPr>
      </w:pPr>
      <w:r>
        <w:rPr/>
        <w:t>针对通信技术更新换代快、用户需求复杂多变等特点，公司重视人才的引进、培养和发展，始终紧跟行业技术发展前 沿，保持先进的技术服务水平和研发创新能力。</w:t>
      </w:r>
      <w:r>
        <w:rPr>
          <w:rFonts w:ascii="宋体" w:hAnsi="宋体" w:cs="宋体" w:eastAsia="宋体" w:hint="default"/>
        </w:rPr>
        <w:t> </w:t>
      </w:r>
    </w:p>
    <w:p>
      <w:pPr>
        <w:spacing w:line="240" w:lineRule="auto" w:before="8"/>
        <w:rPr>
          <w:rFonts w:ascii="宋体" w:hAnsi="宋体" w:cs="宋体" w:eastAsia="宋体" w:hint="default"/>
          <w:sz w:val="13"/>
          <w:szCs w:val="13"/>
        </w:rPr>
      </w:pPr>
    </w:p>
    <w:p>
      <w:pPr>
        <w:pStyle w:val="BodyText"/>
        <w:spacing w:line="316" w:lineRule="auto"/>
        <w:ind w:right="1128" w:firstLine="425"/>
        <w:jc w:val="both"/>
        <w:rPr>
          <w:rFonts w:ascii="宋体" w:hAnsi="宋体" w:cs="宋体" w:eastAsia="宋体" w:hint="default"/>
        </w:rPr>
      </w:pPr>
      <w:r>
        <w:rPr/>
        <w:t>专业技术人才队伍是企业技术创新的原动力和持续发展的根本，公司在构建内生式技术创新驱动外，积极寻求外部知 </w:t>
      </w:r>
      <w:r>
        <w:rPr>
          <w:spacing w:val="-2"/>
        </w:rPr>
        <w:t>识引进，与广西大学等重点院校建立产学研一体化专业技术研究与开发，并孵化知识产权成果，形成生产力。公司持续的高</w:t>
      </w:r>
      <w:r>
        <w:rPr>
          <w:spacing w:val="-62"/>
        </w:rPr>
        <w:t> </w:t>
      </w:r>
      <w:r>
        <w:rPr>
          <w:spacing w:val="-62"/>
        </w:rPr>
      </w:r>
      <w:r>
        <w:rPr>
          <w:spacing w:val="-2"/>
        </w:rPr>
        <w:t>端人才培育、研发投入和成果转化奠定了良好的技术领先优势，</w:t>
      </w:r>
      <w:r>
        <w:rPr>
          <w:rFonts w:ascii="宋体" w:hAnsi="宋体" w:cs="宋体" w:eastAsia="宋体" w:hint="default"/>
          <w:spacing w:val="-2"/>
        </w:rPr>
        <w:t>2013</w:t>
      </w:r>
      <w:r>
        <w:rPr>
          <w:spacing w:val="-2"/>
        </w:rPr>
        <w:t>年和</w:t>
      </w:r>
      <w:r>
        <w:rPr>
          <w:rFonts w:ascii="宋体" w:hAnsi="宋体" w:cs="宋体" w:eastAsia="宋体" w:hint="default"/>
          <w:spacing w:val="-2"/>
        </w:rPr>
        <w:t>2016</w:t>
      </w:r>
      <w:r>
        <w:rPr>
          <w:spacing w:val="-2"/>
        </w:rPr>
        <w:t>年公司通过了国家高新技术企业认定，并被评</w:t>
      </w:r>
      <w:r>
        <w:rPr>
          <w:spacing w:val="-58"/>
        </w:rPr>
        <w:t> </w:t>
      </w:r>
      <w:r>
        <w:rPr>
          <w:spacing w:val="-58"/>
        </w:rPr>
      </w:r>
      <w:r>
        <w:rPr>
          <w:spacing w:val="-2"/>
        </w:rPr>
        <w:t>为国家火炬计划重点高新技术企业、广西壮族自治区企业技术中心、广西壮族自治区工程技术研究中心、广西壮族自治区产</w:t>
      </w:r>
      <w:r>
        <w:rPr>
          <w:spacing w:val="-62"/>
        </w:rPr>
        <w:t> </w:t>
      </w:r>
      <w:r>
        <w:rPr>
          <w:spacing w:val="-62"/>
        </w:rPr>
      </w:r>
      <w:r>
        <w:rPr/>
        <w:t>学研用一体化企业。</w:t>
      </w:r>
      <w:r>
        <w:rPr>
          <w:rFonts w:ascii="宋体" w:hAnsi="宋体" w:cs="宋体" w:eastAsia="宋体" w:hint="default"/>
        </w:rPr>
        <w:t> </w:t>
      </w:r>
    </w:p>
    <w:p>
      <w:pPr>
        <w:spacing w:line="240" w:lineRule="auto" w:before="7"/>
        <w:rPr>
          <w:rFonts w:ascii="宋体" w:hAnsi="宋体" w:cs="宋体" w:eastAsia="宋体" w:hint="default"/>
          <w:sz w:val="13"/>
          <w:szCs w:val="13"/>
        </w:rPr>
      </w:pPr>
    </w:p>
    <w:p>
      <w:pPr>
        <w:pStyle w:val="BodyText"/>
        <w:spacing w:line="316" w:lineRule="auto"/>
        <w:ind w:right="1129" w:firstLine="425"/>
        <w:jc w:val="both"/>
        <w:rPr>
          <w:rFonts w:ascii="宋体" w:hAnsi="宋体" w:cs="宋体" w:eastAsia="宋体" w:hint="default"/>
        </w:rPr>
      </w:pPr>
      <w:r>
        <w:rPr/>
        <w:t>公司经过多年持之以恒的人力培育和发展，打造了一支专业扎实、技术过硬的高素质专业技术人才团队，精通行业相 </w:t>
      </w:r>
      <w:r>
        <w:rPr>
          <w:spacing w:val="-2"/>
        </w:rPr>
        <w:t>关专业技术知识与技能，熟练掌握各主流设备商通信设备的施工工艺、操作规程、维护技术与优化方法，能够较好地满足客</w:t>
      </w:r>
      <w:r>
        <w:rPr>
          <w:spacing w:val="-63"/>
        </w:rPr>
        <w:t> </w:t>
      </w:r>
      <w:r>
        <w:rPr>
          <w:spacing w:val="-63"/>
        </w:rPr>
      </w:r>
      <w:r>
        <w:rPr>
          <w:spacing w:val="-2"/>
        </w:rPr>
        <w:t>户各种规模网络建设及维护的专业性、及时性、综合性的复杂要求。也通过人才储备、学历提升、管理培训，培养储备了一</w:t>
      </w:r>
      <w:r>
        <w:rPr>
          <w:spacing w:val="-64"/>
        </w:rPr>
        <w:t> </w:t>
      </w:r>
      <w:r>
        <w:rPr>
          <w:spacing w:val="-64"/>
        </w:rPr>
      </w:r>
      <w:r>
        <w:rPr/>
        <w:t>批业务管理精通、发展潜力大、成长意愿强烈、忠诚度高的管理干部。</w:t>
      </w:r>
      <w:r>
        <w:rPr>
          <w:rFonts w:ascii="宋体" w:hAnsi="宋体" w:cs="宋体" w:eastAsia="宋体" w:hint="default"/>
        </w:rPr>
        <w:t> </w:t>
      </w:r>
    </w:p>
    <w:p>
      <w:pPr>
        <w:spacing w:line="240" w:lineRule="auto" w:before="8"/>
        <w:rPr>
          <w:rFonts w:ascii="宋体" w:hAnsi="宋体" w:cs="宋体" w:eastAsia="宋体" w:hint="default"/>
          <w:sz w:val="13"/>
          <w:szCs w:val="13"/>
        </w:rPr>
      </w:pPr>
    </w:p>
    <w:p>
      <w:pPr>
        <w:pStyle w:val="BodyText"/>
        <w:spacing w:line="240" w:lineRule="auto"/>
        <w:ind w:left="538" w:right="977"/>
        <w:jc w:val="left"/>
        <w:rPr>
          <w:rFonts w:ascii="宋体" w:hAnsi="宋体" w:cs="宋体" w:eastAsia="宋体" w:hint="default"/>
        </w:rPr>
      </w:pPr>
      <w:r>
        <w:rPr>
          <w:rFonts w:ascii="宋体" w:hAnsi="宋体" w:cs="宋体" w:eastAsia="宋体" w:hint="default"/>
        </w:rPr>
        <w:t>3</w:t>
      </w:r>
      <w:r>
        <w:rPr/>
        <w:t>、高效的运营管理优势</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910" w:footer="1013"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1130" w:firstLine="425"/>
        <w:jc w:val="right"/>
        <w:rPr>
          <w:rFonts w:ascii="宋体" w:hAnsi="宋体" w:cs="宋体" w:eastAsia="宋体" w:hint="default"/>
        </w:rPr>
      </w:pPr>
      <w:r>
        <w:rPr/>
        <w:t>公司自成立之初便将标准化、规范化、流程化的理念植根于管理体系中，业务交付标准化、作业流程规范化、内部管 </w:t>
      </w:r>
      <w:r>
        <w:rPr>
          <w:spacing w:val="-2"/>
        </w:rPr>
        <w:t>理流程化，并在随后日益壮大的员工队伍中发扬光大。公司利用自身在通信行业的信息技术优势，将管理体系按照运营管理</w:t>
      </w:r>
      <w:r>
        <w:rPr>
          <w:spacing w:val="-72"/>
        </w:rPr>
        <w:t> </w:t>
      </w:r>
      <w:r>
        <w:rPr>
          <w:spacing w:val="-72"/>
        </w:rPr>
      </w:r>
      <w:r>
        <w:rPr/>
        <w:t>和业务管理两个部分，分别进行了平台化、流程化整合，开发了具有自主知识产权的运营管理平台和业务管理信息系统。</w:t>
      </w:r>
      <w:r>
        <w:rPr>
          <w:rFonts w:ascii="宋体" w:hAnsi="宋体" w:cs="宋体" w:eastAsia="宋体" w:hint="default"/>
        </w:rPr>
        <w:t> </w:t>
      </w:r>
    </w:p>
    <w:p>
      <w:pPr>
        <w:spacing w:line="240" w:lineRule="auto" w:before="7"/>
        <w:rPr>
          <w:rFonts w:ascii="宋体" w:hAnsi="宋体" w:cs="宋体" w:eastAsia="宋体" w:hint="default"/>
          <w:sz w:val="13"/>
          <w:szCs w:val="13"/>
        </w:rPr>
      </w:pPr>
    </w:p>
    <w:p>
      <w:pPr>
        <w:pStyle w:val="BodyText"/>
        <w:spacing w:line="316" w:lineRule="auto"/>
        <w:ind w:right="1034" w:firstLine="425"/>
        <w:jc w:val="left"/>
        <w:rPr>
          <w:rFonts w:ascii="宋体" w:hAnsi="宋体" w:cs="宋体" w:eastAsia="宋体" w:hint="default"/>
        </w:rPr>
      </w:pPr>
      <w:r>
        <w:rPr/>
        <w:t>目前公司已将业务管理信息系统升级为智能作业管理平台，实现了对现场作业、质量、安全全过程的管控，数据与公 </w:t>
      </w:r>
      <w:r>
        <w:rPr>
          <w:spacing w:val="-2"/>
        </w:rPr>
        <w:t>司内部平台相通，提高管理效率、提升交付品质的同时降低了管理成本。</w:t>
      </w:r>
      <w:r>
        <w:rPr>
          <w:rFonts w:ascii="宋体" w:hAnsi="宋体" w:cs="宋体" w:eastAsia="宋体" w:hint="default"/>
          <w:spacing w:val="-2"/>
        </w:rPr>
        <w:t>IT</w:t>
      </w:r>
      <w:r>
        <w:rPr>
          <w:spacing w:val="-2"/>
        </w:rPr>
        <w:t>化平台支撑的内部管理模式为公司业务的有序开</w:t>
      </w:r>
      <w:r>
        <w:rPr>
          <w:spacing w:val="-61"/>
        </w:rPr>
        <w:t> </w:t>
      </w:r>
      <w:r>
        <w:rPr>
          <w:spacing w:val="-61"/>
        </w:rPr>
      </w:r>
      <w:r>
        <w:rPr/>
        <w:t>展和工作效率的提高提供了有效的支撑。作业流程在统一的</w:t>
      </w:r>
      <w:r>
        <w:rPr>
          <w:rFonts w:ascii="宋体" w:hAnsi="宋体" w:cs="宋体" w:eastAsia="宋体" w:hint="default"/>
        </w:rPr>
        <w:t>IT</w:t>
      </w:r>
      <w:r>
        <w:rPr/>
        <w:t>支撑系统上高效流转，业务信息在统一的</w:t>
      </w:r>
      <w:r>
        <w:rPr>
          <w:rFonts w:ascii="宋体" w:hAnsi="宋体" w:cs="宋体" w:eastAsia="宋体" w:hint="default"/>
        </w:rPr>
        <w:t>IT</w:t>
      </w:r>
      <w:r>
        <w:rPr/>
        <w:t>系统上全面共享。</w:t>
      </w:r>
      <w:r>
        <w:rPr>
          <w:spacing w:val="-85"/>
        </w:rPr>
        <w:t> </w:t>
      </w:r>
      <w:r>
        <w:rPr>
          <w:spacing w:val="-2"/>
        </w:rPr>
        <w:t>业务支撑通过</w:t>
      </w:r>
      <w:r>
        <w:rPr>
          <w:rFonts w:ascii="宋体" w:hAnsi="宋体" w:cs="宋体" w:eastAsia="宋体" w:hint="default"/>
          <w:spacing w:val="-2"/>
        </w:rPr>
        <w:t>IT</w:t>
      </w:r>
      <w:r>
        <w:rPr>
          <w:spacing w:val="-2"/>
        </w:rPr>
        <w:t>系统实现端到端的直接快速支撑，业务流程通过</w:t>
      </w:r>
      <w:r>
        <w:rPr>
          <w:rFonts w:ascii="宋体" w:hAnsi="宋体" w:cs="宋体" w:eastAsia="宋体" w:hint="default"/>
          <w:spacing w:val="-2"/>
        </w:rPr>
        <w:t>IT</w:t>
      </w:r>
      <w:r>
        <w:rPr>
          <w:spacing w:val="-2"/>
        </w:rPr>
        <w:t>系统实现不受任何时空限制的快速流转，内部资源通过</w:t>
      </w:r>
      <w:r>
        <w:rPr>
          <w:rFonts w:ascii="宋体" w:hAnsi="宋体" w:cs="宋体" w:eastAsia="宋体" w:hint="default"/>
          <w:spacing w:val="-2"/>
        </w:rPr>
        <w:t>IT</w:t>
      </w:r>
      <w:r>
        <w:rPr>
          <w:rFonts w:ascii="宋体" w:hAnsi="宋体" w:cs="宋体" w:eastAsia="宋体" w:hint="default"/>
          <w:spacing w:val="-57"/>
        </w:rPr>
        <w:t> </w:t>
      </w:r>
      <w:r>
        <w:rPr/>
        <w:t>系统实现高效整合调度，通过内部</w:t>
      </w:r>
      <w:r>
        <w:rPr>
          <w:rFonts w:ascii="宋体" w:hAnsi="宋体" w:cs="宋体" w:eastAsia="宋体" w:hint="default"/>
        </w:rPr>
        <w:t>IT</w:t>
      </w:r>
      <w:r>
        <w:rPr/>
        <w:t>化系统平台可以高效响应客户日常、紧急需求。</w:t>
      </w:r>
      <w:r>
        <w:rPr>
          <w:rFonts w:ascii="宋体" w:hAnsi="宋体" w:cs="宋体" w:eastAsia="宋体" w:hint="default"/>
        </w:rPr>
        <w:t> </w:t>
      </w:r>
    </w:p>
    <w:p>
      <w:pPr>
        <w:spacing w:line="240" w:lineRule="auto" w:before="7"/>
        <w:rPr>
          <w:rFonts w:ascii="宋体" w:hAnsi="宋体" w:cs="宋体" w:eastAsia="宋体" w:hint="default"/>
          <w:sz w:val="13"/>
          <w:szCs w:val="13"/>
        </w:rPr>
      </w:pPr>
    </w:p>
    <w:p>
      <w:pPr>
        <w:pStyle w:val="BodyText"/>
        <w:spacing w:line="240" w:lineRule="auto"/>
        <w:ind w:left="538" w:right="977"/>
        <w:jc w:val="left"/>
        <w:rPr>
          <w:rFonts w:ascii="宋体" w:hAnsi="宋体" w:cs="宋体" w:eastAsia="宋体" w:hint="default"/>
        </w:rPr>
      </w:pPr>
      <w:r>
        <w:rPr>
          <w:rFonts w:ascii="宋体" w:hAnsi="宋体" w:cs="宋体" w:eastAsia="宋体" w:hint="default"/>
        </w:rPr>
        <w:t>4</w:t>
      </w:r>
      <w:r>
        <w:rPr/>
        <w:t>、技术研发优势</w:t>
      </w:r>
      <w:r>
        <w:rPr>
          <w:rFonts w:ascii="宋体" w:hAnsi="宋体" w:cs="宋体" w:eastAsia="宋体" w:hint="default"/>
        </w:rPr>
        <w:t> </w:t>
      </w:r>
    </w:p>
    <w:p>
      <w:pPr>
        <w:spacing w:line="240" w:lineRule="auto" w:before="12"/>
        <w:rPr>
          <w:rFonts w:ascii="宋体" w:hAnsi="宋体" w:cs="宋体" w:eastAsia="宋体" w:hint="default"/>
          <w:sz w:val="17"/>
          <w:szCs w:val="17"/>
        </w:rPr>
      </w:pPr>
    </w:p>
    <w:p>
      <w:pPr>
        <w:pStyle w:val="BodyText"/>
        <w:spacing w:line="316" w:lineRule="auto"/>
        <w:ind w:right="977" w:firstLine="425"/>
        <w:jc w:val="left"/>
        <w:rPr>
          <w:rFonts w:ascii="宋体" w:hAnsi="宋体" w:cs="宋体" w:eastAsia="宋体" w:hint="default"/>
        </w:rPr>
      </w:pPr>
      <w:r>
        <w:rPr>
          <w:spacing w:val="-2"/>
        </w:rPr>
        <w:t>公司研发工作始终坚持以市场需求、业务发展为导向，以客户为中心，围绕客户在产品上的需求，帮助客户解决问题，</w:t>
      </w:r>
      <w:r>
        <w:rPr/>
        <w:t> </w:t>
      </w:r>
      <w:r>
        <w:rPr>
          <w:spacing w:val="-2"/>
        </w:rPr>
        <w:t>为客户创造持续、优异的投资回报。目前公司研发团队已成熟运转，截止目前已获得发明专利、实用新型、软件著作权等成</w:t>
      </w:r>
      <w:r>
        <w:rPr>
          <w:spacing w:val="-66"/>
        </w:rPr>
        <w:t> </w:t>
      </w:r>
      <w:r>
        <w:rPr>
          <w:spacing w:val="-66"/>
        </w:rPr>
      </w:r>
      <w:r>
        <w:rPr>
          <w:spacing w:val="-2"/>
        </w:rPr>
        <w:t>果</w:t>
      </w:r>
      <w:r>
        <w:rPr>
          <w:rFonts w:ascii="宋体" w:hAnsi="宋体" w:cs="宋体" w:eastAsia="宋体" w:hint="default"/>
          <w:spacing w:val="-2"/>
        </w:rPr>
        <w:t>90</w:t>
      </w:r>
      <w:r>
        <w:rPr>
          <w:spacing w:val="-2"/>
        </w:rPr>
        <w:t>余项。为满足公司研发工作对核心创新人才的需求，依托广州通信产业的集群优势，吸引更多优秀人才加盟，提升公司</w:t>
      </w:r>
      <w:r>
        <w:rPr>
          <w:spacing w:val="-63"/>
        </w:rPr>
        <w:t> </w:t>
      </w:r>
      <w:r>
        <w:rPr>
          <w:spacing w:val="-63"/>
        </w:rPr>
      </w:r>
      <w:r>
        <w:rPr/>
        <w:t>研发实力，公司已将原计划在南宁实施募投项目之研发中心建设项目变更到广州实施。</w:t>
      </w:r>
      <w:r>
        <w:rPr>
          <w:rFonts w:ascii="宋体" w:hAnsi="宋体" w:cs="宋体" w:eastAsia="宋体" w:hint="default"/>
        </w:rPr>
        <w:t> </w:t>
      </w:r>
    </w:p>
    <w:p>
      <w:pPr>
        <w:spacing w:line="240" w:lineRule="auto" w:before="7"/>
        <w:rPr>
          <w:rFonts w:ascii="宋体" w:hAnsi="宋体" w:cs="宋体" w:eastAsia="宋体" w:hint="default"/>
          <w:sz w:val="13"/>
          <w:szCs w:val="13"/>
        </w:rPr>
      </w:pPr>
    </w:p>
    <w:p>
      <w:pPr>
        <w:pStyle w:val="BodyText"/>
        <w:spacing w:line="316" w:lineRule="auto"/>
        <w:ind w:right="977" w:firstLine="425"/>
        <w:jc w:val="left"/>
        <w:rPr>
          <w:rFonts w:ascii="宋体" w:hAnsi="宋体" w:cs="宋体" w:eastAsia="宋体" w:hint="default"/>
        </w:rPr>
      </w:pPr>
      <w:r>
        <w:rPr/>
        <w:t>通过成立创新研发院，依托内外优势资源，聚焦国内外行业的先进技术和创新理念，始终保持对市场卓越的前瞻性， </w:t>
      </w:r>
      <w:r>
        <w:rPr>
          <w:spacing w:val="-4"/>
        </w:rPr>
        <w:t>培育和孵化新的产品，强化产品、技术的创新与研发工作。为提升公司技术服务能力，公司致力于互联网、物联网、大数据、</w:t>
      </w:r>
      <w:r>
        <w:rPr>
          <w:spacing w:val="-43"/>
        </w:rPr>
        <w:t> </w:t>
      </w:r>
      <w:r>
        <w:rPr>
          <w:spacing w:val="-43"/>
        </w:rPr>
      </w:r>
      <w:r>
        <w:rPr>
          <w:spacing w:val="-2"/>
        </w:rPr>
        <w:t>云计算等新兴技术，通过制订科学的项目管理与质量评估指标体系，建立项目质量跟踪调查制度，实现了全方位的项目过程</w:t>
      </w:r>
      <w:r>
        <w:rPr>
          <w:spacing w:val="-62"/>
        </w:rPr>
        <w:t> </w:t>
      </w:r>
      <w:r>
        <w:rPr>
          <w:spacing w:val="-62"/>
        </w:rPr>
      </w:r>
      <w:r>
        <w:rPr/>
        <w:t>管理与内控。</w:t>
      </w:r>
      <w:r>
        <w:rPr>
          <w:rFonts w:ascii="宋体" w:hAnsi="宋体" w:cs="宋体" w:eastAsia="宋体" w:hint="default"/>
        </w:rPr>
        <w:t> </w:t>
      </w:r>
    </w:p>
    <w:p>
      <w:pPr>
        <w:spacing w:line="240" w:lineRule="auto" w:before="7"/>
        <w:rPr>
          <w:rFonts w:ascii="宋体" w:hAnsi="宋体" w:cs="宋体" w:eastAsia="宋体" w:hint="default"/>
          <w:sz w:val="13"/>
          <w:szCs w:val="13"/>
        </w:rPr>
      </w:pPr>
    </w:p>
    <w:p>
      <w:pPr>
        <w:pStyle w:val="BodyText"/>
        <w:spacing w:line="316" w:lineRule="auto"/>
        <w:ind w:right="1133" w:firstLine="425"/>
        <w:jc w:val="both"/>
        <w:rPr>
          <w:rFonts w:ascii="宋体" w:hAnsi="宋体" w:cs="宋体" w:eastAsia="宋体" w:hint="default"/>
        </w:rPr>
      </w:pPr>
      <w:r>
        <w:rPr/>
        <w:t>公司实施了多个创新研究项目，其研究成果在行业内和公司运营中得到了广泛应用，取得良好效果，主要包括智能作 </w:t>
      </w:r>
      <w:r>
        <w:rPr>
          <w:spacing w:val="-2"/>
        </w:rPr>
        <w:t>业管理平台、智慧城市资源管理平台、融合监控管理平台、云课堂双创管理平台、代维大数据管理平台、网优大数据管理平</w:t>
      </w:r>
      <w:r>
        <w:rPr>
          <w:spacing w:val="-66"/>
        </w:rPr>
        <w:t> </w:t>
      </w:r>
      <w:r>
        <w:rPr>
          <w:spacing w:val="-66"/>
        </w:rPr>
      </w:r>
      <w:r>
        <w:rPr/>
        <w:t>台、智能企业资源规划管理平台等。</w:t>
      </w:r>
      <w:r>
        <w:rPr>
          <w:rFonts w:ascii="宋体" w:hAnsi="宋体" w:cs="宋体" w:eastAsia="宋体" w:hint="default"/>
        </w:rPr>
        <w:t> </w:t>
      </w:r>
    </w:p>
    <w:p>
      <w:pPr>
        <w:spacing w:line="240" w:lineRule="auto" w:before="7"/>
        <w:rPr>
          <w:rFonts w:ascii="宋体" w:hAnsi="宋体" w:cs="宋体" w:eastAsia="宋体" w:hint="default"/>
          <w:sz w:val="13"/>
          <w:szCs w:val="13"/>
        </w:rPr>
      </w:pPr>
    </w:p>
    <w:p>
      <w:pPr>
        <w:pStyle w:val="BodyText"/>
        <w:spacing w:line="314" w:lineRule="auto"/>
        <w:ind w:right="1149" w:firstLine="425"/>
        <w:jc w:val="left"/>
        <w:rPr>
          <w:rFonts w:ascii="宋体" w:hAnsi="宋体" w:cs="宋体" w:eastAsia="宋体" w:hint="default"/>
        </w:rPr>
      </w:pPr>
      <w:r>
        <w:rPr/>
        <w:t>此外，公司基于“做万物互联的建维者，让天下没有难用的网络”愿景，将扩大对信息技术领域的研究投入，以具备 泛智能化服务能力。</w:t>
      </w:r>
      <w:r>
        <w:rPr>
          <w:rFonts w:ascii="宋体" w:hAnsi="宋体" w:cs="宋体" w:eastAsia="宋体" w:hint="default"/>
        </w:rPr>
        <w:t> </w:t>
      </w:r>
    </w:p>
    <w:p>
      <w:pPr>
        <w:spacing w:line="240" w:lineRule="auto" w:before="9"/>
        <w:rPr>
          <w:rFonts w:ascii="宋体" w:hAnsi="宋体" w:cs="宋体" w:eastAsia="宋体" w:hint="default"/>
          <w:sz w:val="13"/>
          <w:szCs w:val="13"/>
        </w:rPr>
      </w:pPr>
    </w:p>
    <w:p>
      <w:pPr>
        <w:pStyle w:val="BodyText"/>
        <w:spacing w:line="240" w:lineRule="auto"/>
        <w:ind w:left="538" w:right="977"/>
        <w:jc w:val="left"/>
        <w:rPr>
          <w:rFonts w:ascii="宋体" w:hAnsi="宋体" w:cs="宋体" w:eastAsia="宋体" w:hint="default"/>
        </w:rPr>
      </w:pPr>
      <w:r>
        <w:rPr>
          <w:rFonts w:ascii="宋体" w:hAnsi="宋体" w:cs="宋体" w:eastAsia="宋体" w:hint="default"/>
          <w:spacing w:val="1"/>
        </w:rPr>
        <w:t>5</w:t>
      </w:r>
      <w:r>
        <w:rPr>
          <w:spacing w:val="-92"/>
        </w:rPr>
        <w:t>、</w:t>
      </w:r>
      <w:r>
        <w:rPr/>
        <w:t>“专注”的团队优</w:t>
      </w:r>
      <w:r>
        <w:rPr>
          <w:spacing w:val="-1"/>
        </w:rPr>
        <w:t>势</w:t>
      </w:r>
      <w:r>
        <w:rPr>
          <w:rFonts w:ascii="宋体" w:hAnsi="宋体" w:cs="宋体" w:eastAsia="宋体" w:hint="default"/>
        </w:rPr>
        <w:t> </w:t>
      </w:r>
    </w:p>
    <w:p>
      <w:pPr>
        <w:spacing w:line="240" w:lineRule="auto" w:before="12"/>
        <w:rPr>
          <w:rFonts w:ascii="宋体" w:hAnsi="宋体" w:cs="宋体" w:eastAsia="宋体" w:hint="default"/>
          <w:sz w:val="17"/>
          <w:szCs w:val="17"/>
        </w:rPr>
      </w:pPr>
    </w:p>
    <w:p>
      <w:pPr>
        <w:pStyle w:val="BodyText"/>
        <w:spacing w:line="316" w:lineRule="auto"/>
        <w:ind w:right="1129" w:firstLine="425"/>
        <w:jc w:val="both"/>
        <w:rPr>
          <w:rFonts w:ascii="宋体" w:hAnsi="宋体" w:cs="宋体" w:eastAsia="宋体" w:hint="default"/>
        </w:rPr>
      </w:pPr>
      <w:r>
        <w:rPr/>
        <w:t>公司从组建到发展成为具有一定规模和实力的综合通信技术服务商，团队优势发挥了无可替代的作用。公司创始人李 </w:t>
      </w:r>
      <w:r>
        <w:rPr>
          <w:spacing w:val="-2"/>
        </w:rPr>
        <w:t>建国先生自创办润建股份以来，一直倡导并践行“专注”的事业理念，扎扎实实专一、专注于通信信息技术服务领域，影响</w:t>
      </w:r>
      <w:r>
        <w:rPr>
          <w:spacing w:val="-67"/>
        </w:rPr>
        <w:t> </w:t>
      </w:r>
      <w:r>
        <w:rPr>
          <w:spacing w:val="-67"/>
        </w:rPr>
      </w:r>
      <w:r>
        <w:rPr>
          <w:spacing w:val="-2"/>
        </w:rPr>
        <w:t>和拥有一支敬业、专业、年富力强、配合默契的中、高层经营管理团队，且中、高层经营管理团队成员均具有通信信息技术</w:t>
      </w:r>
      <w:r>
        <w:rPr>
          <w:spacing w:val="-65"/>
        </w:rPr>
        <w:t> </w:t>
      </w:r>
      <w:r>
        <w:rPr>
          <w:spacing w:val="-65"/>
        </w:rPr>
      </w:r>
      <w:r>
        <w:rPr/>
        <w:t>领域的相关专业背景，对通信技术服务行业和公司均有较深刻的理解，并将“专注”理念根植于心，付诸行动。</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910" w:footer="1013"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24" w:right="977"/>
        <w:jc w:val="left"/>
        <w:rPr>
          <w:b w:val="0"/>
          <w:bCs w:val="0"/>
        </w:rPr>
      </w:pPr>
      <w:bookmarkStart w:name="_bookmark2" w:id="3"/>
      <w:bookmarkEnd w:id="3"/>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77"/>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3" w:firstLine="425"/>
        <w:jc w:val="both"/>
        <w:rPr>
          <w:rFonts w:ascii="宋体" w:hAnsi="宋体" w:cs="宋体" w:eastAsia="宋体" w:hint="default"/>
        </w:rPr>
      </w:pPr>
      <w:r>
        <w:rPr>
          <w:rFonts w:ascii="宋体" w:hAnsi="宋体" w:cs="宋体" w:eastAsia="宋体" w:hint="default"/>
        </w:rPr>
        <w:t>2018</w:t>
      </w:r>
      <w:r>
        <w:rPr/>
        <w:t>年是公司上市元年，公司在加强经营管理工作合规化的同时延续全国市场扩张的策略，进一步巩固公司在优势业 </w:t>
      </w:r>
      <w:r>
        <w:rPr>
          <w:spacing w:val="-2"/>
        </w:rPr>
        <w:t>务、优势区域的领先地位。在市场竞争激励、经营成本高企的环境下，公司优化管理体系和人员结构，借助信息化系统提升</w:t>
      </w:r>
      <w:r>
        <w:rPr>
          <w:spacing w:val="-68"/>
        </w:rPr>
        <w:t> </w:t>
      </w:r>
      <w:r>
        <w:rPr>
          <w:spacing w:val="-68"/>
        </w:rPr>
      </w:r>
      <w:r>
        <w:rPr/>
        <w:t>管理效率，采用智能化作业系统提升交付质量，以降低成本增长幅度。</w:t>
      </w:r>
      <w:r>
        <w:rPr>
          <w:rFonts w:ascii="宋体" w:hAnsi="宋体" w:cs="宋体" w:eastAsia="宋体" w:hint="default"/>
        </w:rPr>
        <w:t> </w:t>
      </w:r>
    </w:p>
    <w:p>
      <w:pPr>
        <w:spacing w:line="240" w:lineRule="auto" w:before="5"/>
        <w:rPr>
          <w:rFonts w:ascii="宋体" w:hAnsi="宋体" w:cs="宋体" w:eastAsia="宋体" w:hint="default"/>
          <w:sz w:val="13"/>
          <w:szCs w:val="13"/>
        </w:rPr>
      </w:pPr>
    </w:p>
    <w:p>
      <w:pPr>
        <w:pStyle w:val="BodyText"/>
        <w:spacing w:line="319" w:lineRule="auto"/>
        <w:ind w:right="1126" w:firstLine="425"/>
        <w:jc w:val="both"/>
        <w:rPr>
          <w:rFonts w:ascii="宋体" w:hAnsi="宋体" w:cs="宋体" w:eastAsia="宋体" w:hint="default"/>
        </w:rPr>
      </w:pPr>
      <w:r>
        <w:rPr>
          <w:spacing w:val="-1"/>
        </w:rPr>
        <w:t>报告期内，公司实现营业收入</w:t>
      </w:r>
      <w:r>
        <w:rPr>
          <w:rFonts w:ascii="宋体" w:hAnsi="宋体" w:cs="宋体" w:eastAsia="宋体" w:hint="default"/>
          <w:spacing w:val="-1"/>
        </w:rPr>
        <w:t>323,168.01</w:t>
      </w:r>
      <w:r>
        <w:rPr>
          <w:spacing w:val="-1"/>
        </w:rPr>
        <w:t>万元，同比增长</w:t>
      </w:r>
      <w:r>
        <w:rPr>
          <w:rFonts w:ascii="宋体" w:hAnsi="宋体" w:cs="宋体" w:eastAsia="宋体" w:hint="default"/>
          <w:spacing w:val="-1"/>
        </w:rPr>
        <w:t>16.31%</w:t>
      </w:r>
      <w:r>
        <w:rPr>
          <w:spacing w:val="-1"/>
        </w:rPr>
        <w:t>；归属于上市公司股东净利润</w:t>
      </w:r>
      <w:r>
        <w:rPr>
          <w:rFonts w:ascii="宋体" w:hAnsi="宋体" w:cs="宋体" w:eastAsia="宋体" w:hint="default"/>
          <w:spacing w:val="-1"/>
        </w:rPr>
        <w:t>20,587.77</w:t>
      </w:r>
      <w:r>
        <w:rPr>
          <w:spacing w:val="-1"/>
        </w:rPr>
        <w:t>万元，同比降</w:t>
      </w:r>
      <w:r>
        <w:rPr/>
        <w:t> 低</w:t>
      </w:r>
      <w:r>
        <w:rPr>
          <w:rFonts w:ascii="宋体" w:hAnsi="宋体" w:cs="宋体" w:eastAsia="宋体" w:hint="default"/>
        </w:rPr>
        <w:t>14%</w:t>
      </w:r>
      <w:r>
        <w:rPr/>
        <w:t>。</w:t>
      </w:r>
      <w:r>
        <w:rPr>
          <w:rFonts w:ascii="宋体" w:hAnsi="宋体" w:cs="宋体" w:eastAsia="宋体" w:hint="default"/>
        </w:rPr>
        <w:t> </w:t>
      </w:r>
    </w:p>
    <w:p>
      <w:pPr>
        <w:spacing w:line="240" w:lineRule="auto" w:before="5"/>
        <w:rPr>
          <w:rFonts w:ascii="宋体" w:hAnsi="宋体" w:cs="宋体" w:eastAsia="宋体" w:hint="default"/>
          <w:sz w:val="13"/>
          <w:szCs w:val="13"/>
        </w:rPr>
      </w:pPr>
    </w:p>
    <w:p>
      <w:pPr>
        <w:pStyle w:val="BodyText"/>
        <w:spacing w:line="477" w:lineRule="auto"/>
        <w:ind w:left="538" w:right="7154"/>
        <w:jc w:val="left"/>
        <w:rPr>
          <w:rFonts w:ascii="宋体" w:hAnsi="宋体" w:cs="宋体" w:eastAsia="宋体" w:hint="default"/>
        </w:rPr>
      </w:pPr>
      <w:r>
        <w:rPr/>
        <w:t>报告期内，公司开展重点工作如下。</w:t>
      </w:r>
      <w:r>
        <w:rPr>
          <w:rFonts w:ascii="宋体" w:hAnsi="宋体" w:cs="宋体" w:eastAsia="宋体" w:hint="default"/>
        </w:rPr>
        <w:t> 1</w:t>
      </w:r>
      <w:r>
        <w:rPr/>
        <w:t>、市场</w:t>
      </w:r>
      <w:r>
        <w:rPr>
          <w:rFonts w:ascii="宋体" w:hAnsi="宋体" w:cs="宋体" w:eastAsia="宋体" w:hint="default"/>
        </w:rPr>
        <w:t> </w:t>
      </w:r>
    </w:p>
    <w:p>
      <w:pPr>
        <w:pStyle w:val="BodyText"/>
        <w:spacing w:line="316" w:lineRule="auto" w:before="54"/>
        <w:ind w:right="977" w:firstLine="425"/>
        <w:jc w:val="left"/>
        <w:rPr>
          <w:rFonts w:ascii="宋体" w:hAnsi="宋体" w:cs="宋体" w:eastAsia="宋体" w:hint="default"/>
        </w:rPr>
      </w:pPr>
      <w:r>
        <w:rPr>
          <w:rFonts w:ascii="宋体" w:hAnsi="宋体" w:cs="宋体" w:eastAsia="宋体" w:hint="default"/>
        </w:rPr>
        <w:t>2018</w:t>
      </w:r>
      <w:r>
        <w:rPr/>
        <w:t>年，公司基本完成了新市场区域服务网络的建设，完成华南、华东、华中、华北、东北、西北、西南七大区域市 </w:t>
      </w:r>
      <w:r>
        <w:rPr>
          <w:spacing w:val="-2"/>
        </w:rPr>
        <w:t>场布局，搭建起辐射全国范围的综合信息网络技术服务平台。在今年中国移动综合代维集中采购的两期招标中，均以总排名</w:t>
      </w:r>
      <w:r>
        <w:rPr>
          <w:spacing w:val="-61"/>
        </w:rPr>
        <w:t> </w:t>
      </w:r>
      <w:r>
        <w:rPr>
          <w:spacing w:val="-61"/>
        </w:rPr>
      </w:r>
      <w:r>
        <w:rPr/>
        <w:t>第一的市场份额中标。其中</w:t>
      </w:r>
      <w:r>
        <w:rPr>
          <w:rFonts w:ascii="宋体" w:hAnsi="宋体" w:cs="宋体" w:eastAsia="宋体" w:hint="default"/>
        </w:rPr>
        <w:t>2018</w:t>
      </w:r>
      <w:r>
        <w:rPr/>
        <w:t>年</w:t>
      </w:r>
      <w:r>
        <w:rPr>
          <w:rFonts w:ascii="宋体" w:hAnsi="宋体" w:cs="宋体" w:eastAsia="宋体" w:hint="default"/>
        </w:rPr>
        <w:t>3</w:t>
      </w:r>
      <w:r>
        <w:rPr/>
        <w:t>月份的中国移动代维集采共招标安徽、海南、吉林、辽宁、天津</w:t>
      </w:r>
      <w:r>
        <w:rPr>
          <w:rFonts w:ascii="宋体" w:hAnsi="宋体" w:cs="宋体" w:eastAsia="宋体" w:hint="default"/>
        </w:rPr>
        <w:t>5</w:t>
      </w:r>
      <w:r>
        <w:rPr/>
        <w:t>个省份，是唯一一家</w:t>
      </w:r>
      <w:r>
        <w:rPr>
          <w:rFonts w:ascii="宋体" w:hAnsi="宋体" w:cs="宋体" w:eastAsia="宋体" w:hint="default"/>
        </w:rPr>
        <w:t>5 </w:t>
      </w:r>
      <w:r>
        <w:rPr/>
        <w:t>省、直辖市均中标的单位；在</w:t>
      </w:r>
      <w:r>
        <w:rPr>
          <w:rFonts w:ascii="宋体" w:hAnsi="宋体" w:cs="宋体" w:eastAsia="宋体" w:hint="default"/>
        </w:rPr>
        <w:t>2018</w:t>
      </w:r>
      <w:r>
        <w:rPr/>
        <w:t>年</w:t>
      </w:r>
      <w:r>
        <w:rPr>
          <w:rFonts w:ascii="宋体" w:hAnsi="宋体" w:cs="宋体" w:eastAsia="宋体" w:hint="default"/>
        </w:rPr>
        <w:t>12</w:t>
      </w:r>
      <w:r>
        <w:rPr/>
        <w:t>月份中国移动代维</w:t>
      </w:r>
      <w:r>
        <w:rPr>
          <w:rFonts w:ascii="宋体" w:hAnsi="宋体" w:cs="宋体" w:eastAsia="宋体" w:hint="default"/>
        </w:rPr>
        <w:t>10</w:t>
      </w:r>
      <w:r>
        <w:rPr/>
        <w:t>省集采采购中，公司参与投标的</w:t>
      </w:r>
      <w:r>
        <w:rPr>
          <w:rFonts w:ascii="宋体" w:hAnsi="宋体" w:cs="宋体" w:eastAsia="宋体" w:hint="default"/>
        </w:rPr>
        <w:t>9</w:t>
      </w:r>
      <w:r>
        <w:rPr/>
        <w:t>个省份均中标，投标中标率达 </w:t>
      </w:r>
      <w:r>
        <w:rPr>
          <w:rFonts w:ascii="宋体" w:hAnsi="宋体" w:cs="宋体" w:eastAsia="宋体" w:hint="default"/>
          <w:spacing w:val="-2"/>
        </w:rPr>
        <w:t>100%</w:t>
      </w:r>
      <w:r>
        <w:rPr>
          <w:spacing w:val="-2"/>
        </w:rPr>
        <w:t>，其中在</w:t>
      </w:r>
      <w:r>
        <w:rPr>
          <w:rFonts w:ascii="宋体" w:hAnsi="宋体" w:cs="宋体" w:eastAsia="宋体" w:hint="default"/>
          <w:spacing w:val="-2"/>
        </w:rPr>
        <w:t>5</w:t>
      </w:r>
      <w:r>
        <w:rPr>
          <w:spacing w:val="-2"/>
        </w:rPr>
        <w:t>个省份的市场份额排名第一。在通信工程业务方面，突破贵州、江苏、湖北移动室分业务以及内蒙古、江苏、</w:t>
      </w:r>
      <w:r>
        <w:rPr>
          <w:spacing w:val="-65"/>
        </w:rPr>
        <w:t> </w:t>
      </w:r>
      <w:r>
        <w:rPr>
          <w:spacing w:val="-65"/>
        </w:rPr>
      </w:r>
      <w:r>
        <w:rPr/>
        <w:t>贵州、安徽移动驻地网业务。在网络优化业务上取得较大突破，公司中标广东和河北两个省份的中国移动中</w:t>
      </w:r>
      <w:r>
        <w:rPr>
          <w:rFonts w:ascii="宋体" w:hAnsi="宋体" w:cs="宋体" w:eastAsia="宋体" w:hint="default"/>
        </w:rPr>
        <w:t>/</w:t>
      </w:r>
      <w:r>
        <w:rPr/>
        <w:t>低端无线网络 优化集采项目第一份额。</w:t>
      </w:r>
      <w:r>
        <w:rPr>
          <w:rFonts w:ascii="宋体" w:hAnsi="宋体" w:cs="宋体" w:eastAsia="宋体" w:hint="default"/>
        </w:rPr>
        <w:t> </w:t>
      </w:r>
    </w:p>
    <w:p>
      <w:pPr>
        <w:spacing w:line="240" w:lineRule="auto" w:before="7"/>
        <w:rPr>
          <w:rFonts w:ascii="宋体" w:hAnsi="宋体" w:cs="宋体" w:eastAsia="宋体" w:hint="default"/>
          <w:sz w:val="13"/>
          <w:szCs w:val="13"/>
        </w:rPr>
      </w:pPr>
    </w:p>
    <w:p>
      <w:pPr>
        <w:pStyle w:val="BodyText"/>
        <w:spacing w:line="316" w:lineRule="auto"/>
        <w:ind w:right="977" w:firstLine="425"/>
        <w:jc w:val="left"/>
        <w:rPr>
          <w:rFonts w:ascii="宋体" w:hAnsi="宋体" w:cs="宋体" w:eastAsia="宋体" w:hint="default"/>
        </w:rPr>
      </w:pPr>
      <w:r>
        <w:rPr/>
        <w:t>此外，在业务结构多元化改善方面显雏形，在行业创新上，公司大数据产品初具优势，获取广东移动、设计院、中移 全通、天津联通及南航</w:t>
      </w:r>
      <w:r>
        <w:rPr>
          <w:rFonts w:ascii="宋体" w:hAnsi="宋体" w:cs="宋体" w:eastAsia="宋体" w:hint="default"/>
        </w:rPr>
        <w:t>7</w:t>
      </w:r>
      <w:r>
        <w:rPr/>
        <w:t>个项目，为客户提供大数据专业服务及创新性的解决方案，驱动数据价值从传统业务支持向推进商 </w:t>
      </w:r>
      <w:r>
        <w:rPr>
          <w:spacing w:val="-2"/>
        </w:rPr>
        <w:t>业决策的业务模式转型。公司开拓了甘肃、海南、云南、广东铁塔融合智能监控业务，公司基于传统通信技术服务的智能化</w:t>
      </w:r>
      <w:r>
        <w:rPr>
          <w:spacing w:val="-64"/>
        </w:rPr>
        <w:t> </w:t>
      </w:r>
      <w:r>
        <w:rPr>
          <w:spacing w:val="-64"/>
        </w:rPr>
      </w:r>
      <w:r>
        <w:rPr>
          <w:spacing w:val="-2"/>
        </w:rPr>
        <w:t>作业平台业务崭露头角，在</w:t>
      </w:r>
      <w:r>
        <w:rPr>
          <w:rFonts w:ascii="宋体" w:hAnsi="宋体" w:cs="宋体" w:eastAsia="宋体" w:hint="default"/>
          <w:spacing w:val="-2"/>
        </w:rPr>
        <w:t>CT</w:t>
      </w:r>
      <w:r>
        <w:rPr>
          <w:spacing w:val="-2"/>
        </w:rPr>
        <w:t>技术应用业务上实现云南移动重点场景问题分析项目，形成基于</w:t>
      </w:r>
      <w:r>
        <w:rPr>
          <w:rFonts w:ascii="宋体" w:hAnsi="宋体" w:cs="宋体" w:eastAsia="宋体" w:hint="default"/>
          <w:spacing w:val="-2"/>
        </w:rPr>
        <w:t>CT</w:t>
      </w:r>
      <w:r>
        <w:rPr>
          <w:spacing w:val="-2"/>
        </w:rPr>
        <w:t>新技术新应用新方案的新服</w:t>
      </w:r>
      <w:r>
        <w:rPr>
          <w:spacing w:val="-61"/>
        </w:rPr>
        <w:t> </w:t>
      </w:r>
      <w:r>
        <w:rPr>
          <w:spacing w:val="-61"/>
        </w:rPr>
      </w:r>
      <w:r>
        <w:rPr>
          <w:spacing w:val="-2"/>
        </w:rPr>
        <w:t>务与新产品，为客户提供更先进的通信服务解决方案。在非运营商的企业业务方面，实现多行业、跨领域突破，先后突入教</w:t>
      </w:r>
      <w:r>
        <w:rPr>
          <w:spacing w:val="-68"/>
        </w:rPr>
        <w:t> </w:t>
      </w:r>
      <w:r>
        <w:rPr>
          <w:spacing w:val="-68"/>
        </w:rPr>
      </w:r>
      <w:r>
        <w:rPr>
          <w:spacing w:val="-2"/>
        </w:rPr>
        <w:t>育行业、金融行业、市政行业、城市轨道交通信息化集成、改迁，并在</w:t>
      </w:r>
      <w:r>
        <w:rPr>
          <w:rFonts w:ascii="宋体" w:hAnsi="宋体" w:cs="宋体" w:eastAsia="宋体" w:hint="default"/>
          <w:spacing w:val="-2"/>
        </w:rPr>
        <w:t>IDC</w:t>
      </w:r>
      <w:r>
        <w:rPr>
          <w:spacing w:val="-2"/>
        </w:rPr>
        <w:t>领域有较好的发展趋势，先后在万国数据、腾讯、</w:t>
      </w:r>
      <w:r>
        <w:rPr>
          <w:spacing w:val="-67"/>
        </w:rPr>
        <w:t> </w:t>
      </w:r>
      <w:r>
        <w:rPr>
          <w:spacing w:val="-67"/>
        </w:rPr>
      </w:r>
      <w:r>
        <w:rPr/>
        <w:t>农信社实现了业务破冰。另在云业务方面获得腾讯、天翼、</w:t>
      </w:r>
      <w:r>
        <w:rPr>
          <w:rFonts w:ascii="宋体" w:hAnsi="宋体" w:cs="宋体" w:eastAsia="宋体" w:hint="default"/>
        </w:rPr>
        <w:t>SAP</w:t>
      </w:r>
      <w:r>
        <w:rPr/>
        <w:t>合作代理资格，与多家行业公司达成战略合作协议，通过战 略合作提升公司核心竞争力，现出新的发展态势。</w:t>
      </w:r>
      <w:r>
        <w:rPr>
          <w:rFonts w:ascii="宋体" w:hAnsi="宋体" w:cs="宋体" w:eastAsia="宋体" w:hint="default"/>
        </w:rPr>
        <w:t> </w:t>
      </w:r>
    </w:p>
    <w:p>
      <w:pPr>
        <w:spacing w:line="240" w:lineRule="auto" w:before="5"/>
        <w:rPr>
          <w:rFonts w:ascii="宋体" w:hAnsi="宋体" w:cs="宋体" w:eastAsia="宋体" w:hint="default"/>
          <w:sz w:val="13"/>
          <w:szCs w:val="13"/>
        </w:rPr>
      </w:pPr>
    </w:p>
    <w:p>
      <w:pPr>
        <w:pStyle w:val="BodyText"/>
        <w:spacing w:line="240" w:lineRule="auto"/>
        <w:ind w:left="538" w:right="977"/>
        <w:jc w:val="left"/>
        <w:rPr>
          <w:rFonts w:ascii="宋体" w:hAnsi="宋体" w:cs="宋体" w:eastAsia="宋体" w:hint="default"/>
        </w:rPr>
      </w:pPr>
      <w:r>
        <w:rPr>
          <w:rFonts w:ascii="宋体" w:hAnsi="宋体" w:cs="宋体" w:eastAsia="宋体" w:hint="default"/>
        </w:rPr>
        <w:t>2</w:t>
      </w:r>
      <w:r>
        <w:rPr/>
        <w:t>、研发工作</w:t>
      </w:r>
      <w:r>
        <w:rPr>
          <w:rFonts w:ascii="宋体" w:hAnsi="宋体" w:cs="宋体" w:eastAsia="宋体" w:hint="default"/>
        </w:rPr>
        <w:t> </w:t>
      </w:r>
    </w:p>
    <w:p>
      <w:pPr>
        <w:spacing w:line="240" w:lineRule="auto" w:before="13"/>
        <w:rPr>
          <w:rFonts w:ascii="宋体" w:hAnsi="宋体" w:cs="宋体" w:eastAsia="宋体" w:hint="default"/>
          <w:sz w:val="17"/>
          <w:szCs w:val="17"/>
        </w:rPr>
      </w:pPr>
    </w:p>
    <w:p>
      <w:pPr>
        <w:pStyle w:val="BodyText"/>
        <w:spacing w:line="316" w:lineRule="auto"/>
        <w:ind w:right="1132" w:firstLine="425"/>
        <w:jc w:val="both"/>
        <w:rPr>
          <w:rFonts w:ascii="宋体" w:hAnsi="宋体" w:cs="宋体" w:eastAsia="宋体" w:hint="default"/>
        </w:rPr>
      </w:pPr>
      <w:r>
        <w:rPr/>
        <w:t>为了进一步加强公司的研发能力，</w:t>
      </w:r>
      <w:r>
        <w:rPr>
          <w:rFonts w:ascii="宋体" w:hAnsi="宋体" w:cs="宋体" w:eastAsia="宋体" w:hint="default"/>
        </w:rPr>
        <w:t>2018</w:t>
      </w:r>
      <w:r>
        <w:rPr/>
        <w:t>年公司通过整合内外部的研发资源，成立了创新研发院，积极从外部引入高层 </w:t>
      </w:r>
      <w:r>
        <w:rPr>
          <w:spacing w:val="-2"/>
        </w:rPr>
        <w:t>次人才，同时开展内部人才培养工作，提升团队整体优势，强化竞争合力，形成了一支技术先进、视野开阔、经验丰富的研</w:t>
      </w:r>
      <w:r>
        <w:rPr>
          <w:spacing w:val="-67"/>
        </w:rPr>
        <w:t> </w:t>
      </w:r>
      <w:r>
        <w:rPr>
          <w:spacing w:val="-67"/>
        </w:rPr>
      </w:r>
      <w:r>
        <w:rPr/>
        <w:t>发团队。</w:t>
      </w:r>
      <w:r>
        <w:rPr>
          <w:rFonts w:ascii="宋体" w:hAnsi="宋体" w:cs="宋体" w:eastAsia="宋体" w:hint="default"/>
        </w:rPr>
        <w:t> </w:t>
      </w:r>
    </w:p>
    <w:p>
      <w:pPr>
        <w:spacing w:line="240" w:lineRule="auto" w:before="5"/>
        <w:rPr>
          <w:rFonts w:ascii="宋体" w:hAnsi="宋体" w:cs="宋体" w:eastAsia="宋体" w:hint="default"/>
          <w:sz w:val="13"/>
          <w:szCs w:val="13"/>
        </w:rPr>
      </w:pPr>
    </w:p>
    <w:p>
      <w:pPr>
        <w:pStyle w:val="BodyText"/>
        <w:spacing w:line="316" w:lineRule="auto"/>
        <w:ind w:right="1166" w:firstLine="425"/>
        <w:jc w:val="both"/>
        <w:rPr>
          <w:rFonts w:ascii="宋体" w:hAnsi="宋体" w:cs="宋体" w:eastAsia="宋体" w:hint="default"/>
        </w:rPr>
      </w:pPr>
      <w:r>
        <w:rPr/>
        <w:t>目前公司创研院在</w:t>
      </w:r>
      <w:r>
        <w:rPr>
          <w:rFonts w:ascii="宋体" w:hAnsi="宋体" w:cs="宋体" w:eastAsia="宋体" w:hint="default"/>
        </w:rPr>
        <w:t>5G</w:t>
      </w:r>
      <w:r>
        <w:rPr/>
        <w:t>技术、物联网、大数据、云计算等领域开展了大量的研究工作，形成了多种行业解决方案、实施 案例。</w:t>
      </w:r>
      <w:r>
        <w:rPr>
          <w:rFonts w:ascii="宋体" w:hAnsi="宋体" w:cs="宋体" w:eastAsia="宋体" w:hint="default"/>
        </w:rPr>
        <w:t> </w:t>
      </w:r>
    </w:p>
    <w:p>
      <w:pPr>
        <w:spacing w:line="240" w:lineRule="auto" w:before="7"/>
        <w:rPr>
          <w:rFonts w:ascii="宋体" w:hAnsi="宋体" w:cs="宋体" w:eastAsia="宋体" w:hint="default"/>
          <w:sz w:val="13"/>
          <w:szCs w:val="13"/>
        </w:rPr>
      </w:pPr>
    </w:p>
    <w:p>
      <w:pPr>
        <w:pStyle w:val="BodyText"/>
        <w:spacing w:line="240" w:lineRule="auto"/>
        <w:ind w:left="538" w:right="977"/>
        <w:jc w:val="left"/>
        <w:rPr>
          <w:rFonts w:ascii="宋体" w:hAnsi="宋体" w:cs="宋体" w:eastAsia="宋体" w:hint="default"/>
        </w:rPr>
      </w:pPr>
      <w:r>
        <w:rPr>
          <w:rFonts w:ascii="宋体" w:hAnsi="宋体" w:cs="宋体" w:eastAsia="宋体" w:hint="default"/>
        </w:rPr>
        <w:t>3</w:t>
      </w:r>
      <w:r>
        <w:rPr/>
        <w:t>、重点管理工作</w:t>
      </w:r>
      <w:r>
        <w:rPr>
          <w:rFonts w:ascii="宋体" w:hAnsi="宋体" w:cs="宋体" w:eastAsia="宋体" w:hint="default"/>
        </w:rPr>
        <w:t> </w:t>
      </w:r>
    </w:p>
    <w:p>
      <w:pPr>
        <w:spacing w:line="240" w:lineRule="auto" w:before="10"/>
        <w:rPr>
          <w:rFonts w:ascii="宋体" w:hAnsi="宋体" w:cs="宋体" w:eastAsia="宋体" w:hint="default"/>
          <w:sz w:val="17"/>
          <w:szCs w:val="17"/>
        </w:rPr>
      </w:pPr>
    </w:p>
    <w:p>
      <w:pPr>
        <w:pStyle w:val="BodyText"/>
        <w:spacing w:line="319" w:lineRule="auto"/>
        <w:ind w:right="1129" w:firstLine="425"/>
        <w:jc w:val="both"/>
        <w:rPr>
          <w:rFonts w:ascii="宋体" w:hAnsi="宋体" w:cs="宋体" w:eastAsia="宋体" w:hint="default"/>
        </w:rPr>
      </w:pPr>
      <w:r>
        <w:rPr/>
        <w:t>报告期内，公司围绕管理效率提升工作，进一步加快企业信息化支撑平台的研发建设，目前已取得良好效果。同时， </w:t>
      </w:r>
      <w:r>
        <w:rPr>
          <w:spacing w:val="-2"/>
        </w:rPr>
        <w:t>围绕交付质量管理和加快应收账款回款工作，公司聚焦项目管理能力的提升，加强对一线项目部岗位职能的管理，对一线员</w:t>
      </w:r>
      <w:r>
        <w:rPr>
          <w:spacing w:val="-62"/>
        </w:rPr>
        <w:t> </w:t>
      </w:r>
      <w:r>
        <w:rPr>
          <w:spacing w:val="-62"/>
        </w:rPr>
      </w:r>
      <w:r>
        <w:rPr>
          <w:spacing w:val="-2"/>
        </w:rPr>
        <w:t>工进行授权与赋能。另外，还建立起以问题处理为核心的职能价值评估体系，进一步简化内部管理工作，强化职能部门服务</w:t>
      </w:r>
      <w:r>
        <w:rPr>
          <w:spacing w:val="-64"/>
        </w:rPr>
        <w:t> </w:t>
      </w:r>
      <w:r>
        <w:rPr>
          <w:spacing w:val="-64"/>
        </w:rPr>
      </w:r>
      <w:r>
        <w:rPr/>
        <w:t>一线、服务项目的定位。</w:t>
      </w:r>
      <w:r>
        <w:rPr>
          <w:rFonts w:ascii="宋体" w:hAnsi="宋体" w:cs="宋体" w:eastAsia="宋体" w:hint="default"/>
        </w:rPr>
        <w:t> </w:t>
      </w:r>
    </w:p>
    <w:p>
      <w:pPr>
        <w:spacing w:after="0" w:line="319" w:lineRule="auto"/>
        <w:jc w:val="both"/>
        <w:rPr>
          <w:rFonts w:ascii="宋体" w:hAnsi="宋体" w:cs="宋体" w:eastAsia="宋体" w:hint="default"/>
        </w:rPr>
        <w:sectPr>
          <w:pgSz w:w="11910" w:h="16840"/>
          <w:pgMar w:header="910" w:footer="1013" w:top="1100" w:bottom="1200" w:left="1020" w:right="0"/>
        </w:sectPr>
      </w:pPr>
    </w:p>
    <w:p>
      <w:pPr>
        <w:spacing w:line="240" w:lineRule="auto" w:before="4"/>
        <w:rPr>
          <w:rFonts w:ascii="宋体" w:hAnsi="宋体" w:cs="宋体" w:eastAsia="宋体" w:hint="default"/>
          <w:sz w:val="20"/>
          <w:szCs w:val="20"/>
        </w:rPr>
      </w:pPr>
    </w:p>
    <w:p>
      <w:pPr>
        <w:pStyle w:val="Heading2"/>
        <w:spacing w:line="240" w:lineRule="auto" w:before="26"/>
        <w:ind w:left="392"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392"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92" w:right="0"/>
        <w:jc w:val="left"/>
      </w:pPr>
      <w:r>
        <w:rPr/>
        <w:t>参见“经营情况讨论与分析”中的“一、概述”相关内容。</w:t>
      </w:r>
    </w:p>
    <w:p>
      <w:pPr>
        <w:spacing w:line="240" w:lineRule="auto" w:before="0"/>
        <w:rPr>
          <w:rFonts w:ascii="宋体" w:hAnsi="宋体" w:cs="宋体" w:eastAsia="宋体" w:hint="default"/>
          <w:sz w:val="18"/>
          <w:szCs w:val="18"/>
        </w:rPr>
      </w:pPr>
    </w:p>
    <w:p>
      <w:pPr>
        <w:pStyle w:val="Heading3"/>
        <w:spacing w:line="240" w:lineRule="auto" w:before="118"/>
        <w:ind w:left="392"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392"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38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3,231,680,137.02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2,778,394,660.03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16.31%</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通信技术服务业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3,231,680,137.02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2,778,394,660.03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16.31%</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通信网络建设服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1,765,706,884.82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54.64%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1,471,469,890.58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20.00%</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通信网络维护与 优化服务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1,465,973,252.20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45.36%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1,306,924,769.45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12.17%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1,610,461,892.83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49.83%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1,448,650,322.10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11.17%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418,701,725.39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12.96%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290,804,139.37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10.47%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43.98%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327,502,767.06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10.13%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301,758,782.94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8.53%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275,334,066.76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8.52%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227,578,957.61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20.98%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264,518,849.56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8.19%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231,744,891.49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14.14%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252,144,980.74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7.80%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212,796,427.80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18.49%</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83,015,854.68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2.57%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65,061,138.72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27.60%</w:t>
            </w:r>
          </w:p>
        </w:tc>
      </w:tr>
    </w:tbl>
    <w:p>
      <w:pPr>
        <w:pStyle w:val="BodyText"/>
        <w:spacing w:line="240" w:lineRule="auto" w:before="51"/>
        <w:ind w:left="392" w:right="0"/>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号——上市公司从软件与信息技术服务业务》的披露要求</w:t>
      </w:r>
    </w:p>
    <w:p>
      <w:pPr>
        <w:pStyle w:val="BodyText"/>
        <w:spacing w:line="240" w:lineRule="auto" w:before="101"/>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136"/>
        <w:gridCol w:w="1154"/>
        <w:gridCol w:w="1155"/>
        <w:gridCol w:w="1154"/>
        <w:gridCol w:w="1148"/>
        <w:gridCol w:w="1154"/>
        <w:gridCol w:w="1155"/>
        <w:gridCol w:w="1152"/>
        <w:gridCol w:w="1155"/>
      </w:tblGrid>
      <w:tr>
        <w:trPr>
          <w:trHeight w:val="402" w:hRule="exact"/>
        </w:trPr>
        <w:tc>
          <w:tcPr>
            <w:tcW w:w="1136" w:type="dxa"/>
            <w:vMerge w:val="restart"/>
            <w:tcBorders>
              <w:top w:val="single" w:sz="4" w:space="0" w:color="000000"/>
              <w:left w:val="single" w:sz="4" w:space="0" w:color="000000"/>
              <w:right w:val="single" w:sz="4" w:space="0" w:color="000000"/>
            </w:tcBorders>
            <w:shd w:val="clear" w:color="auto" w:fill="D2D2D2"/>
          </w:tcPr>
          <w:p>
            <w:pPr/>
          </w:p>
        </w:tc>
        <w:tc>
          <w:tcPr>
            <w:tcW w:w="46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61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第四季度</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657,884,563.69</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 w:right="0"/>
              <w:jc w:val="center"/>
              <w:rPr>
                <w:rFonts w:ascii="Times New Roman" w:hAnsi="Times New Roman" w:cs="Times New Roman" w:eastAsia="Times New Roman" w:hint="default"/>
                <w:sz w:val="15"/>
                <w:szCs w:val="15"/>
              </w:rPr>
            </w:pPr>
            <w:r>
              <w:rPr>
                <w:rFonts w:ascii="Times New Roman"/>
                <w:sz w:val="15"/>
              </w:rPr>
              <w:t>844,171,755.25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735,569,705.85</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994,054,112.23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469,357,439.83</w:t>
            </w:r>
            <w:r>
              <w:rPr>
                <w:rFonts w:ascii="Times New Roman"/>
                <w:sz w:val="15"/>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 w:right="0"/>
              <w:jc w:val="center"/>
              <w:rPr>
                <w:rFonts w:ascii="Times New Roman" w:hAnsi="Times New Roman" w:cs="Times New Roman" w:eastAsia="Times New Roman" w:hint="default"/>
                <w:sz w:val="15"/>
                <w:szCs w:val="15"/>
              </w:rPr>
            </w:pPr>
            <w:r>
              <w:rPr>
                <w:rFonts w:ascii="Times New Roman"/>
                <w:sz w:val="15"/>
              </w:rPr>
              <w:t>740,317,126.90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 w:right="0"/>
              <w:jc w:val="center"/>
              <w:rPr>
                <w:rFonts w:ascii="Times New Roman" w:hAnsi="Times New Roman" w:cs="Times New Roman" w:eastAsia="Times New Roman" w:hint="default"/>
                <w:sz w:val="15"/>
                <w:szCs w:val="15"/>
              </w:rPr>
            </w:pPr>
            <w:r>
              <w:rPr>
                <w:rFonts w:ascii="Times New Roman"/>
                <w:sz w:val="15"/>
              </w:rPr>
              <w:t>588,901,984.10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 w:right="0"/>
              <w:jc w:val="center"/>
              <w:rPr>
                <w:rFonts w:ascii="Times New Roman" w:hAnsi="Times New Roman" w:cs="Times New Roman" w:eastAsia="Times New Roman" w:hint="default"/>
                <w:sz w:val="15"/>
                <w:szCs w:val="15"/>
              </w:rPr>
            </w:pPr>
            <w:r>
              <w:rPr>
                <w:rFonts w:ascii="Times New Roman"/>
                <w:sz w:val="15"/>
              </w:rPr>
              <w:t>979,818,109.21</w:t>
            </w:r>
          </w:p>
        </w:tc>
      </w:tr>
      <w:tr>
        <w:trPr>
          <w:trHeight w:val="1027"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3" w:right="120"/>
              <w:jc w:val="both"/>
              <w:rPr>
                <w:rFonts w:ascii="宋体" w:hAnsi="宋体" w:cs="宋体" w:eastAsia="宋体" w:hint="default"/>
                <w:sz w:val="18"/>
                <w:szCs w:val="18"/>
              </w:rPr>
            </w:pPr>
            <w:r>
              <w:rPr>
                <w:rFonts w:ascii="宋体" w:hAnsi="宋体" w:cs="宋体" w:eastAsia="宋体" w:hint="default"/>
                <w:sz w:val="18"/>
                <w:szCs w:val="18"/>
              </w:rPr>
              <w:t>归属于上市 公司股东的 净利润</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5"/>
                <w:szCs w:val="15"/>
              </w:rPr>
            </w:pPr>
            <w:r>
              <w:rPr>
                <w:rFonts w:ascii="Times New Roman"/>
                <w:sz w:val="15"/>
              </w:rPr>
              <w:t>39,146,540.03</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5"/>
                <w:szCs w:val="15"/>
              </w:rPr>
            </w:pPr>
            <w:r>
              <w:rPr>
                <w:rFonts w:ascii="Times New Roman"/>
                <w:sz w:val="15"/>
              </w:rPr>
              <w:t>63,550,619.32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5"/>
                <w:szCs w:val="15"/>
              </w:rPr>
            </w:pPr>
            <w:r>
              <w:rPr>
                <w:rFonts w:ascii="Times New Roman"/>
                <w:sz w:val="15"/>
              </w:rPr>
              <w:t>37,075,082.57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5"/>
                <w:szCs w:val="15"/>
              </w:rPr>
            </w:pPr>
            <w:r>
              <w:rPr>
                <w:rFonts w:ascii="Times New Roman"/>
                <w:sz w:val="15"/>
              </w:rPr>
              <w:t>66,105,471.72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31,788,606.97</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5"/>
                <w:szCs w:val="15"/>
              </w:rPr>
            </w:pPr>
            <w:r>
              <w:rPr>
                <w:rFonts w:ascii="Times New Roman"/>
                <w:sz w:val="15"/>
              </w:rPr>
              <w:t>69,959,365.35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5"/>
                <w:szCs w:val="15"/>
              </w:rPr>
            </w:pPr>
            <w:r>
              <w:rPr>
                <w:rFonts w:ascii="Times New Roman"/>
                <w:sz w:val="15"/>
              </w:rPr>
              <w:t>44,323,202.37</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5"/>
                <w:szCs w:val="15"/>
              </w:rPr>
            </w:pPr>
            <w:r>
              <w:rPr>
                <w:rFonts w:ascii="Times New Roman"/>
                <w:sz w:val="15"/>
              </w:rPr>
              <w:t>93,328,855.99</w:t>
            </w:r>
          </w:p>
        </w:tc>
      </w:tr>
    </w:tbl>
    <w:p>
      <w:pPr>
        <w:pStyle w:val="BodyText"/>
        <w:spacing w:line="240" w:lineRule="auto" w:before="52"/>
        <w:ind w:left="392" w:right="0"/>
        <w:jc w:val="left"/>
      </w:pPr>
      <w:r>
        <w:rPr/>
        <w:t>说明经营季节性（或周期性）发生的原因及波动风险</w:t>
      </w:r>
    </w:p>
    <w:p>
      <w:pPr>
        <w:spacing w:after="0" w:line="240" w:lineRule="auto"/>
        <w:jc w:val="left"/>
        <w:sectPr>
          <w:pgSz w:w="11910" w:h="16840"/>
          <w:pgMar w:header="910" w:footer="1013" w:top="1100" w:bottom="1200" w:left="740" w:right="0"/>
        </w:sectPr>
      </w:pPr>
    </w:p>
    <w:p>
      <w:pPr>
        <w:spacing w:line="240" w:lineRule="auto" w:before="8"/>
        <w:rPr>
          <w:rFonts w:ascii="宋体" w:hAnsi="宋体" w:cs="宋体" w:eastAsia="宋体" w:hint="default"/>
          <w:sz w:val="22"/>
          <w:szCs w:val="22"/>
        </w:rPr>
      </w:pPr>
    </w:p>
    <w:p>
      <w:pPr>
        <w:pStyle w:val="BodyText"/>
        <w:spacing w:line="316" w:lineRule="auto" w:before="44"/>
        <w:ind w:right="1041" w:firstLine="425"/>
        <w:jc w:val="both"/>
        <w:rPr>
          <w:rFonts w:ascii="宋体" w:hAnsi="宋体" w:cs="宋体" w:eastAsia="宋体" w:hint="default"/>
        </w:rPr>
      </w:pPr>
      <w:r>
        <w:rPr/>
        <w:t>公司处于通信技术服务行业，客户主要系中国移动、中国联通、中国电信三大通信运营商和中国铁塔；通信运营商和 </w:t>
      </w:r>
      <w:r>
        <w:rPr>
          <w:spacing w:val="-2"/>
        </w:rPr>
        <w:t>中国铁塔一般在一季度进行本年度的建设投资规划及受春节前后的影响，通信网络建设较少导致一季度收入较低；二季度开</w:t>
      </w:r>
      <w:r>
        <w:rPr>
          <w:spacing w:val="-64"/>
        </w:rPr>
        <w:t> </w:t>
      </w:r>
      <w:r>
        <w:rPr>
          <w:spacing w:val="-64"/>
        </w:rPr>
      </w:r>
      <w:r>
        <w:rPr>
          <w:spacing w:val="-2"/>
        </w:rPr>
        <w:t>始大规模的通信网络建设，收入增长较为明显，尤其是第四季度为建设高峰期，因此公司营业收入存在一定的季节性波动。</w:t>
      </w:r>
      <w:r>
        <w:rPr>
          <w:rFonts w:ascii="宋体" w:hAnsi="宋体" w:cs="宋体" w:eastAsia="宋体" w:hint="default"/>
        </w:rPr>
        <w:t> </w:t>
      </w:r>
    </w:p>
    <w:p>
      <w:pPr>
        <w:spacing w:line="240" w:lineRule="auto" w:before="6"/>
        <w:rPr>
          <w:rFonts w:ascii="宋体" w:hAnsi="宋体" w:cs="宋体" w:eastAsia="宋体" w:hint="default"/>
          <w:sz w:val="22"/>
          <w:szCs w:val="22"/>
        </w:rPr>
      </w:pPr>
    </w:p>
    <w:p>
      <w:pPr>
        <w:pStyle w:val="Heading3"/>
        <w:spacing w:line="240" w:lineRule="auto"/>
        <w:ind w:right="977"/>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0" w:footer="1013" w:top="1100" w:bottom="1200" w:left="1020" w:right="0"/>
        </w:sectPr>
      </w:pPr>
    </w:p>
    <w:p>
      <w:pPr>
        <w:pStyle w:val="BodyText"/>
        <w:spacing w:line="357" w:lineRule="auto" w:before="44"/>
        <w:ind w:right="5834"/>
        <w:jc w:val="left"/>
      </w:pPr>
      <w:r>
        <w:rPr/>
        <w:t>√ 适用 □</w:t>
      </w:r>
      <w:r>
        <w:rPr>
          <w:spacing w:val="3"/>
        </w:rPr>
        <w:t> </w:t>
      </w:r>
      <w:r>
        <w:rPr/>
        <w:t>不适用</w:t>
      </w:r>
      <w:r>
        <w:rPr/>
        <w:t> 公司是否需要遵守特殊行业的披露要求 是</w:t>
      </w:r>
    </w:p>
    <w:p>
      <w:pPr>
        <w:pStyle w:val="BodyText"/>
        <w:spacing w:line="240" w:lineRule="auto" w:before="29"/>
        <w:ind w:right="5834"/>
        <w:jc w:val="left"/>
      </w:pPr>
      <w:r>
        <w:rPr/>
        <w:t>软件与信息技术服务业</w:t>
      </w:r>
    </w:p>
    <w:p>
      <w:pPr>
        <w:pStyle w:val="BodyText"/>
        <w:spacing w:line="240" w:lineRule="auto" w:before="115"/>
        <w:ind w:right="-15"/>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left="-33" w:right="0"/>
        <w:jc w:val="left"/>
      </w:pPr>
      <w:r>
        <w:rPr/>
        <w:t>单位：元</w:t>
      </w:r>
    </w:p>
    <w:p>
      <w:pPr>
        <w:spacing w:after="0" w:line="240" w:lineRule="auto"/>
        <w:jc w:val="left"/>
        <w:sectPr>
          <w:type w:val="continuous"/>
          <w:pgSz w:w="11910" w:h="16840"/>
          <w:pgMar w:top="1100" w:bottom="1200" w:left="1020" w:right="0"/>
          <w:cols w:num="2" w:equalWidth="0">
            <w:col w:w="9027" w:space="40"/>
            <w:col w:w="1823"/>
          </w:cols>
        </w:sectPr>
      </w:pP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481"/>
        <w:gridCol w:w="1550"/>
        <w:gridCol w:w="10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7" w:right="134"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0" w:right="134"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19"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通信技术服务 业</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3,231,680,137.02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2,585,299,525.16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16.31%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24.59%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-5.32%</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通信网络建设 服务</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1,765,706,884.82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1,384,621,210.61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21.58%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25.56%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通信网络维护 与优化服务</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1,465,973,252.20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1,200,678,314.55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12.17%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23.50%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-7.51%</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Times New Roman" w:hAnsi="Times New Roman" w:cs="Times New Roman" w:eastAsia="Times New Roman" w:hint="default"/>
                <w:sz w:val="18"/>
                <w:szCs w:val="18"/>
              </w:rPr>
            </w:pPr>
            <w:r>
              <w:rPr>
                <w:rFonts w:ascii="Times New Roman"/>
                <w:sz w:val="18"/>
              </w:rPr>
              <w:t>1,610,461,892.83</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1,293,478,242.35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19.68%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pacing w:val="-1"/>
                <w:sz w:val="18"/>
              </w:rPr>
              <w:t>11.17%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19.63%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-5.68%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3" w:right="0"/>
              <w:jc w:val="center"/>
              <w:rPr>
                <w:rFonts w:ascii="Times New Roman" w:hAnsi="Times New Roman" w:cs="Times New Roman" w:eastAsia="Times New Roman" w:hint="default"/>
                <w:sz w:val="18"/>
                <w:szCs w:val="18"/>
              </w:rPr>
            </w:pPr>
            <w:r>
              <w:rPr>
                <w:rFonts w:ascii="Times New Roman"/>
                <w:sz w:val="18"/>
              </w:rPr>
              <w:t>418,701,725.39</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331,438,941.27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20.84%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43.98%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54.55%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-5.41%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3" w:right="0"/>
              <w:jc w:val="center"/>
              <w:rPr>
                <w:rFonts w:ascii="Times New Roman" w:hAnsi="Times New Roman" w:cs="Times New Roman" w:eastAsia="Times New Roman" w:hint="default"/>
                <w:sz w:val="18"/>
                <w:szCs w:val="18"/>
              </w:rPr>
            </w:pPr>
            <w:r>
              <w:rPr>
                <w:rFonts w:ascii="Times New Roman"/>
                <w:sz w:val="18"/>
              </w:rPr>
              <w:t>327,502,767.06</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259,639,326.63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20.72%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8.53%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16.39%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-5.35%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3" w:right="0"/>
              <w:jc w:val="center"/>
              <w:rPr>
                <w:rFonts w:ascii="Times New Roman" w:hAnsi="Times New Roman" w:cs="Times New Roman" w:eastAsia="Times New Roman" w:hint="default"/>
                <w:sz w:val="18"/>
                <w:szCs w:val="18"/>
              </w:rPr>
            </w:pPr>
            <w:r>
              <w:rPr>
                <w:rFonts w:ascii="Times New Roman"/>
                <w:sz w:val="18"/>
              </w:rPr>
              <w:t>275,334,066.76</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220,858,198.88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19.79%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20.98%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30.91%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-6.08%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3" w:right="0"/>
              <w:jc w:val="center"/>
              <w:rPr>
                <w:rFonts w:ascii="Times New Roman" w:hAnsi="Times New Roman" w:cs="Times New Roman" w:eastAsia="Times New Roman" w:hint="default"/>
                <w:sz w:val="18"/>
                <w:szCs w:val="18"/>
              </w:rPr>
            </w:pPr>
            <w:r>
              <w:rPr>
                <w:rFonts w:ascii="Times New Roman"/>
                <w:sz w:val="18"/>
              </w:rPr>
              <w:t>264,518,849.56</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213,504,142.11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19.29%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14.14%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21.38%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-4.81%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3" w:right="0"/>
              <w:jc w:val="center"/>
              <w:rPr>
                <w:rFonts w:ascii="Times New Roman" w:hAnsi="Times New Roman" w:cs="Times New Roman" w:eastAsia="Times New Roman" w:hint="default"/>
                <w:sz w:val="18"/>
                <w:szCs w:val="18"/>
              </w:rPr>
            </w:pPr>
            <w:r>
              <w:rPr>
                <w:rFonts w:ascii="Times New Roman"/>
                <w:sz w:val="18"/>
              </w:rPr>
              <w:t>252,144,980.74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199,925,000.01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20.71%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5"/>
              <w:jc w:val="right"/>
              <w:rPr>
                <w:rFonts w:ascii="Times New Roman" w:hAnsi="Times New Roman" w:cs="Times New Roman" w:eastAsia="Times New Roman" w:hint="default"/>
                <w:sz w:val="18"/>
                <w:szCs w:val="18"/>
              </w:rPr>
            </w:pPr>
            <w:r>
              <w:rPr>
                <w:rFonts w:ascii="Times New Roman"/>
                <w:sz w:val="18"/>
              </w:rPr>
              <w:t>18.49%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5"/>
              <w:jc w:val="right"/>
              <w:rPr>
                <w:rFonts w:ascii="Times New Roman" w:hAnsi="Times New Roman" w:cs="Times New Roman" w:eastAsia="Times New Roman" w:hint="default"/>
                <w:sz w:val="18"/>
                <w:szCs w:val="18"/>
              </w:rPr>
            </w:pPr>
            <w:r>
              <w:rPr>
                <w:rFonts w:ascii="Times New Roman"/>
                <w:sz w:val="18"/>
              </w:rPr>
              <w:t>27.30%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-5.48%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4" w:right="0"/>
              <w:jc w:val="center"/>
              <w:rPr>
                <w:rFonts w:ascii="Times New Roman" w:hAnsi="Times New Roman" w:cs="Times New Roman" w:eastAsia="Times New Roman" w:hint="default"/>
                <w:sz w:val="18"/>
                <w:szCs w:val="18"/>
              </w:rPr>
            </w:pPr>
            <w:r>
              <w:rPr>
                <w:rFonts w:ascii="Times New Roman"/>
                <w:sz w:val="18"/>
              </w:rPr>
              <w:t>83,015,854.68</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66,455,673.91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19.95%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27.60%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21.79%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3.81%</w:t>
            </w:r>
          </w:p>
        </w:tc>
      </w:tr>
    </w:tbl>
    <w:p>
      <w:pPr>
        <w:pStyle w:val="BodyText"/>
        <w:spacing w:line="240" w:lineRule="auto" w:before="51"/>
        <w:ind w:right="977"/>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977"/>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 是 √</w:t>
      </w:r>
      <w:r>
        <w:rPr>
          <w:spacing w:val="3"/>
        </w:rPr>
        <w:t> </w:t>
      </w:r>
      <w:r>
        <w:rPr/>
        <w:t>否</w:t>
      </w:r>
    </w:p>
    <w:p>
      <w:pPr>
        <w:spacing w:after="0" w:line="240" w:lineRule="auto"/>
        <w:jc w:val="left"/>
        <w:sectPr>
          <w:type w:val="continuous"/>
          <w:pgSz w:w="11910" w:h="16840"/>
          <w:pgMar w:top="1100" w:bottom="1200" w:left="1020" w:right="0"/>
        </w:sectPr>
      </w:pPr>
    </w:p>
    <w:p>
      <w:pPr>
        <w:spacing w:line="240" w:lineRule="auto" w:before="7"/>
        <w:rPr>
          <w:rFonts w:ascii="宋体" w:hAnsi="宋体" w:cs="宋体" w:eastAsia="宋体" w:hint="default"/>
          <w:sz w:val="21"/>
          <w:szCs w:val="21"/>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0" w:footer="1013" w:top="1100" w:bottom="1200" w:left="1020" w:right="0"/>
        </w:sectPr>
      </w:pPr>
    </w:p>
    <w:p>
      <w:pPr>
        <w:pStyle w:val="BodyText"/>
        <w:spacing w:line="340" w:lineRule="auto" w:before="44"/>
        <w:ind w:right="-16"/>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3" w:right="0"/>
        <w:jc w:val="left"/>
      </w:pPr>
      <w:r>
        <w:rPr/>
        <w:t>单位：元</w:t>
      </w:r>
    </w:p>
    <w:p>
      <w:pPr>
        <w:spacing w:after="0" w:line="240" w:lineRule="auto"/>
        <w:jc w:val="left"/>
        <w:sectPr>
          <w:type w:val="continuous"/>
          <w:pgSz w:w="11910" w:h="16840"/>
          <w:pgMar w:top="1100" w:bottom="1200" w:left="1020" w:right="0"/>
          <w:cols w:num="2" w:equalWidth="0">
            <w:col w:w="9026" w:space="40"/>
            <w:col w:w="1824"/>
          </w:cols>
        </w:sectPr>
      </w:pP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522,177,164.58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20.20%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456,923,449.31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22.02%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14.28%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劳务分包费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1,537,731,472.11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59.48%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1,162,514,810.45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56.03%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32.28%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62,319,761.49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41,201,531.55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51.26%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间接费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463,071,126.98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17.91%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414,337,938.72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11.76%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2,585,299,525.16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2,074,977,730.03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24.59%</w:t>
            </w:r>
          </w:p>
        </w:tc>
      </w:tr>
    </w:tbl>
    <w:p>
      <w:pPr>
        <w:pStyle w:val="BodyText"/>
        <w:spacing w:line="240" w:lineRule="auto" w:before="51"/>
        <w:ind w:right="977"/>
        <w:jc w:val="left"/>
      </w:pPr>
      <w:r>
        <w:rPr/>
        <w:t>产品分类</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184"/>
        <w:gridCol w:w="1553"/>
        <w:gridCol w:w="1184"/>
        <w:gridCol w:w="1517"/>
        <w:gridCol w:w="1369"/>
        <w:gridCol w:w="1366"/>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85" w:type="dxa"/>
            <w:gridSpan w:val="2"/>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6"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134" w:hanging="272"/>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通信网络建设 服务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109,746,949.73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4.25%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85,516,975.04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28.33%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通信网络建设 服务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劳务分包费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1,101,671,156.54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42.61%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864,746,353.44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41.67%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27.40%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通信网络建设 服务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57,504,387.39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2.22%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37,816,704.81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52.06%</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通信网络建设 服务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间接费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115,698,716.95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4.48%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114,684,199.43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0.88%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1,384,621,210.61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53.56%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1,102,764,232.72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25.56%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通讯网络维护 与优化服务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412,430,214.85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15.95%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371,406,474.27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17.90%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11.05%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通讯网络维护 与优化服务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劳务分包费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436,060,315.57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16.87%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297,768,457.01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14.35%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46.44%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通讯网络维护 与优化服务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4,815,374.10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0.19%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3,384,826.74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42.26%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通讯网络维护 与优化服务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间接费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347,372,410.03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13.44%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299,653,739.29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15.92%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2"/>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8"/>
        <w:gridCol w:w="1184"/>
        <w:gridCol w:w="1553"/>
        <w:gridCol w:w="1184"/>
        <w:gridCol w:w="1517"/>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1,200,678,314.55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46.44%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972,213,497.31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6"/>
              <w:jc w:val="right"/>
              <w:rPr>
                <w:rFonts w:ascii="Times New Roman" w:hAnsi="Times New Roman" w:cs="Times New Roman" w:eastAsia="Times New Roman" w:hint="default"/>
                <w:sz w:val="18"/>
                <w:szCs w:val="18"/>
              </w:rPr>
            </w:pPr>
            <w:r>
              <w:rPr>
                <w:rFonts w:ascii="Times New Roman"/>
                <w:sz w:val="18"/>
              </w:rPr>
              <w:t>46.85%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5"/>
              <w:jc w:val="right"/>
              <w:rPr>
                <w:rFonts w:ascii="Times New Roman" w:hAnsi="Times New Roman" w:cs="Times New Roman" w:eastAsia="Times New Roman" w:hint="default"/>
                <w:sz w:val="18"/>
                <w:szCs w:val="18"/>
              </w:rPr>
            </w:pPr>
            <w:r>
              <w:rPr>
                <w:rFonts w:ascii="Times New Roman"/>
                <w:sz w:val="18"/>
              </w:rPr>
              <w:t>23.50%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2,585,299,525.16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2,074,977,730.03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24.59%</w:t>
            </w:r>
          </w:p>
        </w:tc>
      </w:tr>
    </w:tbl>
    <w:p>
      <w:pPr>
        <w:pStyle w:val="BodyText"/>
        <w:spacing w:line="240" w:lineRule="auto" w:before="51"/>
        <w:ind w:right="977"/>
        <w:jc w:val="left"/>
      </w:pPr>
      <w:r>
        <w:rPr/>
        <w:t>说明</w:t>
      </w:r>
    </w:p>
    <w:p>
      <w:pPr>
        <w:pStyle w:val="BodyText"/>
        <w:spacing w:line="240" w:lineRule="auto" w:before="115"/>
        <w:ind w:right="977"/>
        <w:jc w:val="left"/>
        <w:rPr>
          <w:rFonts w:ascii="宋体" w:hAnsi="宋体" w:cs="宋体" w:eastAsia="宋体" w:hint="default"/>
        </w:rPr>
      </w:pPr>
      <w:r>
        <w:rPr>
          <w:rFonts w:ascii="宋体" w:hAnsi="宋体" w:cs="宋体" w:eastAsia="宋体" w:hint="default"/>
        </w:rPr>
        <w:t>1</w:t>
      </w:r>
      <w:r>
        <w:rPr/>
        <w:t>、本报告期内材料费同比增长</w:t>
      </w:r>
      <w:r>
        <w:rPr>
          <w:rFonts w:ascii="宋体" w:hAnsi="宋体" w:cs="宋体" w:eastAsia="宋体" w:hint="default"/>
        </w:rPr>
        <w:t>51.26%</w:t>
      </w:r>
      <w:r>
        <w:rPr/>
        <w:t>，主要是营改增后公司获取包工包料项目增多，材料消耗增加所致。</w:t>
      </w:r>
      <w:r>
        <w:rPr>
          <w:rFonts w:ascii="宋体" w:hAnsi="宋体" w:cs="宋体" w:eastAsia="宋体" w:hint="default"/>
        </w:rPr>
        <w:t> </w:t>
      </w:r>
    </w:p>
    <w:p>
      <w:pPr>
        <w:pStyle w:val="BodyText"/>
        <w:spacing w:line="240" w:lineRule="auto" w:before="76"/>
        <w:ind w:right="977"/>
        <w:jc w:val="left"/>
        <w:rPr>
          <w:rFonts w:ascii="宋体" w:hAnsi="宋体" w:cs="宋体" w:eastAsia="宋体" w:hint="default"/>
        </w:rPr>
      </w:pPr>
      <w:r>
        <w:rPr>
          <w:rFonts w:ascii="宋体" w:hAnsi="宋体" w:cs="宋体" w:eastAsia="宋体" w:hint="default"/>
        </w:rPr>
        <w:t>2</w:t>
      </w:r>
      <w:r>
        <w:rPr/>
        <w:t>、本报告期内劳务分包费同比增长</w:t>
      </w:r>
      <w:r>
        <w:rPr>
          <w:rFonts w:ascii="宋体" w:hAnsi="宋体" w:cs="宋体" w:eastAsia="宋体" w:hint="default"/>
        </w:rPr>
        <w:t>32.28%</w:t>
      </w:r>
      <w:r>
        <w:rPr/>
        <w:t>，主要是公司业务量增加，劳务分包量增多所致。</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1,434,623,854.10</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44.39%</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2" w:right="1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77"/>
        <w:jc w:val="left"/>
      </w:pPr>
      <w:r>
        <w:rPr/>
        <w:t>公司前</w:t>
      </w:r>
      <w:r>
        <w:rPr>
          <w:spacing w:val="-45"/>
        </w:rPr>
        <w:t> </w:t>
      </w:r>
      <w:r>
        <w:rPr>
          <w:rFonts w:ascii="Times New Roman" w:hAnsi="Times New Roman" w:cs="Times New Roman" w:eastAsia="Times New Roman" w:hint="default"/>
        </w:rPr>
        <w:t>5 </w:t>
      </w:r>
      <w:r>
        <w:rPr/>
        <w:t>大客户资料</w:t>
      </w:r>
    </w:p>
    <w:p>
      <w:pPr>
        <w:spacing w:line="240" w:lineRule="auto" w:before="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8"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555,652,983.95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17.19%</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中国移动通信集团广西有限公司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432,095,375.82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13.37%</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中国移动通信集团江苏有限公司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159,173,264.85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4.93%</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中国电信股份有限公司广西分公司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147,568,093.04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4.57%</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中国移动通信集团安徽有限公司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140,134,136.44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4.34%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1,434,623,854.10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44.39%</w:t>
            </w:r>
          </w:p>
        </w:tc>
      </w:tr>
    </w:tbl>
    <w:p>
      <w:pPr>
        <w:pStyle w:val="BodyText"/>
        <w:spacing w:line="240" w:lineRule="auto" w:before="51"/>
        <w:ind w:right="977"/>
        <w:jc w:val="left"/>
      </w:pPr>
      <w:r>
        <w:rPr/>
        <w:t>主要客户其他情况说明</w:t>
      </w:r>
    </w:p>
    <w:p>
      <w:pPr>
        <w:pStyle w:val="BodyText"/>
        <w:spacing w:line="240" w:lineRule="auto" w:before="117"/>
        <w:ind w:right="977"/>
        <w:jc w:val="left"/>
      </w:pPr>
      <w:r>
        <w:rPr/>
        <w:t>√ 适用 □</w:t>
      </w:r>
      <w:r>
        <w:rPr>
          <w:spacing w:val="3"/>
        </w:rPr>
        <w:t> </w:t>
      </w:r>
      <w:r>
        <w:rPr/>
        <w:t>不适用</w:t>
      </w:r>
    </w:p>
    <w:p>
      <w:pPr>
        <w:pStyle w:val="BodyText"/>
        <w:spacing w:line="300" w:lineRule="auto" w:before="115"/>
        <w:ind w:right="1154"/>
        <w:jc w:val="left"/>
        <w:rPr>
          <w:rFonts w:ascii="宋体" w:hAnsi="宋体" w:cs="宋体" w:eastAsia="宋体" w:hint="default"/>
        </w:rPr>
      </w:pPr>
      <w:r>
        <w:rPr/>
        <w:t>公司前五名客户与公司不存在关联关系，公司董事、监事、高级管理人员、核心技术人员、持股</w:t>
      </w:r>
      <w:r>
        <w:rPr>
          <w:rFonts w:ascii="Times New Roman" w:hAnsi="Times New Roman" w:cs="Times New Roman" w:eastAsia="Times New Roman" w:hint="default"/>
        </w:rPr>
        <w:t>5%</w:t>
      </w:r>
      <w:r>
        <w:rPr/>
        <w:t>以上的股东、实际控制 人和其他关联方不存在在客户中直接或间接拥有权益。</w:t>
      </w:r>
      <w:r>
        <w:rPr>
          <w:rFonts w:ascii="宋体" w:hAnsi="宋体" w:cs="宋体" w:eastAsia="宋体" w:hint="default"/>
        </w:rPr>
        <w:t> </w:t>
      </w:r>
    </w:p>
    <w:p>
      <w:pPr>
        <w:pStyle w:val="BodyText"/>
        <w:spacing w:line="240" w:lineRule="auto" w:before="72"/>
        <w:ind w:right="977"/>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1,508,081,680.42</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79.18%</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77"/>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after="0" w:line="240" w:lineRule="auto"/>
        <w:jc w:val="left"/>
        <w:sectPr>
          <w:pgSz w:w="11910" w:h="16840"/>
          <w:pgMar w:header="910" w:footer="1013" w:top="1100" w:bottom="1200" w:left="1020" w:right="0"/>
        </w:sectPr>
      </w:pPr>
    </w:p>
    <w:p>
      <w:pPr>
        <w:spacing w:line="240" w:lineRule="auto" w:before="2"/>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8"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广西溥天建筑劳务有限公司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643,767,311.59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33.80%</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广西展飞建筑劳务有限公司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510,123,885.80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26.78%</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广东中冠劳务分包有限公司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195,393,796.03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10.26%</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南宁安泽劳务服务有限公司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107,240,623.44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5.63%</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山西中恒誉建筑劳务有限公司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51,556,063.56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z w:val="18"/>
              </w:rPr>
              <w:t>2.71%</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1,508,081,680.42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79.18%</w:t>
            </w:r>
          </w:p>
        </w:tc>
      </w:tr>
    </w:tbl>
    <w:p>
      <w:pPr>
        <w:pStyle w:val="BodyText"/>
        <w:spacing w:line="240" w:lineRule="auto" w:before="51"/>
        <w:ind w:right="977"/>
        <w:jc w:val="left"/>
      </w:pPr>
      <w:r>
        <w:rPr/>
        <w:t>主要供应商其他情况说明</w:t>
      </w:r>
    </w:p>
    <w:p>
      <w:pPr>
        <w:pStyle w:val="BodyText"/>
        <w:spacing w:line="240" w:lineRule="auto" w:before="115"/>
        <w:ind w:right="977"/>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104,539,228.27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98,536,585.68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
              <w:jc w:val="left"/>
              <w:rPr>
                <w:rFonts w:ascii="宋体" w:hAnsi="宋体" w:cs="宋体" w:eastAsia="宋体" w:hint="default"/>
                <w:sz w:val="18"/>
                <w:szCs w:val="18"/>
              </w:rPr>
            </w:pPr>
            <w:r>
              <w:rPr>
                <w:rFonts w:ascii="宋体" w:hAnsi="宋体" w:cs="宋体" w:eastAsia="宋体" w:hint="default"/>
                <w:sz w:val="18"/>
                <w:szCs w:val="18"/>
              </w:rPr>
              <w:t>报告期内，公司业务拓展，对应人 </w:t>
            </w:r>
            <w:r>
              <w:rPr>
                <w:rFonts w:ascii="宋体" w:hAnsi="宋体" w:cs="宋体" w:eastAsia="宋体" w:hint="default"/>
                <w:spacing w:val="-6"/>
                <w:sz w:val="18"/>
                <w:szCs w:val="18"/>
              </w:rPr>
              <w:t>员的业务费、差旅费费用增加所致。</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158,403,064.96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173,795,414.88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-8.86%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9"/>
                <w:sz w:val="18"/>
                <w:szCs w:val="18"/>
              </w:rPr>
              <w:t>，</w:t>
            </w:r>
            <w:r>
              <w:rPr>
                <w:rFonts w:ascii="宋体" w:hAnsi="宋体" w:cs="宋体" w:eastAsia="宋体" w:hint="default"/>
                <w:sz w:val="18"/>
                <w:szCs w:val="18"/>
              </w:rPr>
              <w:t>管理人员薪酬减少所致。</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9,657,659.68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17,582,387.15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-45.07%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9"/>
                <w:sz w:val="18"/>
                <w:szCs w:val="18"/>
              </w:rPr>
              <w:t>，</w:t>
            </w:r>
            <w:r>
              <w:rPr>
                <w:rFonts w:ascii="宋体" w:hAnsi="宋体" w:cs="宋体" w:eastAsia="宋体" w:hint="default"/>
                <w:sz w:val="18"/>
                <w:szCs w:val="18"/>
              </w:rPr>
              <w:t>银行存款利息收入增加。</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110,388,843.38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88,030,736.13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5"/>
              <w:jc w:val="right"/>
              <w:rPr>
                <w:rFonts w:ascii="Times New Roman" w:hAnsi="Times New Roman" w:cs="Times New Roman" w:eastAsia="Times New Roman" w:hint="default"/>
                <w:sz w:val="18"/>
                <w:szCs w:val="18"/>
              </w:rPr>
            </w:pPr>
            <w:r>
              <w:rPr>
                <w:rFonts w:ascii="Times New Roman"/>
                <w:sz w:val="18"/>
              </w:rPr>
              <w:t>25.40%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9"/>
                <w:sz w:val="18"/>
                <w:szCs w:val="18"/>
              </w:rPr>
              <w:t>，</w:t>
            </w:r>
            <w:r>
              <w:rPr>
                <w:rFonts w:ascii="宋体" w:hAnsi="宋体" w:cs="宋体" w:eastAsia="宋体" w:hint="default"/>
                <w:sz w:val="18"/>
                <w:szCs w:val="18"/>
              </w:rPr>
              <w:t>公司加大对研发的投入。</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 适用 □</w:t>
      </w:r>
      <w:r>
        <w:rPr>
          <w:spacing w:val="3"/>
        </w:rPr>
        <w:t> </w:t>
      </w:r>
      <w:r>
        <w:rPr/>
        <w:t>不适用</w:t>
      </w:r>
    </w:p>
    <w:p>
      <w:pPr>
        <w:spacing w:line="240" w:lineRule="auto" w:before="12"/>
        <w:rPr>
          <w:rFonts w:ascii="宋体" w:hAnsi="宋体" w:cs="宋体" w:eastAsia="宋体" w:hint="default"/>
          <w:sz w:val="17"/>
          <w:szCs w:val="17"/>
        </w:rPr>
      </w:pPr>
    </w:p>
    <w:p>
      <w:pPr>
        <w:pStyle w:val="BodyText"/>
        <w:spacing w:line="316" w:lineRule="auto"/>
        <w:ind w:right="1129"/>
        <w:jc w:val="both"/>
        <w:rPr>
          <w:rFonts w:ascii="宋体" w:hAnsi="宋体" w:cs="宋体" w:eastAsia="宋体" w:hint="default"/>
        </w:rPr>
      </w:pPr>
      <w:r>
        <w:rPr>
          <w:spacing w:val="-2"/>
        </w:rPr>
        <w:t>为了进一步加强公司的研发能力，</w:t>
      </w:r>
      <w:r>
        <w:rPr>
          <w:rFonts w:ascii="宋体" w:hAnsi="宋体" w:cs="宋体" w:eastAsia="宋体" w:hint="default"/>
          <w:spacing w:val="-2"/>
        </w:rPr>
        <w:t>2018</w:t>
      </w:r>
      <w:r>
        <w:rPr>
          <w:spacing w:val="-2"/>
        </w:rPr>
        <w:t>年公司通过整合公司内部的研发资源，积极从外部引入高素质人才，组建了一支技术</w:t>
      </w:r>
      <w:r>
        <w:rPr>
          <w:spacing w:val="-60"/>
        </w:rPr>
        <w:t> </w:t>
      </w:r>
      <w:r>
        <w:rPr>
          <w:spacing w:val="-60"/>
        </w:rPr>
      </w:r>
      <w:r>
        <w:rPr>
          <w:spacing w:val="-2"/>
        </w:rPr>
        <w:t>先进、视野开阔、经验丰富的研发团队。目前公司在</w:t>
      </w:r>
      <w:r>
        <w:rPr>
          <w:rFonts w:ascii="宋体" w:hAnsi="宋体" w:cs="宋体" w:eastAsia="宋体" w:hint="default"/>
          <w:spacing w:val="-2"/>
        </w:rPr>
        <w:t>5G</w:t>
      </w:r>
      <w:r>
        <w:rPr>
          <w:spacing w:val="-2"/>
        </w:rPr>
        <w:t>技术、物联网、大数据平台、企业信息化、行业解决方案、行业人工</w:t>
      </w:r>
      <w:r>
        <w:rPr>
          <w:spacing w:val="-64"/>
        </w:rPr>
        <w:t> </w:t>
      </w:r>
      <w:r>
        <w:rPr>
          <w:spacing w:val="-64"/>
        </w:rPr>
      </w:r>
      <w:r>
        <w:rPr/>
        <w:t>智能应用等领域开展了大量研发工作。</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44"/>
        <w:ind w:left="0" w:right="1052"/>
        <w:jc w:val="right"/>
      </w:pPr>
      <w:r>
        <w:rPr/>
        <w:pict>
          <v:shape style="position:absolute;margin-left:56.400002pt;margin-top:-55.358261pt;width:482.75pt;height:215.7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8"/>
                    <w:gridCol w:w="1133"/>
                    <w:gridCol w:w="3829"/>
                    <w:gridCol w:w="4251"/>
                  </w:tblGrid>
                  <w:tr>
                    <w:trPr>
                      <w:trHeight w:val="661" w:hRule="exact"/>
                    </w:trPr>
                    <w:tc>
                      <w:tcPr>
                        <w:tcW w:w="42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13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382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进展情况</w:t>
                        </w:r>
                        <w:r>
                          <w:rPr>
                            <w:rFonts w:ascii="宋体" w:hAnsi="宋体" w:cs="宋体" w:eastAsia="宋体" w:hint="default"/>
                            <w:sz w:val="18"/>
                            <w:szCs w:val="18"/>
                          </w:rPr>
                          <w:t> </w:t>
                        </w:r>
                      </w:p>
                    </w:tc>
                    <w:tc>
                      <w:tcPr>
                        <w:tcW w:w="4251"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拟达到的目标</w:t>
                        </w:r>
                        <w:r>
                          <w:rPr>
                            <w:rFonts w:ascii="宋体" w:hAnsi="宋体" w:cs="宋体" w:eastAsia="宋体" w:hint="default"/>
                            <w:sz w:val="18"/>
                            <w:szCs w:val="18"/>
                          </w:rPr>
                          <w:t> </w:t>
                        </w:r>
                      </w:p>
                    </w:tc>
                  </w:tr>
                  <w:tr>
                    <w:trPr>
                      <w:trHeight w:val="1586" w:hRule="exact"/>
                    </w:trPr>
                    <w:tc>
                      <w:tcPr>
                        <w:tcW w:w="42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2" w:right="0"/>
                          <w:jc w:val="center"/>
                          <w:rPr>
                            <w:rFonts w:ascii="宋体" w:hAnsi="宋体" w:cs="宋体" w:eastAsia="宋体" w:hint="default"/>
                            <w:sz w:val="18"/>
                            <w:szCs w:val="18"/>
                          </w:rPr>
                        </w:pPr>
                        <w:r>
                          <w:rPr>
                            <w:rFonts w:ascii="宋体"/>
                            <w:sz w:val="18"/>
                          </w:rPr>
                          <w:t>1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4" w:lineRule="auto"/>
                          <w:ind w:left="2" w:right="33"/>
                          <w:jc w:val="left"/>
                          <w:rPr>
                            <w:rFonts w:ascii="宋体" w:hAnsi="宋体" w:cs="宋体" w:eastAsia="宋体" w:hint="default"/>
                            <w:sz w:val="18"/>
                            <w:szCs w:val="18"/>
                          </w:rPr>
                        </w:pPr>
                        <w:r>
                          <w:rPr>
                            <w:rFonts w:ascii="宋体" w:hAnsi="宋体" w:cs="宋体" w:eastAsia="宋体" w:hint="default"/>
                            <w:sz w:val="18"/>
                            <w:szCs w:val="18"/>
                          </w:rPr>
                          <w:t>大数据平台及 行业应用研究</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4" w:right="24"/>
                          <w:jc w:val="both"/>
                          <w:rPr>
                            <w:rFonts w:ascii="宋体" w:hAnsi="宋体" w:cs="宋体" w:eastAsia="宋体" w:hint="default"/>
                            <w:sz w:val="18"/>
                            <w:szCs w:val="18"/>
                          </w:rPr>
                        </w:pPr>
                        <w:r>
                          <w:rPr>
                            <w:rFonts w:ascii="宋体" w:hAnsi="宋体" w:cs="宋体" w:eastAsia="宋体" w:hint="default"/>
                            <w:sz w:val="18"/>
                            <w:szCs w:val="18"/>
                          </w:rPr>
                          <w:t>完成结项。已完成基于大数据的</w:t>
                        </w:r>
                        <w:r>
                          <w:rPr>
                            <w:rFonts w:ascii="宋体" w:hAnsi="宋体" w:cs="宋体" w:eastAsia="宋体" w:hint="default"/>
                            <w:sz w:val="18"/>
                            <w:szCs w:val="18"/>
                          </w:rPr>
                          <w:t>EOMS</w:t>
                        </w:r>
                        <w:r>
                          <w:rPr>
                            <w:rFonts w:ascii="宋体" w:hAnsi="宋体" w:cs="宋体" w:eastAsia="宋体" w:hint="default"/>
                            <w:sz w:val="18"/>
                            <w:szCs w:val="18"/>
                          </w:rPr>
                          <w:t>工单分析系 统项目需求调研、分析与软件设计、系统开发工 作。</w:t>
                        </w:r>
                        <w:r>
                          <w:rPr>
                            <w:rFonts w:ascii="宋体" w:hAnsi="宋体" w:cs="宋体" w:eastAsia="宋体" w:hint="default"/>
                            <w:sz w:val="18"/>
                            <w:szCs w:val="18"/>
                          </w:rPr>
                          <w:t> </w:t>
                        </w:r>
                      </w:p>
                    </w:tc>
                    <w:tc>
                      <w:tcPr>
                        <w:tcW w:w="425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pacing w:val="-4"/>
                            <w:sz w:val="18"/>
                            <w:szCs w:val="18"/>
                          </w:rPr>
                          <w:t>建立先进的通信业业务外包管理与服务新模式，优化产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业结构，提高管理效率。通过发挥域范围、人力结构 外包成本优势，分析和研究现有的服务外包与优化模 式，建立和完善先进的管理模式，实现新发展。</w:t>
                        </w:r>
                        <w:r>
                          <w:rPr>
                            <w:rFonts w:ascii="宋体" w:hAnsi="宋体" w:cs="宋体" w:eastAsia="宋体" w:hint="default"/>
                            <w:sz w:val="18"/>
                            <w:szCs w:val="18"/>
                          </w:rPr>
                          <w:t> </w:t>
                        </w:r>
                      </w:p>
                    </w:tc>
                  </w:tr>
                  <w:tr>
                    <w:trPr>
                      <w:trHeight w:val="2055" w:hRule="exact"/>
                    </w:trPr>
                    <w:tc>
                      <w:tcPr>
                        <w:tcW w:w="42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92" w:right="0"/>
                          <w:jc w:val="center"/>
                          <w:rPr>
                            <w:rFonts w:ascii="宋体" w:hAnsi="宋体" w:cs="宋体" w:eastAsia="宋体" w:hint="default"/>
                            <w:sz w:val="18"/>
                            <w:szCs w:val="18"/>
                          </w:rPr>
                        </w:pPr>
                        <w:r>
                          <w:rPr>
                            <w:rFonts w:ascii="宋体"/>
                            <w:sz w:val="18"/>
                          </w:rPr>
                          <w:t>2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both"/>
                          <w:rPr>
                            <w:rFonts w:ascii="宋体" w:hAnsi="宋体" w:cs="宋体" w:eastAsia="宋体" w:hint="default"/>
                            <w:sz w:val="18"/>
                            <w:szCs w:val="18"/>
                          </w:rPr>
                        </w:pPr>
                        <w:r>
                          <w:rPr>
                            <w:rFonts w:ascii="宋体" w:hAnsi="宋体" w:cs="宋体" w:eastAsia="宋体" w:hint="default"/>
                            <w:sz w:val="18"/>
                            <w:szCs w:val="18"/>
                          </w:rPr>
                          <w:t>无线网络</w:t>
                        </w:r>
                      </w:p>
                      <w:p>
                        <w:pPr>
                          <w:pStyle w:val="TableParagraph"/>
                          <w:spacing w:line="316" w:lineRule="auto" w:before="76"/>
                          <w:ind w:left="2" w:right="3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2/3/4G</w:t>
                        </w:r>
                        <w:r>
                          <w:rPr>
                            <w:rFonts w:ascii="宋体" w:hAnsi="宋体" w:cs="宋体" w:eastAsia="宋体" w:hint="default"/>
                            <w:sz w:val="18"/>
                            <w:szCs w:val="18"/>
                          </w:rPr>
                          <w:t>）性 能监控系统研 究和应用</w:t>
                        </w:r>
                        <w:r>
                          <w:rPr>
                            <w:rFonts w:ascii="宋体" w:hAnsi="宋体" w:cs="宋体" w:eastAsia="宋体" w:hint="default"/>
                            <w:sz w:val="18"/>
                            <w:szCs w:val="18"/>
                          </w:rPr>
                          <w:t> </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4" w:right="22"/>
                          <w:jc w:val="left"/>
                          <w:rPr>
                            <w:rFonts w:ascii="宋体" w:hAnsi="宋体" w:cs="宋体" w:eastAsia="宋体" w:hint="default"/>
                            <w:sz w:val="18"/>
                            <w:szCs w:val="18"/>
                          </w:rPr>
                        </w:pPr>
                        <w:r>
                          <w:rPr>
                            <w:rFonts w:ascii="宋体" w:hAnsi="宋体" w:cs="宋体" w:eastAsia="宋体" w:hint="default"/>
                            <w:sz w:val="18"/>
                            <w:szCs w:val="18"/>
                          </w:rPr>
                          <w:t>完成结项。软件产品：完成</w:t>
                        </w:r>
                        <w:r>
                          <w:rPr>
                            <w:rFonts w:ascii="宋体" w:hAnsi="宋体" w:cs="宋体" w:eastAsia="宋体" w:hint="default"/>
                            <w:sz w:val="18"/>
                            <w:szCs w:val="18"/>
                          </w:rPr>
                          <w:t>2/3/4G</w:t>
                        </w:r>
                        <w:r>
                          <w:rPr>
                            <w:rFonts w:ascii="宋体" w:hAnsi="宋体" w:cs="宋体" w:eastAsia="宋体" w:hint="default"/>
                            <w:sz w:val="18"/>
                            <w:szCs w:val="18"/>
                          </w:rPr>
                          <w:t>无线网络参数</w:t>
                        </w:r>
                        <w:r>
                          <w:rPr>
                            <w:rFonts w:ascii="宋体" w:hAnsi="宋体" w:cs="宋体" w:eastAsia="宋体" w:hint="default"/>
                            <w:spacing w:val="-87"/>
                            <w:sz w:val="18"/>
                            <w:szCs w:val="18"/>
                          </w:rPr>
                          <w:t> </w:t>
                        </w:r>
                        <w:r>
                          <w:rPr>
                            <w:rFonts w:ascii="宋体" w:hAnsi="宋体" w:cs="宋体" w:eastAsia="宋体" w:hint="default"/>
                            <w:sz w:val="18"/>
                            <w:szCs w:val="18"/>
                          </w:rPr>
                          <w:t>性能监控项目管理系统、网络投诉效能及人员能 力提升系统需求收集与分析工作，完成系统平台 研发工作；专利产品：完成无线网络执行信道测 </w:t>
                        </w:r>
                        <w:r>
                          <w:rPr>
                            <w:rFonts w:ascii="宋体" w:hAnsi="宋体" w:cs="宋体" w:eastAsia="宋体" w:hint="default"/>
                            <w:spacing w:val="-3"/>
                            <w:sz w:val="18"/>
                            <w:szCs w:val="18"/>
                          </w:rPr>
                          <w:t>量方法和装置、一种小区半径调优的方法与装置</w:t>
                        </w:r>
                        <w:r>
                          <w:rPr>
                            <w:rFonts w:ascii="宋体" w:hAnsi="宋体" w:cs="宋体" w:eastAsia="宋体" w:hint="default"/>
                            <w:sz w:val="18"/>
                            <w:szCs w:val="18"/>
                          </w:rPr>
                          <w:t> </w:t>
                        </w:r>
                        <w:r>
                          <w:rPr>
                            <w:rFonts w:ascii="宋体" w:hAnsi="宋体" w:cs="宋体" w:eastAsia="宋体" w:hint="default"/>
                            <w:sz w:val="18"/>
                            <w:szCs w:val="18"/>
                          </w:rPr>
                          <w:t>LTE</w:t>
                        </w:r>
                        <w:r>
                          <w:rPr>
                            <w:rFonts w:ascii="宋体" w:hAnsi="宋体" w:cs="宋体" w:eastAsia="宋体" w:hint="default"/>
                            <w:sz w:val="18"/>
                            <w:szCs w:val="18"/>
                          </w:rPr>
                          <w:t>及与其同源无线通信系统的一种调整方法需</w:t>
                        </w:r>
                      </w:p>
                    </w:tc>
                    <w:tc>
                      <w:tcPr>
                        <w:tcW w:w="425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 w:right="2"/>
                          <w:jc w:val="both"/>
                          <w:rPr>
                            <w:rFonts w:ascii="宋体" w:hAnsi="宋体" w:cs="宋体" w:eastAsia="宋体" w:hint="default"/>
                            <w:sz w:val="18"/>
                            <w:szCs w:val="18"/>
                          </w:rPr>
                        </w:pPr>
                        <w:r>
                          <w:rPr>
                            <w:rFonts w:ascii="宋体" w:hAnsi="宋体" w:cs="宋体" w:eastAsia="宋体" w:hint="default"/>
                            <w:spacing w:val="-4"/>
                            <w:sz w:val="18"/>
                            <w:szCs w:val="18"/>
                          </w:rPr>
                          <w:t>通过建设无线网络性能监控系统，解决目前监控中心与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各数据采集点采用有线交互传输费用高、使用性差等问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题。</w:t>
                        </w:r>
                        <w:r>
                          <w:rPr>
                            <w:rFonts w:ascii="宋体" w:hAnsi="宋体" w:cs="宋体" w:eastAsia="宋体" w:hint="default"/>
                            <w:sz w:val="18"/>
                            <w:szCs w:val="18"/>
                          </w:rPr>
                          <w:t> </w:t>
                        </w:r>
                      </w:p>
                      <w:p>
                        <w:pPr>
                          <w:pStyle w:val="TableParagraph"/>
                          <w:spacing w:line="176" w:lineRule="exact"/>
                          <w:ind w:left="-107" w:right="0"/>
                          <w:jc w:val="left"/>
                          <w:rPr>
                            <w:rFonts w:ascii="宋体" w:hAnsi="宋体" w:cs="宋体" w:eastAsia="宋体" w:hint="default"/>
                            <w:sz w:val="18"/>
                            <w:szCs w:val="18"/>
                          </w:rPr>
                        </w:pPr>
                        <w:r>
                          <w:rPr>
                            <w:rFonts w:ascii="宋体" w:hAnsi="宋体" w:cs="宋体" w:eastAsia="宋体" w:hint="default"/>
                            <w:sz w:val="18"/>
                            <w:szCs w:val="18"/>
                          </w:rPr>
                          <w:t>、</w:t>
                        </w:r>
                      </w:p>
                    </w:tc>
                  </w:tr>
                </w:tbl>
                <w:p>
                  <w:pPr/>
                </w:p>
              </w:txbxContent>
            </v:textbox>
            <w10:wrap type="none"/>
          </v:shape>
        </w:pict>
      </w:r>
      <w:r>
        <w:rPr/>
        <w:t>、</w:t>
      </w:r>
    </w:p>
    <w:p>
      <w:pPr>
        <w:spacing w:after="0" w:line="240" w:lineRule="auto"/>
        <w:jc w:val="right"/>
        <w:sectPr>
          <w:pgSz w:w="11910" w:h="16840"/>
          <w:pgMar w:header="910" w:footer="1013"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before="44"/>
        <w:ind w:left="0" w:right="1052"/>
        <w:jc w:val="right"/>
      </w:pPr>
      <w:r>
        <w:rPr/>
        <w:pict>
          <v:shape style="position:absolute;margin-left:56.400002pt;margin-top:-316.858276pt;width:482.75pt;height:500.7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8"/>
                    <w:gridCol w:w="1133"/>
                    <w:gridCol w:w="3829"/>
                    <w:gridCol w:w="4251"/>
                  </w:tblGrid>
                  <w:tr>
                    <w:trPr>
                      <w:trHeight w:val="497" w:hRule="exact"/>
                    </w:trPr>
                    <w:tc>
                      <w:tcPr>
                        <w:tcW w:w="428" w:type="dxa"/>
                        <w:tcBorders>
                          <w:top w:val="nil" w:sz="6" w:space="0" w:color="auto"/>
                          <w:left w:val="single" w:sz="4" w:space="0" w:color="000000"/>
                          <w:bottom w:val="single" w:sz="6" w:space="0" w:color="000000"/>
                          <w:right w:val="single" w:sz="6" w:space="0" w:color="000000"/>
                        </w:tcBorders>
                      </w:tcPr>
                      <w:p>
                        <w:pPr/>
                      </w:p>
                    </w:tc>
                    <w:tc>
                      <w:tcPr>
                        <w:tcW w:w="1133" w:type="dxa"/>
                        <w:tcBorders>
                          <w:top w:val="nil" w:sz="6" w:space="0" w:color="auto"/>
                          <w:left w:val="single" w:sz="6" w:space="0" w:color="000000"/>
                          <w:bottom w:val="single" w:sz="6" w:space="0" w:color="000000"/>
                          <w:right w:val="single" w:sz="6" w:space="0" w:color="000000"/>
                        </w:tcBorders>
                      </w:tcPr>
                      <w:p>
                        <w:pPr/>
                      </w:p>
                    </w:tc>
                    <w:tc>
                      <w:tcPr>
                        <w:tcW w:w="382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求收集、分析与设计工作，完成专利申报</w:t>
                        </w:r>
                        <w:r>
                          <w:rPr>
                            <w:rFonts w:ascii="宋体" w:hAnsi="宋体" w:cs="宋体" w:eastAsia="宋体" w:hint="default"/>
                            <w:sz w:val="18"/>
                            <w:szCs w:val="18"/>
                          </w:rPr>
                          <w:t> </w:t>
                        </w:r>
                      </w:p>
                    </w:tc>
                    <w:tc>
                      <w:tcPr>
                        <w:tcW w:w="4251" w:type="dxa"/>
                        <w:tcBorders>
                          <w:top w:val="nil" w:sz="6" w:space="0" w:color="auto"/>
                          <w:left w:val="single" w:sz="6" w:space="0" w:color="000000"/>
                          <w:bottom w:val="single" w:sz="6" w:space="0" w:color="000000"/>
                          <w:right w:val="single" w:sz="4" w:space="0" w:color="000000"/>
                        </w:tcBorders>
                      </w:tcPr>
                      <w:p>
                        <w:pPr/>
                      </w:p>
                    </w:tc>
                  </w:tr>
                  <w:tr>
                    <w:trPr>
                      <w:trHeight w:val="2210" w:hRule="exact"/>
                    </w:trPr>
                    <w:tc>
                      <w:tcPr>
                        <w:tcW w:w="42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8"/>
                          <w:jc w:val="right"/>
                          <w:rPr>
                            <w:rFonts w:ascii="宋体" w:hAnsi="宋体" w:cs="宋体" w:eastAsia="宋体" w:hint="default"/>
                            <w:sz w:val="18"/>
                            <w:szCs w:val="18"/>
                          </w:rPr>
                        </w:pPr>
                        <w:r>
                          <w:rPr>
                            <w:rFonts w:ascii="宋体"/>
                            <w:sz w:val="18"/>
                          </w:rPr>
                          <w:t>3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2" w:right="33"/>
                          <w:jc w:val="both"/>
                          <w:rPr>
                            <w:rFonts w:ascii="宋体" w:hAnsi="宋体" w:cs="宋体" w:eastAsia="宋体" w:hint="default"/>
                            <w:sz w:val="18"/>
                            <w:szCs w:val="18"/>
                          </w:rPr>
                        </w:pPr>
                        <w:r>
                          <w:rPr>
                            <w:rFonts w:ascii="宋体" w:hAnsi="宋体" w:cs="宋体" w:eastAsia="宋体" w:hint="default"/>
                            <w:sz w:val="18"/>
                            <w:szCs w:val="18"/>
                          </w:rPr>
                          <w:t>基于大数据的 身份信息核查 与分析监管平 台研究与应用</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4" w:right="27"/>
                          <w:jc w:val="left"/>
                          <w:rPr>
                            <w:rFonts w:ascii="宋体" w:hAnsi="宋体" w:cs="宋体" w:eastAsia="宋体" w:hint="default"/>
                            <w:sz w:val="18"/>
                            <w:szCs w:val="18"/>
                          </w:rPr>
                        </w:pPr>
                        <w:r>
                          <w:rPr>
                            <w:rFonts w:ascii="宋体" w:hAnsi="宋体" w:cs="宋体" w:eastAsia="宋体" w:hint="default"/>
                            <w:sz w:val="18"/>
                            <w:szCs w:val="18"/>
                          </w:rPr>
                          <w:t>完成结项。软件产品：完成基于大数据的身份信 息核查与分析监管平台研究与应用需求收集和分 析工作、设计工作，完成软件开发</w:t>
                        </w:r>
                        <w:r>
                          <w:rPr>
                            <w:rFonts w:ascii="宋体" w:hAnsi="宋体" w:cs="宋体" w:eastAsia="宋体" w:hint="default"/>
                            <w:sz w:val="18"/>
                            <w:szCs w:val="18"/>
                          </w:rPr>
                          <w:t> </w:t>
                        </w:r>
                        <w:r>
                          <w:rPr>
                            <w:rFonts w:ascii="宋体" w:hAnsi="宋体" w:cs="宋体" w:eastAsia="宋体" w:hint="default"/>
                            <w:sz w:val="18"/>
                            <w:szCs w:val="18"/>
                          </w:rPr>
                          <w:t>技术规范：完成基于大数据的身份信息核查与分 析监管平台研究与应用体系技术规范、技术流程 方案</w:t>
                        </w:r>
                        <w:r>
                          <w:rPr>
                            <w:rFonts w:ascii="宋体" w:hAnsi="宋体" w:cs="宋体" w:eastAsia="宋体" w:hint="default"/>
                            <w:sz w:val="18"/>
                            <w:szCs w:val="18"/>
                          </w:rPr>
                          <w:t> </w:t>
                        </w:r>
                      </w:p>
                    </w:tc>
                    <w:tc>
                      <w:tcPr>
                        <w:tcW w:w="425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2" w:right="2"/>
                          <w:jc w:val="both"/>
                          <w:rPr>
                            <w:rFonts w:ascii="宋体" w:hAnsi="宋体" w:cs="宋体" w:eastAsia="宋体" w:hint="default"/>
                            <w:sz w:val="18"/>
                            <w:szCs w:val="18"/>
                          </w:rPr>
                        </w:pPr>
                        <w:r>
                          <w:rPr>
                            <w:rFonts w:ascii="宋体" w:hAnsi="宋体" w:cs="宋体" w:eastAsia="宋体" w:hint="default"/>
                            <w:spacing w:val="-4"/>
                            <w:sz w:val="18"/>
                            <w:szCs w:val="18"/>
                          </w:rPr>
                          <w:t>运用先进的信息技术手段实现产品身份信息核查、申报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认证的电子化，实现企业相关系统信息的互联互通，建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立一个统一的身份信息核查监管平台。完成软件著作权</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登记。</w:t>
                        </w:r>
                        <w:r>
                          <w:rPr>
                            <w:rFonts w:ascii="宋体" w:hAnsi="宋体" w:cs="宋体" w:eastAsia="宋体" w:hint="default"/>
                            <w:sz w:val="18"/>
                            <w:szCs w:val="18"/>
                          </w:rPr>
                          <w:t> </w:t>
                        </w:r>
                      </w:p>
                    </w:tc>
                  </w:tr>
                  <w:tr>
                    <w:trPr>
                      <w:trHeight w:val="1587" w:hRule="exact"/>
                    </w:trPr>
                    <w:tc>
                      <w:tcPr>
                        <w:tcW w:w="42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sz w:val="18"/>
                          </w:rPr>
                          <w:t>4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319" w:lineRule="auto"/>
                          <w:ind w:left="2" w:right="33"/>
                          <w:jc w:val="both"/>
                          <w:rPr>
                            <w:rFonts w:ascii="宋体" w:hAnsi="宋体" w:cs="宋体" w:eastAsia="宋体" w:hint="default"/>
                            <w:sz w:val="18"/>
                            <w:szCs w:val="18"/>
                          </w:rPr>
                        </w:pPr>
                        <w:r>
                          <w:rPr>
                            <w:rFonts w:ascii="宋体" w:hAnsi="宋体" w:cs="宋体" w:eastAsia="宋体" w:hint="default"/>
                            <w:sz w:val="18"/>
                            <w:szCs w:val="18"/>
                          </w:rPr>
                          <w:t>铁塔智能代维 平台研究与应 用</w:t>
                        </w:r>
                        <w:r>
                          <w:rPr>
                            <w:rFonts w:ascii="宋体" w:hAnsi="宋体" w:cs="宋体" w:eastAsia="宋体" w:hint="default"/>
                            <w:sz w:val="18"/>
                            <w:szCs w:val="18"/>
                          </w:rPr>
                          <w:t> </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4" w:right="27"/>
                          <w:jc w:val="left"/>
                          <w:rPr>
                            <w:rFonts w:ascii="宋体" w:hAnsi="宋体" w:cs="宋体" w:eastAsia="宋体" w:hint="default"/>
                            <w:sz w:val="18"/>
                            <w:szCs w:val="18"/>
                          </w:rPr>
                        </w:pPr>
                        <w:r>
                          <w:rPr>
                            <w:rFonts w:ascii="宋体" w:hAnsi="宋体" w:cs="宋体" w:eastAsia="宋体" w:hint="default"/>
                            <w:sz w:val="18"/>
                            <w:szCs w:val="18"/>
                          </w:rPr>
                          <w:t>软件产品：完成铁塔智能代维平台需求收集和分 析工作，完成软件开发工作的</w:t>
                        </w:r>
                        <w:r>
                          <w:rPr>
                            <w:rFonts w:ascii="宋体" w:hAnsi="宋体" w:cs="宋体" w:eastAsia="宋体" w:hint="default"/>
                            <w:sz w:val="18"/>
                            <w:szCs w:val="18"/>
                          </w:rPr>
                          <w:t>50% </w:t>
                        </w:r>
                        <w:r>
                          <w:rPr>
                            <w:rFonts w:ascii="宋体" w:hAnsi="宋体" w:cs="宋体" w:eastAsia="宋体" w:hint="default"/>
                            <w:sz w:val="18"/>
                            <w:szCs w:val="18"/>
                          </w:rPr>
                          <w:t>技术规范：铁塔智能代维平台研究与应用体系技 术规范、技术流程方案</w:t>
                        </w:r>
                        <w:r>
                          <w:rPr>
                            <w:rFonts w:ascii="宋体" w:hAnsi="宋体" w:cs="宋体" w:eastAsia="宋体" w:hint="default"/>
                            <w:sz w:val="18"/>
                            <w:szCs w:val="18"/>
                          </w:rPr>
                          <w:t> </w:t>
                        </w:r>
                      </w:p>
                    </w:tc>
                    <w:tc>
                      <w:tcPr>
                        <w:tcW w:w="425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2" w:right="2"/>
                          <w:jc w:val="both"/>
                          <w:rPr>
                            <w:rFonts w:ascii="宋体" w:hAnsi="宋体" w:cs="宋体" w:eastAsia="宋体" w:hint="default"/>
                            <w:sz w:val="18"/>
                            <w:szCs w:val="18"/>
                          </w:rPr>
                        </w:pPr>
                        <w:r>
                          <w:rPr>
                            <w:rFonts w:ascii="宋体" w:hAnsi="宋体" w:cs="宋体" w:eastAsia="宋体" w:hint="default"/>
                            <w:spacing w:val="-4"/>
                            <w:sz w:val="18"/>
                            <w:szCs w:val="18"/>
                          </w:rPr>
                          <w:t>利用云协作平台创新管理机制，完善各项工作的标准化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表单，继续有效推进整合区域资源、代维资源，以提升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代维的团队协作能力，进一步推动维护管理流程更加简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便、顺畅、高效。</w:t>
                        </w:r>
                        <w:r>
                          <w:rPr>
                            <w:rFonts w:ascii="宋体" w:hAnsi="宋体" w:cs="宋体" w:eastAsia="宋体" w:hint="default"/>
                            <w:sz w:val="18"/>
                            <w:szCs w:val="18"/>
                          </w:rPr>
                          <w:t> </w:t>
                        </w:r>
                      </w:p>
                    </w:tc>
                  </w:tr>
                  <w:tr>
                    <w:trPr>
                      <w:trHeight w:val="1896" w:hRule="exact"/>
                    </w:trPr>
                    <w:tc>
                      <w:tcPr>
                        <w:tcW w:w="428"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68"/>
                          <w:jc w:val="right"/>
                          <w:rPr>
                            <w:rFonts w:ascii="宋体" w:hAnsi="宋体" w:cs="宋体" w:eastAsia="宋体" w:hint="default"/>
                            <w:sz w:val="18"/>
                            <w:szCs w:val="18"/>
                          </w:rPr>
                        </w:pPr>
                        <w:r>
                          <w:rPr>
                            <w:rFonts w:ascii="宋体"/>
                            <w:sz w:val="18"/>
                          </w:rPr>
                          <w:t>5 </w:t>
                        </w:r>
                      </w:p>
                    </w:tc>
                    <w:tc>
                      <w:tcPr>
                        <w:tcW w:w="113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 w:right="33"/>
                          <w:jc w:val="left"/>
                          <w:rPr>
                            <w:rFonts w:ascii="宋体" w:hAnsi="宋体" w:cs="宋体" w:eastAsia="宋体" w:hint="default"/>
                            <w:sz w:val="18"/>
                            <w:szCs w:val="18"/>
                          </w:rPr>
                        </w:pPr>
                        <w:r>
                          <w:rPr>
                            <w:rFonts w:ascii="宋体" w:hAnsi="宋体" w:cs="宋体" w:eastAsia="宋体" w:hint="default"/>
                            <w:sz w:val="18"/>
                            <w:szCs w:val="18"/>
                          </w:rPr>
                          <w:t>网优大数据平 台研究与应用</w:t>
                        </w:r>
                      </w:p>
                    </w:tc>
                    <w:tc>
                      <w:tcPr>
                        <w:tcW w:w="382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4" w:right="27"/>
                          <w:jc w:val="left"/>
                          <w:rPr>
                            <w:rFonts w:ascii="宋体" w:hAnsi="宋体" w:cs="宋体" w:eastAsia="宋体" w:hint="default"/>
                            <w:sz w:val="18"/>
                            <w:szCs w:val="18"/>
                          </w:rPr>
                        </w:pPr>
                        <w:r>
                          <w:rPr>
                            <w:rFonts w:ascii="宋体" w:hAnsi="宋体" w:cs="宋体" w:eastAsia="宋体" w:hint="default"/>
                            <w:sz w:val="18"/>
                            <w:szCs w:val="18"/>
                          </w:rPr>
                          <w:t>软件产品：完成网优大数据平台研究与应用的需 求收集和分析工作，完成软件开发工作的</w:t>
                        </w:r>
                        <w:r>
                          <w:rPr>
                            <w:rFonts w:ascii="宋体" w:hAnsi="宋体" w:cs="宋体" w:eastAsia="宋体" w:hint="default"/>
                            <w:sz w:val="18"/>
                            <w:szCs w:val="18"/>
                          </w:rPr>
                          <w:t>35% </w:t>
                        </w:r>
                        <w:r>
                          <w:rPr>
                            <w:rFonts w:ascii="宋体" w:hAnsi="宋体" w:cs="宋体" w:eastAsia="宋体" w:hint="default"/>
                            <w:sz w:val="18"/>
                            <w:szCs w:val="18"/>
                          </w:rPr>
                          <w:t>技术规范：基于网优大数据平台研究与应用研究 与应用体系技术规范、技术流程方案</w:t>
                        </w:r>
                        <w:r>
                          <w:rPr>
                            <w:rFonts w:ascii="宋体" w:hAnsi="宋体" w:cs="宋体" w:eastAsia="宋体" w:hint="default"/>
                            <w:sz w:val="18"/>
                            <w:szCs w:val="18"/>
                          </w:rPr>
                          <w:t> </w:t>
                        </w:r>
                      </w:p>
                    </w:tc>
                    <w:tc>
                      <w:tcPr>
                        <w:tcW w:w="4251"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2" w:right="0"/>
                          <w:jc w:val="left"/>
                          <w:rPr>
                            <w:rFonts w:ascii="宋体" w:hAnsi="宋体" w:cs="宋体" w:eastAsia="宋体" w:hint="default"/>
                            <w:sz w:val="18"/>
                            <w:szCs w:val="18"/>
                          </w:rPr>
                        </w:pPr>
                        <w:r>
                          <w:rPr>
                            <w:rFonts w:ascii="宋体" w:hAnsi="宋体" w:cs="宋体" w:eastAsia="宋体" w:hint="default"/>
                            <w:sz w:val="18"/>
                            <w:szCs w:val="18"/>
                          </w:rPr>
                          <w:t>无线网络优化的目的就是对投入运行的网络进行参数 </w:t>
                        </w:r>
                        <w:r>
                          <w:rPr>
                            <w:rFonts w:ascii="宋体" w:hAnsi="宋体" w:cs="宋体" w:eastAsia="宋体" w:hint="default"/>
                            <w:spacing w:val="-4"/>
                            <w:sz w:val="18"/>
                            <w:szCs w:val="18"/>
                          </w:rPr>
                          <w:t>采集、数据分析，找出影响网络质量的原因，通过技术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手段或参数调整使网络达到最佳运行状态的方法，使网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络资源获得最佳效益，同时了解网络的增长趋势，为扩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容提供依据。</w:t>
                        </w:r>
                        <w:r>
                          <w:rPr>
                            <w:rFonts w:ascii="宋体" w:hAnsi="宋体" w:cs="宋体" w:eastAsia="宋体" w:hint="default"/>
                            <w:sz w:val="18"/>
                            <w:szCs w:val="18"/>
                          </w:rPr>
                          <w:t> </w:t>
                        </w:r>
                      </w:p>
                    </w:tc>
                  </w:tr>
                  <w:tr>
                    <w:trPr>
                      <w:trHeight w:val="1906" w:hRule="exact"/>
                    </w:trPr>
                    <w:tc>
                      <w:tcPr>
                        <w:tcW w:w="42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71"/>
                          <w:jc w:val="right"/>
                          <w:rPr>
                            <w:rFonts w:ascii="宋体" w:hAnsi="宋体" w:cs="宋体" w:eastAsia="宋体" w:hint="default"/>
                            <w:sz w:val="18"/>
                            <w:szCs w:val="18"/>
                          </w:rPr>
                        </w:pPr>
                        <w:r>
                          <w:rPr>
                            <w:rFonts w:ascii="宋体"/>
                            <w:sz w:val="18"/>
                          </w:rPr>
                          <w:t>6 </w:t>
                        </w:r>
                      </w:p>
                    </w:tc>
                    <w:tc>
                      <w:tcPr>
                        <w:tcW w:w="1133"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3" w:right="35"/>
                          <w:jc w:val="both"/>
                          <w:rPr>
                            <w:rFonts w:ascii="宋体" w:hAnsi="宋体" w:cs="宋体" w:eastAsia="宋体" w:hint="default"/>
                            <w:sz w:val="18"/>
                            <w:szCs w:val="18"/>
                          </w:rPr>
                        </w:pPr>
                        <w:r>
                          <w:rPr>
                            <w:rFonts w:ascii="宋体" w:hAnsi="宋体" w:cs="宋体" w:eastAsia="宋体" w:hint="default"/>
                            <w:sz w:val="18"/>
                            <w:szCs w:val="18"/>
                          </w:rPr>
                          <w:t>重点场景网络 智能分析与保 障系统研发与 应用</w:t>
                        </w:r>
                        <w:r>
                          <w:rPr>
                            <w:rFonts w:ascii="宋体" w:hAnsi="宋体" w:cs="宋体" w:eastAsia="宋体" w:hint="default"/>
                            <w:sz w:val="18"/>
                            <w:szCs w:val="18"/>
                          </w:rPr>
                          <w:t> </w:t>
                        </w:r>
                      </w:p>
                    </w:tc>
                    <w:tc>
                      <w:tcPr>
                        <w:tcW w:w="3829" w:type="dxa"/>
                        <w:tcBorders>
                          <w:top w:val="single" w:sz="4" w:space="0" w:color="000000"/>
                          <w:left w:val="single" w:sz="5" w:space="0" w:color="000000"/>
                          <w:bottom w:val="single" w:sz="4" w:space="0" w:color="000000"/>
                          <w:right w:val="single" w:sz="6"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5" w:right="27"/>
                          <w:jc w:val="left"/>
                          <w:rPr>
                            <w:rFonts w:ascii="宋体" w:hAnsi="宋体" w:cs="宋体" w:eastAsia="宋体" w:hint="default"/>
                            <w:sz w:val="18"/>
                            <w:szCs w:val="18"/>
                          </w:rPr>
                        </w:pPr>
                        <w:r>
                          <w:rPr>
                            <w:rFonts w:ascii="宋体" w:hAnsi="宋体" w:cs="宋体" w:eastAsia="宋体" w:hint="default"/>
                            <w:sz w:val="18"/>
                            <w:szCs w:val="18"/>
                          </w:rPr>
                          <w:t>软件产品：完成重点场景网络智能分析与保障系 统需求分析及系统设计。技术规范：完成重点场 景网络智能分析与保障系统研发与应用技术规 范、技术流程方案</w:t>
                        </w:r>
                        <w:r>
                          <w:rPr>
                            <w:rFonts w:ascii="宋体" w:hAnsi="宋体" w:cs="宋体" w:eastAsia="宋体" w:hint="default"/>
                            <w:sz w:val="18"/>
                            <w:szCs w:val="18"/>
                          </w:rPr>
                          <w:t> </w:t>
                        </w:r>
                      </w:p>
                    </w:tc>
                    <w:tc>
                      <w:tcPr>
                        <w:tcW w:w="425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2" w:right="0"/>
                          <w:jc w:val="left"/>
                          <w:rPr>
                            <w:rFonts w:ascii="宋体" w:hAnsi="宋体" w:cs="宋体" w:eastAsia="宋体" w:hint="default"/>
                            <w:sz w:val="18"/>
                            <w:szCs w:val="18"/>
                          </w:rPr>
                        </w:pPr>
                        <w:r>
                          <w:rPr>
                            <w:rFonts w:ascii="宋体" w:hAnsi="宋体" w:cs="宋体" w:eastAsia="宋体" w:hint="default"/>
                            <w:sz w:val="18"/>
                            <w:szCs w:val="18"/>
                          </w:rPr>
                          <w:t>系统智能优化人流密集、人员流动性高的高校、地铁 </w:t>
                        </w:r>
                        <w:r>
                          <w:rPr>
                            <w:rFonts w:ascii="宋体" w:hAnsi="宋体" w:cs="宋体" w:eastAsia="宋体" w:hint="default"/>
                            <w:spacing w:val="-4"/>
                            <w:sz w:val="18"/>
                            <w:szCs w:val="18"/>
                          </w:rPr>
                          <w:t>高铁等重点场景存在的网络问题，通过分析存在的网络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分析和保障存在识别能力低、评估能力弱、整合能力差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等问题，实现场景自动识别、</w:t>
                        </w:r>
                        <w:r>
                          <w:rPr>
                            <w:rFonts w:ascii="宋体" w:hAnsi="宋体" w:cs="宋体" w:eastAsia="宋体" w:hint="default"/>
                            <w:sz w:val="18"/>
                            <w:szCs w:val="18"/>
                          </w:rPr>
                          <w:t>GIS</w:t>
                        </w:r>
                        <w:r>
                          <w:rPr>
                            <w:rFonts w:ascii="宋体" w:hAnsi="宋体" w:cs="宋体" w:eastAsia="宋体" w:hint="default"/>
                            <w:sz w:val="18"/>
                            <w:szCs w:val="18"/>
                          </w:rPr>
                          <w:t>呈现，输出对应解决</w:t>
                        </w:r>
                        <w:r>
                          <w:rPr>
                            <w:rFonts w:ascii="宋体" w:hAnsi="宋体" w:cs="宋体" w:eastAsia="宋体" w:hint="default"/>
                            <w:spacing w:val="-87"/>
                            <w:sz w:val="18"/>
                            <w:szCs w:val="18"/>
                          </w:rPr>
                          <w:t> </w:t>
                        </w:r>
                        <w:r>
                          <w:rPr>
                            <w:rFonts w:ascii="宋体" w:hAnsi="宋体" w:cs="宋体" w:eastAsia="宋体" w:hint="default"/>
                            <w:sz w:val="18"/>
                            <w:szCs w:val="18"/>
                          </w:rPr>
                          <w:t>方案，及时调整修改网络参数，及时派发工单。</w:t>
                        </w:r>
                        <w:r>
                          <w:rPr>
                            <w:rFonts w:ascii="宋体" w:hAnsi="宋体" w:cs="宋体" w:eastAsia="宋体" w:hint="default"/>
                            <w:sz w:val="18"/>
                            <w:szCs w:val="18"/>
                          </w:rPr>
                          <w:t> </w:t>
                        </w:r>
                      </w:p>
                    </w:tc>
                  </w:tr>
                  <w:tr>
                    <w:trPr>
                      <w:trHeight w:val="1906" w:hRule="exact"/>
                    </w:trPr>
                    <w:tc>
                      <w:tcPr>
                        <w:tcW w:w="42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68"/>
                          <w:jc w:val="right"/>
                          <w:rPr>
                            <w:rFonts w:ascii="宋体" w:hAnsi="宋体" w:cs="宋体" w:eastAsia="宋体" w:hint="default"/>
                            <w:sz w:val="18"/>
                            <w:szCs w:val="18"/>
                          </w:rPr>
                        </w:pPr>
                        <w:r>
                          <w:rPr>
                            <w:rFonts w:ascii="宋体"/>
                            <w:sz w:val="18"/>
                          </w:rPr>
                          <w:t>7 </w:t>
                        </w:r>
                      </w:p>
                    </w:tc>
                    <w:tc>
                      <w:tcPr>
                        <w:tcW w:w="113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2" w:right="31"/>
                          <w:jc w:val="both"/>
                          <w:rPr>
                            <w:rFonts w:ascii="宋体" w:hAnsi="宋体" w:cs="宋体" w:eastAsia="宋体" w:hint="default"/>
                            <w:sz w:val="18"/>
                            <w:szCs w:val="18"/>
                          </w:rPr>
                        </w:pPr>
                        <w:r>
                          <w:rPr>
                            <w:rFonts w:ascii="宋体" w:hAnsi="宋体" w:cs="宋体" w:eastAsia="宋体" w:hint="default"/>
                            <w:sz w:val="18"/>
                            <w:szCs w:val="18"/>
                          </w:rPr>
                          <w:t>NB</w:t>
                        </w:r>
                        <w:r>
                          <w:rPr>
                            <w:rFonts w:ascii="宋体" w:hAnsi="宋体" w:cs="宋体" w:eastAsia="宋体" w:hint="default"/>
                            <w:sz w:val="18"/>
                            <w:szCs w:val="18"/>
                          </w:rPr>
                          <w:t>无线大数据 优化平台研发 与应用</w:t>
                        </w:r>
                        <w:r>
                          <w:rPr>
                            <w:rFonts w:ascii="宋体" w:hAnsi="宋体" w:cs="宋体" w:eastAsia="宋体" w:hint="default"/>
                            <w:sz w:val="18"/>
                            <w:szCs w:val="18"/>
                          </w:rPr>
                          <w:t> </w:t>
                        </w:r>
                      </w:p>
                    </w:tc>
                    <w:tc>
                      <w:tcPr>
                        <w:tcW w:w="382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4" w:right="-17"/>
                          <w:jc w:val="both"/>
                          <w:rPr>
                            <w:rFonts w:ascii="宋体" w:hAnsi="宋体" w:cs="宋体" w:eastAsia="宋体" w:hint="default"/>
                            <w:sz w:val="18"/>
                            <w:szCs w:val="18"/>
                          </w:rPr>
                        </w:pPr>
                        <w:r>
                          <w:rPr>
                            <w:rFonts w:ascii="宋体" w:hAnsi="宋体" w:cs="宋体" w:eastAsia="宋体" w:hint="default"/>
                            <w:spacing w:val="-6"/>
                            <w:sz w:val="18"/>
                            <w:szCs w:val="18"/>
                          </w:rPr>
                          <w:t>软件产品：完成</w:t>
                        </w:r>
                        <w:r>
                          <w:rPr>
                            <w:rFonts w:ascii="宋体" w:hAnsi="宋体" w:cs="宋体" w:eastAsia="宋体" w:hint="default"/>
                            <w:spacing w:val="-6"/>
                            <w:sz w:val="18"/>
                            <w:szCs w:val="18"/>
                          </w:rPr>
                          <w:t>NB</w:t>
                        </w:r>
                        <w:r>
                          <w:rPr>
                            <w:rFonts w:ascii="宋体" w:hAnsi="宋体" w:cs="宋体" w:eastAsia="宋体" w:hint="default"/>
                            <w:spacing w:val="-6"/>
                            <w:sz w:val="18"/>
                            <w:szCs w:val="18"/>
                          </w:rPr>
                          <w:t>无线大数据优化平台需求分析、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设计工作。技术规范：</w:t>
                        </w:r>
                        <w:r>
                          <w:rPr>
                            <w:rFonts w:ascii="宋体" w:hAnsi="宋体" w:cs="宋体" w:eastAsia="宋体" w:hint="default"/>
                            <w:sz w:val="18"/>
                            <w:szCs w:val="18"/>
                          </w:rPr>
                          <w:t>NB</w:t>
                        </w:r>
                        <w:r>
                          <w:rPr>
                            <w:rFonts w:ascii="宋体" w:hAnsi="宋体" w:cs="宋体" w:eastAsia="宋体" w:hint="default"/>
                            <w:sz w:val="18"/>
                            <w:szCs w:val="18"/>
                          </w:rPr>
                          <w:t>无线大数据优化平台研 发与应用技术规范、技术流程方案</w:t>
                        </w:r>
                        <w:r>
                          <w:rPr>
                            <w:rFonts w:ascii="宋体" w:hAnsi="宋体" w:cs="宋体" w:eastAsia="宋体" w:hint="default"/>
                            <w:sz w:val="18"/>
                            <w:szCs w:val="18"/>
                          </w:rPr>
                          <w:t> </w:t>
                        </w:r>
                      </w:p>
                    </w:tc>
                    <w:tc>
                      <w:tcPr>
                        <w:tcW w:w="4251"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 w:right="5"/>
                          <w:jc w:val="left"/>
                          <w:rPr>
                            <w:rFonts w:ascii="宋体" w:hAnsi="宋体" w:cs="宋体" w:eastAsia="宋体" w:hint="default"/>
                            <w:sz w:val="18"/>
                            <w:szCs w:val="18"/>
                          </w:rPr>
                        </w:pPr>
                        <w:r>
                          <w:rPr>
                            <w:rFonts w:ascii="宋体" w:hAnsi="宋体" w:cs="宋体" w:eastAsia="宋体" w:hint="default"/>
                            <w:spacing w:val="-4"/>
                            <w:sz w:val="18"/>
                            <w:szCs w:val="18"/>
                          </w:rPr>
                          <w:t>采用</w:t>
                        </w:r>
                        <w:r>
                          <w:rPr>
                            <w:rFonts w:ascii="宋体" w:hAnsi="宋体" w:cs="宋体" w:eastAsia="宋体" w:hint="default"/>
                            <w:spacing w:val="-4"/>
                            <w:sz w:val="18"/>
                            <w:szCs w:val="18"/>
                          </w:rPr>
                          <w:t>NB</w:t>
                        </w:r>
                        <w:r>
                          <w:rPr>
                            <w:rFonts w:ascii="宋体" w:hAnsi="宋体" w:cs="宋体" w:eastAsia="宋体" w:hint="default"/>
                            <w:spacing w:val="-4"/>
                            <w:sz w:val="18"/>
                            <w:szCs w:val="18"/>
                          </w:rPr>
                          <w:t>大数据评估方式，与路测扫频方式相比，更加能</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够全面、准确的评估区域深度覆盖指标，同时，可以细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化到小区级的</w:t>
                        </w:r>
                        <w:r>
                          <w:rPr>
                            <w:rFonts w:ascii="宋体" w:hAnsi="宋体" w:cs="宋体" w:eastAsia="宋体" w:hint="default"/>
                            <w:sz w:val="18"/>
                            <w:szCs w:val="18"/>
                          </w:rPr>
                          <w:t>MR</w:t>
                        </w:r>
                        <w:r>
                          <w:rPr>
                            <w:rFonts w:ascii="宋体" w:hAnsi="宋体" w:cs="宋体" w:eastAsia="宋体" w:hint="default"/>
                            <w:sz w:val="18"/>
                            <w:szCs w:val="18"/>
                          </w:rPr>
                          <w:t>指标、结构指标以及区域</w:t>
                        </w:r>
                        <w:r>
                          <w:rPr>
                            <w:rFonts w:ascii="宋体" w:hAnsi="宋体" w:cs="宋体" w:eastAsia="宋体" w:hint="default"/>
                            <w:sz w:val="18"/>
                            <w:szCs w:val="18"/>
                          </w:rPr>
                          <w:t>GIS</w:t>
                        </w:r>
                        <w:r>
                          <w:rPr>
                            <w:rFonts w:ascii="宋体" w:hAnsi="宋体" w:cs="宋体" w:eastAsia="宋体" w:hint="default"/>
                            <w:sz w:val="18"/>
                            <w:szCs w:val="18"/>
                          </w:rPr>
                          <w:t>栅格化。 即解决</w:t>
                        </w:r>
                        <w:r>
                          <w:rPr>
                            <w:rFonts w:ascii="宋体" w:hAnsi="宋体" w:cs="宋体" w:eastAsia="宋体" w:hint="default"/>
                            <w:sz w:val="18"/>
                            <w:szCs w:val="18"/>
                          </w:rPr>
                          <w:t>NB-IOT</w:t>
                        </w:r>
                        <w:r>
                          <w:rPr>
                            <w:rFonts w:ascii="宋体" w:hAnsi="宋体" w:cs="宋体" w:eastAsia="宋体" w:hint="default"/>
                            <w:sz w:val="18"/>
                            <w:szCs w:val="18"/>
                          </w:rPr>
                          <w:t>网络覆盖评估中评估不全面、耗时费力 成本高等问题。</w:t>
                        </w:r>
                        <w:r>
                          <w:rPr>
                            <w:rFonts w:ascii="宋体" w:hAnsi="宋体" w:cs="宋体" w:eastAsia="宋体" w:hint="default"/>
                            <w:sz w:val="18"/>
                            <w:szCs w:val="18"/>
                          </w:rPr>
                          <w:t> </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before="44"/>
        <w:ind w:left="0" w:right="1052"/>
        <w:jc w:val="right"/>
      </w:pPr>
      <w:r>
        <w:rPr/>
        <w:t>、</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before="44"/>
        <w:ind w:right="977"/>
        <w:jc w:val="left"/>
      </w:pPr>
      <w:r>
        <w:rPr/>
        <w:t>公司研发投入情况</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1,166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1,162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0.34%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12.59%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z w:val="18"/>
              </w:rPr>
              <w:t>12.30%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0.29%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110,388,843.38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88,030,736.13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25.40%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3.17%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0.25%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研发投入资本化的金</w:t>
            </w:r>
            <w:r>
              <w:rPr>
                <w:rFonts w:ascii="宋体" w:hAnsi="宋体" w:cs="宋体" w:eastAsia="宋体" w:hint="default"/>
                <w:spacing w:val="-75"/>
                <w:sz w:val="18"/>
                <w:szCs w:val="18"/>
              </w:rPr>
              <w:t>额</w:t>
            </w:r>
            <w:r>
              <w:rPr>
                <w:rFonts w:ascii="宋体" w:hAnsi="宋体" w:cs="宋体" w:eastAsia="宋体" w:hint="default"/>
                <w:sz w:val="18"/>
                <w:szCs w:val="18"/>
              </w:rPr>
              <w:t>（元）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77"/>
        <w:jc w:val="left"/>
      </w:pPr>
      <w:r>
        <w:rPr/>
        <w:t>研发投入总额占营业收入的比重较上年发生显著变化的原因</w:t>
      </w:r>
    </w:p>
    <w:p>
      <w:pPr>
        <w:spacing w:after="0" w:line="240" w:lineRule="auto"/>
        <w:jc w:val="left"/>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360" w:lineRule="auto" w:before="44"/>
        <w:ind w:right="6794"/>
        <w:jc w:val="left"/>
      </w:pPr>
      <w:r>
        <w:rPr/>
        <w:t>□ 适用 √</w:t>
      </w:r>
      <w:r>
        <w:rPr>
          <w:spacing w:val="3"/>
        </w:rPr>
        <w:t> </w:t>
      </w:r>
      <w:r>
        <w:rPr/>
        <w:t>不适用</w:t>
      </w:r>
      <w:r>
        <w:rPr/>
        <w:t> 研发投入资本化率大幅变动的原因及其合理性说明</w:t>
      </w:r>
    </w:p>
    <w:p>
      <w:pPr>
        <w:pStyle w:val="BodyText"/>
        <w:spacing w:line="240" w:lineRule="auto" w:before="25"/>
        <w:ind w:right="977"/>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3,474,018,328.46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2,494,926,209.19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39.24%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3,303,088,074.68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2,683,004,288.47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23.11%</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170,930,253.78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-188,078,079.28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190.88%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17,036,405.16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1,715,351.98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893.17%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191,736,277.76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22,502,408.02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752.07%</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-174,699,872.60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-20,787,056.04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-740.43%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2,310,839,070.00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558,300,000.00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313.91%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1,270,490,264.68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523,726,545.44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142.59%</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1,040,348,805.32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34,573,454.56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2,909.10%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1,036,579,186.50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-174,291,680.76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694.74%</w:t>
            </w:r>
          </w:p>
        </w:tc>
      </w:tr>
    </w:tbl>
    <w:p>
      <w:pPr>
        <w:pStyle w:val="BodyText"/>
        <w:spacing w:line="240" w:lineRule="auto" w:before="51"/>
        <w:ind w:right="977"/>
        <w:jc w:val="left"/>
      </w:pPr>
      <w:r>
        <w:rPr/>
        <w:t>相关数据同比发生重大变动的主要影响因素说明</w:t>
      </w:r>
    </w:p>
    <w:p>
      <w:pPr>
        <w:pStyle w:val="BodyText"/>
        <w:spacing w:line="240" w:lineRule="auto" w:before="117"/>
        <w:ind w:right="977"/>
        <w:jc w:val="left"/>
      </w:pPr>
      <w:r>
        <w:rPr/>
        <w:t>√ 适用 □</w:t>
      </w:r>
      <w:r>
        <w:rPr>
          <w:spacing w:val="3"/>
        </w:rPr>
        <w:t> </w:t>
      </w:r>
      <w:r>
        <w:rPr/>
        <w:t>不适用</w:t>
      </w:r>
    </w:p>
    <w:p>
      <w:pPr>
        <w:pStyle w:val="BodyText"/>
        <w:spacing w:line="316" w:lineRule="auto" w:before="115"/>
        <w:ind w:right="1031"/>
        <w:jc w:val="left"/>
        <w:rPr>
          <w:rFonts w:ascii="宋体" w:hAnsi="宋体" w:cs="宋体" w:eastAsia="宋体" w:hint="default"/>
        </w:rPr>
      </w:pPr>
      <w:r>
        <w:rPr>
          <w:rFonts w:ascii="宋体" w:hAnsi="宋体" w:cs="宋体" w:eastAsia="宋体" w:hint="default"/>
          <w:spacing w:val="-5"/>
        </w:rPr>
        <w:t>1</w:t>
      </w:r>
      <w:r>
        <w:rPr>
          <w:spacing w:val="-5"/>
        </w:rPr>
        <w:t>、</w:t>
      </w:r>
      <w:r>
        <w:rPr>
          <w:rFonts w:ascii="宋体" w:hAnsi="宋体" w:cs="宋体" w:eastAsia="宋体" w:hint="default"/>
          <w:spacing w:val="-5"/>
        </w:rPr>
        <w:t>2018 </w:t>
      </w:r>
      <w:r>
        <w:rPr/>
        <w:t>年经营活动现金流量净额较上年增加</w:t>
      </w:r>
      <w:r>
        <w:rPr>
          <w:spacing w:val="-52"/>
        </w:rPr>
        <w:t> </w:t>
      </w:r>
      <w:r>
        <w:rPr>
          <w:rFonts w:ascii="宋体" w:hAnsi="宋体" w:cs="宋体" w:eastAsia="宋体" w:hint="default"/>
          <w:spacing w:val="-52"/>
        </w:rPr>
      </w:r>
      <w:r>
        <w:rPr>
          <w:rFonts w:ascii="宋体" w:hAnsi="宋体" w:cs="宋体" w:eastAsia="宋体" w:hint="default"/>
        </w:rPr>
        <w:t>97,909.21</w:t>
      </w:r>
      <w:r>
        <w:rPr/>
        <w:t>万元，同比增长</w:t>
      </w:r>
      <w:r>
        <w:rPr>
          <w:rFonts w:ascii="宋体" w:hAnsi="宋体" w:cs="宋体" w:eastAsia="宋体" w:hint="default"/>
        </w:rPr>
        <w:t>190.88%</w:t>
      </w:r>
      <w:r>
        <w:rPr/>
        <w:t>，主要是公司加强对应收账款的催收力度， </w:t>
      </w:r>
      <w:r>
        <w:rPr>
          <w:spacing w:val="-2"/>
        </w:rPr>
        <w:t>公司主要客户根据国家政策要求，积极推进历史项目清欠，在第四季度及时付款，以上原因导致经营活动产生的现金流量净</w:t>
      </w:r>
      <w:r>
        <w:rPr>
          <w:spacing w:val="-66"/>
        </w:rPr>
        <w:t> </w:t>
      </w:r>
      <w:r>
        <w:rPr>
          <w:spacing w:val="-66"/>
        </w:rPr>
      </w:r>
      <w:r>
        <w:rPr/>
        <w:t>额增加。</w:t>
      </w:r>
      <w:r>
        <w:rPr>
          <w:rFonts w:ascii="宋体" w:hAnsi="宋体" w:cs="宋体" w:eastAsia="宋体" w:hint="default"/>
        </w:rPr>
        <w:t> </w:t>
      </w:r>
    </w:p>
    <w:p>
      <w:pPr>
        <w:pStyle w:val="BodyText"/>
        <w:spacing w:line="316" w:lineRule="auto" w:before="19"/>
        <w:ind w:right="1027"/>
        <w:jc w:val="left"/>
        <w:rPr>
          <w:rFonts w:ascii="宋体" w:hAnsi="宋体" w:cs="宋体" w:eastAsia="宋体" w:hint="default"/>
        </w:rPr>
      </w:pPr>
      <w:r>
        <w:rPr>
          <w:rFonts w:ascii="宋体" w:hAnsi="宋体" w:cs="宋体" w:eastAsia="宋体" w:hint="default"/>
          <w:spacing w:val="-5"/>
        </w:rPr>
        <w:t>2</w:t>
      </w:r>
      <w:r>
        <w:rPr>
          <w:spacing w:val="-5"/>
        </w:rPr>
        <w:t>、</w:t>
      </w:r>
      <w:r>
        <w:rPr>
          <w:rFonts w:ascii="宋体" w:hAnsi="宋体" w:cs="宋体" w:eastAsia="宋体" w:hint="default"/>
          <w:spacing w:val="-5"/>
        </w:rPr>
        <w:t>2018</w:t>
      </w:r>
      <w:r>
        <w:rPr>
          <w:rFonts w:ascii="宋体" w:hAnsi="宋体" w:cs="宋体" w:eastAsia="宋体" w:hint="default"/>
          <w:spacing w:val="-53"/>
        </w:rPr>
        <w:t> </w:t>
      </w:r>
      <w:r>
        <w:rPr/>
        <w:t>年投资活动现金流量净额</w:t>
      </w:r>
      <w:r>
        <w:rPr>
          <w:rFonts w:ascii="宋体" w:hAnsi="宋体" w:cs="宋体" w:eastAsia="宋体" w:hint="default"/>
        </w:rPr>
        <w:t>-174,69.99</w:t>
      </w:r>
      <w:r>
        <w:rPr/>
        <w:t>万元，同比减少</w:t>
      </w:r>
      <w:r>
        <w:rPr>
          <w:rFonts w:ascii="宋体" w:hAnsi="宋体" w:cs="宋体" w:eastAsia="宋体" w:hint="default"/>
        </w:rPr>
        <w:t>740.43%</w:t>
      </w:r>
      <w:r>
        <w:rPr/>
        <w:t>，主要是公司</w:t>
      </w:r>
      <w:r>
        <w:rPr>
          <w:rFonts w:ascii="宋体" w:hAnsi="宋体" w:cs="宋体" w:eastAsia="宋体" w:hint="default"/>
        </w:rPr>
        <w:t>2018</w:t>
      </w:r>
      <w:r>
        <w:rPr/>
        <w:t>年合理利用闲置资金进行现金管理， 购买银行理财产品所致。</w:t>
      </w:r>
      <w:r>
        <w:rPr>
          <w:rFonts w:ascii="宋体" w:hAnsi="宋体" w:cs="宋体" w:eastAsia="宋体" w:hint="default"/>
        </w:rPr>
        <w:t> </w:t>
      </w:r>
    </w:p>
    <w:p>
      <w:pPr>
        <w:pStyle w:val="BodyText"/>
        <w:spacing w:line="316" w:lineRule="auto" w:before="19"/>
        <w:ind w:right="1132"/>
        <w:jc w:val="left"/>
        <w:rPr>
          <w:rFonts w:ascii="宋体" w:hAnsi="宋体" w:cs="宋体" w:eastAsia="宋体" w:hint="default"/>
        </w:rPr>
      </w:pPr>
      <w:r>
        <w:rPr>
          <w:rFonts w:ascii="宋体" w:hAnsi="宋体" w:cs="宋体" w:eastAsia="宋体" w:hint="default"/>
        </w:rPr>
        <w:t>3</w:t>
      </w:r>
      <w:r>
        <w:rPr/>
        <w:t>、</w:t>
      </w:r>
      <w:r>
        <w:rPr>
          <w:rFonts w:ascii="宋体" w:hAnsi="宋体" w:cs="宋体" w:eastAsia="宋体" w:hint="default"/>
        </w:rPr>
        <w:t>2018</w:t>
      </w:r>
      <w:r>
        <w:rPr>
          <w:rFonts w:ascii="宋体" w:hAnsi="宋体" w:cs="宋体" w:eastAsia="宋体" w:hint="default"/>
          <w:spacing w:val="-8"/>
        </w:rPr>
        <w:t> </w:t>
      </w:r>
      <w:r>
        <w:rPr/>
        <w:t>年筹资活动现金流量净</w:t>
      </w:r>
      <w:r>
        <w:rPr>
          <w:rFonts w:ascii="宋体" w:hAnsi="宋体" w:cs="宋体" w:eastAsia="宋体" w:hint="default"/>
        </w:rPr>
        <w:t>104,034.88</w:t>
      </w:r>
      <w:r>
        <w:rPr/>
        <w:t>万元，同比增长</w:t>
      </w:r>
      <w:r>
        <w:rPr>
          <w:rFonts w:ascii="宋体" w:hAnsi="宋体" w:cs="宋体" w:eastAsia="宋体" w:hint="default"/>
        </w:rPr>
        <w:t>2,909.10%</w:t>
      </w:r>
      <w:r>
        <w:rPr/>
        <w:t>，主要是公司完成首次公开发行股票，取得募集资金 所致。</w:t>
      </w:r>
      <w:r>
        <w:rPr>
          <w:rFonts w:ascii="宋体" w:hAnsi="宋体" w:cs="宋体" w:eastAsia="宋体" w:hint="default"/>
        </w:rPr>
        <w:t> </w:t>
      </w:r>
    </w:p>
    <w:p>
      <w:pPr>
        <w:pStyle w:val="BodyText"/>
        <w:spacing w:line="240" w:lineRule="auto" w:before="59"/>
        <w:ind w:right="977"/>
        <w:jc w:val="left"/>
      </w:pPr>
      <w:r>
        <w:rPr/>
        <w:t>报告期内公司经营活动产生的现金净流量与本年度净利润存在重大差异的原因说明</w:t>
      </w:r>
    </w:p>
    <w:p>
      <w:pPr>
        <w:pStyle w:val="BodyText"/>
        <w:spacing w:line="240" w:lineRule="auto" w:before="117"/>
        <w:ind w:right="977"/>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977"/>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77"/>
        <w:jc w:val="left"/>
      </w:pPr>
      <w:r>
        <w:rPr/>
        <w:t>√ 适用 □</w:t>
      </w:r>
      <w:r>
        <w:rPr>
          <w:spacing w:val="3"/>
        </w:rPr>
        <w:t> </w:t>
      </w:r>
      <w:r>
        <w:rPr/>
        <w:t>不适用</w:t>
      </w:r>
    </w:p>
    <w:p>
      <w:pPr>
        <w:pStyle w:val="BodyText"/>
        <w:spacing w:line="240" w:lineRule="auto" w:before="117"/>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24"/>
        <w:gridCol w:w="1916"/>
        <w:gridCol w:w="1623"/>
        <w:gridCol w:w="2254"/>
        <w:gridCol w:w="2254"/>
      </w:tblGrid>
      <w:tr>
        <w:trPr>
          <w:trHeight w:val="402"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5"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0"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4"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67" w:right="0"/>
              <w:jc w:val="left"/>
              <w:rPr>
                <w:rFonts w:ascii="Times New Roman" w:hAnsi="Times New Roman" w:cs="Times New Roman" w:eastAsia="Times New Roman" w:hint="default"/>
                <w:sz w:val="18"/>
                <w:szCs w:val="18"/>
              </w:rPr>
            </w:pPr>
            <w:r>
              <w:rPr>
                <w:rFonts w:ascii="Times New Roman"/>
                <w:sz w:val="18"/>
              </w:rPr>
              <w:t>14,645,329.23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43" w:right="0"/>
              <w:jc w:val="left"/>
              <w:rPr>
                <w:rFonts w:ascii="Times New Roman" w:hAnsi="Times New Roman" w:cs="Times New Roman" w:eastAsia="Times New Roman" w:hint="default"/>
                <w:sz w:val="18"/>
                <w:szCs w:val="18"/>
              </w:rPr>
            </w:pPr>
            <w:r>
              <w:rPr>
                <w:rFonts w:ascii="Times New Roman"/>
                <w:sz w:val="18"/>
              </w:rPr>
              <w:t>6.05%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1"/>
              <w:jc w:val="center"/>
              <w:rPr>
                <w:rFonts w:ascii="宋体" w:hAnsi="宋体" w:cs="宋体" w:eastAsia="宋体" w:hint="default"/>
                <w:sz w:val="18"/>
                <w:szCs w:val="18"/>
              </w:rPr>
            </w:pPr>
            <w:r>
              <w:rPr>
                <w:rFonts w:ascii="宋体" w:hAnsi="宋体" w:cs="宋体" w:eastAsia="宋体" w:hint="default"/>
                <w:sz w:val="18"/>
                <w:szCs w:val="18"/>
              </w:rPr>
              <w:t>主要是报告期内结构性存</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0" w:footer="1013" w:top="1100" w:bottom="1200" w:left="1020" w:right="0"/>
        </w:sectPr>
      </w:pPr>
    </w:p>
    <w:p>
      <w:pPr>
        <w:spacing w:line="240" w:lineRule="auto" w:before="2"/>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36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款收益所致。</w:t>
            </w: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49"/>
              <w:jc w:val="left"/>
              <w:rPr>
                <w:rFonts w:ascii="宋体" w:hAnsi="宋体" w:cs="宋体" w:eastAsia="宋体" w:hint="default"/>
                <w:sz w:val="18"/>
                <w:szCs w:val="18"/>
              </w:rPr>
            </w:pPr>
            <w:r>
              <w:rPr>
                <w:rFonts w:ascii="宋体" w:hAnsi="宋体" w:cs="宋体" w:eastAsia="宋体" w:hint="default"/>
                <w:sz w:val="18"/>
                <w:szCs w:val="18"/>
              </w:rPr>
              <w:t>公允价值变动损 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报告期内无发生额。</w:t>
            </w: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41,037,378.43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16.96%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58"/>
              <w:jc w:val="left"/>
              <w:rPr>
                <w:rFonts w:ascii="宋体" w:hAnsi="宋体" w:cs="宋体" w:eastAsia="宋体" w:hint="default"/>
                <w:sz w:val="18"/>
                <w:szCs w:val="18"/>
              </w:rPr>
            </w:pPr>
            <w:r>
              <w:rPr>
                <w:rFonts w:ascii="宋体" w:hAnsi="宋体" w:cs="宋体" w:eastAsia="宋体" w:hint="default"/>
                <w:sz w:val="18"/>
                <w:szCs w:val="18"/>
              </w:rPr>
              <w:t>主要是报告期内应收款项 计提坏账准备所致。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6,203,996.36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2.56%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58"/>
              <w:jc w:val="left"/>
              <w:rPr>
                <w:rFonts w:ascii="宋体" w:hAnsi="宋体" w:cs="宋体" w:eastAsia="宋体" w:hint="default"/>
                <w:sz w:val="18"/>
                <w:szCs w:val="18"/>
              </w:rPr>
            </w:pPr>
            <w:r>
              <w:rPr>
                <w:rFonts w:ascii="宋体" w:hAnsi="宋体" w:cs="宋体" w:eastAsia="宋体" w:hint="default"/>
                <w:sz w:val="18"/>
                <w:szCs w:val="18"/>
              </w:rPr>
              <w:t>主要是报告期内获得上市 奖励所致。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1,808,299.60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0.75%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58"/>
              <w:jc w:val="both"/>
              <w:rPr>
                <w:rFonts w:ascii="宋体" w:hAnsi="宋体" w:cs="宋体" w:eastAsia="宋体" w:hint="default"/>
                <w:sz w:val="18"/>
                <w:szCs w:val="18"/>
              </w:rPr>
            </w:pPr>
            <w:r>
              <w:rPr>
                <w:rFonts w:ascii="宋体" w:hAnsi="宋体" w:cs="宋体" w:eastAsia="宋体" w:hint="default"/>
                <w:sz w:val="18"/>
                <w:szCs w:val="18"/>
              </w:rPr>
              <w:t>主要是报告期内固定资产 处置损失及公益性捐赠所 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13,125,604.83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5.42%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58"/>
              <w:jc w:val="left"/>
              <w:rPr>
                <w:rFonts w:ascii="宋体" w:hAnsi="宋体" w:cs="宋体" w:eastAsia="宋体" w:hint="default"/>
                <w:sz w:val="18"/>
                <w:szCs w:val="18"/>
              </w:rPr>
            </w:pPr>
            <w:r>
              <w:rPr>
                <w:rFonts w:ascii="宋体" w:hAnsi="宋体" w:cs="宋体" w:eastAsia="宋体" w:hint="default"/>
                <w:sz w:val="18"/>
                <w:szCs w:val="18"/>
              </w:rPr>
              <w:t>主要是报告期内收到政府 发放的扶持资金所致。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399,206.59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58"/>
              <w:jc w:val="left"/>
              <w:rPr>
                <w:rFonts w:ascii="宋体" w:hAnsi="宋体" w:cs="宋体" w:eastAsia="宋体" w:hint="default"/>
                <w:sz w:val="18"/>
                <w:szCs w:val="18"/>
              </w:rPr>
            </w:pPr>
            <w:r>
              <w:rPr>
                <w:rFonts w:ascii="宋体" w:hAnsi="宋体" w:cs="宋体" w:eastAsia="宋体" w:hint="default"/>
                <w:sz w:val="18"/>
                <w:szCs w:val="18"/>
              </w:rPr>
              <w:t>主要是报告期内固定资产 变卖收益所致。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8"/>
          <w:szCs w:val="18"/>
        </w:rPr>
      </w:pPr>
    </w:p>
    <w:p>
      <w:pPr>
        <w:pStyle w:val="Heading2"/>
        <w:spacing w:line="240" w:lineRule="auto" w:before="26"/>
        <w:ind w:right="977"/>
        <w:jc w:val="left"/>
        <w:rPr>
          <w:b w:val="0"/>
          <w:bCs w:val="0"/>
        </w:rPr>
      </w:pP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77"/>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525"/>
        <w:gridCol w:w="852"/>
        <w:gridCol w:w="1527"/>
        <w:gridCol w:w="862"/>
        <w:gridCol w:w="886"/>
        <w:gridCol w:w="2552"/>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3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3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347" w:right="167"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5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3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3" w:right="146"/>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8" w:right="151"/>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886" w:type="dxa"/>
            <w:vMerge/>
            <w:tcBorders>
              <w:left w:val="single" w:sz="4" w:space="0" w:color="000000"/>
              <w:bottom w:val="single" w:sz="4" w:space="0" w:color="000000"/>
              <w:right w:val="single" w:sz="4" w:space="0" w:color="000000"/>
            </w:tcBorders>
            <w:shd w:val="clear" w:color="auto" w:fill="D2D2D2"/>
          </w:tcPr>
          <w:p>
            <w:pPr/>
          </w:p>
        </w:tc>
        <w:tc>
          <w:tcPr>
            <w:tcW w:w="255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1,374,119,862.21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35.11%</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232,904,630.32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9.76%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25.35%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8"/>
              <w:jc w:val="left"/>
              <w:rPr>
                <w:rFonts w:ascii="宋体" w:hAnsi="宋体" w:cs="宋体" w:eastAsia="宋体" w:hint="default"/>
                <w:sz w:val="18"/>
                <w:szCs w:val="18"/>
              </w:rPr>
            </w:pPr>
            <w:r>
              <w:rPr>
                <w:rFonts w:ascii="宋体" w:hAnsi="宋体" w:cs="宋体" w:eastAsia="宋体" w:hint="default"/>
                <w:sz w:val="18"/>
                <w:szCs w:val="18"/>
              </w:rPr>
              <w:t>报告期内货币资金增加较多， 主要系公司完成首次公开发 行股票，取得募集资金所致。</w:t>
            </w:r>
          </w:p>
        </w:tc>
      </w:tr>
      <w:tr>
        <w:trPr>
          <w:trHeight w:val="196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1,468,850,517.11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37.53%</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1,291,677,503.25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54.12%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-16.59%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报告期内，公司业务规模持续 扩大，应收账款总额继续增 加；同时，公司完成首次公开 发行股票，取得募集资金导致 应收账款占资产总额比重有 所下降。</w:t>
            </w: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633,160,199.86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16.18%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594,744,945.31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24.92%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-8.74%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both"/>
              <w:rPr>
                <w:rFonts w:ascii="宋体" w:hAnsi="宋体" w:cs="宋体" w:eastAsia="宋体" w:hint="default"/>
                <w:sz w:val="18"/>
                <w:szCs w:val="18"/>
              </w:rPr>
            </w:pPr>
            <w:r>
              <w:rPr>
                <w:rFonts w:ascii="宋体" w:hAnsi="宋体" w:cs="宋体" w:eastAsia="宋体" w:hint="default"/>
                <w:sz w:val="18"/>
                <w:szCs w:val="18"/>
              </w:rPr>
              <w:t>报告期内，公司业务规模持续 扩大，存货总额相应增加；同 时，公司完成首次公开发行股 票，取得募集资金导致存货占 资产总额比重有所下降。</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报告期内无发生额。</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1,410,103.86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0.04%</w:t>
            </w:r>
          </w:p>
        </w:tc>
        <w:tc>
          <w:tcPr>
            <w:tcW w:w="1527"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6"/>
              <w:jc w:val="left"/>
              <w:rPr>
                <w:rFonts w:ascii="宋体" w:hAnsi="宋体" w:cs="宋体" w:eastAsia="宋体" w:hint="default"/>
                <w:sz w:val="18"/>
                <w:szCs w:val="18"/>
              </w:rPr>
            </w:pPr>
            <w:r>
              <w:rPr>
                <w:rFonts w:ascii="宋体" w:hAnsi="宋体" w:cs="宋体" w:eastAsia="宋体" w:hint="default"/>
                <w:sz w:val="18"/>
                <w:szCs w:val="18"/>
              </w:rPr>
              <w:t>报告期内，公司投资联营企业 云南安润盛达科技有限公司。</w:t>
            </w:r>
          </w:p>
        </w:tc>
      </w:tr>
    </w:tbl>
    <w:p>
      <w:pPr>
        <w:spacing w:after="0" w:line="319" w:lineRule="auto"/>
        <w:jc w:val="left"/>
        <w:rPr>
          <w:rFonts w:ascii="宋体" w:hAnsi="宋体" w:cs="宋体" w:eastAsia="宋体" w:hint="default"/>
          <w:sz w:val="18"/>
          <w:szCs w:val="18"/>
        </w:rPr>
        <w:sectPr>
          <w:pgSz w:w="11910" w:h="16840"/>
          <w:pgMar w:header="910" w:footer="1013" w:top="1100" w:bottom="1200" w:left="1020" w:right="0"/>
        </w:sectPr>
      </w:pPr>
    </w:p>
    <w:p>
      <w:pPr>
        <w:spacing w:line="240" w:lineRule="auto" w:before="2"/>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525"/>
        <w:gridCol w:w="852"/>
        <w:gridCol w:w="1527"/>
        <w:gridCol w:w="862"/>
        <w:gridCol w:w="886"/>
        <w:gridCol w:w="2552"/>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76" w:right="0"/>
              <w:jc w:val="left"/>
              <w:rPr>
                <w:rFonts w:ascii="Times New Roman" w:hAnsi="Times New Roman" w:cs="Times New Roman" w:eastAsia="Times New Roman" w:hint="default"/>
                <w:sz w:val="18"/>
                <w:szCs w:val="18"/>
              </w:rPr>
            </w:pPr>
            <w:r>
              <w:rPr>
                <w:rFonts w:ascii="Times New Roman"/>
                <w:sz w:val="18"/>
              </w:rPr>
              <w:t>63,840,044.46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Times New Roman"/>
                <w:sz w:val="18"/>
              </w:rPr>
              <w:t>1.63%</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62,077,360.08</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-0.97%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报告期内，公司固定资产无重 大变动。</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报告期内无发生额。</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152,300,000.00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6.38%</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both"/>
              <w:rPr>
                <w:rFonts w:ascii="宋体" w:hAnsi="宋体" w:cs="宋体" w:eastAsia="宋体" w:hint="default"/>
                <w:sz w:val="18"/>
                <w:szCs w:val="18"/>
              </w:rPr>
            </w:pPr>
            <w:r>
              <w:rPr>
                <w:rFonts w:ascii="宋体" w:hAnsi="宋体" w:cs="宋体" w:eastAsia="宋体" w:hint="default"/>
                <w:sz w:val="18"/>
                <w:szCs w:val="18"/>
              </w:rPr>
              <w:t>报告期内，公司完成首次公开 发行股票，取得募集资金，流 动资金获得较大补充所致。</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12,029,483.06</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0.50%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-0.50%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报告期内公司归还长期借款。</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77"/>
        <w:jc w:val="left"/>
        <w:rPr>
          <w:rFonts w:ascii="宋体" w:hAnsi="宋体" w:cs="宋体" w:eastAsia="宋体" w:hint="default"/>
        </w:rPr>
      </w:pPr>
      <w:r>
        <w:rPr>
          <w:spacing w:val="-2"/>
        </w:rPr>
        <w:t>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日，公司为开立国内非金融保函，在银行对应保函保证金余额为</w:t>
      </w:r>
      <w:r>
        <w:rPr>
          <w:rFonts w:ascii="宋体" w:hAnsi="宋体" w:cs="宋体" w:eastAsia="宋体" w:hint="default"/>
          <w:spacing w:val="-2"/>
        </w:rPr>
        <w:t>63,639,747.58</w:t>
      </w:r>
      <w:r>
        <w:rPr>
          <w:spacing w:val="-2"/>
        </w:rPr>
        <w:t>元；公司因办理银行汇票，</w:t>
      </w:r>
      <w:r>
        <w:rPr>
          <w:spacing w:val="-53"/>
        </w:rPr>
        <w:t> </w:t>
      </w:r>
      <w:r>
        <w:rPr>
          <w:spacing w:val="-53"/>
        </w:rPr>
      </w:r>
      <w:r>
        <w:rPr/>
        <w:t>在银行对应开立保证金账户，账户余额为</w:t>
      </w:r>
      <w:r>
        <w:rPr>
          <w:rFonts w:ascii="宋体" w:hAnsi="宋体" w:cs="宋体" w:eastAsia="宋体" w:hint="default"/>
        </w:rPr>
        <w:t>113,005,374.93</w:t>
      </w:r>
      <w:r>
        <w:rPr/>
        <w:t>元。</w:t>
      </w:r>
      <w:r>
        <w:rPr>
          <w:rFonts w:ascii="宋体" w:hAnsi="宋体" w:cs="宋体" w:eastAsia="宋体" w:hint="default"/>
        </w:rPr>
        <w:t> </w:t>
      </w:r>
    </w:p>
    <w:p>
      <w:pPr>
        <w:spacing w:line="240" w:lineRule="auto" w:before="11"/>
        <w:rPr>
          <w:rFonts w:ascii="宋体" w:hAnsi="宋体" w:cs="宋体" w:eastAsia="宋体" w:hint="default"/>
          <w:sz w:val="20"/>
          <w:szCs w:val="20"/>
        </w:rPr>
      </w:pPr>
    </w:p>
    <w:p>
      <w:pPr>
        <w:pStyle w:val="Heading2"/>
        <w:spacing w:line="240" w:lineRule="auto"/>
        <w:ind w:right="977"/>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77"/>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77"/>
        <w:jc w:val="left"/>
      </w:pPr>
      <w:r>
        <w:rPr/>
        <w:t>√ 适用 □</w:t>
      </w:r>
      <w:r>
        <w:rPr>
          <w:spacing w:val="3"/>
        </w:rPr>
        <w:t> </w:t>
      </w:r>
      <w:r>
        <w:rPr/>
        <w:t>不适用</w:t>
      </w:r>
    </w:p>
    <w:p>
      <w:pPr>
        <w:pStyle w:val="BodyText"/>
        <w:spacing w:line="240" w:lineRule="auto" w:before="117"/>
        <w:ind w:left="0" w:right="1131"/>
        <w:jc w:val="right"/>
      </w:pPr>
      <w:r>
        <w:rPr/>
        <w:t>单位：万元</w:t>
      </w:r>
    </w:p>
    <w:p>
      <w:pPr>
        <w:spacing w:after="0" w:line="240" w:lineRule="auto"/>
        <w:jc w:val="right"/>
        <w:sectPr>
          <w:pgSz w:w="11910" w:h="16840"/>
          <w:pgMar w:header="910" w:footer="1013" w:top="1100" w:bottom="1200" w:left="1020" w:right="0"/>
        </w:sectPr>
      </w:pPr>
    </w:p>
    <w:p>
      <w:pPr>
        <w:spacing w:line="240" w:lineRule="auto" w:before="2"/>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708"/>
        <w:gridCol w:w="710"/>
        <w:gridCol w:w="708"/>
        <w:gridCol w:w="709"/>
        <w:gridCol w:w="710"/>
        <w:gridCol w:w="708"/>
        <w:gridCol w:w="711"/>
        <w:gridCol w:w="850"/>
        <w:gridCol w:w="708"/>
        <w:gridCol w:w="2269"/>
        <w:gridCol w:w="898"/>
      </w:tblGrid>
      <w:tr>
        <w:trPr>
          <w:trHeight w:val="2585"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68" w:right="168"/>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募集 方式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7" w:right="168"/>
              <w:jc w:val="both"/>
              <w:rPr>
                <w:rFonts w:ascii="宋体" w:hAnsi="宋体" w:cs="宋体" w:eastAsia="宋体" w:hint="default"/>
                <w:sz w:val="18"/>
                <w:szCs w:val="18"/>
              </w:rPr>
            </w:pPr>
            <w:r>
              <w:rPr>
                <w:rFonts w:ascii="宋体" w:hAnsi="宋体" w:cs="宋体" w:eastAsia="宋体" w:hint="default"/>
                <w:sz w:val="18"/>
                <w:szCs w:val="18"/>
              </w:rPr>
              <w:t>募集 资金 总额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0" w:right="166"/>
              <w:jc w:val="both"/>
              <w:rPr>
                <w:rFonts w:ascii="宋体" w:hAnsi="宋体" w:cs="宋体" w:eastAsia="宋体" w:hint="default"/>
                <w:sz w:val="18"/>
                <w:szCs w:val="18"/>
              </w:rPr>
            </w:pPr>
            <w:r>
              <w:rPr>
                <w:rFonts w:ascii="宋体" w:hAnsi="宋体" w:cs="宋体" w:eastAsia="宋体" w:hint="default"/>
                <w:sz w:val="18"/>
                <w:szCs w:val="18"/>
              </w:rPr>
              <w:t>本期 已使 用募 集资 金总 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0" w:right="168"/>
              <w:jc w:val="both"/>
              <w:rPr>
                <w:rFonts w:ascii="宋体" w:hAnsi="宋体" w:cs="宋体" w:eastAsia="宋体" w:hint="default"/>
                <w:sz w:val="18"/>
                <w:szCs w:val="18"/>
              </w:rPr>
            </w:pPr>
            <w:r>
              <w:rPr>
                <w:rFonts w:ascii="宋体" w:hAnsi="宋体" w:cs="宋体" w:eastAsia="宋体" w:hint="default"/>
                <w:sz w:val="18"/>
                <w:szCs w:val="18"/>
              </w:rPr>
              <w:t>已累 计使 用募 集资 金总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7" w:right="168"/>
              <w:jc w:val="both"/>
              <w:rPr>
                <w:rFonts w:ascii="宋体" w:hAnsi="宋体" w:cs="宋体" w:eastAsia="宋体" w:hint="default"/>
                <w:sz w:val="18"/>
                <w:szCs w:val="18"/>
              </w:rPr>
            </w:pPr>
            <w:r>
              <w:rPr>
                <w:rFonts w:ascii="宋体" w:hAnsi="宋体" w:cs="宋体" w:eastAsia="宋体" w:hint="default"/>
                <w:sz w:val="18"/>
                <w:szCs w:val="18"/>
              </w:rPr>
              <w:t>报告 期内 变更 用途 的募 集资 金总 额</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0" w:right="168"/>
              <w:jc w:val="both"/>
              <w:rPr>
                <w:rFonts w:ascii="宋体" w:hAnsi="宋体" w:cs="宋体" w:eastAsia="宋体" w:hint="default"/>
                <w:sz w:val="18"/>
                <w:szCs w:val="18"/>
              </w:rPr>
            </w:pPr>
            <w:r>
              <w:rPr>
                <w:rFonts w:ascii="宋体" w:hAnsi="宋体" w:cs="宋体" w:eastAsia="宋体" w:hint="default"/>
                <w:sz w:val="18"/>
                <w:szCs w:val="18"/>
              </w:rPr>
              <w:t>累计 变更 用途 的募 集资 金总 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48" w:right="149"/>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67" w:right="168"/>
              <w:jc w:val="both"/>
              <w:rPr>
                <w:rFonts w:ascii="宋体" w:hAnsi="宋体" w:cs="宋体" w:eastAsia="宋体" w:hint="default"/>
                <w:sz w:val="18"/>
                <w:szCs w:val="18"/>
              </w:rPr>
            </w:pPr>
            <w:r>
              <w:rPr>
                <w:rFonts w:ascii="宋体" w:hAnsi="宋体" w:cs="宋体" w:eastAsia="宋体" w:hint="default"/>
                <w:sz w:val="18"/>
                <w:szCs w:val="18"/>
              </w:rPr>
              <w:t>尚未 使用 募集 资金 总额</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50" w:right="135" w:hanging="810"/>
              <w:jc w:val="left"/>
              <w:rPr>
                <w:rFonts w:ascii="宋体" w:hAnsi="宋体" w:cs="宋体" w:eastAsia="宋体" w:hint="default"/>
                <w:sz w:val="18"/>
                <w:szCs w:val="18"/>
              </w:rPr>
            </w:pPr>
            <w:r>
              <w:rPr>
                <w:rFonts w:ascii="宋体" w:hAnsi="宋体" w:cs="宋体" w:eastAsia="宋体" w:hint="default"/>
                <w:sz w:val="18"/>
                <w:szCs w:val="18"/>
              </w:rPr>
              <w:t>尚未使用募集资金用途及 去向</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60" w:right="185"/>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352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4" w:lineRule="auto"/>
              <w:ind w:left="105" w:right="233"/>
              <w:jc w:val="left"/>
              <w:rPr>
                <w:rFonts w:ascii="宋体" w:hAnsi="宋体" w:cs="宋体" w:eastAsia="宋体" w:hint="default"/>
                <w:sz w:val="18"/>
                <w:szCs w:val="18"/>
              </w:rPr>
            </w:pPr>
            <w:r>
              <w:rPr>
                <w:rFonts w:ascii="宋体" w:hAnsi="宋体" w:cs="宋体" w:eastAsia="宋体" w:hint="default"/>
                <w:sz w:val="18"/>
                <w:szCs w:val="18"/>
              </w:rPr>
              <w:t>公开 发行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125,5</w:t>
            </w:r>
          </w:p>
          <w:p>
            <w:pPr>
              <w:pStyle w:val="TableParagraph"/>
              <w:spacing w:line="240" w:lineRule="auto" w:before="102"/>
              <w:ind w:left="189" w:right="0"/>
              <w:jc w:val="left"/>
              <w:rPr>
                <w:rFonts w:ascii="Times New Roman" w:hAnsi="Times New Roman" w:cs="Times New Roman" w:eastAsia="Times New Roman" w:hint="default"/>
                <w:sz w:val="18"/>
                <w:szCs w:val="18"/>
              </w:rPr>
            </w:pPr>
            <w:r>
              <w:rPr>
                <w:rFonts w:ascii="Times New Roman"/>
                <w:sz w:val="18"/>
              </w:rPr>
              <w:t>96.06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105,7</w:t>
            </w:r>
          </w:p>
          <w:p>
            <w:pPr>
              <w:pStyle w:val="TableParagraph"/>
              <w:spacing w:line="240" w:lineRule="auto" w:before="102"/>
              <w:ind w:left="191" w:right="0"/>
              <w:jc w:val="left"/>
              <w:rPr>
                <w:rFonts w:ascii="Times New Roman" w:hAnsi="Times New Roman" w:cs="Times New Roman" w:eastAsia="Times New Roman" w:hint="default"/>
                <w:sz w:val="18"/>
                <w:szCs w:val="18"/>
              </w:rPr>
            </w:pPr>
            <w:r>
              <w:rPr>
                <w:rFonts w:ascii="Times New Roman"/>
                <w:sz w:val="18"/>
              </w:rPr>
              <w:t>49.72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105,7</w:t>
            </w:r>
          </w:p>
          <w:p>
            <w:pPr>
              <w:pStyle w:val="TableParagraph"/>
              <w:spacing w:line="240" w:lineRule="auto" w:before="102"/>
              <w:ind w:left="192" w:right="0"/>
              <w:jc w:val="left"/>
              <w:rPr>
                <w:rFonts w:ascii="Times New Roman" w:hAnsi="Times New Roman" w:cs="Times New Roman" w:eastAsia="Times New Roman" w:hint="default"/>
                <w:sz w:val="18"/>
                <w:szCs w:val="18"/>
              </w:rPr>
            </w:pPr>
            <w:r>
              <w:rPr>
                <w:rFonts w:ascii="Times New Roman"/>
                <w:sz w:val="18"/>
              </w:rPr>
              <w:t>49.72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18,77</w:t>
            </w:r>
          </w:p>
          <w:p>
            <w:pPr>
              <w:pStyle w:val="TableParagraph"/>
              <w:spacing w:line="240" w:lineRule="auto" w:before="102"/>
              <w:ind w:left="280" w:right="0"/>
              <w:jc w:val="left"/>
              <w:rPr>
                <w:rFonts w:ascii="Times New Roman" w:hAnsi="Times New Roman" w:cs="Times New Roman" w:eastAsia="Times New Roman" w:hint="default"/>
                <w:sz w:val="18"/>
                <w:szCs w:val="18"/>
              </w:rPr>
            </w:pPr>
            <w:r>
              <w:rPr>
                <w:rFonts w:ascii="Times New Roman"/>
                <w:sz w:val="18"/>
              </w:rPr>
              <w:t>5.00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18,77</w:t>
            </w:r>
          </w:p>
          <w:p>
            <w:pPr>
              <w:pStyle w:val="TableParagraph"/>
              <w:spacing w:line="240" w:lineRule="auto" w:before="102"/>
              <w:ind w:left="283" w:right="0"/>
              <w:jc w:val="left"/>
              <w:rPr>
                <w:rFonts w:ascii="Times New Roman" w:hAnsi="Times New Roman" w:cs="Times New Roman" w:eastAsia="Times New Roman" w:hint="default"/>
                <w:sz w:val="18"/>
                <w:szCs w:val="18"/>
              </w:rPr>
            </w:pPr>
            <w:r>
              <w:rPr>
                <w:rFonts w:ascii="Times New Roman"/>
                <w:sz w:val="18"/>
              </w:rPr>
              <w:t>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19,84</w:t>
            </w:r>
          </w:p>
          <w:p>
            <w:pPr>
              <w:pStyle w:val="TableParagraph"/>
              <w:spacing w:line="240" w:lineRule="auto" w:before="102"/>
              <w:ind w:left="280" w:right="0"/>
              <w:jc w:val="left"/>
              <w:rPr>
                <w:rFonts w:ascii="Times New Roman" w:hAnsi="Times New Roman" w:cs="Times New Roman" w:eastAsia="Times New Roman" w:hint="default"/>
                <w:sz w:val="18"/>
                <w:szCs w:val="18"/>
              </w:rPr>
            </w:pPr>
            <w:r>
              <w:rPr>
                <w:rFonts w:ascii="Times New Roman"/>
                <w:sz w:val="18"/>
              </w:rPr>
              <w:t>6.34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105" w:right="83"/>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 </w:t>
            </w:r>
            <w:r>
              <w:rPr>
                <w:rFonts w:ascii="宋体" w:hAnsi="宋体" w:cs="宋体" w:eastAsia="宋体" w:hint="default"/>
                <w:sz w:val="18"/>
                <w:szCs w:val="18"/>
              </w:rPr>
              <w:t>尚未使用的募集资金余额</w:t>
            </w:r>
            <w:r>
              <w:rPr>
                <w:rFonts w:ascii="宋体" w:hAnsi="宋体" w:cs="宋体" w:eastAsia="宋体" w:hint="default"/>
                <w:sz w:val="18"/>
                <w:szCs w:val="18"/>
              </w:rPr>
              <w:t> 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198,463,340.66</w:t>
            </w:r>
            <w:r>
              <w:rPr>
                <w:rFonts w:ascii="Times New Roman" w:hAnsi="Times New Roman" w:cs="Times New Roman" w:eastAsia="Times New Roman" w:hint="default"/>
                <w:spacing w:val="-1"/>
                <w:sz w:val="18"/>
                <w:szCs w:val="18"/>
              </w:rPr>
              <w:t> </w:t>
            </w:r>
            <w:r>
              <w:rPr>
                <w:rFonts w:ascii="宋体" w:hAnsi="宋体" w:cs="宋体" w:eastAsia="宋体" w:hint="default"/>
                <w:spacing w:val="-16"/>
                <w:sz w:val="18"/>
                <w:szCs w:val="18"/>
              </w:rPr>
              <w:t>元，尚未</w:t>
            </w:r>
          </w:p>
          <w:p>
            <w:pPr>
              <w:pStyle w:val="TableParagraph"/>
              <w:spacing w:line="316" w:lineRule="auto" w:before="7"/>
              <w:ind w:left="105" w:right="170"/>
              <w:jc w:val="both"/>
              <w:rPr>
                <w:rFonts w:ascii="宋体" w:hAnsi="宋体" w:cs="宋体" w:eastAsia="宋体" w:hint="default"/>
                <w:sz w:val="18"/>
                <w:szCs w:val="18"/>
              </w:rPr>
            </w:pPr>
            <w:r>
              <w:rPr>
                <w:rFonts w:ascii="宋体" w:hAnsi="宋体" w:cs="宋体" w:eastAsia="宋体" w:hint="default"/>
                <w:sz w:val="18"/>
                <w:szCs w:val="18"/>
              </w:rPr>
              <w:t>使用的募集资金分别存放 于上海浦东发展银行南宁 分行营业部、招商银行南 宁分行营业部二个募集资 金专户中，公司尚未使用 的募集资金将用于区域服 务网络和培训中心建设项 目、研发中心建设项目。</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 w:right="0"/>
              <w:jc w:val="left"/>
              <w:rPr>
                <w:rFonts w:ascii="Times New Roman" w:hAnsi="Times New Roman" w:cs="Times New Roman" w:eastAsia="Times New Roman" w:hint="default"/>
                <w:sz w:val="18"/>
                <w:szCs w:val="18"/>
              </w:rPr>
            </w:pPr>
            <w:r>
              <w:rPr>
                <w:rFonts w:ascii="Times New Roman"/>
                <w:sz w:val="18"/>
              </w:rPr>
              <w:t>125,5</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96.06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1" w:right="0"/>
              <w:jc w:val="left"/>
              <w:rPr>
                <w:rFonts w:ascii="Times New Roman" w:hAnsi="Times New Roman" w:cs="Times New Roman" w:eastAsia="Times New Roman" w:hint="default"/>
                <w:sz w:val="18"/>
                <w:szCs w:val="18"/>
              </w:rPr>
            </w:pPr>
            <w:r>
              <w:rPr>
                <w:rFonts w:ascii="Times New Roman"/>
                <w:sz w:val="18"/>
              </w:rPr>
              <w:t>105,7</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49.72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2" w:right="0"/>
              <w:jc w:val="left"/>
              <w:rPr>
                <w:rFonts w:ascii="Times New Roman" w:hAnsi="Times New Roman" w:cs="Times New Roman" w:eastAsia="Times New Roman" w:hint="default"/>
                <w:sz w:val="18"/>
                <w:szCs w:val="18"/>
              </w:rPr>
            </w:pPr>
            <w:r>
              <w:rPr>
                <w:rFonts w:ascii="Times New Roman"/>
                <w:sz w:val="18"/>
              </w:rPr>
              <w:t>105,7</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49.72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 w:right="0"/>
              <w:jc w:val="left"/>
              <w:rPr>
                <w:rFonts w:ascii="Times New Roman" w:hAnsi="Times New Roman" w:cs="Times New Roman" w:eastAsia="Times New Roman" w:hint="default"/>
                <w:sz w:val="18"/>
                <w:szCs w:val="18"/>
              </w:rPr>
            </w:pPr>
            <w:r>
              <w:rPr>
                <w:rFonts w:ascii="Times New Roman"/>
                <w:sz w:val="18"/>
              </w:rPr>
              <w:t>18,77</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5.00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2" w:right="0"/>
              <w:jc w:val="left"/>
              <w:rPr>
                <w:rFonts w:ascii="Times New Roman" w:hAnsi="Times New Roman" w:cs="Times New Roman" w:eastAsia="Times New Roman" w:hint="default"/>
                <w:sz w:val="18"/>
                <w:szCs w:val="18"/>
              </w:rPr>
            </w:pPr>
            <w:r>
              <w:rPr>
                <w:rFonts w:ascii="Times New Roman"/>
                <w:sz w:val="18"/>
              </w:rPr>
              <w:t>18,77</w:t>
            </w:r>
          </w:p>
          <w:p>
            <w:pPr>
              <w:pStyle w:val="TableParagraph"/>
              <w:spacing w:line="240" w:lineRule="auto" w:before="105"/>
              <w:ind w:left="283" w:right="0"/>
              <w:jc w:val="left"/>
              <w:rPr>
                <w:rFonts w:ascii="Times New Roman" w:hAnsi="Times New Roman" w:cs="Times New Roman" w:eastAsia="Times New Roman" w:hint="default"/>
                <w:sz w:val="18"/>
                <w:szCs w:val="18"/>
              </w:rPr>
            </w:pPr>
            <w:r>
              <w:rPr>
                <w:rFonts w:ascii="Times New Roman"/>
                <w:sz w:val="18"/>
              </w:rPr>
              <w:t>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 w:right="0"/>
              <w:jc w:val="left"/>
              <w:rPr>
                <w:rFonts w:ascii="Times New Roman" w:hAnsi="Times New Roman" w:cs="Times New Roman" w:eastAsia="Times New Roman" w:hint="default"/>
                <w:sz w:val="18"/>
                <w:szCs w:val="18"/>
              </w:rPr>
            </w:pPr>
            <w:r>
              <w:rPr>
                <w:rFonts w:ascii="Times New Roman"/>
                <w:sz w:val="18"/>
              </w:rPr>
              <w:t>19,84</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6.34</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68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971" w:hRule="exact"/>
        </w:trPr>
        <w:tc>
          <w:tcPr>
            <w:tcW w:w="9689"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72" w:firstLine="360"/>
              <w:jc w:val="both"/>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[2018]262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号文《关于核准润建通信首次公开发行股票的批复》的核准，公司向 社会公开发行人民币普通股（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5,518.66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万股，每股面值人民币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元，每股发行认购价格为人民币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元，共计 募集资金人民币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1,321,719,070.00 </w:t>
            </w:r>
            <w:r>
              <w:rPr>
                <w:rFonts w:ascii="宋体" w:hAnsi="宋体" w:cs="宋体" w:eastAsia="宋体" w:hint="default"/>
                <w:sz w:val="18"/>
                <w:szCs w:val="18"/>
              </w:rPr>
              <w:t>元，扣除承销费及发行相关费用（不含税）人民币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65,758,490.57 </w:t>
            </w:r>
            <w:r>
              <w:rPr>
                <w:rFonts w:ascii="宋体" w:hAnsi="宋体" w:cs="宋体" w:eastAsia="宋体" w:hint="default"/>
                <w:sz w:val="18"/>
                <w:szCs w:val="18"/>
              </w:rPr>
              <w:t>元，润建股份实际募集</w:t>
            </w:r>
          </w:p>
          <w:p>
            <w:pPr>
              <w:pStyle w:val="TableParagraph"/>
              <w:spacing w:line="300" w:lineRule="auto" w:before="13"/>
              <w:ind w:left="103" w:right="91"/>
              <w:jc w:val="both"/>
              <w:rPr>
                <w:rFonts w:ascii="宋体" w:hAnsi="宋体" w:cs="宋体" w:eastAsia="宋体" w:hint="default"/>
                <w:sz w:val="18"/>
                <w:szCs w:val="18"/>
              </w:rPr>
            </w:pPr>
            <w:r>
              <w:rPr>
                <w:rFonts w:ascii="宋体" w:hAnsi="宋体" w:cs="宋体" w:eastAsia="宋体" w:hint="default"/>
                <w:sz w:val="18"/>
                <w:szCs w:val="18"/>
              </w:rPr>
              <w:t>资金净额为人民币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1,255,960,579.43 </w:t>
            </w:r>
            <w:r>
              <w:rPr>
                <w:rFonts w:ascii="宋体" w:hAnsi="宋体" w:cs="宋体" w:eastAsia="宋体" w:hint="default"/>
                <w:sz w:val="18"/>
                <w:szCs w:val="18"/>
              </w:rPr>
              <w:t>元。大华会计师事务所（特殊普通合伙）对公司首次公开发行股票的资金到位情况进 </w:t>
            </w:r>
            <w:r>
              <w:rPr>
                <w:rFonts w:ascii="宋体" w:hAnsi="宋体" w:cs="宋体" w:eastAsia="宋体" w:hint="default"/>
                <w:w w:val="99"/>
                <w:sz w:val="18"/>
                <w:szCs w:val="18"/>
              </w:rPr>
              <w:t>行了审验，并出具了《润建通信股份有限公司发行人民币普通股（</w:t>
            </w:r>
            <w:r>
              <w:rPr>
                <w:rFonts w:ascii="Times New Roman" w:hAnsi="Times New Roman" w:cs="Times New Roman" w:eastAsia="Times New Roman" w:hint="default"/>
                <w:w w:val="99"/>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5,518.66</w:t>
            </w:r>
            <w:r>
              <w:rPr>
                <w:rFonts w:ascii="Times New Roman" w:hAnsi="Times New Roman" w:cs="Times New Roman" w:eastAsia="Times New Roman" w:hint="default"/>
                <w:spacing w:val="41"/>
                <w:sz w:val="18"/>
                <w:szCs w:val="18"/>
              </w:rPr>
              <w:t> </w:t>
            </w:r>
            <w:r>
              <w:rPr>
                <w:rFonts w:ascii="宋体" w:hAnsi="宋体" w:cs="宋体" w:eastAsia="宋体" w:hint="default"/>
                <w:spacing w:val="-6"/>
                <w:sz w:val="18"/>
                <w:szCs w:val="18"/>
              </w:rPr>
              <w:t>万股后实收股本的验资报告》（大华验</w:t>
            </w:r>
            <w:r>
              <w:rPr>
                <w:rFonts w:ascii="宋体" w:hAnsi="宋体" w:cs="宋体" w:eastAsia="宋体" w:hint="default"/>
                <w:sz w:val="18"/>
                <w:szCs w:val="18"/>
              </w:rPr>
              <w:t> 字</w:t>
            </w:r>
            <w:r>
              <w:rPr>
                <w:rFonts w:ascii="Times New Roman" w:hAnsi="Times New Roman" w:cs="Times New Roman" w:eastAsia="Times New Roman" w:hint="default"/>
                <w:sz w:val="18"/>
                <w:szCs w:val="18"/>
              </w:rPr>
              <w:t>[ 2018 </w:t>
            </w:r>
            <w:r>
              <w:rPr>
                <w:rFonts w:ascii="Times New Roman" w:hAnsi="Times New Roman" w:cs="Times New Roman" w:eastAsia="Times New Roman" w:hint="default"/>
                <w:spacing w:val="-1"/>
                <w:sz w:val="18"/>
                <w:szCs w:val="18"/>
              </w:rPr>
              <w:t>]000095</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5"/>
                <w:sz w:val="18"/>
                <w:szCs w:val="18"/>
              </w:rPr>
              <w:t> </w:t>
            </w:r>
            <w:r>
              <w:rPr>
                <w:rFonts w:ascii="宋体" w:hAnsi="宋体" w:cs="宋体" w:eastAsia="宋体" w:hint="default"/>
                <w:spacing w:val="-31"/>
                <w:sz w:val="18"/>
                <w:szCs w:val="18"/>
              </w:rPr>
              <w:t>号）。</w:t>
            </w:r>
          </w:p>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截至报告期末，公司募投项目资金使用情况如下：</w:t>
            </w:r>
          </w:p>
          <w:p>
            <w:pPr>
              <w:pStyle w:val="TableParagraph"/>
              <w:spacing w:line="240" w:lineRule="auto" w:before="117"/>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、研发中心建设项目暂未使用募集资金。</w:t>
            </w:r>
          </w:p>
          <w:p>
            <w:pPr>
              <w:pStyle w:val="TableParagraph"/>
              <w:spacing w:line="240" w:lineRule="auto" w:before="103"/>
              <w:ind w:left="46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、补充营运资金项目共使用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728,215,671.57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元，其中，利息收入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517,092.14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元也用于补充营运资金，扣除利息收入，</w:t>
            </w:r>
          </w:p>
          <w:p>
            <w:pPr>
              <w:pStyle w:val="TableParagraph"/>
              <w:spacing w:line="240" w:lineRule="auto" w:before="63"/>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实际募集资金投入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727,698,579.43 </w:t>
            </w:r>
            <w:r>
              <w:rPr>
                <w:rFonts w:ascii="宋体" w:hAnsi="宋体" w:cs="宋体" w:eastAsia="宋体" w:hint="default"/>
                <w:sz w:val="18"/>
                <w:szCs w:val="18"/>
              </w:rPr>
              <w:t>元，使用进度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日用于发放员工基本工资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102,321,563.09</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元，归还银行贷款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625,894,108.48 </w:t>
            </w:r>
            <w:r>
              <w:rPr>
                <w:rFonts w:ascii="宋体" w:hAnsi="宋体" w:cs="宋体" w:eastAsia="宋体" w:hint="default"/>
                <w:sz w:val="18"/>
                <w:szCs w:val="18"/>
              </w:rPr>
              <w:t>元。</w:t>
            </w:r>
          </w:p>
          <w:p>
            <w:pPr>
              <w:pStyle w:val="TableParagraph"/>
              <w:spacing w:line="240" w:lineRule="auto" w:before="10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、区域服务网络和培训中心建设项目，区域服务网络于</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年开始投入建设，由公司以自筹资金陆续投入。公司于</w:t>
            </w:r>
          </w:p>
          <w:p>
            <w:pPr>
              <w:pStyle w:val="TableParagraph"/>
              <w:spacing w:line="240" w:lineRule="auto" w:before="63"/>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日完成以募集资金置换预先投入募集资金投资项目的自筹资金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329,281,567.20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3"/>
              <w:ind w:left="103"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日，募集资金账户余额为人民币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210,637,181.68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元，募集资金专户累计利息收入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12,174,201.03 </w:t>
            </w:r>
            <w:r>
              <w:rPr>
                <w:rFonts w:ascii="宋体" w:hAnsi="宋体" w:cs="宋体" w:eastAsia="宋体" w:hint="default"/>
                <w:sz w:val="18"/>
                <w:szCs w:val="18"/>
              </w:rPr>
              <w:t>元，</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募集资金专户累计手续费支出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元。当前账户实际余额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210,637,181.68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77"/>
        <w:jc w:val="left"/>
      </w:pPr>
      <w:r>
        <w:rPr/>
        <w:t>√ 适用 □</w:t>
      </w:r>
      <w:r>
        <w:rPr>
          <w:spacing w:val="3"/>
        </w:rPr>
        <w:t> </w:t>
      </w:r>
      <w:r>
        <w:rPr/>
        <w:t>不适用</w:t>
      </w:r>
    </w:p>
    <w:p>
      <w:pPr>
        <w:pStyle w:val="BodyText"/>
        <w:spacing w:line="240" w:lineRule="auto" w:before="117"/>
        <w:ind w:left="0" w:right="1131"/>
        <w:jc w:val="right"/>
      </w:pPr>
      <w:r>
        <w:rPr/>
        <w:t>单位：万元</w:t>
      </w:r>
    </w:p>
    <w:p>
      <w:pPr>
        <w:spacing w:after="0" w:line="240" w:lineRule="auto"/>
        <w:jc w:val="right"/>
        <w:sectPr>
          <w:pgSz w:w="11910" w:h="16840"/>
          <w:pgMar w:header="910" w:footer="1013" w:top="1100" w:bottom="1200" w:left="102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1772"/>
        <w:gridCol w:w="598"/>
        <w:gridCol w:w="1081"/>
        <w:gridCol w:w="809"/>
        <w:gridCol w:w="893"/>
        <w:gridCol w:w="830"/>
        <w:gridCol w:w="742"/>
        <w:gridCol w:w="644"/>
        <w:gridCol w:w="643"/>
        <w:gridCol w:w="895"/>
        <w:gridCol w:w="665"/>
      </w:tblGrid>
      <w:tr>
        <w:trPr>
          <w:trHeight w:val="258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430" w:right="161"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5" w:right="11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 </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 更</w:t>
            </w:r>
            <w:r>
              <w:rPr>
                <w:rFonts w:ascii="Times New Roman" w:hAnsi="Times New Roman" w:cs="Times New Roman" w:eastAsia="Times New Roman" w:hint="default"/>
                <w:sz w:val="18"/>
                <w:szCs w:val="18"/>
              </w:rPr>
              <w:t>)</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78" w:right="170"/>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31" w:right="125"/>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70" w:right="17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41" w:right="137"/>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6"/>
              <w:ind w:left="129" w:right="128" w:firstLine="5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 期末 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36" w:right="135"/>
              <w:jc w:val="both"/>
              <w:rPr>
                <w:rFonts w:ascii="宋体" w:hAnsi="宋体" w:cs="宋体" w:eastAsia="宋体" w:hint="default"/>
                <w:sz w:val="18"/>
                <w:szCs w:val="18"/>
              </w:rPr>
            </w:pPr>
            <w:r>
              <w:rPr>
                <w:rFonts w:ascii="宋体" w:hAnsi="宋体" w:cs="宋体" w:eastAsia="宋体" w:hint="default"/>
                <w:sz w:val="18"/>
                <w:szCs w:val="18"/>
              </w:rPr>
              <w:t>项目 达到 预定 可使 用状 态日 期</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39" w:right="132"/>
              <w:jc w:val="both"/>
              <w:rPr>
                <w:rFonts w:ascii="宋体" w:hAnsi="宋体" w:cs="宋体" w:eastAsia="宋体" w:hint="default"/>
                <w:sz w:val="18"/>
                <w:szCs w:val="18"/>
              </w:rPr>
            </w:pPr>
            <w:r>
              <w:rPr>
                <w:rFonts w:ascii="宋体" w:hAnsi="宋体" w:cs="宋体" w:eastAsia="宋体" w:hint="default"/>
                <w:sz w:val="18"/>
                <w:szCs w:val="18"/>
              </w:rPr>
              <w:t>本报 告期 实现 的效 益</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72" w:right="170"/>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z w:val="18"/>
              </w:rPr>
              <w:t>9,313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92" w:right="0"/>
              <w:jc w:val="left"/>
              <w:rPr>
                <w:rFonts w:ascii="Times New Roman" w:hAnsi="Times New Roman" w:cs="Times New Roman" w:eastAsia="Times New Roman" w:hint="default"/>
                <w:sz w:val="18"/>
                <w:szCs w:val="18"/>
              </w:rPr>
            </w:pPr>
            <w:r>
              <w:rPr>
                <w:rFonts w:ascii="Times New Roman"/>
                <w:sz w:val="18"/>
              </w:rPr>
              <w:t>9,313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0" w:right="0"/>
              <w:jc w:val="center"/>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补充营运资金</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pacing w:val="-1"/>
                <w:sz w:val="18"/>
              </w:rPr>
              <w:t>72,769.86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72,769.</w:t>
            </w:r>
          </w:p>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86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72,821.5</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72,821.</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57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100.07</w:t>
            </w:r>
          </w:p>
          <w:p>
            <w:pPr>
              <w:pStyle w:val="TableParagraph"/>
              <w:spacing w:line="240" w:lineRule="auto" w:before="102"/>
              <w:ind w:left="47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01"/>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16"/>
              <w:jc w:val="left"/>
              <w:rPr>
                <w:rFonts w:ascii="宋体" w:hAnsi="宋体" w:cs="宋体" w:eastAsia="宋体" w:hint="default"/>
                <w:sz w:val="18"/>
                <w:szCs w:val="18"/>
              </w:rPr>
            </w:pPr>
            <w:r>
              <w:rPr>
                <w:rFonts w:ascii="宋体" w:hAnsi="宋体" w:cs="宋体" w:eastAsia="宋体" w:hint="default"/>
                <w:sz w:val="18"/>
                <w:szCs w:val="18"/>
              </w:rPr>
              <w:t>区域服务网络和培 训中心建设项目</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z w:val="18"/>
              </w:rPr>
              <w:t>43,513.2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43,513.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32,928.1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32,928.</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75.67</w:t>
            </w:r>
          </w:p>
          <w:p>
            <w:pPr>
              <w:pStyle w:val="TableParagraph"/>
              <w:spacing w:line="240" w:lineRule="auto" w:before="105"/>
              <w:ind w:left="47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13,43</w:t>
            </w:r>
          </w:p>
          <w:p>
            <w:pPr>
              <w:pStyle w:val="TableParagraph"/>
              <w:spacing w:line="240" w:lineRule="auto" w:before="105"/>
              <w:ind w:left="218" w:right="0"/>
              <w:jc w:val="left"/>
              <w:rPr>
                <w:rFonts w:ascii="Times New Roman" w:hAnsi="Times New Roman" w:cs="Times New Roman" w:eastAsia="Times New Roman" w:hint="default"/>
                <w:sz w:val="18"/>
                <w:szCs w:val="18"/>
              </w:rPr>
            </w:pPr>
            <w:r>
              <w:rPr>
                <w:rFonts w:ascii="Times New Roman"/>
                <w:sz w:val="18"/>
              </w:rPr>
              <w:t>7.22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30"/>
              <w:jc w:val="right"/>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125,596.06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2" w:right="0"/>
              <w:jc w:val="left"/>
              <w:rPr>
                <w:rFonts w:ascii="Times New Roman" w:hAnsi="Times New Roman" w:cs="Times New Roman" w:eastAsia="Times New Roman" w:hint="default"/>
                <w:sz w:val="18"/>
                <w:szCs w:val="18"/>
              </w:rPr>
            </w:pPr>
            <w:r>
              <w:rPr>
                <w:rFonts w:ascii="Times New Roman"/>
                <w:sz w:val="18"/>
              </w:rPr>
              <w:t>125,596</w:t>
            </w:r>
          </w:p>
          <w:p>
            <w:pPr>
              <w:pStyle w:val="TableParagraph"/>
              <w:spacing w:line="240" w:lineRule="auto" w:before="102"/>
              <w:ind w:left="472" w:right="0"/>
              <w:jc w:val="left"/>
              <w:rPr>
                <w:rFonts w:ascii="Times New Roman" w:hAnsi="Times New Roman" w:cs="Times New Roman" w:eastAsia="Times New Roman" w:hint="default"/>
                <w:sz w:val="18"/>
                <w:szCs w:val="18"/>
              </w:rPr>
            </w:pPr>
            <w:r>
              <w:rPr>
                <w:rFonts w:ascii="Times New Roman"/>
                <w:sz w:val="18"/>
              </w:rPr>
              <w:t>.06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105,749.</w:t>
            </w:r>
          </w:p>
          <w:p>
            <w:pPr>
              <w:pStyle w:val="TableParagraph"/>
              <w:spacing w:line="240" w:lineRule="auto" w:before="102"/>
              <w:ind w:right="99"/>
              <w:jc w:val="right"/>
              <w:rPr>
                <w:rFonts w:ascii="Times New Roman" w:hAnsi="Times New Roman" w:cs="Times New Roman" w:eastAsia="Times New Roman" w:hint="default"/>
                <w:sz w:val="18"/>
                <w:szCs w:val="18"/>
              </w:rPr>
            </w:pPr>
            <w:r>
              <w:rPr>
                <w:rFonts w:ascii="Times New Roman"/>
                <w:sz w:val="18"/>
              </w:rPr>
              <w:t>72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1" w:right="0"/>
              <w:jc w:val="left"/>
              <w:rPr>
                <w:rFonts w:ascii="Times New Roman" w:hAnsi="Times New Roman" w:cs="Times New Roman" w:eastAsia="Times New Roman" w:hint="default"/>
                <w:sz w:val="18"/>
                <w:szCs w:val="18"/>
              </w:rPr>
            </w:pPr>
            <w:r>
              <w:rPr>
                <w:rFonts w:ascii="Times New Roman"/>
                <w:sz w:val="18"/>
              </w:rPr>
              <w:t>105,749</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.72</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7" w:right="0"/>
              <w:jc w:val="left"/>
              <w:rPr>
                <w:rFonts w:ascii="Times New Roman" w:hAnsi="Times New Roman" w:cs="Times New Roman" w:eastAsia="Times New Roman" w:hint="default"/>
                <w:sz w:val="18"/>
                <w:szCs w:val="18"/>
              </w:rPr>
            </w:pPr>
            <w:r>
              <w:rPr>
                <w:rFonts w:ascii="Times New Roman"/>
                <w:sz w:val="18"/>
              </w:rPr>
              <w:t>13,43</w:t>
            </w:r>
          </w:p>
          <w:p>
            <w:pPr>
              <w:pStyle w:val="TableParagraph"/>
              <w:spacing w:line="240" w:lineRule="auto" w:before="102"/>
              <w:ind w:left="218" w:right="0"/>
              <w:jc w:val="left"/>
              <w:rPr>
                <w:rFonts w:ascii="Times New Roman" w:hAnsi="Times New Roman" w:cs="Times New Roman" w:eastAsia="Times New Roman" w:hint="default"/>
                <w:sz w:val="18"/>
                <w:szCs w:val="18"/>
              </w:rPr>
            </w:pPr>
            <w:r>
              <w:rPr>
                <w:rFonts w:ascii="Times New Roman"/>
                <w:sz w:val="18"/>
              </w:rPr>
              <w:t>7.22</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66"/>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98"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0"/>
              <w:jc w:val="right"/>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125,596.06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125,596</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sz w:val="18"/>
              </w:rPr>
              <w:t>.06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105,749.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1" w:right="0"/>
              <w:jc w:val="left"/>
              <w:rPr>
                <w:rFonts w:ascii="Times New Roman" w:hAnsi="Times New Roman" w:cs="Times New Roman" w:eastAsia="Times New Roman" w:hint="default"/>
                <w:sz w:val="18"/>
                <w:szCs w:val="18"/>
              </w:rPr>
            </w:pPr>
            <w:r>
              <w:rPr>
                <w:rFonts w:ascii="Times New Roman"/>
                <w:sz w:val="18"/>
              </w:rPr>
              <w:t>105,749</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.72</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66"/>
              <w:jc w:val="right"/>
              <w:rPr>
                <w:rFonts w:ascii="Times New Roman" w:hAnsi="Times New Roman" w:cs="Times New Roman" w:eastAsia="Times New Roman" w:hint="default"/>
                <w:sz w:val="18"/>
                <w:szCs w:val="18"/>
              </w:rPr>
            </w:pPr>
            <w:r>
              <w:rPr>
                <w:rFonts w:ascii="Times New Roman"/>
                <w:sz w:val="18"/>
              </w:rPr>
              <w:t>--</w:t>
            </w:r>
          </w:p>
        </w:tc>
      </w:tr>
      <w:tr>
        <w:trPr>
          <w:trHeight w:val="426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6" w:lineRule="auto"/>
              <w:ind w:left="103" w:right="36"/>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103" w:right="101" w:firstLine="36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日，“补充营运资金项目”和“区域服务网络和培训中心建设项目”中</w:t>
            </w:r>
            <w:r>
              <w:rPr>
                <w:rFonts w:ascii="宋体" w:hAnsi="宋体" w:cs="宋体" w:eastAsia="宋体" w:hint="default"/>
                <w:sz w:val="18"/>
                <w:szCs w:val="18"/>
              </w:rPr>
              <w:t> </w:t>
            </w:r>
            <w:r>
              <w:rPr>
                <w:rFonts w:ascii="宋体" w:hAnsi="宋体" w:cs="宋体" w:eastAsia="宋体" w:hint="default"/>
                <w:spacing w:val="-4"/>
                <w:sz w:val="18"/>
                <w:szCs w:val="18"/>
              </w:rPr>
              <w:t>的“区域服务网络项目”已完成，“区域服务网络和培训中心建设项目”的“培训中心建设”部分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和“研发中心建设项目”未实施。</w:t>
            </w:r>
          </w:p>
          <w:p>
            <w:pPr>
              <w:pStyle w:val="TableParagraph"/>
              <w:spacing w:line="312" w:lineRule="auto" w:before="67"/>
              <w:ind w:left="103" w:right="101" w:firstLine="360"/>
              <w:jc w:val="both"/>
              <w:rPr>
                <w:rFonts w:ascii="宋体" w:hAnsi="宋体" w:cs="宋体" w:eastAsia="宋体" w:hint="default"/>
                <w:sz w:val="18"/>
                <w:szCs w:val="18"/>
              </w:rPr>
            </w:pPr>
            <w:r>
              <w:rPr>
                <w:rFonts w:ascii="宋体" w:hAnsi="宋体" w:cs="宋体" w:eastAsia="宋体" w:hint="default"/>
                <w:sz w:val="18"/>
                <w:szCs w:val="18"/>
              </w:rPr>
              <w:t>公司于第三届董事会第十五次会议、</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年第一次临时股东大会审议通过《关于调整部分募 </w:t>
            </w:r>
            <w:r>
              <w:rPr>
                <w:rFonts w:ascii="宋体" w:hAnsi="宋体" w:cs="宋体" w:eastAsia="宋体" w:hint="default"/>
                <w:spacing w:val="-4"/>
                <w:sz w:val="18"/>
                <w:szCs w:val="18"/>
              </w:rPr>
              <w:t>集资金投资项目实施方案的议案》，审议通过根据公司实际业务发展需要，在不改变原募投项目性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质、建设目的的情况下，对募投项目“区域服务网络和培训中心建设项目”的“培训中心建设” 部分和“研发中心建设项目”进行变更：</w:t>
            </w:r>
          </w:p>
          <w:p>
            <w:pPr>
              <w:pStyle w:val="TableParagraph"/>
              <w:spacing w:line="316" w:lineRule="auto" w:before="63"/>
              <w:ind w:left="103" w:right="123" w:firstLine="360"/>
              <w:jc w:val="both"/>
              <w:rPr>
                <w:rFonts w:ascii="宋体" w:hAnsi="宋体" w:cs="宋体" w:eastAsia="宋体" w:hint="default"/>
                <w:sz w:val="18"/>
                <w:szCs w:val="18"/>
              </w:rPr>
            </w:pPr>
            <w:r>
              <w:rPr>
                <w:rFonts w:ascii="宋体" w:hAnsi="宋体" w:cs="宋体" w:eastAsia="宋体" w:hint="default"/>
                <w:sz w:val="18"/>
                <w:szCs w:val="18"/>
              </w:rPr>
              <w:t>培训中心建设项目原计划实施地点为南宁，投资构成主要用于场地购买和设备购置，实施期 限为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年底实施完毕；调整后，该项目的实施地点为广州，投资构成主要用于场地购买、场</w:t>
            </w:r>
          </w:p>
          <w:p>
            <w:pPr>
              <w:pStyle w:val="TableParagraph"/>
              <w:spacing w:line="328" w:lineRule="auto"/>
              <w:ind w:left="103" w:right="60"/>
              <w:jc w:val="left"/>
              <w:rPr>
                <w:rFonts w:ascii="宋体" w:hAnsi="宋体" w:cs="宋体" w:eastAsia="宋体" w:hint="default"/>
                <w:sz w:val="18"/>
                <w:szCs w:val="18"/>
              </w:rPr>
            </w:pPr>
            <w:r>
              <w:rPr>
                <w:rFonts w:ascii="宋体" w:hAnsi="宋体" w:cs="宋体" w:eastAsia="宋体" w:hint="default"/>
                <w:sz w:val="18"/>
                <w:szCs w:val="18"/>
              </w:rPr>
              <w:t>地装修、内部培训费用、外部培训费用、培训工作人员薪酬的支出，实施期限为 </w:t>
            </w:r>
            <w:r>
              <w:rPr>
                <w:rFonts w:ascii="Times New Roman" w:hAnsi="Times New Roman" w:cs="Times New Roman" w:eastAsia="Times New Roman" w:hint="default"/>
                <w:sz w:val="18"/>
                <w:szCs w:val="18"/>
              </w:rPr>
              <w:t>2019-2020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 研发中心建设项目原计划实施地点为南宁，投资构成主要用于场地购买和设备购置，实施期限为 </w:t>
            </w: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8"/>
                <w:sz w:val="18"/>
                <w:szCs w:val="18"/>
              </w:rPr>
              <w:t> </w:t>
            </w:r>
            <w:r>
              <w:rPr>
                <w:rFonts w:ascii="宋体" w:hAnsi="宋体" w:cs="宋体" w:eastAsia="宋体" w:hint="default"/>
                <w:spacing w:val="-2"/>
                <w:sz w:val="18"/>
                <w:szCs w:val="18"/>
              </w:rPr>
              <w:t>年底实施完毕；调整后，该项目的实施地点为广州，投资构成主要用于场地购买、场地装修</w:t>
            </w:r>
          </w:p>
          <w:p>
            <w:pPr>
              <w:pStyle w:val="TableParagraph"/>
              <w:spacing w:line="238" w:lineRule="exact"/>
              <w:ind w:left="103" w:right="0"/>
              <w:jc w:val="left"/>
              <w:rPr>
                <w:rFonts w:ascii="宋体" w:hAnsi="宋体" w:cs="宋体" w:eastAsia="宋体" w:hint="default"/>
                <w:sz w:val="18"/>
                <w:szCs w:val="18"/>
              </w:rPr>
            </w:pPr>
            <w:r>
              <w:rPr>
                <w:rFonts w:ascii="宋体" w:hAnsi="宋体" w:cs="宋体" w:eastAsia="宋体" w:hint="default"/>
                <w:sz w:val="18"/>
                <w:szCs w:val="18"/>
              </w:rPr>
              <w:t>以及研发人员薪酬的支出，实施期限为 </w:t>
            </w:r>
            <w:r>
              <w:rPr>
                <w:rFonts w:ascii="Times New Roman" w:hAnsi="Times New Roman" w:cs="Times New Roman" w:eastAsia="Times New Roman" w:hint="default"/>
                <w:sz w:val="18"/>
                <w:szCs w:val="18"/>
              </w:rPr>
              <w:t>2019-2020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项目可行性发生重</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10" w:footer="1013" w:top="1100" w:bottom="1200" w:left="102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70"/>
        <w:gridCol w:w="7799"/>
      </w:tblGrid>
      <w:tr>
        <w:trPr>
          <w:trHeight w:val="36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大变化的情况说明</w:t>
            </w: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102" w:right="103"/>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途及使用进展情况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102" w:right="216"/>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见“未达到计划进度或预计收益的情况和原因（分具体项目</w:t>
            </w:r>
            <w:r>
              <w:rPr>
                <w:rFonts w:ascii="宋体" w:hAnsi="宋体" w:cs="宋体" w:eastAsia="宋体" w:hint="default"/>
                <w:spacing w:val="-89"/>
                <w:sz w:val="18"/>
                <w:szCs w:val="18"/>
              </w:rPr>
              <w:t>）</w:t>
            </w:r>
            <w:r>
              <w:rPr>
                <w:rFonts w:ascii="宋体" w:hAnsi="宋体" w:cs="宋体" w:eastAsia="宋体" w:hint="default"/>
                <w:sz w:val="18"/>
                <w:szCs w:val="18"/>
              </w:rPr>
              <w:t>”</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102" w:right="216"/>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40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见“未达到计划进度或预计收益的情况和原因（分具</w:t>
            </w:r>
            <w:r>
              <w:rPr>
                <w:rFonts w:ascii="宋体" w:hAnsi="宋体" w:cs="宋体" w:eastAsia="宋体" w:hint="default"/>
                <w:spacing w:val="1"/>
                <w:sz w:val="18"/>
                <w:szCs w:val="18"/>
              </w:rPr>
              <w:t>体</w:t>
            </w:r>
            <w:r>
              <w:rPr>
                <w:rFonts w:ascii="宋体" w:hAnsi="宋体" w:cs="宋体" w:eastAsia="宋体" w:hint="default"/>
                <w:sz w:val="18"/>
                <w:szCs w:val="18"/>
              </w:rPr>
              <w:t>项目</w:t>
            </w:r>
            <w:r>
              <w:rPr>
                <w:rFonts w:ascii="宋体" w:hAnsi="宋体" w:cs="宋体" w:eastAsia="宋体" w:hint="default"/>
                <w:spacing w:val="-89"/>
                <w:sz w:val="18"/>
                <w:szCs w:val="18"/>
              </w:rPr>
              <w:t>）</w:t>
            </w:r>
            <w:r>
              <w:rPr>
                <w:rFonts w:ascii="宋体" w:hAnsi="宋体" w:cs="宋体" w:eastAsia="宋体" w:hint="default"/>
                <w:sz w:val="18"/>
                <w:szCs w:val="18"/>
              </w:rPr>
              <w:t>”</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6" w:lineRule="auto"/>
              <w:ind w:left="102" w:right="216"/>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5"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日，公司第三届董事会第十二次会议、第三届监事会第一次会议，分别审议通 </w:t>
            </w:r>
            <w:r>
              <w:rPr>
                <w:rFonts w:ascii="宋体" w:hAnsi="宋体" w:cs="宋体" w:eastAsia="宋体" w:hint="default"/>
                <w:spacing w:val="-4"/>
                <w:sz w:val="18"/>
                <w:szCs w:val="18"/>
              </w:rPr>
              <w:t>过了《关于以募集资金置换预先投入募集资金投资项目的自筹资金的议案》，同意公司用募集资金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329,281,567.20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元置换预先已投入募集资金投资项目的自筹资金。独立董事发表了同意的独立意 见，中信建投发表了同意的核查意见，由华普天健会计师事务所（特殊普通合伙）对公司预先已 投入募集资金投资项目的自筹资金使用情况进行了审验，并出具了《关于润建通信股份有限公司 </w:t>
            </w:r>
            <w:r>
              <w:rPr>
                <w:rFonts w:ascii="宋体" w:hAnsi="宋体" w:cs="宋体" w:eastAsia="宋体" w:hint="default"/>
                <w:spacing w:val="-3"/>
                <w:sz w:val="18"/>
                <w:szCs w:val="18"/>
              </w:rPr>
              <w:t>以自筹资金预先投入募集资金投资项目的鉴证报告》（会专字</w:t>
            </w:r>
            <w:r>
              <w:rPr>
                <w:rFonts w:ascii="Times New Roman" w:hAnsi="Times New Roman" w:cs="Times New Roman" w:eastAsia="Times New Roman" w:hint="default"/>
                <w:spacing w:val="-3"/>
                <w:sz w:val="18"/>
                <w:szCs w:val="18"/>
              </w:rPr>
              <w:t>[2018]5501</w:t>
            </w:r>
            <w:r>
              <w:rPr>
                <w:rFonts w:ascii="Times New Roman" w:hAnsi="Times New Roman" w:cs="Times New Roman" w:eastAsia="Times New Roman" w:hint="default"/>
                <w:sz w:val="18"/>
                <w:szCs w:val="18"/>
              </w:rPr>
              <w:t> </w:t>
            </w:r>
            <w:r>
              <w:rPr>
                <w:rFonts w:ascii="宋体" w:hAnsi="宋体" w:cs="宋体" w:eastAsia="宋体" w:hint="default"/>
                <w:spacing w:val="-9"/>
                <w:sz w:val="18"/>
                <w:szCs w:val="18"/>
              </w:rPr>
              <w:t>号），对公司募集资金投</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资项目预先投入自筹资金的情况进行了核验和确认。公司已于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日完成了置换。</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2" w:right="216"/>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102" w:right="216"/>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7"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日，募集资金投资项目“区域服务网络和培训中心建设项目”中的区域服务</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网络建设项目已经验收并投入使用，计划投入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34,051.20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万元，实际使用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32,928.00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剩余募集</w:t>
            </w:r>
          </w:p>
          <w:p>
            <w:pPr>
              <w:pStyle w:val="TableParagraph"/>
              <w:spacing w:line="300" w:lineRule="auto" w:before="63"/>
              <w:ind w:left="103" w:right="122"/>
              <w:jc w:val="left"/>
              <w:rPr>
                <w:rFonts w:ascii="宋体" w:hAnsi="宋体" w:cs="宋体" w:eastAsia="宋体" w:hint="default"/>
                <w:sz w:val="18"/>
                <w:szCs w:val="18"/>
              </w:rPr>
            </w:pPr>
            <w:r>
              <w:rPr>
                <w:rFonts w:ascii="宋体" w:hAnsi="宋体" w:cs="宋体" w:eastAsia="宋体" w:hint="default"/>
                <w:sz w:val="18"/>
                <w:szCs w:val="18"/>
              </w:rPr>
              <w:t>资金 </w:t>
            </w:r>
            <w:r>
              <w:rPr>
                <w:rFonts w:ascii="Times New Roman" w:hAnsi="Times New Roman" w:cs="Times New Roman" w:eastAsia="Times New Roman" w:hint="default"/>
                <w:spacing w:val="-1"/>
                <w:sz w:val="18"/>
                <w:szCs w:val="18"/>
              </w:rPr>
              <w:t>1,123.20</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万元。“研发中心建设项目”和“区域服务网络和培训中心建设项目”的“培训中</w:t>
            </w:r>
            <w:r>
              <w:rPr>
                <w:rFonts w:ascii="宋体" w:hAnsi="宋体" w:cs="宋体" w:eastAsia="宋体" w:hint="default"/>
                <w:sz w:val="18"/>
                <w:szCs w:val="18"/>
              </w:rPr>
              <w:t> 心建设”部分尚未开始使用募集资金。</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2" w:right="216"/>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98"/>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日，尚未使用的募集资金余额为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198,463,340.66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元，尚未使用的募集资金分 别存放于上海浦东发展银行南宁分行营业部、招商银行南宁分行营业部二个募集资金专户中，公 司尚未使用的募集资金将用于区域服务网络和培训中心建设项目、研发中心建设项目。</w:t>
            </w: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216"/>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3" w:right="168"/>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日，“补充营运资金”项目募集资金产生的利息收入</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51.71</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万元也用于补充</w:t>
            </w:r>
            <w:r>
              <w:rPr>
                <w:rFonts w:ascii="宋体" w:hAnsi="宋体" w:cs="宋体" w:eastAsia="宋体" w:hint="default"/>
                <w:sz w:val="18"/>
                <w:szCs w:val="18"/>
              </w:rPr>
              <w:t> 营运资金，扣除利息收入，实际募集资金投入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72,769.86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万元，使用进度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77"/>
        <w:jc w:val="left"/>
      </w:pPr>
      <w:r>
        <w:rPr/>
        <w:t>√ 适用 □</w:t>
      </w:r>
      <w:r>
        <w:rPr>
          <w:spacing w:val="3"/>
        </w:rPr>
        <w:t> </w:t>
      </w:r>
      <w:r>
        <w:rPr/>
        <w:t>不适用</w:t>
      </w:r>
    </w:p>
    <w:p>
      <w:pPr>
        <w:pStyle w:val="BodyText"/>
        <w:spacing w:line="240" w:lineRule="auto" w:before="117"/>
        <w:ind w:left="0" w:right="1131"/>
        <w:jc w:val="right"/>
      </w:pPr>
      <w:r>
        <w:rPr/>
        <w:t>单位：万元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6"/>
        <w:gridCol w:w="958"/>
        <w:gridCol w:w="958"/>
      </w:tblGrid>
      <w:tr>
        <w:trPr>
          <w:trHeight w:val="1028"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2" w:right="113" w:hanging="180"/>
              <w:jc w:val="left"/>
              <w:rPr>
                <w:rFonts w:ascii="宋体" w:hAnsi="宋体" w:cs="宋体" w:eastAsia="宋体" w:hint="default"/>
                <w:sz w:val="18"/>
                <w:szCs w:val="18"/>
              </w:rPr>
            </w:pPr>
            <w:r>
              <w:rPr>
                <w:rFonts w:ascii="宋体" w:hAnsi="宋体" w:cs="宋体" w:eastAsia="宋体" w:hint="default"/>
                <w:sz w:val="18"/>
                <w:szCs w:val="18"/>
              </w:rPr>
              <w:t>变更后的 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2" w:right="113"/>
              <w:jc w:val="left"/>
              <w:rPr>
                <w:rFonts w:ascii="宋体" w:hAnsi="宋体" w:cs="宋体" w:eastAsia="宋体" w:hint="default"/>
                <w:sz w:val="18"/>
                <w:szCs w:val="18"/>
              </w:rPr>
            </w:pPr>
            <w:r>
              <w:rPr>
                <w:rFonts w:ascii="宋体" w:hAnsi="宋体" w:cs="宋体" w:eastAsia="宋体" w:hint="default"/>
                <w:sz w:val="18"/>
                <w:szCs w:val="18"/>
              </w:rPr>
              <w:t>对应的原 承诺项目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112" w:right="113"/>
              <w:jc w:val="both"/>
              <w:rPr>
                <w:rFonts w:ascii="宋体" w:hAnsi="宋体" w:cs="宋体" w:eastAsia="宋体" w:hint="default"/>
                <w:sz w:val="18"/>
                <w:szCs w:val="18"/>
              </w:rPr>
            </w:pPr>
            <w:r>
              <w:rPr>
                <w:rFonts w:ascii="宋体" w:hAnsi="宋体" w:cs="宋体" w:eastAsia="宋体" w:hint="default"/>
                <w:sz w:val="18"/>
                <w:szCs w:val="18"/>
              </w:rPr>
              <w:t>变更后项 目拟投入 募集资金</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113"/>
              <w:jc w:val="center"/>
              <w:rPr>
                <w:rFonts w:ascii="宋体" w:hAnsi="宋体" w:cs="宋体" w:eastAsia="宋体" w:hint="default"/>
                <w:sz w:val="18"/>
                <w:szCs w:val="18"/>
              </w:rPr>
            </w:pPr>
            <w:r>
              <w:rPr>
                <w:rFonts w:ascii="宋体" w:hAnsi="宋体" w:cs="宋体" w:eastAsia="宋体" w:hint="default"/>
                <w:sz w:val="18"/>
                <w:szCs w:val="18"/>
              </w:rPr>
              <w:t>本报告期 实际投入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112" w:right="113"/>
              <w:jc w:val="both"/>
              <w:rPr>
                <w:rFonts w:ascii="宋体" w:hAnsi="宋体" w:cs="宋体" w:eastAsia="宋体" w:hint="default"/>
                <w:sz w:val="18"/>
                <w:szCs w:val="18"/>
              </w:rPr>
            </w:pPr>
            <w:r>
              <w:rPr>
                <w:rFonts w:ascii="宋体" w:hAnsi="宋体" w:cs="宋体" w:eastAsia="宋体" w:hint="default"/>
                <w:sz w:val="18"/>
                <w:szCs w:val="18"/>
              </w:rPr>
              <w:t>截至期末 实际累计 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73"/>
              <w:ind w:left="110" w:right="110" w:firstLine="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112" w:right="113"/>
              <w:jc w:val="both"/>
              <w:rPr>
                <w:rFonts w:ascii="宋体" w:hAnsi="宋体" w:cs="宋体" w:eastAsia="宋体" w:hint="default"/>
                <w:sz w:val="18"/>
                <w:szCs w:val="18"/>
              </w:rPr>
            </w:pPr>
            <w:r>
              <w:rPr>
                <w:rFonts w:ascii="宋体" w:hAnsi="宋体" w:cs="宋体" w:eastAsia="宋体" w:hint="default"/>
                <w:sz w:val="18"/>
                <w:szCs w:val="18"/>
              </w:rPr>
              <w:t>项目达到 预定可使 用状态日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111"/>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2" w:right="11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112" w:right="113"/>
              <w:jc w:val="both"/>
              <w:rPr>
                <w:rFonts w:ascii="宋体" w:hAnsi="宋体" w:cs="宋体" w:eastAsia="宋体" w:hint="default"/>
                <w:sz w:val="18"/>
                <w:szCs w:val="18"/>
              </w:rPr>
            </w:pPr>
            <w:r>
              <w:rPr>
                <w:rFonts w:ascii="宋体" w:hAnsi="宋体" w:cs="宋体" w:eastAsia="宋体" w:hint="default"/>
                <w:sz w:val="18"/>
                <w:szCs w:val="18"/>
              </w:rPr>
              <w:t>变更后的 项目可行 性是否发</w:t>
            </w:r>
          </w:p>
        </w:tc>
      </w:tr>
    </w:tbl>
    <w:p>
      <w:pPr>
        <w:spacing w:after="0" w:line="316" w:lineRule="auto"/>
        <w:jc w:val="both"/>
        <w:rPr>
          <w:rFonts w:ascii="宋体" w:hAnsi="宋体" w:cs="宋体" w:eastAsia="宋体" w:hint="default"/>
          <w:sz w:val="18"/>
          <w:szCs w:val="18"/>
        </w:rPr>
        <w:sectPr>
          <w:pgSz w:w="11910" w:h="16840"/>
          <w:pgMar w:header="910" w:footer="1013" w:top="1100" w:bottom="1200" w:left="1020" w:right="0"/>
        </w:sectPr>
      </w:pPr>
    </w:p>
    <w:p>
      <w:pPr>
        <w:spacing w:line="240" w:lineRule="auto" w:before="2"/>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6"/>
        <w:gridCol w:w="958"/>
        <w:gridCol w:w="958"/>
      </w:tblGrid>
      <w:tr>
        <w:trPr>
          <w:trHeight w:val="67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总额</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383" w:right="113" w:hanging="272"/>
              <w:jc w:val="left"/>
              <w:rPr>
                <w:rFonts w:ascii="宋体" w:hAnsi="宋体" w:cs="宋体" w:eastAsia="宋体" w:hint="default"/>
                <w:sz w:val="18"/>
                <w:szCs w:val="18"/>
              </w:rPr>
            </w:pPr>
            <w:r>
              <w:rPr>
                <w:rFonts w:ascii="宋体" w:hAnsi="宋体" w:cs="宋体" w:eastAsia="宋体" w:hint="default"/>
                <w:sz w:val="18"/>
                <w:szCs w:val="18"/>
              </w:rPr>
              <w:t>生重大变 化</w:t>
            </w:r>
          </w:p>
        </w:tc>
      </w:tr>
      <w:tr>
        <w:trPr>
          <w:trHeight w:val="1961"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22"/>
              <w:jc w:val="both"/>
              <w:rPr>
                <w:rFonts w:ascii="宋体" w:hAnsi="宋体" w:cs="宋体" w:eastAsia="宋体" w:hint="default"/>
                <w:sz w:val="18"/>
                <w:szCs w:val="18"/>
              </w:rPr>
            </w:pPr>
            <w:r>
              <w:rPr>
                <w:rFonts w:ascii="宋体" w:hAnsi="宋体" w:cs="宋体" w:eastAsia="宋体" w:hint="default"/>
                <w:sz w:val="18"/>
                <w:szCs w:val="18"/>
              </w:rPr>
              <w:t>区域服务 网络和培 训中心建 设项目的 培训中心 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22"/>
              <w:jc w:val="both"/>
              <w:rPr>
                <w:rFonts w:ascii="宋体" w:hAnsi="宋体" w:cs="宋体" w:eastAsia="宋体" w:hint="default"/>
                <w:sz w:val="18"/>
                <w:szCs w:val="18"/>
              </w:rPr>
            </w:pPr>
            <w:r>
              <w:rPr>
                <w:rFonts w:ascii="宋体" w:hAnsi="宋体" w:cs="宋体" w:eastAsia="宋体" w:hint="default"/>
                <w:sz w:val="18"/>
                <w:szCs w:val="18"/>
              </w:rPr>
              <w:t>区域服务 网络和培 训中心建 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9,462.00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7"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2" w:right="122"/>
              <w:jc w:val="left"/>
              <w:rPr>
                <w:rFonts w:ascii="宋体" w:hAnsi="宋体" w:cs="宋体" w:eastAsia="宋体" w:hint="default"/>
                <w:sz w:val="18"/>
                <w:szCs w:val="18"/>
              </w:rPr>
            </w:pPr>
            <w:r>
              <w:rPr>
                <w:rFonts w:ascii="宋体" w:hAnsi="宋体" w:cs="宋体" w:eastAsia="宋体" w:hint="default"/>
                <w:sz w:val="18"/>
                <w:szCs w:val="18"/>
              </w:rPr>
              <w:t>研发中心 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22"/>
              <w:jc w:val="left"/>
              <w:rPr>
                <w:rFonts w:ascii="宋体" w:hAnsi="宋体" w:cs="宋体" w:eastAsia="宋体" w:hint="default"/>
                <w:sz w:val="18"/>
                <w:szCs w:val="18"/>
              </w:rPr>
            </w:pPr>
            <w:r>
              <w:rPr>
                <w:rFonts w:ascii="宋体" w:hAnsi="宋体" w:cs="宋体" w:eastAsia="宋体" w:hint="default"/>
                <w:sz w:val="18"/>
                <w:szCs w:val="18"/>
              </w:rPr>
              <w:t>研发中心 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9,313.00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77"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18,775.00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1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2979"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102" w:right="10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变更原因、决策程序及信息披露情</w:t>
            </w:r>
            <w:r>
              <w:rPr>
                <w:rFonts w:ascii="宋体" w:hAnsi="宋体" w:cs="宋体" w:eastAsia="宋体" w:hint="default"/>
                <w:sz w:val="18"/>
                <w:szCs w:val="18"/>
              </w:rPr>
              <w:t> 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6"/>
              <w:jc w:val="both"/>
              <w:rPr>
                <w:rFonts w:ascii="宋体" w:hAnsi="宋体" w:cs="宋体" w:eastAsia="宋体" w:hint="default"/>
                <w:sz w:val="18"/>
                <w:szCs w:val="18"/>
              </w:rPr>
            </w:pPr>
            <w:r>
              <w:rPr>
                <w:rFonts w:ascii="宋体" w:hAnsi="宋体" w:cs="宋体" w:eastAsia="宋体" w:hint="default"/>
                <w:sz w:val="18"/>
                <w:szCs w:val="18"/>
              </w:rPr>
              <w:t>随着公司业务发展考虑到公司的实际经营情况、未来发展战略以及布局核心城市利 用其产业集聚效应不断发展壮大的因素，公司对募投项目“区域服务网络和培训中 心建设项目”</w:t>
            </w:r>
            <w:r>
              <w:rPr>
                <w:rFonts w:ascii="宋体" w:hAnsi="宋体" w:cs="宋体" w:eastAsia="宋体" w:hint="default"/>
                <w:spacing w:val="-5"/>
                <w:sz w:val="18"/>
                <w:szCs w:val="18"/>
              </w:rPr>
              <w:t> </w:t>
            </w:r>
            <w:r>
              <w:rPr>
                <w:rFonts w:ascii="宋体" w:hAnsi="宋体" w:cs="宋体" w:eastAsia="宋体" w:hint="default"/>
                <w:spacing w:val="-3"/>
                <w:sz w:val="18"/>
                <w:szCs w:val="18"/>
              </w:rPr>
              <w:t>中的培训中心建设项目和“研发中心建设项目”适时做出调整，能够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提升公司的创新能力和核心市场竞争力，为公司未来发展提供强有力的技术支撑。</w:t>
            </w:r>
          </w:p>
          <w:p>
            <w:pPr>
              <w:pStyle w:val="TableParagraph"/>
              <w:spacing w:line="309" w:lineRule="auto" w:before="59"/>
              <w:ind w:left="103" w:right="96"/>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日公司第三届董事会第十五次会议，</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第一次临时股东大会决议，审议通过《关于调整部分募集资金投资项目实施方案的 </w:t>
            </w:r>
            <w:r>
              <w:rPr>
                <w:rFonts w:ascii="宋体" w:hAnsi="宋体" w:cs="宋体" w:eastAsia="宋体" w:hint="default"/>
                <w:spacing w:val="-23"/>
                <w:sz w:val="18"/>
                <w:szCs w:val="18"/>
              </w:rPr>
              <w:t>议案》。</w:t>
            </w:r>
          </w:p>
          <w:p>
            <w:pPr>
              <w:pStyle w:val="TableParagraph"/>
              <w:spacing w:line="300" w:lineRule="auto" w:before="62"/>
              <w:ind w:left="103" w:right="101"/>
              <w:jc w:val="both"/>
              <w:rPr>
                <w:rFonts w:ascii="宋体" w:hAnsi="宋体" w:cs="宋体" w:eastAsia="宋体" w:hint="default"/>
                <w:sz w:val="18"/>
                <w:szCs w:val="18"/>
              </w:rPr>
            </w:pPr>
            <w:r>
              <w:rPr>
                <w:rFonts w:ascii="宋体" w:hAnsi="宋体" w:cs="宋体" w:eastAsia="宋体" w:hint="default"/>
                <w:sz w:val="18"/>
                <w:szCs w:val="18"/>
              </w:rPr>
              <w:t>详见公司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刊</w:t>
            </w:r>
            <w:r>
              <w:rPr>
                <w:rFonts w:ascii="宋体" w:hAnsi="宋体" w:cs="宋体" w:eastAsia="宋体" w:hint="default"/>
                <w:sz w:val="18"/>
                <w:szCs w:val="18"/>
              </w:rPr>
              <w:t>登在巨潮资讯</w:t>
            </w:r>
            <w:r>
              <w:rPr>
                <w:rFonts w:ascii="宋体" w:hAnsi="宋体" w:cs="宋体" w:eastAsia="宋体" w:hint="default"/>
                <w:spacing w:val="-89"/>
                <w:sz w:val="18"/>
                <w:szCs w:val="18"/>
              </w:rPr>
              <w:t>网</w:t>
            </w:r>
            <w:r>
              <w:rPr>
                <w:rFonts w:ascii="宋体" w:hAnsi="宋体" w:cs="宋体" w:eastAsia="宋体" w:hint="default"/>
                <w:sz w:val="18"/>
                <w:szCs w:val="18"/>
              </w:rPr>
              <w:t>《关于调整部分募集资金投资项目实</w:t>
            </w:r>
            <w:r>
              <w:rPr>
                <w:rFonts w:ascii="宋体" w:hAnsi="宋体" w:cs="宋体" w:eastAsia="宋体" w:hint="default"/>
                <w:sz w:val="18"/>
                <w:szCs w:val="18"/>
              </w:rPr>
              <w:t> 施方案的公告</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2626"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314" w:lineRule="auto"/>
              <w:ind w:left="102" w:right="2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 况和原因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8"/>
              <w:jc w:val="left"/>
              <w:rPr>
                <w:rFonts w:ascii="宋体" w:hAnsi="宋体" w:cs="宋体" w:eastAsia="宋体" w:hint="default"/>
                <w:sz w:val="18"/>
                <w:szCs w:val="18"/>
              </w:rPr>
            </w:pPr>
            <w:r>
              <w:rPr>
                <w:rFonts w:ascii="宋体" w:hAnsi="宋体" w:cs="宋体" w:eastAsia="宋体" w:hint="default"/>
                <w:sz w:val="18"/>
                <w:szCs w:val="18"/>
              </w:rPr>
              <w:t>“区域服务网络和培训中心建设项目”中的培训中心建设项目原计划实施地点为南 宁，投资构成主要用于场地购买和设备购置，实施期限为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年底实施完毕；调 整后，该项目的实施地点为广州，投资构成主要用于场地购买、场地装修、内部培 训费用、外部培训费用、培训工作人员薪酬的支出，实施期限为 </w:t>
            </w:r>
            <w:r>
              <w:rPr>
                <w:rFonts w:ascii="Times New Roman" w:hAnsi="Times New Roman" w:cs="Times New Roman" w:eastAsia="Times New Roman" w:hint="default"/>
                <w:sz w:val="18"/>
                <w:szCs w:val="18"/>
              </w:rPr>
              <w:t>2019-2020 </w:t>
            </w:r>
            <w:r>
              <w:rPr>
                <w:rFonts w:ascii="宋体" w:hAnsi="宋体" w:cs="宋体" w:eastAsia="宋体" w:hint="default"/>
                <w:sz w:val="18"/>
                <w:szCs w:val="18"/>
              </w:rPr>
              <w:t>年； “研发中心建设项目”原计划实施地点为南宁，投资构成主要用于场地购买和设备 购置，实施期限为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年底实施完毕；调整后，该项目的实施地点为广州，投资</w:t>
            </w:r>
          </w:p>
          <w:p>
            <w:pPr>
              <w:pStyle w:val="TableParagraph"/>
              <w:spacing w:line="246"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构成主要用于场地购买</w:t>
            </w:r>
            <w:r>
              <w:rPr>
                <w:rFonts w:ascii="宋体" w:hAnsi="宋体" w:cs="宋体" w:eastAsia="宋体" w:hint="default"/>
                <w:spacing w:val="-75"/>
                <w:sz w:val="18"/>
                <w:szCs w:val="18"/>
              </w:rPr>
              <w:t>、</w:t>
            </w:r>
            <w:r>
              <w:rPr>
                <w:rFonts w:ascii="宋体" w:hAnsi="宋体" w:cs="宋体" w:eastAsia="宋体" w:hint="default"/>
                <w:sz w:val="18"/>
                <w:szCs w:val="18"/>
              </w:rPr>
              <w:t>场地装修以及研发人员薪酬的支出</w:t>
            </w:r>
            <w:r>
              <w:rPr>
                <w:rFonts w:ascii="宋体" w:hAnsi="宋体" w:cs="宋体" w:eastAsia="宋体" w:hint="default"/>
                <w:spacing w:val="-75"/>
                <w:sz w:val="18"/>
                <w:szCs w:val="18"/>
              </w:rPr>
              <w:t>，</w:t>
            </w:r>
            <w:r>
              <w:rPr>
                <w:rFonts w:ascii="宋体" w:hAnsi="宋体" w:cs="宋体" w:eastAsia="宋体" w:hint="default"/>
                <w:sz w:val="18"/>
                <w:szCs w:val="18"/>
              </w:rPr>
              <w:t>实施期限为</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p>
        </w:tc>
      </w:tr>
      <w:tr>
        <w:trPr>
          <w:trHeight w:val="716"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2" w:right="2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 化的情况说明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8"/>
          <w:szCs w:val="18"/>
        </w:rPr>
      </w:pPr>
    </w:p>
    <w:p>
      <w:pPr>
        <w:pStyle w:val="Heading2"/>
        <w:spacing w:line="240" w:lineRule="auto" w:before="26"/>
        <w:ind w:right="977"/>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77"/>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4"/>
        <w:jc w:val="left"/>
      </w:pPr>
      <w:r>
        <w:rPr/>
        <w:t>□ 适用 √</w:t>
      </w:r>
      <w:r>
        <w:rPr>
          <w:spacing w:val="3"/>
        </w:rPr>
        <w:t> </w:t>
      </w:r>
      <w:r>
        <w:rPr/>
        <w:t>不适用</w:t>
      </w:r>
      <w:r>
        <w:rPr/>
        <w:t> 公司报告期未出售重大资产。</w:t>
      </w:r>
    </w:p>
    <w:p>
      <w:pPr>
        <w:spacing w:line="240" w:lineRule="auto" w:before="12"/>
        <w:rPr>
          <w:rFonts w:ascii="宋体" w:hAnsi="宋体" w:cs="宋体" w:eastAsia="宋体" w:hint="default"/>
          <w:sz w:val="19"/>
          <w:szCs w:val="19"/>
        </w:rPr>
      </w:pPr>
    </w:p>
    <w:p>
      <w:pPr>
        <w:pStyle w:val="Heading3"/>
        <w:spacing w:line="240" w:lineRule="auto"/>
        <w:ind w:right="977"/>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after="0" w:line="240" w:lineRule="auto"/>
        <w:jc w:val="left"/>
        <w:sectPr>
          <w:pgSz w:w="11910" w:h="16840"/>
          <w:pgMar w:header="910" w:footer="1013" w:top="1100" w:bottom="1200" w:left="1020" w:right="0"/>
        </w:sectPr>
      </w:pPr>
    </w:p>
    <w:p>
      <w:pPr>
        <w:spacing w:line="240" w:lineRule="auto" w:before="7"/>
        <w:rPr>
          <w:rFonts w:ascii="宋体" w:hAnsi="宋体" w:cs="宋体" w:eastAsia="宋体" w:hint="default"/>
          <w:sz w:val="20"/>
          <w:szCs w:val="20"/>
        </w:rPr>
      </w:pPr>
    </w:p>
    <w:p>
      <w:pPr>
        <w:pStyle w:val="Heading2"/>
        <w:spacing w:line="240" w:lineRule="auto" w:before="26"/>
        <w:ind w:right="977"/>
        <w:jc w:val="left"/>
        <w:rPr>
          <w:b w:val="0"/>
          <w:bCs w:val="0"/>
        </w:rPr>
      </w:pPr>
      <w:r>
        <w:rPr/>
        <w:t>七、主要控股参股公司分析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614"/>
        <w:jc w:val="left"/>
      </w:pPr>
      <w:r>
        <w:rPr/>
        <w:t>□ 适用 √</w:t>
      </w:r>
      <w:r>
        <w:rPr>
          <w:spacing w:val="3"/>
        </w:rPr>
        <w:t> </w:t>
      </w:r>
      <w:r>
        <w:rPr/>
        <w:t>不适用</w:t>
      </w:r>
      <w:r>
        <w:rPr/>
        <w:t> 公司报告期内无应当披露的重要控股参股公司信息。</w:t>
      </w:r>
    </w:p>
    <w:p>
      <w:pPr>
        <w:spacing w:line="240" w:lineRule="auto" w:before="7"/>
        <w:rPr>
          <w:rFonts w:ascii="宋体" w:hAnsi="宋体" w:cs="宋体" w:eastAsia="宋体" w:hint="default"/>
          <w:sz w:val="18"/>
          <w:szCs w:val="18"/>
        </w:rPr>
      </w:pPr>
    </w:p>
    <w:p>
      <w:pPr>
        <w:pStyle w:val="Heading2"/>
        <w:spacing w:line="240" w:lineRule="auto"/>
        <w:ind w:right="977"/>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977"/>
        <w:jc w:val="left"/>
        <w:rPr>
          <w:b w:val="0"/>
          <w:bCs w:val="0"/>
        </w:rPr>
      </w:pP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33" w:right="977"/>
        <w:jc w:val="left"/>
        <w:rPr>
          <w:rFonts w:ascii="宋体" w:hAnsi="宋体" w:cs="宋体" w:eastAsia="宋体" w:hint="default"/>
        </w:rPr>
      </w:pPr>
      <w:r>
        <w:rPr>
          <w:rFonts w:ascii="宋体" w:hAnsi="宋体" w:cs="宋体" w:eastAsia="宋体" w:hint="default"/>
        </w:rPr>
        <w:t>1</w:t>
      </w:r>
      <w:r>
        <w:rPr/>
        <w:t>、行业格局和趋势</w:t>
      </w:r>
      <w:r>
        <w:rPr>
          <w:rFonts w:ascii="宋体" w:hAnsi="宋体" w:cs="宋体" w:eastAsia="宋体" w:hint="default"/>
        </w:rPr>
        <w:t> </w:t>
      </w:r>
    </w:p>
    <w:p>
      <w:pPr>
        <w:pStyle w:val="BodyText"/>
        <w:spacing w:line="316" w:lineRule="auto" w:before="76"/>
        <w:ind w:left="473" w:right="1131" w:firstLine="360"/>
        <w:jc w:val="both"/>
        <w:rPr>
          <w:rFonts w:ascii="宋体" w:hAnsi="宋体" w:cs="宋体" w:eastAsia="宋体" w:hint="default"/>
        </w:rPr>
      </w:pPr>
      <w:r>
        <w:rPr>
          <w:spacing w:val="-2"/>
        </w:rPr>
        <w:t>我公司主营业务以通信技术服务为主，属于通信服务行业，在</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月国务院召开的中央经济工作会议中，在部</w:t>
      </w:r>
      <w:r>
        <w:rPr/>
        <w:t> 署</w:t>
      </w:r>
      <w:r>
        <w:rPr>
          <w:spacing w:val="-1"/>
        </w:rPr>
        <w:t> </w:t>
      </w:r>
      <w:r>
        <w:rPr>
          <w:rFonts w:ascii="宋体" w:hAnsi="宋体" w:cs="宋体" w:eastAsia="宋体" w:hint="default"/>
          <w:spacing w:val="-1"/>
        </w:rPr>
      </w:r>
      <w:r>
        <w:rPr>
          <w:rFonts w:ascii="宋体" w:hAnsi="宋体" w:cs="宋体" w:eastAsia="宋体" w:hint="default"/>
        </w:rPr>
        <w:t>2019</w:t>
      </w:r>
      <w:r>
        <w:rPr/>
        <w:t>年工作任务时，提出“我国发展现阶段投资需求潜力仍然巨大，要发挥投资关键作用，加大制造业技术改造和 设备更新，加快</w:t>
      </w:r>
      <w:r>
        <w:rPr>
          <w:rFonts w:ascii="宋体" w:hAnsi="宋体" w:cs="宋体" w:eastAsia="宋体" w:hint="default"/>
        </w:rPr>
        <w:t>5G</w:t>
      </w:r>
      <w:r>
        <w:rPr/>
        <w:t>商用步伐，加强人工智能、工业互联网、物联网等新型基础设施建设等要求，</w:t>
      </w:r>
      <w:r>
        <w:rPr>
          <w:rFonts w:ascii="宋体" w:hAnsi="宋体" w:cs="宋体" w:eastAsia="宋体" w:hint="default"/>
        </w:rPr>
        <w:t>2019</w:t>
      </w:r>
      <w:r>
        <w:rPr/>
        <w:t>年</w:t>
      </w:r>
      <w:r>
        <w:rPr>
          <w:rFonts w:ascii="宋体" w:hAnsi="宋体" w:cs="宋体" w:eastAsia="宋体" w:hint="default"/>
        </w:rPr>
        <w:t>1</w:t>
      </w:r>
      <w:r>
        <w:rPr/>
        <w:t>月发改委相关 </w:t>
      </w:r>
      <w:r>
        <w:rPr>
          <w:spacing w:val="-2"/>
        </w:rPr>
        <w:t>人士再度表态</w:t>
      </w:r>
      <w:r>
        <w:rPr>
          <w:rFonts w:ascii="宋体" w:hAnsi="宋体" w:cs="宋体" w:eastAsia="宋体" w:hint="default"/>
          <w:spacing w:val="-2"/>
        </w:rPr>
        <w:t>2019</w:t>
      </w:r>
      <w:r>
        <w:rPr>
          <w:spacing w:val="-2"/>
        </w:rPr>
        <w:t>年将加强新型基础设施建设，推进人工智能、工业互联网、物联网等建设，加快</w:t>
      </w:r>
      <w:r>
        <w:rPr>
          <w:rFonts w:ascii="宋体" w:hAnsi="宋体" w:cs="宋体" w:eastAsia="宋体" w:hint="default"/>
          <w:spacing w:val="-2"/>
        </w:rPr>
        <w:t>5G</w:t>
      </w:r>
      <w:r>
        <w:rPr>
          <w:spacing w:val="-2"/>
        </w:rPr>
        <w:t>商用步伐。设备企</w:t>
      </w:r>
      <w:r>
        <w:rPr>
          <w:spacing w:val="-65"/>
        </w:rPr>
        <w:t> </w:t>
      </w:r>
      <w:r>
        <w:rPr>
          <w:spacing w:val="-65"/>
        </w:rPr>
      </w:r>
      <w:r>
        <w:rPr/>
        <w:t>业、软件与服务企业、通信企业和制造业都将迎来新机遇。</w:t>
      </w:r>
      <w:r>
        <w:rPr>
          <w:spacing w:val="-2"/>
        </w:rPr>
        <w:t> </w:t>
      </w:r>
      <w:r>
        <w:rPr>
          <w:rFonts w:ascii="宋体" w:hAnsi="宋体" w:cs="宋体" w:eastAsia="宋体" w:hint="default"/>
          <w:spacing w:val="-2"/>
        </w:rPr>
      </w:r>
      <w:r>
        <w:rPr/>
        <w:t>随着</w:t>
      </w:r>
      <w:r>
        <w:rPr>
          <w:rFonts w:ascii="宋体" w:hAnsi="宋体" w:cs="宋体" w:eastAsia="宋体" w:hint="default"/>
        </w:rPr>
        <w:t>2019</w:t>
      </w:r>
      <w:r>
        <w:rPr/>
        <w:t>年试商用开始，</w:t>
      </w:r>
      <w:r>
        <w:rPr>
          <w:rFonts w:ascii="宋体" w:hAnsi="宋体" w:cs="宋体" w:eastAsia="宋体" w:hint="default"/>
        </w:rPr>
        <w:t>5G</w:t>
      </w:r>
      <w:r>
        <w:rPr/>
        <w:t>产业链将加速走向成熟，包括 上游的通信设备制造和基础设施建设，中游的电信服务，以及下游的应用创新将会有更市场高需求。</w:t>
      </w:r>
      <w:r>
        <w:rPr>
          <w:rFonts w:ascii="宋体" w:hAnsi="宋体" w:cs="宋体" w:eastAsia="宋体" w:hint="default"/>
        </w:rPr>
        <w:t> </w:t>
      </w:r>
    </w:p>
    <w:p>
      <w:pPr>
        <w:pStyle w:val="BodyText"/>
        <w:spacing w:line="316" w:lineRule="auto" w:before="19"/>
        <w:ind w:left="473" w:right="1128" w:firstLine="360"/>
        <w:jc w:val="both"/>
        <w:rPr>
          <w:rFonts w:ascii="宋体" w:hAnsi="宋体" w:cs="宋体" w:eastAsia="宋体" w:hint="default"/>
        </w:rPr>
      </w:pPr>
      <w:r>
        <w:rPr>
          <w:spacing w:val="-2"/>
        </w:rPr>
        <w:t>此外在新基建的政策带动下，未来电网投资有望增加，目前“十三五”配电计划行动来到最后两年收官时间，</w:t>
      </w:r>
      <w:r>
        <w:rPr>
          <w:rFonts w:ascii="宋体" w:hAnsi="宋体" w:cs="宋体" w:eastAsia="宋体" w:hint="default"/>
          <w:spacing w:val="-2"/>
        </w:rPr>
        <w:t>2019</w:t>
      </w:r>
      <w:r>
        <w:rPr>
          <w:rFonts w:ascii="宋体" w:hAnsi="宋体" w:cs="宋体" w:eastAsia="宋体" w:hint="default"/>
        </w:rPr>
        <w:t> </w:t>
      </w:r>
      <w:r>
        <w:rPr>
          <w:spacing w:val="-2"/>
        </w:rPr>
        <w:t>年的融资环境有望改善、地方专项债额度提升带来市政管廊配套建设机遇，配网建设正迎来黄金期，双轮驱动推进能源</w:t>
      </w:r>
      <w:r>
        <w:rPr>
          <w:spacing w:val="-67"/>
        </w:rPr>
        <w:t> </w:t>
      </w:r>
      <w:r>
        <w:rPr>
          <w:spacing w:val="-67"/>
        </w:rPr>
      </w:r>
      <w:r>
        <w:rPr>
          <w:spacing w:val="-2"/>
        </w:rPr>
        <w:t>互联网发展带来长期充电桩和储能的投资机会。随着新能源汽车的普及和新能源发电的增长，能源互联网发展将会不断</w:t>
      </w:r>
      <w:r>
        <w:rPr>
          <w:spacing w:val="-69"/>
        </w:rPr>
        <w:t> </w:t>
      </w:r>
      <w:r>
        <w:rPr>
          <w:spacing w:val="-69"/>
        </w:rPr>
      </w:r>
      <w:r>
        <w:rPr/>
        <w:t>落地，电力负荷增长和电能质量提升是电网投资的主要驱动因素，市场投资规模将出现大幅增长。</w:t>
      </w:r>
      <w:r>
        <w:rPr>
          <w:rFonts w:ascii="宋体" w:hAnsi="宋体" w:cs="宋体" w:eastAsia="宋体" w:hint="default"/>
        </w:rPr>
        <w:t> </w:t>
      </w:r>
    </w:p>
    <w:p>
      <w:pPr>
        <w:pStyle w:val="BodyText"/>
        <w:spacing w:line="240" w:lineRule="auto" w:before="19"/>
        <w:ind w:left="833" w:right="977"/>
        <w:jc w:val="left"/>
        <w:rPr>
          <w:rFonts w:ascii="宋体" w:hAnsi="宋体" w:cs="宋体" w:eastAsia="宋体" w:hint="default"/>
        </w:rPr>
      </w:pPr>
      <w:r>
        <w:rPr>
          <w:rFonts w:ascii="宋体" w:hAnsi="宋体" w:cs="宋体" w:eastAsia="宋体" w:hint="default"/>
        </w:rPr>
        <w:t>2</w:t>
      </w:r>
      <w:r>
        <w:rPr/>
        <w:t>、公司发展战略</w:t>
      </w:r>
      <w:r>
        <w:rPr>
          <w:rFonts w:ascii="宋体" w:hAnsi="宋体" w:cs="宋体" w:eastAsia="宋体" w:hint="default"/>
        </w:rPr>
        <w:t> </w:t>
      </w:r>
    </w:p>
    <w:p>
      <w:pPr>
        <w:pStyle w:val="BodyText"/>
        <w:spacing w:line="316" w:lineRule="auto" w:before="76"/>
        <w:ind w:left="473" w:right="1033" w:firstLine="360"/>
        <w:jc w:val="left"/>
        <w:rPr>
          <w:rFonts w:ascii="宋体" w:hAnsi="宋体" w:cs="宋体" w:eastAsia="宋体" w:hint="default"/>
        </w:rPr>
      </w:pPr>
      <w:r>
        <w:rPr>
          <w:spacing w:val="-2"/>
        </w:rPr>
        <w:t>公司以为通信运营商提供“规划、设计、建设、维护、优化”一体化服务为基础，致力于发展成为集</w:t>
      </w:r>
      <w:r>
        <w:rPr>
          <w:rFonts w:ascii="宋体" w:hAnsi="宋体" w:cs="宋体" w:eastAsia="宋体" w:hint="default"/>
          <w:spacing w:val="-2"/>
        </w:rPr>
        <w:t>ICT</w:t>
      </w:r>
      <w:r>
        <w:rPr>
          <w:spacing w:val="-2"/>
        </w:rPr>
        <w:t>、</w:t>
      </w:r>
      <w:r>
        <w:rPr>
          <w:rFonts w:ascii="宋体" w:hAnsi="宋体" w:cs="宋体" w:eastAsia="宋体" w:hint="default"/>
          <w:spacing w:val="-2"/>
        </w:rPr>
        <w:t>IDC</w:t>
      </w:r>
      <w:r>
        <w:rPr>
          <w:spacing w:val="-2"/>
        </w:rPr>
        <w:t>、云</w:t>
      </w:r>
      <w:r>
        <w:rPr>
          <w:spacing w:val="-10"/>
        </w:rPr>
        <w:t> </w:t>
      </w:r>
      <w:r>
        <w:rPr>
          <w:spacing w:val="-2"/>
        </w:rPr>
        <w:t>服务、大数据、物联网及软件研发的综合信息技术服务提供商。在通信技术服务为主的运营商业务方面将继续以往的业</w:t>
      </w:r>
      <w:r>
        <w:rPr>
          <w:spacing w:val="-70"/>
        </w:rPr>
        <w:t> </w:t>
      </w:r>
      <w:r>
        <w:rPr>
          <w:spacing w:val="-70"/>
        </w:rPr>
      </w:r>
      <w:r>
        <w:rPr>
          <w:spacing w:val="-2"/>
        </w:rPr>
        <w:t>务优势，保持通信工程、代维与网络优化业务份额，重点提升设备安装业务市场占有率。公司积极探索以新思路、新解</w:t>
      </w:r>
      <w:r>
        <w:rPr>
          <w:spacing w:val="-72"/>
        </w:rPr>
        <w:t> </w:t>
      </w:r>
      <w:r>
        <w:rPr>
          <w:spacing w:val="-72"/>
        </w:rPr>
      </w:r>
      <w:r>
        <w:rPr>
          <w:spacing w:val="-2"/>
        </w:rPr>
        <w:t>决方案全面改善行业服务，为客户信息化和通信相关软硬件产品及解决方案，目前主要提供通信技术应用研发，大数据</w:t>
      </w:r>
      <w:r>
        <w:rPr>
          <w:spacing w:val="-67"/>
        </w:rPr>
        <w:t> </w:t>
      </w:r>
      <w:r>
        <w:rPr>
          <w:spacing w:val="-67"/>
        </w:rPr>
      </w:r>
      <w:r>
        <w:rPr/>
        <w:t>应用服务，行业信息化平台，通信设备硬件等产品和智慧城市解决方案等产品和服务，主要服务于教育、金融、医疗、 政务、警务、旅游、物流、能源、交通等九大行业客户，为客户提供一站式交钥匙综合解决方案。</w:t>
      </w:r>
      <w:r>
        <w:rPr>
          <w:rFonts w:ascii="宋体" w:hAnsi="宋体" w:cs="宋体" w:eastAsia="宋体" w:hint="default"/>
        </w:rPr>
        <w:t> </w:t>
      </w:r>
    </w:p>
    <w:p>
      <w:pPr>
        <w:pStyle w:val="BodyText"/>
        <w:spacing w:line="240" w:lineRule="auto" w:before="19"/>
        <w:ind w:left="833" w:right="977"/>
        <w:jc w:val="left"/>
        <w:rPr>
          <w:rFonts w:ascii="宋体" w:hAnsi="宋体" w:cs="宋体" w:eastAsia="宋体" w:hint="default"/>
        </w:rPr>
      </w:pPr>
      <w:r>
        <w:rPr>
          <w:rFonts w:ascii="宋体" w:hAnsi="宋体" w:cs="宋体" w:eastAsia="宋体" w:hint="default"/>
        </w:rPr>
        <w:t>3</w:t>
      </w:r>
      <w:r>
        <w:rPr/>
        <w:t>、经营计划</w:t>
      </w:r>
      <w:r>
        <w:rPr>
          <w:rFonts w:ascii="宋体" w:hAnsi="宋体" w:cs="宋体" w:eastAsia="宋体" w:hint="default"/>
        </w:rPr>
        <w:t> </w:t>
      </w:r>
    </w:p>
    <w:p>
      <w:pPr>
        <w:pStyle w:val="BodyText"/>
        <w:spacing w:line="319" w:lineRule="auto" w:before="76"/>
        <w:ind w:left="473" w:right="1033" w:firstLine="360"/>
        <w:jc w:val="left"/>
        <w:rPr>
          <w:rFonts w:ascii="宋体" w:hAnsi="宋体" w:cs="宋体" w:eastAsia="宋体" w:hint="default"/>
        </w:rPr>
      </w:pPr>
      <w:r>
        <w:rPr/>
        <w:t>加大研发与产品投入，提升核心竞争力。公司已通过</w:t>
      </w:r>
      <w:r>
        <w:rPr>
          <w:rFonts w:ascii="宋体" w:hAnsi="宋体" w:cs="宋体" w:eastAsia="宋体" w:hint="default"/>
        </w:rPr>
        <w:t>CMMI</w:t>
      </w:r>
      <w:r>
        <w:rPr>
          <w:rFonts w:ascii="宋体" w:hAnsi="宋体" w:cs="宋体" w:eastAsia="宋体" w:hint="default"/>
          <w:spacing w:val="-3"/>
        </w:rPr>
        <w:t> </w:t>
      </w:r>
      <w:r>
        <w:rPr>
          <w:rFonts w:ascii="宋体" w:hAnsi="宋体" w:cs="宋体" w:eastAsia="宋体" w:hint="default"/>
        </w:rPr>
        <w:t>5</w:t>
      </w:r>
      <w:r>
        <w:rPr/>
        <w:t>认证，具有超</w:t>
      </w:r>
      <w:r>
        <w:rPr>
          <w:rFonts w:ascii="宋体" w:hAnsi="宋体" w:cs="宋体" w:eastAsia="宋体" w:hint="default"/>
        </w:rPr>
        <w:t>500</w:t>
      </w:r>
      <w:r>
        <w:rPr/>
        <w:t>人的研发团队，能够根据客户的需求 量身定制一系列符合客户实际应用的软件。借助经验丰富的开发团队及技术实力和创造力，针对传统代维、通信工程、 </w:t>
      </w:r>
      <w:r>
        <w:rPr>
          <w:spacing w:val="-2"/>
        </w:rPr>
        <w:t>通信工地施工作业等遇到的问题，在传统通信作业的基础上，通过智能化手段，实现业务流程化，显著提高工作效率和</w:t>
      </w:r>
      <w:r>
        <w:rPr>
          <w:spacing w:val="-69"/>
        </w:rPr>
        <w:t> </w:t>
      </w:r>
      <w:r>
        <w:rPr>
          <w:spacing w:val="-69"/>
        </w:rPr>
      </w:r>
      <w:r>
        <w:rPr>
          <w:spacing w:val="-2"/>
        </w:rPr>
        <w:t>管控。加大智能作业平台的研发，通过对</w:t>
      </w:r>
      <w:r>
        <w:rPr>
          <w:rFonts w:ascii="宋体" w:hAnsi="宋体" w:cs="宋体" w:eastAsia="宋体" w:hint="default"/>
          <w:spacing w:val="-2"/>
        </w:rPr>
        <w:t>CT</w:t>
      </w:r>
      <w:r>
        <w:rPr>
          <w:spacing w:val="-2"/>
        </w:rPr>
        <w:t>的技术演进路径的研究，开发具有前瞻性的</w:t>
      </w:r>
      <w:r>
        <w:rPr>
          <w:rFonts w:ascii="宋体" w:hAnsi="宋体" w:cs="宋体" w:eastAsia="宋体" w:hint="default"/>
          <w:spacing w:val="-2"/>
        </w:rPr>
        <w:t>CT</w:t>
      </w:r>
      <w:r>
        <w:rPr>
          <w:spacing w:val="-2"/>
        </w:rPr>
        <w:t>应用技术，推动创新业务的快</w:t>
      </w:r>
      <w:r>
        <w:rPr>
          <w:spacing w:val="-67"/>
        </w:rPr>
        <w:t> </w:t>
      </w:r>
      <w:r>
        <w:rPr>
          <w:spacing w:val="-67"/>
        </w:rPr>
      </w:r>
      <w:r>
        <w:rPr>
          <w:spacing w:val="-2"/>
        </w:rPr>
        <w:t>速成长，并形成基于</w:t>
      </w:r>
      <w:r>
        <w:rPr>
          <w:rFonts w:ascii="宋体" w:hAnsi="宋体" w:cs="宋体" w:eastAsia="宋体" w:hint="default"/>
          <w:spacing w:val="-2"/>
        </w:rPr>
        <w:t>CT</w:t>
      </w:r>
      <w:r>
        <w:rPr>
          <w:spacing w:val="-2"/>
        </w:rPr>
        <w:t>新技术新应用新方案的新服务与新产品为客户提供先进的软件解决方案，满足客户多种应用场景</w:t>
      </w:r>
      <w:r>
        <w:rPr>
          <w:spacing w:val="-68"/>
        </w:rPr>
        <w:t> </w:t>
      </w:r>
      <w:r>
        <w:rPr>
          <w:spacing w:val="-68"/>
        </w:rPr>
      </w:r>
      <w:r>
        <w:rPr/>
        <w:t>的实际需求。</w:t>
      </w:r>
      <w:r>
        <w:rPr>
          <w:rFonts w:ascii="宋体" w:hAnsi="宋体" w:cs="宋体" w:eastAsia="宋体" w:hint="default"/>
        </w:rPr>
        <w:t> </w:t>
      </w:r>
    </w:p>
    <w:p>
      <w:pPr>
        <w:pStyle w:val="BodyText"/>
        <w:spacing w:line="316" w:lineRule="auto" w:before="17"/>
        <w:ind w:left="473" w:right="977" w:firstLine="360"/>
        <w:jc w:val="left"/>
        <w:rPr>
          <w:rFonts w:ascii="宋体" w:hAnsi="宋体" w:cs="宋体" w:eastAsia="宋体" w:hint="default"/>
        </w:rPr>
      </w:pPr>
      <w:r>
        <w:rPr>
          <w:spacing w:val="-4"/>
        </w:rPr>
        <w:t>关注机遇，拓宽业务范围。</w:t>
      </w:r>
      <w:r>
        <w:rPr>
          <w:rFonts w:ascii="宋体" w:hAnsi="宋体" w:cs="宋体" w:eastAsia="宋体" w:hint="default"/>
          <w:spacing w:val="-4"/>
        </w:rPr>
        <w:t>5G </w:t>
      </w:r>
      <w:r>
        <w:rPr/>
        <w:t>网络作为新型基建的底层技术，有望带来整个信息基础设施的革命性升级。</w:t>
      </w:r>
      <w:r>
        <w:rPr>
          <w:rFonts w:ascii="宋体" w:hAnsi="宋体" w:cs="宋体" w:eastAsia="宋体" w:hint="default"/>
        </w:rPr>
        <w:t>5G</w:t>
      </w:r>
      <w:r>
        <w:rPr>
          <w:rFonts w:ascii="宋体" w:hAnsi="宋体" w:cs="宋体" w:eastAsia="宋体" w:hint="default"/>
          <w:spacing w:val="-15"/>
        </w:rPr>
        <w:t> </w:t>
      </w:r>
      <w:r>
        <w:rPr/>
        <w:t>网络 和人工智能、云计算、物联网等催生多元化行业，公司将关注各种新机遇，积极拓展适合公司发展的泛信息化业务。</w:t>
      </w:r>
      <w:r>
        <w:rPr>
          <w:rFonts w:ascii="宋体" w:hAnsi="宋体" w:cs="宋体" w:eastAsia="宋体" w:hint="default"/>
          <w:spacing w:val="1"/>
        </w:rPr>
        <w:t> </w:t>
      </w:r>
      <w:r>
        <w:rPr>
          <w:rFonts w:ascii="宋体" w:hAnsi="宋体" w:cs="宋体" w:eastAsia="宋体" w:hint="default"/>
        </w:rPr>
        <w:t> </w:t>
      </w:r>
    </w:p>
    <w:p>
      <w:pPr>
        <w:pStyle w:val="BodyText"/>
        <w:spacing w:line="240" w:lineRule="auto" w:before="19"/>
        <w:ind w:left="833" w:right="977"/>
        <w:jc w:val="left"/>
        <w:rPr>
          <w:rFonts w:ascii="宋体" w:hAnsi="宋体" w:cs="宋体" w:eastAsia="宋体" w:hint="default"/>
        </w:rPr>
      </w:pPr>
      <w:r>
        <w:rPr>
          <w:rFonts w:ascii="宋体" w:hAnsi="宋体" w:cs="宋体" w:eastAsia="宋体" w:hint="default"/>
        </w:rPr>
        <w:t>4</w:t>
      </w:r>
      <w:r>
        <w:rPr/>
        <w:t>、可能面对的风险</w:t>
      </w:r>
      <w:r>
        <w:rPr>
          <w:rFonts w:ascii="宋体" w:hAnsi="宋体" w:cs="宋体" w:eastAsia="宋体" w:hint="default"/>
        </w:rPr>
        <w:t> </w:t>
      </w:r>
    </w:p>
    <w:p>
      <w:pPr>
        <w:pStyle w:val="BodyText"/>
        <w:spacing w:line="316" w:lineRule="auto" w:before="76"/>
        <w:ind w:left="833" w:right="977"/>
        <w:jc w:val="left"/>
      </w:pPr>
      <w:r>
        <w:rPr/>
        <w:t>（</w:t>
      </w:r>
      <w:r>
        <w:rPr>
          <w:rFonts w:ascii="宋体" w:hAnsi="宋体" w:cs="宋体" w:eastAsia="宋体" w:hint="default"/>
        </w:rPr>
        <w:t>1</w:t>
      </w:r>
      <w:r>
        <w:rPr/>
        <w:t>）市场竞争的风险</w:t>
      </w:r>
      <w:r>
        <w:rPr>
          <w:rFonts w:ascii="宋体" w:hAnsi="宋体" w:cs="宋体" w:eastAsia="宋体" w:hint="default"/>
        </w:rPr>
        <w:t> </w:t>
      </w:r>
      <w:r>
        <w:rPr>
          <w:spacing w:val="-2"/>
        </w:rPr>
        <w:t>公司所处的是第三方移动通信技术服务行业，国内该行业企业众多，规模普遍较小，经过数年的发展，已处于充分</w:t>
      </w:r>
    </w:p>
    <w:p>
      <w:pPr>
        <w:pStyle w:val="BodyText"/>
        <w:spacing w:line="316" w:lineRule="auto" w:before="19"/>
        <w:ind w:left="473" w:right="977"/>
        <w:jc w:val="left"/>
        <w:rPr>
          <w:rFonts w:ascii="宋体" w:hAnsi="宋体" w:cs="宋体" w:eastAsia="宋体" w:hint="default"/>
        </w:rPr>
      </w:pPr>
      <w:r>
        <w:rPr>
          <w:spacing w:val="-2"/>
        </w:rPr>
        <w:t>竞争状态。公司是行业内服务区域最广且能提供移动通信技术服务一体化的服务商之一，但依然有因行业竞争激烈影响</w:t>
      </w:r>
      <w:r>
        <w:rPr>
          <w:spacing w:val="-67"/>
        </w:rPr>
        <w:t> </w:t>
      </w:r>
      <w:r>
        <w:rPr>
          <w:spacing w:val="-67"/>
        </w:rPr>
      </w:r>
      <w:r>
        <w:rPr/>
        <w:t>公司盈利水平的风险。</w:t>
      </w:r>
      <w:r>
        <w:rPr>
          <w:rFonts w:ascii="宋体" w:hAnsi="宋体" w:cs="宋体" w:eastAsia="宋体" w:hint="default"/>
        </w:rPr>
        <w:t> </w:t>
      </w:r>
    </w:p>
    <w:p>
      <w:pPr>
        <w:pStyle w:val="BodyText"/>
        <w:spacing w:line="240" w:lineRule="auto" w:before="19"/>
        <w:ind w:left="833" w:right="977"/>
        <w:jc w:val="left"/>
        <w:rPr>
          <w:rFonts w:ascii="宋体" w:hAnsi="宋体" w:cs="宋体" w:eastAsia="宋体" w:hint="default"/>
        </w:rPr>
      </w:pPr>
      <w:r>
        <w:rPr/>
        <w:t>（</w:t>
      </w:r>
      <w:r>
        <w:rPr>
          <w:rFonts w:ascii="宋体" w:hAnsi="宋体" w:cs="宋体" w:eastAsia="宋体" w:hint="default"/>
        </w:rPr>
        <w:t>2</w:t>
      </w:r>
      <w:r>
        <w:rPr/>
        <w:t>）对大客户依赖的风险</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316" w:lineRule="auto" w:before="44"/>
        <w:ind w:left="473" w:right="977" w:firstLine="360"/>
        <w:jc w:val="left"/>
        <w:rPr>
          <w:rFonts w:ascii="宋体" w:hAnsi="宋体" w:cs="宋体" w:eastAsia="宋体" w:hint="default"/>
        </w:rPr>
      </w:pPr>
      <w:r>
        <w:rPr>
          <w:spacing w:val="-2"/>
        </w:rPr>
        <w:t>近年来，中国移动及其下属分、子公司仍然是公司主要的客户。主要客户的经营策略、服务商准入条件、盈利水平</w:t>
      </w:r>
      <w:r>
        <w:rPr/>
        <w:t> </w:t>
      </w:r>
      <w:r>
        <w:rPr>
          <w:spacing w:val="-4"/>
        </w:rPr>
        <w:t>等情况发生重大不利变化，都有可能对包括公司在内的通信技术服务提供商造成不利影响。为降低对大客户依赖的风险，</w:t>
      </w:r>
      <w:r>
        <w:rPr>
          <w:spacing w:val="-51"/>
        </w:rPr>
        <w:t> </w:t>
      </w:r>
      <w:r>
        <w:rPr>
          <w:spacing w:val="-51"/>
        </w:rPr>
      </w:r>
      <w:r>
        <w:rPr>
          <w:spacing w:val="-2"/>
        </w:rPr>
        <w:t>公司在立足中国移动的同时，积极开拓其他电信运营商及通信主设备供应商等客户，近三年来，公司对通信主设备供应</w:t>
      </w:r>
      <w:r>
        <w:rPr>
          <w:spacing w:val="-68"/>
        </w:rPr>
        <w:t> </w:t>
      </w:r>
      <w:r>
        <w:rPr>
          <w:spacing w:val="-68"/>
        </w:rPr>
      </w:r>
      <w:r>
        <w:rPr/>
        <w:t>商的销售比重正在逐步提升，但是中国移动的相关技术服务的投资需求仍然对公司当期的业务收入影响较大。</w:t>
      </w:r>
      <w:r>
        <w:rPr>
          <w:rFonts w:ascii="宋体" w:hAnsi="宋体" w:cs="宋体" w:eastAsia="宋体" w:hint="default"/>
          <w:spacing w:val="1"/>
        </w:rPr>
        <w:t> </w:t>
      </w:r>
      <w:r>
        <w:rPr>
          <w:rFonts w:ascii="宋体" w:hAnsi="宋体" w:cs="宋体" w:eastAsia="宋体" w:hint="default"/>
        </w:rPr>
        <w:t> </w:t>
      </w:r>
    </w:p>
    <w:p>
      <w:pPr>
        <w:pStyle w:val="BodyText"/>
        <w:spacing w:line="316" w:lineRule="auto" w:before="19"/>
        <w:ind w:left="833" w:right="977"/>
        <w:jc w:val="left"/>
      </w:pPr>
      <w:r>
        <w:rPr/>
        <w:t>（</w:t>
      </w:r>
      <w:r>
        <w:rPr>
          <w:rFonts w:ascii="宋体" w:hAnsi="宋体" w:cs="宋体" w:eastAsia="宋体" w:hint="default"/>
        </w:rPr>
        <w:t>3</w:t>
      </w:r>
      <w:r>
        <w:rPr/>
        <w:t>）公司快速发展带来的管理风险</w:t>
      </w:r>
      <w:r>
        <w:rPr>
          <w:rFonts w:ascii="宋体" w:hAnsi="宋体" w:cs="宋体" w:eastAsia="宋体" w:hint="default"/>
        </w:rPr>
        <w:t> </w:t>
      </w:r>
      <w:r>
        <w:rPr>
          <w:spacing w:val="-2"/>
        </w:rPr>
        <w:t>公司服务范围遍布全国，对经营决策、业务实施、人力资源管理、风险控制等方面的管理要求越来越高。公司若不</w:t>
      </w:r>
    </w:p>
    <w:p>
      <w:pPr>
        <w:pStyle w:val="BodyText"/>
        <w:spacing w:line="240" w:lineRule="auto" w:before="19"/>
        <w:ind w:left="473" w:right="977"/>
        <w:jc w:val="left"/>
        <w:rPr>
          <w:rFonts w:ascii="宋体" w:hAnsi="宋体" w:cs="宋体" w:eastAsia="宋体" w:hint="default"/>
        </w:rPr>
      </w:pPr>
      <w:r>
        <w:rPr/>
        <w:t>能进一步提高管理水平，统筹人员和业务规模，将可能面临公司业务范围广带来的管理风险。</w:t>
      </w:r>
      <w:r>
        <w:rPr>
          <w:rFonts w:ascii="宋体" w:hAnsi="宋体" w:cs="宋体" w:eastAsia="宋体" w:hint="default"/>
        </w:rPr>
        <w:t> </w:t>
      </w:r>
    </w:p>
    <w:p>
      <w:pPr>
        <w:pStyle w:val="BodyText"/>
        <w:spacing w:line="316" w:lineRule="auto" w:before="76"/>
        <w:ind w:left="833" w:right="977"/>
        <w:jc w:val="left"/>
      </w:pPr>
      <w:r>
        <w:rPr/>
        <w:t>（</w:t>
      </w:r>
      <w:r>
        <w:rPr>
          <w:rFonts w:ascii="宋体" w:hAnsi="宋体" w:cs="宋体" w:eastAsia="宋体" w:hint="default"/>
        </w:rPr>
        <w:t>4</w:t>
      </w:r>
      <w:r>
        <w:rPr/>
        <w:t>）技术和产品更新风险</w:t>
      </w:r>
      <w:r>
        <w:rPr>
          <w:rFonts w:ascii="宋体" w:hAnsi="宋体" w:cs="宋体" w:eastAsia="宋体" w:hint="default"/>
        </w:rPr>
        <w:t> </w:t>
      </w:r>
      <w:r>
        <w:rPr>
          <w:spacing w:val="-2"/>
        </w:rPr>
        <w:t>公司所处行业的技术和产品不断升级，公司原有技术和产品也存在更新的需要。为迎合市场需求、保持技术和产品</w:t>
      </w:r>
    </w:p>
    <w:p>
      <w:pPr>
        <w:pStyle w:val="BodyText"/>
        <w:spacing w:line="319" w:lineRule="auto" w:before="19"/>
        <w:ind w:left="473" w:right="1033"/>
        <w:jc w:val="left"/>
        <w:rPr>
          <w:rFonts w:ascii="宋体" w:hAnsi="宋体" w:cs="宋体" w:eastAsia="宋体" w:hint="default"/>
        </w:rPr>
      </w:pPr>
      <w:r>
        <w:rPr/>
        <w:t>的先进性，公司正抓紧研发相关技术和产品。如果由于某种不确定因素，公司的技术和产品没有跟上行业技术的发展， </w:t>
      </w:r>
      <w:r>
        <w:rPr>
          <w:spacing w:val="-2"/>
        </w:rPr>
        <w:t>无法保持适用性和先进性，则可能无法把握跨越式发展机遇、无法保持核心技术的领先优势、从而影响公司的市场竞争</w:t>
      </w:r>
      <w:r>
        <w:rPr>
          <w:spacing w:val="-68"/>
        </w:rPr>
        <w:t> </w:t>
      </w:r>
      <w:r>
        <w:rPr>
          <w:spacing w:val="-68"/>
        </w:rPr>
      </w:r>
      <w:r>
        <w:rPr/>
        <w:t>能力和盈利能力。</w:t>
      </w:r>
      <w:r>
        <w:rPr>
          <w:rFonts w:ascii="宋体" w:hAnsi="宋体" w:cs="宋体" w:eastAsia="宋体" w:hint="default"/>
        </w:rPr>
        <w:t> </w:t>
      </w:r>
    </w:p>
    <w:p>
      <w:pPr>
        <w:pStyle w:val="BodyText"/>
        <w:spacing w:line="316" w:lineRule="auto" w:before="17"/>
        <w:ind w:left="833" w:right="977"/>
        <w:jc w:val="left"/>
      </w:pPr>
      <w:r>
        <w:rPr/>
        <w:t>（</w:t>
      </w:r>
      <w:r>
        <w:rPr>
          <w:rFonts w:ascii="宋体" w:hAnsi="宋体" w:cs="宋体" w:eastAsia="宋体" w:hint="default"/>
        </w:rPr>
        <w:t>5</w:t>
      </w:r>
      <w:r>
        <w:rPr/>
        <w:t>）高新技术企业认定到期需要复评的风险</w:t>
      </w:r>
      <w:r>
        <w:rPr>
          <w:rFonts w:ascii="宋体" w:hAnsi="宋体" w:cs="宋体" w:eastAsia="宋体" w:hint="default"/>
        </w:rPr>
        <w:t> </w:t>
      </w:r>
      <w:r>
        <w:rPr>
          <w:spacing w:val="-2"/>
        </w:rPr>
        <w:t>公司于</w:t>
      </w:r>
      <w:r>
        <w:rPr>
          <w:rFonts w:ascii="宋体" w:hAnsi="宋体" w:cs="宋体" w:eastAsia="宋体" w:hint="default"/>
          <w:spacing w:val="-2"/>
        </w:rPr>
        <w:t>2016</w:t>
      </w:r>
      <w:r>
        <w:rPr>
          <w:spacing w:val="-2"/>
        </w:rPr>
        <w:t>年被认定为高新技术企业，自</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日止，有效期三年，公司按高新技术企业</w:t>
      </w:r>
    </w:p>
    <w:p>
      <w:pPr>
        <w:pStyle w:val="BodyText"/>
        <w:spacing w:line="240" w:lineRule="auto" w:before="19"/>
        <w:ind w:left="473" w:right="977"/>
        <w:jc w:val="left"/>
        <w:rPr>
          <w:rFonts w:ascii="宋体" w:hAnsi="宋体" w:cs="宋体" w:eastAsia="宋体" w:hint="default"/>
        </w:rPr>
      </w:pPr>
      <w:r>
        <w:rPr/>
        <w:t>优惠的</w:t>
      </w:r>
      <w:r>
        <w:rPr>
          <w:rFonts w:ascii="宋体" w:hAnsi="宋体" w:cs="宋体" w:eastAsia="宋体" w:hint="default"/>
        </w:rPr>
        <w:t>15%</w:t>
      </w:r>
      <w:r>
        <w:rPr/>
        <w:t>税率计提及缴纳企业所得税。目前公司高新技术企业认定已到期，需要复评，存在复评不通过的风险。</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2"/>
        <w:spacing w:line="240" w:lineRule="auto"/>
        <w:ind w:right="977"/>
        <w:jc w:val="left"/>
        <w:rPr>
          <w:b w:val="0"/>
          <w:bCs w:val="0"/>
        </w:rPr>
      </w:pP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77"/>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51"/>
                <w:sz w:val="18"/>
                <w:szCs w:val="18"/>
              </w:rPr>
              <w:t> </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《润 建通信：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日投资者关 系活动记录表》</w:t>
            </w:r>
          </w:p>
        </w:tc>
      </w:tr>
    </w:tbl>
    <w:p>
      <w:pPr>
        <w:spacing w:after="0" w:line="300" w:lineRule="auto"/>
        <w:jc w:val="left"/>
        <w:rPr>
          <w:rFonts w:ascii="宋体" w:hAnsi="宋体" w:cs="宋体" w:eastAsia="宋体" w:hint="default"/>
          <w:sz w:val="18"/>
          <w:szCs w:val="18"/>
        </w:rPr>
        <w:sectPr>
          <w:pgSz w:w="11910" w:h="16840"/>
          <w:pgMar w:header="910" w:footer="1013"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right="4084"/>
        <w:jc w:val="center"/>
        <w:rPr>
          <w:b w:val="0"/>
          <w:bCs w:val="0"/>
        </w:rPr>
      </w:pPr>
      <w:bookmarkStart w:name="_bookmark3" w:id="4"/>
      <w:bookmarkEnd w:id="4"/>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77"/>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77"/>
        <w:jc w:val="left"/>
      </w:pPr>
      <w:r>
        <w:rPr/>
        <w:t>报告期内普通股利润分配政策，特别是现金分红政策的制定、执行或调整情况</w:t>
      </w:r>
    </w:p>
    <w:p>
      <w:pPr>
        <w:pStyle w:val="BodyText"/>
        <w:spacing w:line="240" w:lineRule="auto" w:before="117"/>
        <w:ind w:left="833" w:right="977"/>
        <w:jc w:val="left"/>
        <w:rPr>
          <w:rFonts w:ascii="宋体" w:hAnsi="宋体" w:cs="宋体" w:eastAsia="宋体" w:hint="default"/>
        </w:rPr>
      </w:pPr>
      <w:r>
        <w:rPr/>
        <w:t>√ 适用 □</w:t>
      </w:r>
      <w:r>
        <w:rPr>
          <w:spacing w:val="3"/>
        </w:rPr>
        <w:t> </w:t>
      </w:r>
      <w:r>
        <w:rPr/>
        <w:t>不适用</w:t>
      </w:r>
      <w:r>
        <w:rPr>
          <w:spacing w:val="-4"/>
        </w:rPr>
        <w:t> </w:t>
      </w:r>
      <w:r>
        <w:rPr>
          <w:rFonts w:ascii="宋体" w:hAnsi="宋体" w:cs="宋体" w:eastAsia="宋体" w:hint="default"/>
        </w:rPr>
        <w:t> </w:t>
      </w:r>
    </w:p>
    <w:p>
      <w:pPr>
        <w:spacing w:line="240" w:lineRule="auto" w:before="0"/>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16" w:lineRule="auto" w:before="10"/>
        <w:ind w:left="833" w:right="1222"/>
        <w:jc w:val="left"/>
      </w:pPr>
      <w:r>
        <w:rPr/>
        <w:t>公司</w:t>
      </w:r>
      <w:r>
        <w:rPr>
          <w:spacing w:val="-1"/>
        </w:rPr>
        <w:t>近</w:t>
      </w:r>
      <w:r>
        <w:rPr>
          <w:rFonts w:ascii="宋体" w:hAnsi="宋体" w:cs="宋体" w:eastAsia="宋体" w:hint="default"/>
          <w:spacing w:val="1"/>
        </w:rPr>
        <w:t>3</w:t>
      </w:r>
      <w:r>
        <w:rPr/>
        <w:t>年（包括本报告期）的普通股股利分配方案（预案</w:t>
      </w:r>
      <w:r>
        <w:rPr>
          <w:spacing w:val="-92"/>
        </w:rPr>
        <w:t>）</w:t>
      </w:r>
      <w:r>
        <w:rPr>
          <w:spacing w:val="2"/>
        </w:rPr>
        <w:t>、</w:t>
      </w:r>
      <w:r>
        <w:rPr/>
        <w:t>资本公积金转增股本方案（预案）情况</w:t>
      </w:r>
      <w:r>
        <w:rPr>
          <w:rFonts w:ascii="宋体" w:hAnsi="宋体" w:cs="宋体" w:eastAsia="宋体" w:hint="default"/>
        </w:rPr>
        <w:t> </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8</w:t>
      </w:r>
      <w:r>
        <w:rPr/>
        <w:t>年度利润分配方案为：</w:t>
      </w:r>
      <w:r>
        <w:rPr>
          <w:spacing w:val="-3"/>
        </w:rPr>
        <w:t>以</w:t>
      </w:r>
      <w:r>
        <w:rPr/>
        <w:t>公司总股本</w:t>
      </w:r>
      <w:r>
        <w:rPr>
          <w:rFonts w:ascii="宋体" w:hAnsi="宋体" w:cs="宋体" w:eastAsia="宋体" w:hint="default"/>
          <w:spacing w:val="1"/>
        </w:rPr>
        <w:t>22</w:t>
      </w:r>
      <w:r>
        <w:rPr>
          <w:rFonts w:ascii="宋体" w:hAnsi="宋体" w:cs="宋体" w:eastAsia="宋体" w:hint="default"/>
          <w:spacing w:val="-2"/>
        </w:rPr>
        <w:t>0</w:t>
      </w:r>
      <w:r>
        <w:rPr>
          <w:rFonts w:ascii="宋体" w:hAnsi="宋体" w:cs="宋体" w:eastAsia="宋体" w:hint="default"/>
          <w:spacing w:val="1"/>
        </w:rPr>
        <w:t>,</w:t>
      </w:r>
      <w:r>
        <w:rPr>
          <w:rFonts w:ascii="宋体" w:hAnsi="宋体" w:cs="宋体" w:eastAsia="宋体" w:hint="default"/>
          <w:spacing w:val="-2"/>
        </w:rPr>
        <w:t>7</w:t>
      </w:r>
      <w:r>
        <w:rPr>
          <w:rFonts w:ascii="宋体" w:hAnsi="宋体" w:cs="宋体" w:eastAsia="宋体" w:hint="default"/>
          <w:spacing w:val="1"/>
        </w:rPr>
        <w:t>4</w:t>
      </w:r>
      <w:r>
        <w:rPr>
          <w:rFonts w:ascii="宋体" w:hAnsi="宋体" w:cs="宋体" w:eastAsia="宋体" w:hint="default"/>
          <w:spacing w:val="-2"/>
        </w:rPr>
        <w:t>6</w:t>
      </w:r>
      <w:r>
        <w:rPr>
          <w:rFonts w:ascii="宋体" w:hAnsi="宋体" w:cs="宋体" w:eastAsia="宋体" w:hint="default"/>
          <w:spacing w:val="1"/>
        </w:rPr>
        <w:t>,</w:t>
      </w:r>
      <w:r>
        <w:rPr>
          <w:rFonts w:ascii="宋体" w:hAnsi="宋体" w:cs="宋体" w:eastAsia="宋体" w:hint="default"/>
          <w:spacing w:val="-2"/>
        </w:rPr>
        <w:t>3</w:t>
      </w:r>
      <w:r>
        <w:rPr>
          <w:rFonts w:ascii="宋体" w:hAnsi="宋体" w:cs="宋体" w:eastAsia="宋体" w:hint="default"/>
          <w:spacing w:val="1"/>
        </w:rPr>
        <w:t>47</w:t>
      </w:r>
      <w:r>
        <w:rPr/>
        <w:t>股为</w:t>
      </w:r>
      <w:r>
        <w:rPr>
          <w:spacing w:val="-3"/>
        </w:rPr>
        <w:t>基</w:t>
      </w:r>
      <w:r>
        <w:rPr/>
        <w:t>数</w:t>
      </w:r>
      <w:r>
        <w:rPr>
          <w:spacing w:val="-1"/>
        </w:rPr>
        <w:t>，</w:t>
      </w:r>
      <w:r>
        <w:rPr/>
        <w:t>向全体股东每</w:t>
      </w:r>
      <w:r>
        <w:rPr>
          <w:rFonts w:ascii="宋体" w:hAnsi="宋体" w:cs="宋体" w:eastAsia="宋体" w:hint="default"/>
          <w:spacing w:val="1"/>
        </w:rPr>
        <w:t>10</w:t>
      </w:r>
      <w:r>
        <w:rPr/>
        <w:t>股派发</w:t>
      </w:r>
      <w:r>
        <w:rPr>
          <w:spacing w:val="-3"/>
        </w:rPr>
        <w:t>现</w:t>
      </w:r>
      <w:r>
        <w:rPr/>
        <w:t>金红利</w:t>
      </w:r>
      <w:r>
        <w:rPr>
          <w:rFonts w:ascii="宋体" w:hAnsi="宋体" w:cs="宋体" w:eastAsia="宋体" w:hint="default"/>
          <w:spacing w:val="1"/>
        </w:rPr>
        <w:t>1.2</w:t>
      </w:r>
      <w:r>
        <w:rPr/>
        <w:t>元（含税</w:t>
      </w:r>
      <w:r>
        <w:rPr>
          <w:spacing w:val="-92"/>
        </w:rPr>
        <w:t>），</w:t>
      </w:r>
      <w:r>
        <w:rPr/>
      </w:r>
    </w:p>
    <w:p>
      <w:pPr>
        <w:pStyle w:val="BodyText"/>
        <w:spacing w:line="316" w:lineRule="auto" w:before="19"/>
        <w:ind w:left="833" w:right="977" w:hanging="360"/>
        <w:jc w:val="left"/>
      </w:pPr>
      <w:r>
        <w:rPr/>
        <w:t>共计派发现金红利</w:t>
      </w:r>
      <w:r>
        <w:rPr>
          <w:rFonts w:ascii="宋体" w:hAnsi="宋体" w:cs="宋体" w:eastAsia="宋体" w:hint="default"/>
        </w:rPr>
        <w:t>26,489,561.64</w:t>
      </w:r>
      <w:r>
        <w:rPr/>
        <w:t>元。</w:t>
      </w:r>
      <w:r>
        <w:rPr>
          <w:rFonts w:ascii="宋体" w:hAnsi="宋体" w:cs="宋体" w:eastAsia="宋体" w:hint="default"/>
        </w:rPr>
        <w:t>2018</w:t>
      </w:r>
      <w:r>
        <w:rPr/>
        <w:t>年度，公司不进行资本公积转增股本。</w:t>
      </w:r>
      <w:r>
        <w:rPr>
          <w:rFonts w:ascii="宋体" w:hAnsi="宋体" w:cs="宋体" w:eastAsia="宋体" w:hint="default"/>
        </w:rPr>
        <w:t> </w:t>
      </w:r>
      <w:r>
        <w:rPr>
          <w:rFonts w:ascii="宋体" w:hAnsi="宋体" w:cs="宋体" w:eastAsia="宋体" w:hint="default"/>
          <w:spacing w:val="-2"/>
        </w:rPr>
        <w:t>2017</w:t>
      </w:r>
      <w:r>
        <w:rPr>
          <w:spacing w:val="-2"/>
        </w:rPr>
        <w:t>年度利润分配方案为：以公司总股本</w:t>
      </w:r>
      <w:r>
        <w:rPr>
          <w:rFonts w:ascii="宋体" w:hAnsi="宋体" w:cs="宋体" w:eastAsia="宋体" w:hint="default"/>
          <w:spacing w:val="-2"/>
        </w:rPr>
        <w:t>220,746,347</w:t>
      </w:r>
      <w:r>
        <w:rPr>
          <w:spacing w:val="-2"/>
        </w:rPr>
        <w:t>股为基数，向全体股东每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1.2</w:t>
      </w:r>
      <w:r>
        <w:rPr>
          <w:spacing w:val="-2"/>
        </w:rPr>
        <w:t>元（含税），</w:t>
      </w:r>
    </w:p>
    <w:p>
      <w:pPr>
        <w:pStyle w:val="BodyText"/>
        <w:spacing w:line="316" w:lineRule="auto" w:before="19"/>
        <w:ind w:left="833" w:right="977" w:hanging="360"/>
        <w:jc w:val="left"/>
        <w:rPr>
          <w:rFonts w:ascii="宋体" w:hAnsi="宋体" w:cs="宋体" w:eastAsia="宋体" w:hint="default"/>
        </w:rPr>
      </w:pPr>
      <w:r>
        <w:rPr/>
        <w:t>共计派发现金红利</w:t>
      </w:r>
      <w:r>
        <w:rPr>
          <w:rFonts w:ascii="宋体" w:hAnsi="宋体" w:cs="宋体" w:eastAsia="宋体" w:hint="default"/>
        </w:rPr>
        <w:t>26,489,561.64</w:t>
      </w:r>
      <w:r>
        <w:rPr/>
        <w:t>元。</w:t>
      </w:r>
      <w:r>
        <w:rPr>
          <w:rFonts w:ascii="宋体" w:hAnsi="宋体" w:cs="宋体" w:eastAsia="宋体" w:hint="default"/>
        </w:rPr>
        <w:t>2017</w:t>
      </w:r>
      <w:r>
        <w:rPr/>
        <w:t>年度，公司不进行资本公积转增股本。</w:t>
      </w:r>
      <w:r>
        <w:rPr>
          <w:rFonts w:ascii="宋体" w:hAnsi="宋体" w:cs="宋体" w:eastAsia="宋体" w:hint="default"/>
        </w:rPr>
        <w:t> 2016</w:t>
      </w:r>
      <w:r>
        <w:rPr/>
        <w:t>年度不派发现金红利，不送红股，不进行资本公积转增股本。</w:t>
      </w:r>
      <w:r>
        <w:rPr>
          <w:rFonts w:ascii="宋体" w:hAnsi="宋体" w:cs="宋体" w:eastAsia="宋体" w:hint="default"/>
        </w:rPr>
        <w:t> </w:t>
      </w:r>
      <w:r>
        <w:rPr/>
        <w:t>公司近三年（包括本报告期）普通股现金分红情况表</w:t>
      </w:r>
      <w:r>
        <w:rPr>
          <w:rFonts w:ascii="宋体" w:hAnsi="宋体" w:cs="宋体" w:eastAsia="宋体" w:hint="default"/>
        </w:rPr>
        <w:t> </w:t>
      </w:r>
    </w:p>
    <w:p>
      <w:pPr>
        <w:pStyle w:val="BodyText"/>
        <w:spacing w:line="240" w:lineRule="auto" w:before="59"/>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93"/>
        <w:gridCol w:w="1399"/>
        <w:gridCol w:w="1436"/>
        <w:gridCol w:w="1136"/>
        <w:gridCol w:w="893"/>
        <w:gridCol w:w="1375"/>
        <w:gridCol w:w="1311"/>
        <w:gridCol w:w="1383"/>
      </w:tblGrid>
      <w:tr>
        <w:trPr>
          <w:trHeight w:val="227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173" w:right="17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 w:right="113"/>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hanging="3"/>
              <w:jc w:val="center"/>
              <w:rPr>
                <w:rFonts w:ascii="宋体" w:hAnsi="宋体" w:cs="宋体" w:eastAsia="宋体" w:hint="default"/>
                <w:sz w:val="18"/>
                <w:szCs w:val="18"/>
              </w:rPr>
            </w:pPr>
            <w:r>
              <w:rPr>
                <w:rFonts w:ascii="宋体" w:hAnsi="宋体" w:cs="宋体" w:eastAsia="宋体" w:hint="default"/>
                <w:sz w:val="18"/>
                <w:szCs w:val="18"/>
              </w:rPr>
              <w:t>以其他 </w:t>
            </w:r>
            <w:r>
              <w:rPr>
                <w:rFonts w:ascii="宋体" w:hAnsi="宋体" w:cs="宋体" w:eastAsia="宋体" w:hint="default"/>
                <w:spacing w:val="-11"/>
                <w:sz w:val="18"/>
                <w:szCs w:val="18"/>
              </w:rPr>
              <w:t>方式（如</w:t>
            </w:r>
            <w:r>
              <w:rPr>
                <w:rFonts w:ascii="宋体" w:hAnsi="宋体" w:cs="宋体" w:eastAsia="宋体" w:hint="default"/>
                <w:sz w:val="18"/>
                <w:szCs w:val="18"/>
              </w:rPr>
              <w:t> 回购股 </w:t>
            </w:r>
            <w:r>
              <w:rPr>
                <w:rFonts w:ascii="宋体" w:hAnsi="宋体" w:cs="宋体" w:eastAsia="宋体" w:hint="default"/>
                <w:spacing w:val="-11"/>
                <w:sz w:val="18"/>
                <w:szCs w:val="18"/>
              </w:rPr>
              <w:t>份）现金</w:t>
            </w:r>
            <w:r>
              <w:rPr>
                <w:rFonts w:ascii="宋体" w:hAnsi="宋体" w:cs="宋体" w:eastAsia="宋体" w:hint="default"/>
                <w:sz w:val="18"/>
                <w:szCs w:val="18"/>
              </w:rPr>
              <w:t> 分红的 金额</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1" w:right="143"/>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71" w:right="197"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146" w:right="144"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26,489,561.64</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205,877,713.64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12.87%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26,489,561.64</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12.87%</w:t>
            </w:r>
          </w:p>
        </w:tc>
      </w:tr>
      <w:tr>
        <w:trPr>
          <w:trHeight w:val="401"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26,489,561.64</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239,400,030.68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11.06%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26,489,561.64</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11.06%</w:t>
            </w:r>
            <w:r>
              <w:rPr>
                <w:rFonts w:ascii="Times New Roman"/>
                <w:sz w:val="18"/>
              </w:rPr>
            </w:r>
          </w:p>
        </w:tc>
      </w:tr>
      <w:tr>
        <w:trPr>
          <w:trHeight w:val="40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178,815,158.75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77"/>
        <w:jc w:val="left"/>
      </w:pPr>
      <w:r>
        <w:rPr/>
        <w:t>公司报告期内盈利且母公司可供普通股股东分配利润为正但未提出普通股现金红利分配预案</w:t>
      </w:r>
    </w:p>
    <w:p>
      <w:pPr>
        <w:pStyle w:val="BodyText"/>
        <w:spacing w:line="240" w:lineRule="auto" w:before="115"/>
        <w:ind w:right="977"/>
        <w:jc w:val="left"/>
      </w:pPr>
      <w:r>
        <w:rPr/>
        <w:t>□ 适用 √</w:t>
      </w:r>
      <w:r>
        <w:rPr>
          <w:spacing w:val="3"/>
        </w:rPr>
        <w:t> </w:t>
      </w:r>
      <w:r>
        <w:rPr/>
        <w:t>不适用</w:t>
      </w:r>
    </w:p>
    <w:p>
      <w:pPr>
        <w:spacing w:after="0" w:line="240" w:lineRule="auto"/>
        <w:jc w:val="left"/>
        <w:sectPr>
          <w:pgSz w:w="11910" w:h="16840"/>
          <w:pgMar w:header="910" w:footer="1013" w:top="1100" w:bottom="1200" w:left="1020" w:right="0"/>
        </w:sectPr>
      </w:pPr>
    </w:p>
    <w:p>
      <w:pPr>
        <w:spacing w:line="240" w:lineRule="auto" w:before="7"/>
        <w:rPr>
          <w:rFonts w:ascii="宋体" w:hAnsi="宋体" w:cs="宋体" w:eastAsia="宋体" w:hint="default"/>
          <w:sz w:val="20"/>
          <w:szCs w:val="20"/>
        </w:rPr>
      </w:pPr>
    </w:p>
    <w:p>
      <w:pPr>
        <w:pStyle w:val="Heading2"/>
        <w:spacing w:line="240" w:lineRule="auto" w:before="26"/>
        <w:ind w:left="392" w:right="0"/>
        <w:jc w:val="left"/>
        <w:rPr>
          <w:b w:val="0"/>
          <w:bCs w:val="0"/>
        </w:rPr>
      </w:pPr>
      <w:r>
        <w:rPr/>
        <w:t>二、本报告期利润分配及资本公积金转增股本预案情况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392" w:right="0"/>
        <w:jc w:val="left"/>
      </w:pPr>
      <w:r>
        <w:rPr/>
        <w:t>√ 适用 □</w:t>
      </w:r>
      <w:r>
        <w:rPr>
          <w:spacing w:val="3"/>
        </w:rPr>
        <w:t> </w:t>
      </w:r>
      <w:r>
        <w:rPr/>
        <w:t>不适用</w:t>
      </w:r>
    </w:p>
    <w:p>
      <w:pPr>
        <w:spacing w:line="240" w:lineRule="auto" w:before="13"/>
        <w:rPr>
          <w:rFonts w:ascii="宋体" w:hAnsi="宋体" w:cs="宋体" w:eastAsia="宋体" w:hint="default"/>
          <w:sz w:val="7"/>
          <w:szCs w:val="7"/>
        </w:rPr>
      </w:pPr>
    </w:p>
    <w:tbl>
      <w:tblPr>
        <w:tblW w:w="0" w:type="auto"/>
        <w:jc w:val="left"/>
        <w:tblInd w:w="387" w:type="dxa"/>
        <w:tblLayout w:type="fixed"/>
        <w:tblCellMar>
          <w:top w:w="0" w:type="dxa"/>
          <w:left w:w="0" w:type="dxa"/>
          <w:bottom w:w="0" w:type="dxa"/>
          <w:right w:w="0" w:type="dxa"/>
        </w:tblCellMar>
        <w:tblLook w:val="01E0"/>
      </w:tblPr>
      <w:tblGrid>
        <w:gridCol w:w="3795"/>
        <w:gridCol w:w="5775"/>
      </w:tblGrid>
      <w:tr>
        <w:trPr>
          <w:trHeight w:val="403"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1.20</w:t>
            </w:r>
          </w:p>
        </w:tc>
      </w:tr>
      <w:tr>
        <w:trPr>
          <w:trHeight w:val="403"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220,746,347</w:t>
            </w:r>
          </w:p>
        </w:tc>
      </w:tr>
      <w:tr>
        <w:trPr>
          <w:trHeight w:val="403"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w:t>
            </w:r>
            <w:r>
              <w:rPr>
                <w:rFonts w:ascii="宋体" w:hAnsi="宋体" w:cs="宋体" w:eastAsia="宋体" w:hint="default"/>
                <w:spacing w:val="-1"/>
                <w:sz w:val="18"/>
                <w:szCs w:val="18"/>
              </w:rPr>
              <w:t>金</w:t>
            </w:r>
            <w:r>
              <w:rPr>
                <w:rFonts w:ascii="宋体" w:hAnsi="宋体" w:cs="宋体" w:eastAsia="宋体" w:hint="default"/>
                <w:sz w:val="18"/>
                <w:szCs w:val="18"/>
              </w:rPr>
              <w:t>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26,489,561.64</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以其他方式（如回购股份）现金分红金额（元）</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现金分红总</w:t>
            </w:r>
            <w:r>
              <w:rPr>
                <w:rFonts w:ascii="宋体" w:hAnsi="宋体" w:cs="宋体" w:eastAsia="宋体" w:hint="default"/>
                <w:spacing w:val="-1"/>
                <w:sz w:val="18"/>
                <w:szCs w:val="18"/>
              </w:rPr>
              <w:t>额</w:t>
            </w:r>
            <w:r>
              <w:rPr>
                <w:rFonts w:ascii="宋体" w:hAnsi="宋体" w:cs="宋体" w:eastAsia="宋体" w:hint="default"/>
                <w:sz w:val="18"/>
                <w:szCs w:val="18"/>
              </w:rPr>
              <w:t>（含其他方式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26,489,561.64</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859,515,190.61</w:t>
            </w:r>
          </w:p>
        </w:tc>
      </w:tr>
      <w:tr>
        <w:trPr>
          <w:trHeight w:val="715"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的比例</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公司发展阶段不易区分但有重大资金支出安排的，进行利润分配时，现金分红在本次利润分配中所占比例最低应达到</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6"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以公司总股本</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股为基数，向全体股</w:t>
            </w:r>
            <w:r>
              <w:rPr>
                <w:rFonts w:ascii="宋体" w:hAnsi="宋体" w:cs="宋体" w:eastAsia="宋体" w:hint="default"/>
                <w:spacing w:val="-3"/>
                <w:sz w:val="18"/>
                <w:szCs w:val="18"/>
              </w:rPr>
              <w:t>东</w:t>
            </w: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红</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z w:val="18"/>
                <w:szCs w:val="18"/>
              </w:rPr>
              <w:t>，共计派发现金红利</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26,489,561.64 </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年度，公司不进行资本公积转增股本。</w:t>
            </w:r>
          </w:p>
        </w:tc>
      </w:tr>
    </w:tbl>
    <w:p>
      <w:pPr>
        <w:spacing w:line="240" w:lineRule="auto" w:before="3"/>
        <w:rPr>
          <w:rFonts w:ascii="宋体" w:hAnsi="宋体" w:cs="宋体" w:eastAsia="宋体" w:hint="default"/>
          <w:sz w:val="18"/>
          <w:szCs w:val="18"/>
        </w:rPr>
      </w:pPr>
    </w:p>
    <w:p>
      <w:pPr>
        <w:pStyle w:val="Heading2"/>
        <w:spacing w:line="240" w:lineRule="auto" w:before="26"/>
        <w:ind w:left="392" w:right="0"/>
        <w:jc w:val="left"/>
        <w:rPr>
          <w:b w:val="0"/>
          <w:bCs w:val="0"/>
        </w:rPr>
      </w:pPr>
      <w:r>
        <w:rPr/>
        <w:t>三、承诺事项履行情况</w:t>
      </w:r>
      <w:r>
        <w:rPr>
          <w:b w:val="0"/>
          <w:bCs w:val="0"/>
        </w:rPr>
      </w:r>
    </w:p>
    <w:p>
      <w:pPr>
        <w:spacing w:line="240" w:lineRule="auto" w:before="7"/>
        <w:rPr>
          <w:rFonts w:ascii="宋体" w:hAnsi="宋体" w:cs="宋体" w:eastAsia="宋体" w:hint="default"/>
          <w:b/>
          <w:bCs/>
          <w:sz w:val="24"/>
          <w:szCs w:val="24"/>
        </w:rPr>
      </w:pPr>
    </w:p>
    <w:p>
      <w:pPr>
        <w:pStyle w:val="Heading3"/>
        <w:spacing w:line="259" w:lineRule="auto"/>
        <w:ind w:left="392"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392" w:right="0"/>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419"/>
        <w:gridCol w:w="1841"/>
        <w:gridCol w:w="720"/>
        <w:gridCol w:w="4386"/>
        <w:gridCol w:w="708"/>
        <w:gridCol w:w="710"/>
        <w:gridCol w:w="718"/>
      </w:tblGrid>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5" w:right="173"/>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4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8" w:right="168"/>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168"/>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2" w:right="173"/>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20" w:type="dxa"/>
            <w:tcBorders>
              <w:top w:val="single" w:sz="4" w:space="0" w:color="000000"/>
              <w:left w:val="single" w:sz="4" w:space="0" w:color="000000"/>
              <w:bottom w:val="single" w:sz="4" w:space="0" w:color="000000"/>
              <w:right w:val="single" w:sz="4" w:space="0" w:color="000000"/>
            </w:tcBorders>
          </w:tcPr>
          <w:p>
            <w:pP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23"/>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20" w:type="dxa"/>
            <w:tcBorders>
              <w:top w:val="single" w:sz="4" w:space="0" w:color="000000"/>
              <w:left w:val="single" w:sz="4" w:space="0" w:color="000000"/>
              <w:bottom w:val="single" w:sz="4" w:space="0" w:color="000000"/>
              <w:right w:val="single" w:sz="4" w:space="0" w:color="000000"/>
            </w:tcBorders>
          </w:tcPr>
          <w:p>
            <w:pP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225"/>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20" w:type="dxa"/>
            <w:tcBorders>
              <w:top w:val="single" w:sz="4" w:space="0" w:color="000000"/>
              <w:left w:val="single" w:sz="4" w:space="0" w:color="000000"/>
              <w:bottom w:val="single" w:sz="4" w:space="0" w:color="000000"/>
              <w:right w:val="single" w:sz="4" w:space="0" w:color="000000"/>
            </w:tcBorders>
          </w:tcPr>
          <w:p>
            <w:pP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23"/>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6"/>
              <w:jc w:val="both"/>
              <w:rPr>
                <w:rFonts w:ascii="宋体" w:hAnsi="宋体" w:cs="宋体" w:eastAsia="宋体" w:hint="default"/>
                <w:sz w:val="18"/>
                <w:szCs w:val="18"/>
              </w:rPr>
            </w:pPr>
            <w:r>
              <w:rPr>
                <w:rFonts w:ascii="宋体" w:hAnsi="宋体" w:cs="宋体" w:eastAsia="宋体" w:hint="default"/>
                <w:sz w:val="18"/>
                <w:szCs w:val="18"/>
              </w:rPr>
              <w:t>实际控制人李建国先 生、蒋鹂北女士及其 控制的弘泽熙元、威 克德力</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5" w:right="242"/>
              <w:jc w:val="both"/>
              <w:rPr>
                <w:rFonts w:ascii="宋体" w:hAnsi="宋体" w:cs="宋体" w:eastAsia="宋体" w:hint="default"/>
                <w:sz w:val="18"/>
                <w:szCs w:val="18"/>
              </w:rPr>
            </w:pPr>
            <w:r>
              <w:rPr>
                <w:rFonts w:ascii="宋体" w:hAnsi="宋体" w:cs="宋体" w:eastAsia="宋体" w:hint="default"/>
                <w:sz w:val="18"/>
                <w:szCs w:val="18"/>
              </w:rPr>
              <w:t>首次 公开 发行 承诺</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3"/>
              <w:ind w:left="103" w:right="98"/>
              <w:jc w:val="both"/>
              <w:rPr>
                <w:rFonts w:ascii="宋体" w:hAnsi="宋体" w:cs="宋体" w:eastAsia="宋体" w:hint="default"/>
                <w:sz w:val="18"/>
                <w:szCs w:val="18"/>
              </w:rPr>
            </w:pPr>
            <w:r>
              <w:rPr>
                <w:rFonts w:ascii="宋体" w:hAnsi="宋体" w:cs="宋体" w:eastAsia="宋体" w:hint="default"/>
                <w:sz w:val="18"/>
                <w:szCs w:val="18"/>
              </w:rPr>
              <w:t>自发行人首次公开发行股票上市之日起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个月内，不</w:t>
            </w:r>
            <w:r>
              <w:rPr>
                <w:rFonts w:ascii="宋体" w:hAnsi="宋体" w:cs="宋体" w:eastAsia="宋体" w:hint="default"/>
                <w:sz w:val="18"/>
                <w:szCs w:val="18"/>
              </w:rPr>
              <w:t> 转让或者委托他人管理其本次发行前直接或间接持有 的发行人股份，也不由发行人回购该等股份。发行人 上市后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个月内，如发行人股票连续</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个交易日的收</w:t>
            </w:r>
          </w:p>
          <w:p>
            <w:pPr>
              <w:pStyle w:val="TableParagraph"/>
              <w:spacing w:line="240" w:lineRule="auto" w:before="3"/>
              <w:ind w:left="103" w:right="0"/>
              <w:jc w:val="both"/>
              <w:rPr>
                <w:rFonts w:ascii="宋体" w:hAnsi="宋体" w:cs="宋体" w:eastAsia="宋体" w:hint="default"/>
                <w:sz w:val="18"/>
                <w:szCs w:val="18"/>
              </w:rPr>
            </w:pPr>
            <w:r>
              <w:rPr>
                <w:rFonts w:ascii="宋体" w:hAnsi="宋体" w:cs="宋体" w:eastAsia="宋体" w:hint="default"/>
                <w:sz w:val="18"/>
                <w:szCs w:val="18"/>
              </w:rPr>
              <w:t>盘价均低于发行价，或者上市后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5"/>
              <w:jc w:val="both"/>
              <w:rPr>
                <w:rFonts w:ascii="宋体" w:hAnsi="宋体" w:cs="宋体" w:eastAsia="宋体" w:hint="default"/>
                <w:sz w:val="18"/>
                <w:szCs w:val="18"/>
              </w:rPr>
            </w:pPr>
            <w:r>
              <w:rPr>
                <w:rFonts w:ascii="宋体" w:hAnsi="宋体" w:cs="宋体" w:eastAsia="宋体" w:hint="default"/>
                <w:sz w:val="18"/>
                <w:szCs w:val="18"/>
              </w:rPr>
              <w:t>承诺 及法 规要 求的 期限</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43"/>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6" w:lineRule="auto"/>
        <w:jc w:val="both"/>
        <w:rPr>
          <w:rFonts w:ascii="宋体" w:hAnsi="宋体" w:cs="宋体" w:eastAsia="宋体" w:hint="default"/>
          <w:sz w:val="18"/>
          <w:szCs w:val="18"/>
        </w:rPr>
        <w:sectPr>
          <w:pgSz w:w="11910" w:h="16840"/>
          <w:pgMar w:header="910" w:footer="1013" w:top="1100" w:bottom="1200" w:left="74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419"/>
        <w:gridCol w:w="1841"/>
        <w:gridCol w:w="720"/>
        <w:gridCol w:w="4386"/>
        <w:gridCol w:w="708"/>
        <w:gridCol w:w="710"/>
        <w:gridCol w:w="720"/>
      </w:tblGrid>
      <w:tr>
        <w:trPr>
          <w:trHeight w:val="3521"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103" w:right="102"/>
              <w:jc w:val="both"/>
              <w:rPr>
                <w:rFonts w:ascii="宋体" w:hAnsi="宋体" w:cs="宋体" w:eastAsia="宋体" w:hint="default"/>
                <w:sz w:val="18"/>
                <w:szCs w:val="18"/>
              </w:rPr>
            </w:pPr>
            <w:r>
              <w:rPr>
                <w:rFonts w:ascii="宋体" w:hAnsi="宋体" w:cs="宋体" w:eastAsia="宋体" w:hint="default"/>
                <w:sz w:val="18"/>
                <w:szCs w:val="18"/>
              </w:rPr>
              <w:t>于发行价，其直接或间接持有发行人股票的锁定期限 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个月（若上述期间公司发生派发股利、送 红股、转增股本、增发新股或配股等除息、除权行为 </w:t>
            </w:r>
            <w:r>
              <w:rPr>
                <w:rFonts w:ascii="宋体" w:hAnsi="宋体" w:cs="宋体" w:eastAsia="宋体" w:hint="default"/>
                <w:spacing w:val="-6"/>
                <w:sz w:val="18"/>
                <w:szCs w:val="18"/>
              </w:rPr>
              <w:t>的，则上述价格将进行相应调整）。</w:t>
            </w:r>
          </w:p>
          <w:p>
            <w:pPr>
              <w:pStyle w:val="TableParagraph"/>
              <w:spacing w:line="312" w:lineRule="auto" w:before="63"/>
              <w:ind w:left="103" w:right="99"/>
              <w:jc w:val="both"/>
              <w:rPr>
                <w:rFonts w:ascii="宋体" w:hAnsi="宋体" w:cs="宋体" w:eastAsia="宋体" w:hint="default"/>
                <w:sz w:val="18"/>
                <w:szCs w:val="18"/>
              </w:rPr>
            </w:pPr>
            <w:r>
              <w:rPr>
                <w:rFonts w:ascii="宋体" w:hAnsi="宋体" w:cs="宋体" w:eastAsia="宋体" w:hint="default"/>
                <w:spacing w:val="-1"/>
                <w:sz w:val="18"/>
                <w:szCs w:val="18"/>
              </w:rPr>
              <w:t>若本人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本企业因涉嫌证券期货违法犯罪，在被中国证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监会立案调查或者被司法机关立案侦查期间，以及在 行政处罚决定、刑事判决作出之后未满六个月的；因 违反证券交易所自律规则，被证券交易所公开谴责未 满三个月等触发法律、法规、规范性文件、中国证监 </w:t>
            </w:r>
            <w:r>
              <w:rPr>
                <w:rFonts w:ascii="宋体" w:hAnsi="宋体" w:cs="宋体" w:eastAsia="宋体" w:hint="default"/>
                <w:spacing w:val="-1"/>
                <w:sz w:val="18"/>
                <w:szCs w:val="18"/>
              </w:rPr>
              <w:t>会、证券交易所规定的不得减持股份的情形的，本人</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本企业不得进行股份减持。</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836" w:hRule="exact"/>
        </w:trPr>
        <w:tc>
          <w:tcPr>
            <w:tcW w:w="1419" w:type="dxa"/>
            <w:vMerge/>
            <w:tcBorders>
              <w:left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103" w:right="106"/>
              <w:jc w:val="both"/>
              <w:rPr>
                <w:rFonts w:ascii="宋体" w:hAnsi="宋体" w:cs="宋体" w:eastAsia="宋体" w:hint="default"/>
                <w:sz w:val="18"/>
                <w:szCs w:val="18"/>
              </w:rPr>
            </w:pPr>
            <w:r>
              <w:rPr>
                <w:rFonts w:ascii="宋体" w:hAnsi="宋体" w:cs="宋体" w:eastAsia="宋体" w:hint="default"/>
                <w:sz w:val="18"/>
                <w:szCs w:val="18"/>
              </w:rPr>
              <w:t>董事、高级管理人员 许文杰先生、梁姬女 士</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5" w:right="242"/>
              <w:jc w:val="both"/>
              <w:rPr>
                <w:rFonts w:ascii="宋体" w:hAnsi="宋体" w:cs="宋体" w:eastAsia="宋体" w:hint="default"/>
                <w:sz w:val="18"/>
                <w:szCs w:val="18"/>
              </w:rPr>
            </w:pPr>
            <w:r>
              <w:rPr>
                <w:rFonts w:ascii="宋体" w:hAnsi="宋体" w:cs="宋体" w:eastAsia="宋体" w:hint="default"/>
                <w:sz w:val="18"/>
                <w:szCs w:val="18"/>
              </w:rPr>
              <w:t>首次 公开 发行 承诺</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103" w:right="96"/>
              <w:jc w:val="both"/>
              <w:rPr>
                <w:rFonts w:ascii="宋体" w:hAnsi="宋体" w:cs="宋体" w:eastAsia="宋体" w:hint="default"/>
                <w:sz w:val="18"/>
                <w:szCs w:val="18"/>
              </w:rPr>
            </w:pPr>
            <w:r>
              <w:rPr>
                <w:rFonts w:ascii="宋体" w:hAnsi="宋体" w:cs="宋体" w:eastAsia="宋体" w:hint="default"/>
                <w:sz w:val="18"/>
                <w:szCs w:val="18"/>
              </w:rPr>
              <w:t>自发行人首次公开发行股票上市之日起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个月内，不</w:t>
            </w:r>
            <w:r>
              <w:rPr>
                <w:rFonts w:ascii="宋体" w:hAnsi="宋体" w:cs="宋体" w:eastAsia="宋体" w:hint="default"/>
                <w:sz w:val="18"/>
                <w:szCs w:val="18"/>
              </w:rPr>
              <w:t> 转让或者委托他人管理其本次发行前通过盛欧投资间 接持有的发行人股份，也不由发行人回购该等股份； 自发行人首次公开发行股票上市之日起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个月内，不</w:t>
            </w:r>
            <w:r>
              <w:rPr>
                <w:rFonts w:ascii="宋体" w:hAnsi="宋体" w:cs="宋体" w:eastAsia="宋体" w:hint="default"/>
                <w:sz w:val="18"/>
                <w:szCs w:val="18"/>
              </w:rPr>
              <w:t> 转让或者委托他人管理其本次发行前通过威克德力间 接持有的发行人股份，也不由发行人回购该等股份。 发行人上市后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个月内，如发行人股票连续</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个交易</w:t>
            </w:r>
          </w:p>
          <w:p>
            <w:pPr>
              <w:pStyle w:val="TableParagraph"/>
              <w:spacing w:line="309" w:lineRule="auto" w:before="3"/>
              <w:ind w:left="103" w:right="128"/>
              <w:jc w:val="both"/>
              <w:rPr>
                <w:rFonts w:ascii="宋体" w:hAnsi="宋体" w:cs="宋体" w:eastAsia="宋体" w:hint="default"/>
                <w:sz w:val="18"/>
                <w:szCs w:val="18"/>
              </w:rPr>
            </w:pPr>
            <w:r>
              <w:rPr>
                <w:rFonts w:ascii="宋体" w:hAnsi="宋体" w:cs="宋体" w:eastAsia="宋体" w:hint="default"/>
                <w:sz w:val="18"/>
                <w:szCs w:val="18"/>
              </w:rPr>
              <w:t>日的收盘价均低于发行价，或者上市后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 盘价低于发行价，其直接或间接持有发行人股票的锁 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个月（若上述期间公司发生派发股 利、送红股、转增股本、增发新股或配股等除息、除 </w:t>
            </w:r>
            <w:r>
              <w:rPr>
                <w:rFonts w:ascii="宋体" w:hAnsi="宋体" w:cs="宋体" w:eastAsia="宋体" w:hint="default"/>
                <w:spacing w:val="-10"/>
                <w:sz w:val="18"/>
                <w:szCs w:val="18"/>
              </w:rPr>
              <w:t>权行为的，则上述价格将进行相应调整）。</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3" w:right="235"/>
              <w:jc w:val="both"/>
              <w:rPr>
                <w:rFonts w:ascii="宋体" w:hAnsi="宋体" w:cs="宋体" w:eastAsia="宋体" w:hint="default"/>
                <w:sz w:val="18"/>
                <w:szCs w:val="18"/>
              </w:rPr>
            </w:pPr>
            <w:r>
              <w:rPr>
                <w:rFonts w:ascii="宋体" w:hAnsi="宋体" w:cs="宋体" w:eastAsia="宋体" w:hint="default"/>
                <w:sz w:val="18"/>
                <w:szCs w:val="18"/>
              </w:rPr>
              <w:t>承诺 及法 规要 求的 期限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103" w:right="245"/>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6291"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
              <w:jc w:val="left"/>
              <w:rPr>
                <w:rFonts w:ascii="宋体" w:hAnsi="宋体" w:cs="宋体" w:eastAsia="宋体" w:hint="default"/>
                <w:sz w:val="18"/>
                <w:szCs w:val="18"/>
              </w:rPr>
            </w:pPr>
            <w:r>
              <w:rPr>
                <w:rFonts w:ascii="宋体" w:hAnsi="宋体" w:cs="宋体" w:eastAsia="宋体" w:hint="default"/>
                <w:sz w:val="18"/>
                <w:szCs w:val="18"/>
              </w:rPr>
              <w:t>股东郑志树先生、张 </w:t>
            </w:r>
            <w:r>
              <w:rPr>
                <w:rFonts w:ascii="宋体" w:hAnsi="宋体" w:cs="宋体" w:eastAsia="宋体" w:hint="default"/>
                <w:spacing w:val="-9"/>
                <w:sz w:val="18"/>
                <w:szCs w:val="18"/>
              </w:rPr>
              <w:t>红波女士、张民先生、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郑品玉女士、谢新仓 先生、李孝先女士、 鲍惠忠先生、郑剑雄 先生、梁荣女士、吕 虹女士、陈晨女士、 朱登煌先生、魏荣恒 先生、易丽女士、李 喜跃女士、关学忠先 生、田萍女士、丁京 </w:t>
            </w:r>
            <w:r>
              <w:rPr>
                <w:rFonts w:ascii="宋体" w:hAnsi="宋体" w:cs="宋体" w:eastAsia="宋体" w:hint="default"/>
                <w:spacing w:val="-9"/>
                <w:sz w:val="18"/>
                <w:szCs w:val="18"/>
              </w:rPr>
              <w:t>安先生、刘宇飞先生、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谢二庆先生、陈翠华 女士、袁晓丽女士、 董浩先生、黄建君先 生、赵春荣女士、李 </w:t>
            </w:r>
            <w:r>
              <w:rPr>
                <w:rFonts w:ascii="宋体" w:hAnsi="宋体" w:cs="宋体" w:eastAsia="宋体" w:hint="default"/>
                <w:spacing w:val="-9"/>
                <w:sz w:val="18"/>
                <w:szCs w:val="18"/>
              </w:rPr>
              <w:t>滨芫女士、于英先生、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陈强先生、邱红光先 生、李纪元女士、谢 </w:t>
            </w:r>
            <w:r>
              <w:rPr>
                <w:rFonts w:ascii="宋体" w:hAnsi="宋体" w:cs="宋体" w:eastAsia="宋体" w:hint="default"/>
                <w:spacing w:val="-9"/>
                <w:sz w:val="18"/>
                <w:szCs w:val="18"/>
              </w:rPr>
              <w:t>卫女士、赵丽云女士、</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5" w:right="242"/>
              <w:jc w:val="both"/>
              <w:rPr>
                <w:rFonts w:ascii="宋体" w:hAnsi="宋体" w:cs="宋体" w:eastAsia="宋体" w:hint="default"/>
                <w:sz w:val="18"/>
                <w:szCs w:val="18"/>
              </w:rPr>
            </w:pPr>
            <w:r>
              <w:rPr>
                <w:rFonts w:ascii="宋体" w:hAnsi="宋体" w:cs="宋体" w:eastAsia="宋体" w:hint="default"/>
                <w:sz w:val="18"/>
                <w:szCs w:val="18"/>
              </w:rPr>
              <w:t>首次 公开 发行 承诺</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07" w:lineRule="auto"/>
              <w:ind w:left="103" w:right="99"/>
              <w:jc w:val="both"/>
              <w:rPr>
                <w:rFonts w:ascii="宋体" w:hAnsi="宋体" w:cs="宋体" w:eastAsia="宋体" w:hint="default"/>
                <w:sz w:val="18"/>
                <w:szCs w:val="18"/>
              </w:rPr>
            </w:pPr>
            <w:r>
              <w:rPr>
                <w:rFonts w:ascii="宋体" w:hAnsi="宋体" w:cs="宋体" w:eastAsia="宋体" w:hint="default"/>
                <w:sz w:val="18"/>
                <w:szCs w:val="18"/>
              </w:rPr>
              <w:t>自发行人首次公开发行股票上市之日起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个月内，不</w:t>
            </w:r>
            <w:r>
              <w:rPr>
                <w:rFonts w:ascii="宋体" w:hAnsi="宋体" w:cs="宋体" w:eastAsia="宋体" w:hint="default"/>
                <w:sz w:val="18"/>
                <w:szCs w:val="18"/>
              </w:rPr>
              <w:t> 转让或者委托他人管理其本次发行前直接或间接持有 的发行人股份，也不由发行人回购该等股份。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6" w:lineRule="auto"/>
              <w:ind w:left="103" w:right="235"/>
              <w:jc w:val="both"/>
              <w:rPr>
                <w:rFonts w:ascii="宋体" w:hAnsi="宋体" w:cs="宋体" w:eastAsia="宋体" w:hint="default"/>
                <w:sz w:val="18"/>
                <w:szCs w:val="18"/>
              </w:rPr>
            </w:pPr>
            <w:r>
              <w:rPr>
                <w:rFonts w:ascii="宋体" w:hAnsi="宋体" w:cs="宋体" w:eastAsia="宋体" w:hint="default"/>
                <w:sz w:val="18"/>
                <w:szCs w:val="18"/>
              </w:rPr>
              <w:t>承诺 及法 规要 求的 期限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6" w:lineRule="auto"/>
              <w:ind w:left="103" w:right="245"/>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6" w:lineRule="auto"/>
        <w:jc w:val="both"/>
        <w:rPr>
          <w:rFonts w:ascii="宋体" w:hAnsi="宋体" w:cs="宋体" w:eastAsia="宋体" w:hint="default"/>
          <w:sz w:val="18"/>
          <w:szCs w:val="18"/>
        </w:rPr>
        <w:sectPr>
          <w:pgSz w:w="11910" w:h="16840"/>
          <w:pgMar w:header="910" w:footer="1013" w:top="1100" w:bottom="1200" w:left="74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419"/>
        <w:gridCol w:w="1841"/>
        <w:gridCol w:w="720"/>
        <w:gridCol w:w="4386"/>
        <w:gridCol w:w="708"/>
        <w:gridCol w:w="710"/>
        <w:gridCol w:w="718"/>
      </w:tblGrid>
      <w:tr>
        <w:trPr>
          <w:trHeight w:val="4731"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1"/>
              <w:jc w:val="left"/>
              <w:rPr>
                <w:rFonts w:ascii="宋体" w:hAnsi="宋体" w:cs="宋体" w:eastAsia="宋体" w:hint="default"/>
                <w:sz w:val="18"/>
                <w:szCs w:val="18"/>
              </w:rPr>
            </w:pPr>
            <w:r>
              <w:rPr>
                <w:rFonts w:ascii="宋体" w:hAnsi="宋体" w:cs="宋体" w:eastAsia="宋体" w:hint="default"/>
                <w:sz w:val="18"/>
                <w:szCs w:val="18"/>
              </w:rPr>
              <w:t>刘子微先生、郑继宏 先生、邱雅萍女士、 肖慎平先生、常先停 先生、刘冬岩先生、 谢志坚先生、宋永芬 女士、张水虹女士、 </w:t>
            </w:r>
            <w:r>
              <w:rPr>
                <w:rFonts w:ascii="宋体" w:hAnsi="宋体" w:cs="宋体" w:eastAsia="宋体" w:hint="default"/>
                <w:spacing w:val="-9"/>
                <w:sz w:val="18"/>
                <w:szCs w:val="18"/>
              </w:rPr>
              <w:t>王超先生、盛欧投资、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西江投资、鑫宏图投 资、太证资本、广垦 太证、吉林省投资基 金、海通创投、汇金 嘉业、众安投资、胜 </w:t>
            </w:r>
            <w:r>
              <w:rPr>
                <w:rFonts w:ascii="宋体" w:hAnsi="宋体" w:cs="宋体" w:eastAsia="宋体" w:hint="default"/>
                <w:spacing w:val="-9"/>
                <w:sz w:val="18"/>
                <w:szCs w:val="18"/>
              </w:rPr>
              <w:t>道投资、德丰杰复华、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德丰杰龙脉、展瑞新 富</w:t>
            </w:r>
          </w:p>
        </w:tc>
        <w:tc>
          <w:tcPr>
            <w:tcW w:w="720" w:type="dxa"/>
            <w:tcBorders>
              <w:top w:val="single" w:sz="4" w:space="0" w:color="000000"/>
              <w:left w:val="single" w:sz="4" w:space="0" w:color="000000"/>
              <w:bottom w:val="single" w:sz="4" w:space="0" w:color="000000"/>
              <w:right w:val="single" w:sz="4" w:space="0" w:color="000000"/>
            </w:tcBorders>
          </w:tcPr>
          <w:p>
            <w:pPr/>
          </w:p>
        </w:tc>
        <w:tc>
          <w:tcPr>
            <w:tcW w:w="43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1419" w:type="dxa"/>
            <w:vMerge/>
            <w:tcBorders>
              <w:left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3" w:right="106"/>
              <w:jc w:val="both"/>
              <w:rPr>
                <w:rFonts w:ascii="宋体" w:hAnsi="宋体" w:cs="宋体" w:eastAsia="宋体" w:hint="default"/>
                <w:sz w:val="18"/>
                <w:szCs w:val="18"/>
              </w:rPr>
            </w:pPr>
            <w:r>
              <w:rPr>
                <w:rFonts w:ascii="宋体" w:hAnsi="宋体" w:cs="宋体" w:eastAsia="宋体" w:hint="default"/>
                <w:sz w:val="18"/>
                <w:szCs w:val="18"/>
              </w:rPr>
              <w:t>董事、高级管理人员 沈湘平先生、胡永乐 先生</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5" w:right="242"/>
              <w:jc w:val="both"/>
              <w:rPr>
                <w:rFonts w:ascii="宋体" w:hAnsi="宋体" w:cs="宋体" w:eastAsia="宋体" w:hint="default"/>
                <w:sz w:val="18"/>
                <w:szCs w:val="18"/>
              </w:rPr>
            </w:pPr>
            <w:r>
              <w:rPr>
                <w:rFonts w:ascii="宋体" w:hAnsi="宋体" w:cs="宋体" w:eastAsia="宋体" w:hint="default"/>
                <w:sz w:val="18"/>
                <w:szCs w:val="18"/>
              </w:rPr>
              <w:t>首次 公开 发行 承诺</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96"/>
              <w:jc w:val="both"/>
              <w:rPr>
                <w:rFonts w:ascii="宋体" w:hAnsi="宋体" w:cs="宋体" w:eastAsia="宋体" w:hint="default"/>
                <w:sz w:val="18"/>
                <w:szCs w:val="18"/>
              </w:rPr>
            </w:pPr>
            <w:r>
              <w:rPr>
                <w:rFonts w:ascii="宋体" w:hAnsi="宋体" w:cs="宋体" w:eastAsia="宋体" w:hint="default"/>
                <w:sz w:val="18"/>
                <w:szCs w:val="18"/>
              </w:rPr>
              <w:t>自发行人首次公开发行股票上市之日起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个月内，不</w:t>
            </w:r>
            <w:r>
              <w:rPr>
                <w:rFonts w:ascii="宋体" w:hAnsi="宋体" w:cs="宋体" w:eastAsia="宋体" w:hint="default"/>
                <w:sz w:val="18"/>
                <w:szCs w:val="18"/>
              </w:rPr>
              <w:t> 转让或者委托他人管理其本次发行前通过威克德力间 接持有的发行人股份，也不由发行人回购该等股份。 发行人上市后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个月内，如发行人股票连续</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个交易</w:t>
            </w:r>
          </w:p>
          <w:p>
            <w:pPr>
              <w:pStyle w:val="TableParagraph"/>
              <w:spacing w:line="309" w:lineRule="auto" w:before="3"/>
              <w:ind w:left="103" w:right="128"/>
              <w:jc w:val="both"/>
              <w:rPr>
                <w:rFonts w:ascii="宋体" w:hAnsi="宋体" w:cs="宋体" w:eastAsia="宋体" w:hint="default"/>
                <w:sz w:val="18"/>
                <w:szCs w:val="18"/>
              </w:rPr>
            </w:pPr>
            <w:r>
              <w:rPr>
                <w:rFonts w:ascii="宋体" w:hAnsi="宋体" w:cs="宋体" w:eastAsia="宋体" w:hint="default"/>
                <w:sz w:val="18"/>
                <w:szCs w:val="18"/>
              </w:rPr>
              <w:t>日的收盘价均低于发行价，或者上市后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 盘价低于发行价，其直接或间接持有发行人股票的锁 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个月（若上述期间公司发生派发股 利、送红股、转增股本、增发新股或配股等除息、除 </w:t>
            </w:r>
            <w:r>
              <w:rPr>
                <w:rFonts w:ascii="宋体" w:hAnsi="宋体" w:cs="宋体" w:eastAsia="宋体" w:hint="default"/>
                <w:spacing w:val="-5"/>
                <w:sz w:val="18"/>
                <w:szCs w:val="18"/>
              </w:rPr>
              <w:t>权行为的，则上述价格将进行相应调整）。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103" w:right="235"/>
              <w:jc w:val="both"/>
              <w:rPr>
                <w:rFonts w:ascii="宋体" w:hAnsi="宋体" w:cs="宋体" w:eastAsia="宋体" w:hint="default"/>
                <w:sz w:val="18"/>
                <w:szCs w:val="18"/>
              </w:rPr>
            </w:pPr>
            <w:r>
              <w:rPr>
                <w:rFonts w:ascii="宋体" w:hAnsi="宋体" w:cs="宋体" w:eastAsia="宋体" w:hint="default"/>
                <w:sz w:val="18"/>
                <w:szCs w:val="18"/>
              </w:rPr>
              <w:t>承诺 及法 规要 求的 期限</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3" w:right="243"/>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2275" w:hRule="exact"/>
        </w:trPr>
        <w:tc>
          <w:tcPr>
            <w:tcW w:w="1419" w:type="dxa"/>
            <w:vMerge/>
            <w:tcBorders>
              <w:left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7"/>
              <w:jc w:val="both"/>
              <w:rPr>
                <w:rFonts w:ascii="宋体" w:hAnsi="宋体" w:cs="宋体" w:eastAsia="宋体" w:hint="default"/>
                <w:sz w:val="18"/>
                <w:szCs w:val="18"/>
              </w:rPr>
            </w:pPr>
            <w:r>
              <w:rPr>
                <w:rFonts w:ascii="宋体" w:hAnsi="宋体" w:cs="宋体" w:eastAsia="宋体" w:hint="default"/>
                <w:sz w:val="18"/>
                <w:szCs w:val="18"/>
              </w:rPr>
              <w:t>董事、高级管理人员 李建国先生、许文杰 先生、梁姬女士、沈 湘平先生、胡永乐先 生</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5" w:right="242"/>
              <w:jc w:val="both"/>
              <w:rPr>
                <w:rFonts w:ascii="宋体" w:hAnsi="宋体" w:cs="宋体" w:eastAsia="宋体" w:hint="default"/>
                <w:sz w:val="18"/>
                <w:szCs w:val="18"/>
              </w:rPr>
            </w:pPr>
            <w:r>
              <w:rPr>
                <w:rFonts w:ascii="宋体" w:hAnsi="宋体" w:cs="宋体" w:eastAsia="宋体" w:hint="default"/>
                <w:sz w:val="18"/>
                <w:szCs w:val="18"/>
              </w:rPr>
              <w:t>首次 公开 发行 承诺</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70"/>
              <w:jc w:val="both"/>
              <w:rPr>
                <w:rFonts w:ascii="宋体" w:hAnsi="宋体" w:cs="宋体" w:eastAsia="宋体" w:hint="default"/>
                <w:sz w:val="18"/>
                <w:szCs w:val="18"/>
              </w:rPr>
            </w:pPr>
            <w:r>
              <w:rPr>
                <w:rFonts w:ascii="宋体" w:hAnsi="宋体" w:cs="宋体" w:eastAsia="宋体" w:hint="default"/>
                <w:sz w:val="18"/>
                <w:szCs w:val="18"/>
              </w:rPr>
              <w:t>在担任发行人董事、高级管理人员期间，在前述承诺 的股份锁定期届满后，每年转让的股份不超过其直接 或间接持有的发行人股份总数的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 不转让其直接或间接持有的发行人股份；申报离职六 个月后的十二个月内通过证券交易所挂牌交易出售发 行人股份数量不超过其直接或间接持有的发行人股份 总数的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（余额不足</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股时，可以一次转让）。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35"/>
              <w:jc w:val="both"/>
              <w:rPr>
                <w:rFonts w:ascii="宋体" w:hAnsi="宋体" w:cs="宋体" w:eastAsia="宋体" w:hint="default"/>
                <w:sz w:val="18"/>
                <w:szCs w:val="18"/>
              </w:rPr>
            </w:pPr>
            <w:r>
              <w:rPr>
                <w:rFonts w:ascii="宋体" w:hAnsi="宋体" w:cs="宋体" w:eastAsia="宋体" w:hint="default"/>
                <w:sz w:val="18"/>
                <w:szCs w:val="18"/>
              </w:rPr>
              <w:t>承诺 及法 规要 求的 期限</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3" w:right="243"/>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795"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2" w:lineRule="auto"/>
              <w:ind w:left="103" w:right="107"/>
              <w:jc w:val="left"/>
              <w:rPr>
                <w:rFonts w:ascii="宋体" w:hAnsi="宋体" w:cs="宋体" w:eastAsia="宋体" w:hint="default"/>
                <w:sz w:val="18"/>
                <w:szCs w:val="18"/>
              </w:rPr>
            </w:pPr>
            <w:r>
              <w:rPr>
                <w:rFonts w:ascii="宋体" w:hAnsi="宋体" w:cs="宋体" w:eastAsia="宋体" w:hint="default"/>
                <w:sz w:val="18"/>
                <w:szCs w:val="18"/>
              </w:rPr>
              <w:t>实际控制人李建国先 生、蒋鹂北女士以及 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 弘泽熙元和威克德力</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105" w:right="242"/>
              <w:jc w:val="both"/>
              <w:rPr>
                <w:rFonts w:ascii="宋体" w:hAnsi="宋体" w:cs="宋体" w:eastAsia="宋体" w:hint="default"/>
                <w:sz w:val="18"/>
                <w:szCs w:val="18"/>
              </w:rPr>
            </w:pPr>
            <w:r>
              <w:rPr>
                <w:rFonts w:ascii="宋体" w:hAnsi="宋体" w:cs="宋体" w:eastAsia="宋体" w:hint="default"/>
                <w:sz w:val="18"/>
                <w:szCs w:val="18"/>
              </w:rPr>
              <w:t>首次 公开 发行 承诺</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公司股票上市后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个月内不减持公司股票。在锁定期</w:t>
            </w:r>
          </w:p>
          <w:p>
            <w:pPr>
              <w:pStyle w:val="TableParagraph"/>
              <w:spacing w:line="307" w:lineRule="auto" w:before="63"/>
              <w:ind w:left="103" w:right="96"/>
              <w:jc w:val="left"/>
              <w:rPr>
                <w:rFonts w:ascii="宋体" w:hAnsi="宋体" w:cs="宋体" w:eastAsia="宋体" w:hint="default"/>
                <w:sz w:val="18"/>
                <w:szCs w:val="18"/>
              </w:rPr>
            </w:pPr>
            <w:r>
              <w:rPr>
                <w:rFonts w:ascii="宋体" w:hAnsi="宋体" w:cs="宋体" w:eastAsia="宋体" w:hint="default"/>
                <w:sz w:val="18"/>
                <w:szCs w:val="18"/>
              </w:rPr>
              <w:t>满后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个月内若减持公司股票，本人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本企业将在遵 守法律法规、证券交易所上市规则等相关规定的前提 </w:t>
            </w:r>
            <w:r>
              <w:rPr>
                <w:rFonts w:ascii="宋体" w:hAnsi="宋体" w:cs="宋体" w:eastAsia="宋体" w:hint="default"/>
                <w:spacing w:val="-1"/>
                <w:sz w:val="18"/>
                <w:szCs w:val="18"/>
              </w:rPr>
              <w:t>下，每年减持数量不超过本人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本企业直接或间接持有</w:t>
            </w:r>
            <w:r>
              <w:rPr>
                <w:rFonts w:ascii="宋体" w:hAnsi="宋体" w:cs="宋体" w:eastAsia="宋体" w:hint="default"/>
                <w:spacing w:val="-88"/>
                <w:sz w:val="18"/>
                <w:szCs w:val="18"/>
              </w:rPr>
              <w:t> </w:t>
            </w:r>
            <w:r>
              <w:rPr>
                <w:rFonts w:ascii="宋体" w:hAnsi="宋体" w:cs="宋体" w:eastAsia="宋体" w:hint="default"/>
                <w:sz w:val="18"/>
                <w:szCs w:val="18"/>
              </w:rPr>
              <w:t>公司股票总数的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。减持价格不低于发行价（若公 司股份在该期间内发生派息、送股、资本公积转增股 </w:t>
            </w:r>
            <w:r>
              <w:rPr>
                <w:rFonts w:ascii="宋体" w:hAnsi="宋体" w:cs="宋体" w:eastAsia="宋体" w:hint="default"/>
                <w:spacing w:val="-4"/>
                <w:sz w:val="18"/>
                <w:szCs w:val="18"/>
              </w:rPr>
              <w:t>本等除权除息事项的，发行价应相应调整）。本人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w:t>
            </w:r>
            <w:r>
              <w:rPr>
                <w:rFonts w:ascii="宋体" w:hAnsi="宋体" w:cs="宋体" w:eastAsia="宋体" w:hint="default"/>
                <w:spacing w:val="-85"/>
                <w:sz w:val="18"/>
                <w:szCs w:val="18"/>
              </w:rPr>
              <w:t> </w:t>
            </w:r>
            <w:r>
              <w:rPr>
                <w:rFonts w:ascii="宋体" w:hAnsi="宋体" w:cs="宋体" w:eastAsia="宋体" w:hint="default"/>
                <w:sz w:val="18"/>
                <w:szCs w:val="18"/>
              </w:rPr>
              <w:t>企业将采用集中竞价、大宗交易、协议转让等法律、 法规允许的方式转让公司股票并于减持前三个交易日 </w:t>
            </w:r>
            <w:r>
              <w:rPr>
                <w:rFonts w:ascii="宋体" w:hAnsi="宋体" w:cs="宋体" w:eastAsia="宋体" w:hint="default"/>
                <w:spacing w:val="-4"/>
                <w:sz w:val="18"/>
                <w:szCs w:val="18"/>
              </w:rPr>
              <w:t>予以公告。若本人违反锁定期满后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个月内股票减持 </w:t>
            </w:r>
            <w:r>
              <w:rPr>
                <w:rFonts w:ascii="宋体" w:hAnsi="宋体" w:cs="宋体" w:eastAsia="宋体" w:hint="default"/>
                <w:spacing w:val="-1"/>
                <w:sz w:val="18"/>
                <w:szCs w:val="18"/>
              </w:rPr>
              <w:t>意向的承诺，本人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本企业同意将实际减持股票所获收</w:t>
            </w:r>
            <w:r>
              <w:rPr>
                <w:rFonts w:ascii="宋体" w:hAnsi="宋体" w:cs="宋体" w:eastAsia="宋体" w:hint="default"/>
                <w:spacing w:val="-88"/>
                <w:sz w:val="18"/>
                <w:szCs w:val="18"/>
              </w:rPr>
              <w:t> </w:t>
            </w:r>
            <w:r>
              <w:rPr>
                <w:rFonts w:ascii="宋体" w:hAnsi="宋体" w:cs="宋体" w:eastAsia="宋体" w:hint="default"/>
                <w:sz w:val="18"/>
                <w:szCs w:val="18"/>
              </w:rPr>
              <w:t>益归公司所有。在锁定期满后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103" w:right="235"/>
              <w:jc w:val="both"/>
              <w:rPr>
                <w:rFonts w:ascii="宋体" w:hAnsi="宋体" w:cs="宋体" w:eastAsia="宋体" w:hint="default"/>
                <w:sz w:val="18"/>
                <w:szCs w:val="18"/>
              </w:rPr>
            </w:pPr>
            <w:r>
              <w:rPr>
                <w:rFonts w:ascii="宋体" w:hAnsi="宋体" w:cs="宋体" w:eastAsia="宋体" w:hint="default"/>
                <w:sz w:val="18"/>
                <w:szCs w:val="18"/>
              </w:rPr>
              <w:t>承诺 及法 规要 求的 期限</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03" w:right="243"/>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6" w:lineRule="auto"/>
        <w:jc w:val="both"/>
        <w:rPr>
          <w:rFonts w:ascii="宋体" w:hAnsi="宋体" w:cs="宋体" w:eastAsia="宋体" w:hint="default"/>
          <w:sz w:val="18"/>
          <w:szCs w:val="18"/>
        </w:rPr>
        <w:sectPr>
          <w:pgSz w:w="11910" w:h="16840"/>
          <w:pgMar w:header="910" w:footer="1013" w:top="1100" w:bottom="1200" w:left="74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419"/>
        <w:gridCol w:w="1841"/>
        <w:gridCol w:w="720"/>
        <w:gridCol w:w="4386"/>
        <w:gridCol w:w="708"/>
        <w:gridCol w:w="710"/>
        <w:gridCol w:w="720"/>
      </w:tblGrid>
      <w:tr>
        <w:trPr>
          <w:trHeight w:val="3171"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1"/>
              <w:ind w:left="103" w:right="101"/>
              <w:jc w:val="left"/>
              <w:rPr>
                <w:rFonts w:ascii="宋体" w:hAnsi="宋体" w:cs="宋体" w:eastAsia="宋体" w:hint="default"/>
                <w:sz w:val="18"/>
                <w:szCs w:val="18"/>
              </w:rPr>
            </w:pPr>
            <w:r>
              <w:rPr>
                <w:rFonts w:ascii="宋体" w:hAnsi="宋体" w:cs="宋体" w:eastAsia="宋体" w:hint="default"/>
                <w:sz w:val="18"/>
                <w:szCs w:val="18"/>
              </w:rPr>
              <w:t>业计划通过证券交易所集中竞价交易减持股份的，将 在首次卖出的十五个交易日前预先披露减持计划，在 任意连续三个月内通过证券交易所集中竞价交易减持 股份的总数，不得超过公司股份总数的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 企业通过协议转让方式减持股份并导致本人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 所持公司股份低于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本企业将在减持后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1"/>
                <w:sz w:val="18"/>
                <w:szCs w:val="18"/>
              </w:rPr>
              <w:t>个月内继续遵守上述承诺。本人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本企业通过协议转让</w:t>
            </w:r>
            <w:r>
              <w:rPr>
                <w:rFonts w:ascii="宋体" w:hAnsi="宋体" w:cs="宋体" w:eastAsia="宋体" w:hint="default"/>
                <w:spacing w:val="-88"/>
                <w:sz w:val="18"/>
                <w:szCs w:val="18"/>
              </w:rPr>
              <w:t> </w:t>
            </w:r>
            <w:r>
              <w:rPr>
                <w:rFonts w:ascii="宋体" w:hAnsi="宋体" w:cs="宋体" w:eastAsia="宋体" w:hint="default"/>
                <w:sz w:val="18"/>
                <w:szCs w:val="18"/>
              </w:rPr>
              <w:t>方式减持股份的，单个受让方的受让比例不得低于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本企业在减持公司股份时，减持比例中的股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份总数按照发行股份的总股本计算。</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10699"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润建通信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6" w:lineRule="auto"/>
              <w:ind w:left="105" w:right="242"/>
              <w:jc w:val="both"/>
              <w:rPr>
                <w:rFonts w:ascii="宋体" w:hAnsi="宋体" w:cs="宋体" w:eastAsia="宋体" w:hint="default"/>
                <w:sz w:val="18"/>
                <w:szCs w:val="18"/>
              </w:rPr>
            </w:pPr>
            <w:r>
              <w:rPr>
                <w:rFonts w:ascii="宋体" w:hAnsi="宋体" w:cs="宋体" w:eastAsia="宋体" w:hint="default"/>
                <w:sz w:val="18"/>
                <w:szCs w:val="18"/>
              </w:rPr>
              <w:t>首次 公开 发行 承诺</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）如无重大投资计划或重大现金支出等事项发生， 公司在当年盈利且累计未分配利润为正的情况下，采 取现金方式分配股利，每年以现金方式分配的利润不 少于当年实现的可供分配利润的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。公司每年在按 照公司章程、相关法规规定足额提取法定公积金、盈 余公积金后，在满足现金分红条件下，按照以下原则 进行现金分红：</w:t>
            </w:r>
          </w:p>
          <w:p>
            <w:pPr>
              <w:pStyle w:val="TableParagraph"/>
              <w:spacing w:line="312" w:lineRule="auto" w:before="61"/>
              <w:ind w:left="103" w:right="113"/>
              <w:jc w:val="both"/>
              <w:rPr>
                <w:rFonts w:ascii="宋体" w:hAnsi="宋体" w:cs="宋体" w:eastAsia="宋体" w:hint="default"/>
                <w:sz w:val="18"/>
                <w:szCs w:val="18"/>
              </w:rPr>
            </w:pPr>
            <w:r>
              <w:rPr>
                <w:rFonts w:ascii="宋体" w:hAnsi="宋体" w:cs="宋体" w:eastAsia="宋体" w:hint="default"/>
                <w:sz w:val="18"/>
                <w:szCs w:val="18"/>
              </w:rPr>
              <w:t>①公司发展阶段属成熟期且无重大资金支出安排的， 进行利润分配时，现金分红在本次利润分配中所占比 例最低应达到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；②公司发展阶段属成熟期且有重 大资金支出安排的，进行利润分配时，现金分红在本 次利润分配中所占比例最低应达到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；③公司发展 阶段属成长期且有重大资金支出安排的，进行利润分 配时，现金分红在本次利润分配中所占比例最低应达 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；公司实施现金分红时须同时满足下列条件：</w:t>
            </w:r>
          </w:p>
          <w:p>
            <w:pPr>
              <w:pStyle w:val="TableParagraph"/>
              <w:spacing w:line="316" w:lineRule="auto" w:before="3"/>
              <w:ind w:left="103" w:right="39"/>
              <w:jc w:val="left"/>
              <w:rPr>
                <w:rFonts w:ascii="宋体" w:hAnsi="宋体" w:cs="宋体" w:eastAsia="宋体" w:hint="default"/>
                <w:sz w:val="18"/>
                <w:szCs w:val="18"/>
              </w:rPr>
            </w:pPr>
            <w:r>
              <w:rPr>
                <w:rFonts w:ascii="宋体" w:hAnsi="宋体" w:cs="宋体" w:eastAsia="宋体" w:hint="default"/>
                <w:sz w:val="18"/>
                <w:szCs w:val="18"/>
              </w:rPr>
              <w:t>①公司该年度的可分配利润为正值</w:t>
            </w:r>
            <w:r>
              <w:rPr>
                <w:rFonts w:ascii="宋体" w:hAnsi="宋体" w:cs="宋体" w:eastAsia="宋体" w:hint="default"/>
                <w:spacing w:val="1"/>
                <w:sz w:val="18"/>
                <w:szCs w:val="18"/>
              </w:rPr>
              <w:t> </w:t>
            </w:r>
            <w:r>
              <w:rPr>
                <w:rFonts w:ascii="宋体" w:hAnsi="宋体" w:cs="宋体" w:eastAsia="宋体" w:hint="default"/>
                <w:sz w:val="18"/>
                <w:szCs w:val="18"/>
              </w:rPr>
              <w:t>、且现金流充裕，</w:t>
            </w:r>
            <w:r>
              <w:rPr>
                <w:rFonts w:ascii="宋体" w:hAnsi="宋体" w:cs="宋体" w:eastAsia="宋体" w:hint="default"/>
                <w:sz w:val="18"/>
                <w:szCs w:val="18"/>
              </w:rPr>
              <w:t> 实施现金分红不会影响公司后续持续经营；②公司累 计可供分配利润为正值；③审计机构对公司的该年度 </w:t>
            </w:r>
            <w:r>
              <w:rPr>
                <w:rFonts w:ascii="宋体" w:hAnsi="宋体" w:cs="宋体" w:eastAsia="宋体" w:hint="default"/>
                <w:spacing w:val="-4"/>
                <w:sz w:val="18"/>
                <w:szCs w:val="18"/>
              </w:rPr>
              <w:t>财务报告出具标准无保留意见的审计报告。（</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）在满</w:t>
            </w:r>
            <w:r>
              <w:rPr>
                <w:rFonts w:ascii="宋体" w:hAnsi="宋体" w:cs="宋体" w:eastAsia="宋体" w:hint="default"/>
                <w:spacing w:val="-85"/>
                <w:sz w:val="18"/>
                <w:szCs w:val="18"/>
              </w:rPr>
              <w:t> </w:t>
            </w:r>
            <w:r>
              <w:rPr>
                <w:rFonts w:ascii="宋体" w:hAnsi="宋体" w:cs="宋体" w:eastAsia="宋体" w:hint="default"/>
                <w:sz w:val="18"/>
                <w:szCs w:val="18"/>
              </w:rPr>
              <w:t>足现金股利分配的条件下，若公司营收增长快速，并 且董事会认为公司股票价格与公司股本规模不匹配 时，可以在保证最低现金分红比例和公司股本规模合 理的前提下，为保持股本扩张与业绩增长相适应，提 出并实施适当的股票股利分配预案，独立董事应当对 </w:t>
            </w:r>
            <w:r>
              <w:rPr>
                <w:rFonts w:ascii="宋体" w:hAnsi="宋体" w:cs="宋体" w:eastAsia="宋体" w:hint="default"/>
                <w:spacing w:val="-4"/>
                <w:sz w:val="18"/>
                <w:szCs w:val="18"/>
              </w:rPr>
              <w:t>董事会提出的股票股利分配预案发表独立意见。（</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公司在每个会计年度结束后，由董事会提出利润分配 预案。公司董事会在利润分配方案论证过程中，应与 独立董事充分讨论，并通过多种渠道与股东特别是中 小股东进行沟通和交流。经公司二分之一以上独立董 事同意后，提交公司董事会、监事会审议。公司董事 会在制订利润分配预案时，应就公司发展阶段和未来 资金支出计划作出说明。董事会未作出年度现金利润 分配预案的，应当在年度报告中披露原因，独立董事 应当对此发表独立意见。公司董事会须在股东大会召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16" w:lineRule="auto"/>
              <w:ind w:left="103" w:right="235"/>
              <w:jc w:val="both"/>
              <w:rPr>
                <w:rFonts w:ascii="宋体" w:hAnsi="宋体" w:cs="宋体" w:eastAsia="宋体" w:hint="default"/>
                <w:sz w:val="18"/>
                <w:szCs w:val="18"/>
              </w:rPr>
            </w:pPr>
            <w:r>
              <w:rPr>
                <w:rFonts w:ascii="宋体" w:hAnsi="宋体" w:cs="宋体" w:eastAsia="宋体" w:hint="default"/>
                <w:sz w:val="18"/>
                <w:szCs w:val="18"/>
              </w:rPr>
              <w:t>承诺 及法 规要 求的 期限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7"/>
              <w:ind w:left="103" w:right="245"/>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6" w:lineRule="auto"/>
        <w:jc w:val="both"/>
        <w:rPr>
          <w:rFonts w:ascii="宋体" w:hAnsi="宋体" w:cs="宋体" w:eastAsia="宋体" w:hint="default"/>
          <w:sz w:val="18"/>
          <w:szCs w:val="18"/>
        </w:rPr>
        <w:sectPr>
          <w:pgSz w:w="11910" w:h="16840"/>
          <w:pgMar w:header="910" w:footer="1013" w:top="1100" w:bottom="1200" w:left="74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419"/>
        <w:gridCol w:w="1841"/>
        <w:gridCol w:w="720"/>
        <w:gridCol w:w="4386"/>
        <w:gridCol w:w="708"/>
        <w:gridCol w:w="710"/>
        <w:gridCol w:w="720"/>
      </w:tblGrid>
      <w:tr>
        <w:trPr>
          <w:trHeight w:val="987"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32"/>
              <w:jc w:val="both"/>
              <w:rPr>
                <w:rFonts w:ascii="宋体" w:hAnsi="宋体" w:cs="宋体" w:eastAsia="宋体" w:hint="default"/>
                <w:sz w:val="18"/>
                <w:szCs w:val="18"/>
              </w:rPr>
            </w:pPr>
            <w:r>
              <w:rPr>
                <w:rFonts w:ascii="宋体" w:hAnsi="宋体" w:cs="宋体" w:eastAsia="宋体" w:hint="default"/>
                <w:sz w:val="18"/>
                <w:szCs w:val="18"/>
              </w:rPr>
              <w:t>开后两个月内完成股利的派发事项。公司接受所有股 东、独立董事、监事和公众投资者对公司分红的建议 和监督。</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12844"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4"/>
              <w:ind w:left="103" w:right="106"/>
              <w:jc w:val="left"/>
              <w:rPr>
                <w:rFonts w:ascii="宋体" w:hAnsi="宋体" w:cs="宋体" w:eastAsia="宋体" w:hint="default"/>
                <w:sz w:val="18"/>
                <w:szCs w:val="18"/>
              </w:rPr>
            </w:pPr>
            <w:r>
              <w:rPr>
                <w:rFonts w:ascii="宋体" w:hAnsi="宋体" w:cs="宋体" w:eastAsia="宋体" w:hint="default"/>
                <w:sz w:val="18"/>
                <w:szCs w:val="18"/>
              </w:rPr>
              <w:t>公司实际控制人李建 国先生和蒋鹂北女士</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105" w:right="242"/>
              <w:jc w:val="both"/>
              <w:rPr>
                <w:rFonts w:ascii="宋体" w:hAnsi="宋体" w:cs="宋体" w:eastAsia="宋体" w:hint="default"/>
                <w:sz w:val="18"/>
                <w:szCs w:val="18"/>
              </w:rPr>
            </w:pPr>
            <w:r>
              <w:rPr>
                <w:rFonts w:ascii="宋体" w:hAnsi="宋体" w:cs="宋体" w:eastAsia="宋体" w:hint="default"/>
                <w:sz w:val="18"/>
                <w:szCs w:val="18"/>
              </w:rPr>
              <w:t>首次 公开 发行 承诺</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7"/>
              <w:jc w:val="left"/>
              <w:rPr>
                <w:rFonts w:ascii="宋体" w:hAnsi="宋体" w:cs="宋体" w:eastAsia="宋体" w:hint="default"/>
                <w:sz w:val="18"/>
                <w:szCs w:val="18"/>
              </w:rPr>
            </w:pPr>
            <w:r>
              <w:rPr>
                <w:rFonts w:ascii="宋体" w:hAnsi="宋体" w:cs="宋体" w:eastAsia="宋体" w:hint="default"/>
                <w:sz w:val="18"/>
                <w:szCs w:val="18"/>
              </w:rPr>
              <w:t>公司实际控制人李建国先生和蒋鹂北女士承诺如下： 本人控制的企业（发行人及其子公司除外）目前并没 有以任何形式从事或参与与发行人及其子公司主营业 务构成或可能构成直接或间接竞争关系的业务或活 动。本人保证本人及本人实际控制的除发行人及其子 公司以外的其他企业将不会在中国境内或境外以任何 方式（包括但不限于单独经营、通过合资经营或拥有 另一公司或企业的股权及其它权益）直接或间接从事 或参与任何与发行人及其子公司构成竞争的任何业务 或活动，不以任何方式从事或参与任何与发行人及其 子公司业务相同、相似或可能取代发行人及其子公司 业务的活动。本人如从任何第三方获得的商业机会与 发行人及其子公司经营的业务有竞争或可能竞争，本 人将立即通知发行人，并将该商业机会让予发行人或 其子公司。本人承诺不利用任何方式从事影响或可能 影响发行人及其子公司经营、发展的业务或活动。控 股股东、实际控制人李建国先生就减少及规范关联交 </w:t>
            </w:r>
            <w:r>
              <w:rPr>
                <w:rFonts w:ascii="宋体" w:hAnsi="宋体" w:cs="宋体" w:eastAsia="宋体" w:hint="default"/>
                <w:spacing w:val="-3"/>
                <w:sz w:val="18"/>
                <w:szCs w:val="18"/>
              </w:rPr>
              <w:t>易作出以下承诺：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、本人将严格按照《公司法》等法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律法规以及《公司章程》等有关规定行使股东权利， 不利用股东的地位谋取不当的利益，不损害公司及其 </w:t>
            </w:r>
            <w:r>
              <w:rPr>
                <w:rFonts w:ascii="宋体" w:hAnsi="宋体" w:cs="宋体" w:eastAsia="宋体" w:hint="default"/>
                <w:spacing w:val="-3"/>
                <w:sz w:val="18"/>
                <w:szCs w:val="18"/>
              </w:rPr>
              <w:t>中小股东的合法权益；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、在股东大会对有关涉及本人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事项的关联交易进行表决时，履行回避表决的义务；</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在任何情况下，不要求公司向本人提供任何形式的担 </w:t>
            </w:r>
            <w:r>
              <w:rPr>
                <w:rFonts w:ascii="宋体" w:hAnsi="宋体" w:cs="宋体" w:eastAsia="宋体" w:hint="default"/>
                <w:spacing w:val="-3"/>
                <w:sz w:val="18"/>
                <w:szCs w:val="18"/>
              </w:rPr>
              <w:t>保，不占用公司资源、资金；</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、在本人作为发行人控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股股东、实际控制人期间，本人及附属企业尽量避免 </w:t>
            </w:r>
            <w:r>
              <w:rPr>
                <w:rFonts w:ascii="宋体" w:hAnsi="宋体" w:cs="宋体" w:eastAsia="宋体" w:hint="default"/>
                <w:spacing w:val="-3"/>
                <w:sz w:val="18"/>
                <w:szCs w:val="18"/>
              </w:rPr>
              <w:t>与发行人之间不必要的关联交易发生；</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、对于无法避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免或者有合理原因而发生的关联交易，将遵循市场公 正、公平、公开的原则，并依法签订协议，履行合法 </w:t>
            </w:r>
            <w:r>
              <w:rPr>
                <w:rFonts w:ascii="宋体" w:hAnsi="宋体" w:cs="宋体" w:eastAsia="宋体" w:hint="default"/>
                <w:spacing w:val="-7"/>
                <w:sz w:val="18"/>
                <w:szCs w:val="18"/>
              </w:rPr>
              <w:t>程序，按照《公司章程》、有关法律法规和证券交易所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的有关规定履行信息披露义务，保证不通过关联交易 </w:t>
            </w:r>
            <w:r>
              <w:rPr>
                <w:rFonts w:ascii="宋体" w:hAnsi="宋体" w:cs="宋体" w:eastAsia="宋体" w:hint="default"/>
                <w:spacing w:val="-3"/>
                <w:sz w:val="18"/>
                <w:szCs w:val="18"/>
              </w:rPr>
              <w:t>损害公司及其他股东的合法权益；</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、如违反上述承诺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与发行人进行交易而给发行人及其他股东造成损失 的，本人将依法承担相应的赔偿责任。实际控制人蒋 </w:t>
            </w:r>
            <w:r>
              <w:rPr>
                <w:rFonts w:ascii="宋体" w:hAnsi="宋体" w:cs="宋体" w:eastAsia="宋体" w:hint="default"/>
                <w:spacing w:val="-4"/>
                <w:sz w:val="18"/>
                <w:szCs w:val="18"/>
              </w:rPr>
              <w:t>鹂北女士就减少及规范关联交易作出以下承诺：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w:t>
            </w:r>
            <w:r>
              <w:rPr>
                <w:rFonts w:ascii="宋体" w:hAnsi="宋体" w:cs="宋体" w:eastAsia="宋体" w:hint="default"/>
                <w:spacing w:val="-88"/>
                <w:sz w:val="18"/>
                <w:szCs w:val="18"/>
              </w:rPr>
              <w:t> </w:t>
            </w:r>
            <w:r>
              <w:rPr>
                <w:rFonts w:ascii="宋体" w:hAnsi="宋体" w:cs="宋体" w:eastAsia="宋体" w:hint="default"/>
                <w:spacing w:val="-3"/>
                <w:sz w:val="18"/>
                <w:szCs w:val="18"/>
              </w:rPr>
              <w:t>任何情况下，不要求公司向本人提供任何形式的担保，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不占用公司资源、资金；不利用实际控制人的地位谋 </w:t>
            </w:r>
            <w:r>
              <w:rPr>
                <w:rFonts w:ascii="宋体" w:hAnsi="宋体" w:cs="宋体" w:eastAsia="宋体" w:hint="default"/>
                <w:spacing w:val="-3"/>
                <w:sz w:val="18"/>
                <w:szCs w:val="18"/>
              </w:rPr>
              <w:t>取不当的利益，不损害公司及其中小股东的合法权益；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、在本人作为发行人实际控制人期间，本人及附属企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业尽量避免与发行人之间不必要的关联交易发生；</w:t>
            </w:r>
            <w:r>
              <w:rPr>
                <w:rFonts w:ascii="Times New Roman" w:hAnsi="Times New Roman" w:cs="Times New Roman" w:eastAsia="Times New Roman" w:hint="default"/>
                <w:sz w:val="18"/>
                <w:szCs w:val="18"/>
              </w:rPr>
              <w:t>3</w:t>
            </w:r>
            <w:r>
              <w:rPr>
                <w:rFonts w:ascii="宋体" w:hAnsi="宋体" w:cs="宋体" w:eastAsia="宋体" w:hint="default"/>
                <w:sz w:val="18"/>
                <w:szCs w:val="18"/>
              </w:rPr>
              <w:t>、 对于无法避免或者有合理原因而发生的关联交易，将 </w:t>
            </w:r>
            <w:r>
              <w:rPr>
                <w:rFonts w:ascii="宋体" w:hAnsi="宋体" w:cs="宋体" w:eastAsia="宋体" w:hint="default"/>
                <w:spacing w:val="-3"/>
                <w:sz w:val="18"/>
                <w:szCs w:val="18"/>
              </w:rPr>
              <w:t>遵循市场公正、公平、公开的原则，并依法签订协议，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3" w:right="235"/>
              <w:jc w:val="both"/>
              <w:rPr>
                <w:rFonts w:ascii="宋体" w:hAnsi="宋体" w:cs="宋体" w:eastAsia="宋体" w:hint="default"/>
                <w:sz w:val="18"/>
                <w:szCs w:val="18"/>
              </w:rPr>
            </w:pPr>
            <w:r>
              <w:rPr>
                <w:rFonts w:ascii="宋体" w:hAnsi="宋体" w:cs="宋体" w:eastAsia="宋体" w:hint="default"/>
                <w:sz w:val="18"/>
                <w:szCs w:val="18"/>
              </w:rPr>
              <w:t>承诺 及法 规要 求的 期限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245"/>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6" w:lineRule="auto"/>
        <w:jc w:val="both"/>
        <w:rPr>
          <w:rFonts w:ascii="宋体" w:hAnsi="宋体" w:cs="宋体" w:eastAsia="宋体" w:hint="default"/>
          <w:sz w:val="18"/>
          <w:szCs w:val="18"/>
        </w:rPr>
        <w:sectPr>
          <w:pgSz w:w="11910" w:h="16840"/>
          <w:pgMar w:header="910" w:footer="1013" w:top="1100" w:bottom="1200" w:left="74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419"/>
        <w:gridCol w:w="1841"/>
        <w:gridCol w:w="720"/>
        <w:gridCol w:w="4386"/>
        <w:gridCol w:w="708"/>
        <w:gridCol w:w="710"/>
        <w:gridCol w:w="718"/>
      </w:tblGrid>
      <w:tr>
        <w:trPr>
          <w:trHeight w:val="1611"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101"/>
              <w:jc w:val="both"/>
              <w:rPr>
                <w:rFonts w:ascii="宋体" w:hAnsi="宋体" w:cs="宋体" w:eastAsia="宋体" w:hint="default"/>
                <w:sz w:val="18"/>
                <w:szCs w:val="18"/>
              </w:rPr>
            </w:pPr>
            <w:r>
              <w:rPr>
                <w:rFonts w:ascii="宋体" w:hAnsi="宋体" w:cs="宋体" w:eastAsia="宋体" w:hint="default"/>
                <w:spacing w:val="-7"/>
                <w:sz w:val="18"/>
                <w:szCs w:val="18"/>
              </w:rPr>
              <w:t>履行合法程序，按照《公司章程》、有关法律法规和证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券交易所的有关规定履行信息披露义务，保证不通过 </w:t>
            </w:r>
            <w:r>
              <w:rPr>
                <w:rFonts w:ascii="宋体" w:hAnsi="宋体" w:cs="宋体" w:eastAsia="宋体" w:hint="default"/>
                <w:spacing w:val="-3"/>
                <w:sz w:val="18"/>
                <w:szCs w:val="18"/>
              </w:rPr>
              <w:t>关联交易损害公司及其他股东的合法权益；</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、如违反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上述承诺与发行人进行交易而给发行人及其他股东造 成损失的，本人将依法承担相应的赔偿责任。</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12220"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316" w:lineRule="auto"/>
              <w:ind w:left="103" w:right="107"/>
              <w:jc w:val="both"/>
              <w:rPr>
                <w:rFonts w:ascii="宋体" w:hAnsi="宋体" w:cs="宋体" w:eastAsia="宋体" w:hint="default"/>
                <w:sz w:val="18"/>
                <w:szCs w:val="18"/>
              </w:rPr>
            </w:pPr>
            <w:r>
              <w:rPr>
                <w:rFonts w:ascii="宋体" w:hAnsi="宋体" w:cs="宋体" w:eastAsia="宋体" w:hint="default"/>
                <w:sz w:val="18"/>
                <w:szCs w:val="18"/>
              </w:rPr>
              <w:t>润建通信以及董事、 高级管理人员李建国 先生、许文杰先生、 梁姬女士、沈湘平先 生、胡永乐先生、方 培豪先生、杨兆云先 生</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5" w:right="242"/>
              <w:jc w:val="both"/>
              <w:rPr>
                <w:rFonts w:ascii="宋体" w:hAnsi="宋体" w:cs="宋体" w:eastAsia="宋体" w:hint="default"/>
                <w:sz w:val="18"/>
                <w:szCs w:val="18"/>
              </w:rPr>
            </w:pPr>
            <w:r>
              <w:rPr>
                <w:rFonts w:ascii="宋体" w:hAnsi="宋体" w:cs="宋体" w:eastAsia="宋体" w:hint="default"/>
                <w:sz w:val="18"/>
                <w:szCs w:val="18"/>
              </w:rPr>
              <w:t>首次 公开 发行 承诺</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（一）股价稳定措施的启动和停止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、启动条件及程 </w:t>
            </w:r>
            <w:r>
              <w:rPr>
                <w:rFonts w:ascii="宋体" w:hAnsi="宋体" w:cs="宋体" w:eastAsia="宋体" w:hint="default"/>
                <w:spacing w:val="-3"/>
                <w:sz w:val="18"/>
                <w:szCs w:val="18"/>
              </w:rPr>
              <w:t>序（</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）启动条件：公司自本次发行并上市之日起三年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内，一旦出现连续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个交易日公司股票收盘价均低于 公司上一个会计年度末经审计的每股净资产情形时</w:t>
            </w:r>
          </w:p>
          <w:p>
            <w:pPr>
              <w:pStyle w:val="TableParagraph"/>
              <w:spacing w:line="312" w:lineRule="auto" w:before="31"/>
              <w:ind w:left="103" w:right="10"/>
              <w:jc w:val="left"/>
              <w:rPr>
                <w:rFonts w:ascii="宋体" w:hAnsi="宋体" w:cs="宋体" w:eastAsia="宋体" w:hint="default"/>
                <w:sz w:val="18"/>
                <w:szCs w:val="18"/>
              </w:rPr>
            </w:pPr>
            <w:r>
              <w:rPr>
                <w:rFonts w:ascii="宋体" w:hAnsi="宋体" w:cs="宋体" w:eastAsia="宋体" w:hint="default"/>
                <w:sz w:val="18"/>
                <w:szCs w:val="18"/>
              </w:rPr>
              <w:t>（每股净资产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合并财务报表中归属于母公司普通股 股东权益合计数÷年末公司股份总数；若因除权除息 等事项致使上述股票收盘价与公司上一会计年度末经 审计的每股净资产不具可比性的，上述股票收盘价应 </w:t>
            </w:r>
            <w:r>
              <w:rPr>
                <w:rFonts w:ascii="宋体" w:hAnsi="宋体" w:cs="宋体" w:eastAsia="宋体" w:hint="default"/>
                <w:spacing w:val="-7"/>
                <w:sz w:val="18"/>
                <w:szCs w:val="18"/>
              </w:rPr>
              <w:t>做相应调整，下同），公司将采取如公司回购股份、公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司控股股东</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董事（独立董事除外）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高级管理人员增持</w:t>
            </w:r>
            <w:r>
              <w:rPr>
                <w:rFonts w:ascii="宋体" w:hAnsi="宋体" w:cs="宋体" w:eastAsia="宋体" w:hint="default"/>
                <w:spacing w:val="-87"/>
                <w:sz w:val="18"/>
                <w:szCs w:val="18"/>
              </w:rPr>
              <w:t> </w:t>
            </w:r>
            <w:r>
              <w:rPr>
                <w:rFonts w:ascii="宋体" w:hAnsi="宋体" w:cs="宋体" w:eastAsia="宋体" w:hint="default"/>
                <w:sz w:val="18"/>
                <w:szCs w:val="18"/>
              </w:rPr>
              <w:t>公司股份等一项或者多项措施稳定公司股价，并保证 该等股价稳定措施实施后，公司的股权分布仍符合上 </w:t>
            </w:r>
            <w:r>
              <w:rPr>
                <w:rFonts w:ascii="宋体" w:hAnsi="宋体" w:cs="宋体" w:eastAsia="宋体" w:hint="default"/>
                <w:spacing w:val="-4"/>
                <w:sz w:val="18"/>
                <w:szCs w:val="18"/>
              </w:rPr>
              <w:t>市条件。（</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）稳定股价具体方案的审议程序：公司应</w:t>
            </w:r>
            <w:r>
              <w:rPr>
                <w:rFonts w:ascii="宋体" w:hAnsi="宋体" w:cs="宋体" w:eastAsia="宋体" w:hint="default"/>
                <w:spacing w:val="-85"/>
                <w:sz w:val="18"/>
                <w:szCs w:val="18"/>
              </w:rPr>
              <w:t> </w:t>
            </w:r>
            <w:r>
              <w:rPr>
                <w:rFonts w:ascii="宋体" w:hAnsi="宋体" w:cs="宋体" w:eastAsia="宋体" w:hint="default"/>
                <w:sz w:val="18"/>
                <w:szCs w:val="18"/>
              </w:rPr>
              <w:t>当在前述稳定股价措施的启动条件成立后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 内召开董事会、</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个交易日内召开股东大会，审议稳 定股价具体方案。相关责任方应在股东大会审议通过 该等方案后的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个交易日内，启动稳定股价具体方案 的实施。</w:t>
            </w:r>
            <w:r>
              <w:rPr>
                <w:rFonts w:ascii="Times New Roman" w:hAnsi="Times New Roman" w:cs="Times New Roman" w:eastAsia="Times New Roman" w:hint="default"/>
                <w:sz w:val="18"/>
                <w:szCs w:val="18"/>
              </w:rPr>
              <w:t>2</w:t>
            </w:r>
            <w:r>
              <w:rPr>
                <w:rFonts w:ascii="宋体" w:hAnsi="宋体" w:cs="宋体" w:eastAsia="宋体" w:hint="default"/>
                <w:sz w:val="18"/>
                <w:szCs w:val="18"/>
              </w:rPr>
              <w:t>、停止条件 在经股东大会审议通过的稳定 股价具体方案正式公告之日起至其实施完毕之日的期 间内，如在连续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个交易日内，公司股票收盘价均不 低于公司上一个会计年度末经审计的每股净资产时， </w:t>
            </w:r>
            <w:r>
              <w:rPr>
                <w:rFonts w:ascii="宋体" w:hAnsi="宋体" w:cs="宋体" w:eastAsia="宋体" w:hint="default"/>
                <w:spacing w:val="-7"/>
                <w:sz w:val="18"/>
                <w:szCs w:val="18"/>
              </w:rPr>
              <w:t>将停止实施稳定股价具体方案。（二）稳定股价的具体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措施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、公司回购股份公司根据股东大会审议通过的 稳定股价具体方案而回购股份的，应当符合《上市公 </w:t>
            </w:r>
            <w:r>
              <w:rPr>
                <w:rFonts w:ascii="宋体" w:hAnsi="宋体" w:cs="宋体" w:eastAsia="宋体" w:hint="default"/>
                <w:spacing w:val="-10"/>
                <w:sz w:val="18"/>
                <w:szCs w:val="18"/>
              </w:rPr>
              <w:t>司回购社会公众股份管理办法（试行）》等法律、法规、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规范性文件和公司章程的规定，并按照该等规定的要 求履行有关向社会公众股东回购公司股份的具体程 序。公司回购股份的方式为集中竞价交易方式、要约 方式或中国证监会认可的其他方式。如公司采取回购 </w:t>
            </w:r>
            <w:r>
              <w:rPr>
                <w:rFonts w:ascii="宋体" w:hAnsi="宋体" w:cs="宋体" w:eastAsia="宋体" w:hint="default"/>
                <w:spacing w:val="-4"/>
                <w:sz w:val="18"/>
                <w:szCs w:val="18"/>
              </w:rPr>
              <w:t>股份的稳定股价措施，应遵循下述原则：（</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）公司用</w:t>
            </w:r>
            <w:r>
              <w:rPr>
                <w:rFonts w:ascii="宋体" w:hAnsi="宋体" w:cs="宋体" w:eastAsia="宋体" w:hint="default"/>
                <w:spacing w:val="-85"/>
                <w:sz w:val="18"/>
                <w:szCs w:val="18"/>
              </w:rPr>
              <w:t> </w:t>
            </w:r>
            <w:r>
              <w:rPr>
                <w:rFonts w:ascii="宋体" w:hAnsi="宋体" w:cs="宋体" w:eastAsia="宋体" w:hint="default"/>
                <w:sz w:val="18"/>
                <w:szCs w:val="18"/>
              </w:rPr>
              <w:t>于回购股份的资金总额累计不超过公司首次公开发行 </w:t>
            </w:r>
            <w:r>
              <w:rPr>
                <w:rFonts w:ascii="宋体" w:hAnsi="宋体" w:cs="宋体" w:eastAsia="宋体" w:hint="default"/>
                <w:spacing w:val="-4"/>
                <w:sz w:val="18"/>
                <w:szCs w:val="18"/>
              </w:rPr>
              <w:t>新股所募集资金的总额；（</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）单次用于回购股份的资</w:t>
            </w:r>
            <w:r>
              <w:rPr>
                <w:rFonts w:ascii="宋体" w:hAnsi="宋体" w:cs="宋体" w:eastAsia="宋体" w:hint="default"/>
                <w:spacing w:val="-85"/>
                <w:sz w:val="18"/>
                <w:szCs w:val="18"/>
              </w:rPr>
              <w:t> </w:t>
            </w:r>
            <w:r>
              <w:rPr>
                <w:rFonts w:ascii="宋体" w:hAnsi="宋体" w:cs="宋体" w:eastAsia="宋体" w:hint="default"/>
                <w:sz w:val="18"/>
                <w:szCs w:val="18"/>
              </w:rPr>
              <w:t>金金额不高于上一个会计年度经审计的归属于母公司 所有者的净利润的</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10%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）单一会计年度用于回购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股份的资金金额合计不超过上一会计年度经审计的归 属于母公司所有者的净利润的</w:t>
            </w:r>
            <w:r>
              <w:rPr>
                <w:rFonts w:ascii="宋体" w:hAnsi="宋体" w:cs="宋体" w:eastAsia="宋体" w:hint="default"/>
                <w:spacing w:val="-39"/>
                <w:sz w:val="18"/>
                <w:szCs w:val="18"/>
              </w:rPr>
              <w:t> </w:t>
            </w:r>
            <w:r>
              <w:rPr>
                <w:rFonts w:ascii="Times New Roman" w:hAnsi="Times New Roman" w:cs="Times New Roman" w:eastAsia="Times New Roman" w:hint="default"/>
                <w:spacing w:val="-7"/>
                <w:sz w:val="18"/>
                <w:szCs w:val="18"/>
              </w:rPr>
              <w:t>30%</w:t>
            </w:r>
            <w:r>
              <w:rPr>
                <w:rFonts w:ascii="宋体" w:hAnsi="宋体" w:cs="宋体" w:eastAsia="宋体" w:hint="default"/>
                <w:spacing w:val="-7"/>
                <w:sz w:val="18"/>
                <w:szCs w:val="18"/>
              </w:rPr>
              <w:t>。超过上述标准的，</w:t>
            </w:r>
            <w:r>
              <w:rPr>
                <w:rFonts w:ascii="宋体" w:hAnsi="宋体" w:cs="宋体" w:eastAsia="宋体" w:hint="default"/>
                <w:sz w:val="18"/>
                <w:szCs w:val="18"/>
              </w:rPr>
              <w:t> 本项股价稳定措施在当年度不再继续实施。但如下一 年度继续出现稳定股价情形的，公司将继续按照上述 原则执行。</w:t>
            </w:r>
            <w:r>
              <w:rPr>
                <w:rFonts w:ascii="Times New Roman" w:hAnsi="Times New Roman" w:cs="Times New Roman" w:eastAsia="Times New Roman" w:hint="default"/>
                <w:sz w:val="18"/>
                <w:szCs w:val="18"/>
              </w:rPr>
              <w:t>2</w:t>
            </w:r>
            <w:r>
              <w:rPr>
                <w:rFonts w:ascii="宋体" w:hAnsi="宋体" w:cs="宋体" w:eastAsia="宋体" w:hint="default"/>
                <w:sz w:val="18"/>
                <w:szCs w:val="18"/>
              </w:rPr>
              <w:t>、控股股东增持股份</w:t>
            </w:r>
            <w:r>
              <w:rPr>
                <w:rFonts w:ascii="宋体" w:hAnsi="宋体" w:cs="宋体" w:eastAsia="宋体" w:hint="default"/>
                <w:spacing w:val="2"/>
                <w:sz w:val="18"/>
                <w:szCs w:val="18"/>
              </w:rPr>
              <w:t> </w:t>
            </w:r>
            <w:r>
              <w:rPr>
                <w:rFonts w:ascii="宋体" w:hAnsi="宋体" w:cs="宋体" w:eastAsia="宋体" w:hint="default"/>
                <w:sz w:val="18"/>
                <w:szCs w:val="18"/>
              </w:rPr>
              <w:t>根据公司控股股东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103" w:right="235"/>
              <w:jc w:val="both"/>
              <w:rPr>
                <w:rFonts w:ascii="宋体" w:hAnsi="宋体" w:cs="宋体" w:eastAsia="宋体" w:hint="default"/>
                <w:sz w:val="18"/>
                <w:szCs w:val="18"/>
              </w:rPr>
            </w:pPr>
            <w:r>
              <w:rPr>
                <w:rFonts w:ascii="宋体" w:hAnsi="宋体" w:cs="宋体" w:eastAsia="宋体" w:hint="default"/>
                <w:sz w:val="18"/>
                <w:szCs w:val="18"/>
              </w:rPr>
              <w:t>承诺 及法 规要 求的 期限</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3" w:right="242"/>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6" w:lineRule="auto"/>
        <w:jc w:val="both"/>
        <w:rPr>
          <w:rFonts w:ascii="宋体" w:hAnsi="宋体" w:cs="宋体" w:eastAsia="宋体" w:hint="default"/>
          <w:sz w:val="18"/>
          <w:szCs w:val="18"/>
        </w:rPr>
        <w:sectPr>
          <w:pgSz w:w="11910" w:h="16840"/>
          <w:pgMar w:header="910" w:footer="1013" w:top="1100" w:bottom="1200" w:left="74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419"/>
        <w:gridCol w:w="1841"/>
        <w:gridCol w:w="720"/>
        <w:gridCol w:w="4386"/>
        <w:gridCol w:w="708"/>
        <w:gridCol w:w="710"/>
        <w:gridCol w:w="718"/>
      </w:tblGrid>
      <w:tr>
        <w:trPr>
          <w:trHeight w:val="317"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1841"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43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出具的承诺函，若稳定股价具体方案涉及控股股东增</w:t>
            </w:r>
          </w:p>
        </w:tc>
        <w:tc>
          <w:tcPr>
            <w:tcW w:w="708"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718" w:type="dxa"/>
            <w:vMerge w:val="restart"/>
            <w:tcBorders>
              <w:top w:val="single" w:sz="4" w:space="0" w:color="000000"/>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持股份措施的，则在实施完毕稳定股价具体方案中的</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7"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
                <w:sz w:val="18"/>
                <w:szCs w:val="18"/>
              </w:rPr>
              <w:t>公司回购股份措施后，连续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个交易日每日股票收盘</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07"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价均低于最近一期经审计的每股净资产（审计基准日</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后发生权益分派、公积金转增股本、配股等情况的，</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应做除权</w:t>
            </w:r>
            <w:r>
              <w:rPr>
                <w:rFonts w:ascii="宋体" w:hAnsi="宋体" w:cs="宋体" w:eastAsia="宋体" w:hint="default"/>
                <w:spacing w:val="-51"/>
                <w:sz w:val="18"/>
                <w:szCs w:val="18"/>
              </w:rPr>
              <w:t>、</w:t>
            </w:r>
            <w:r>
              <w:rPr>
                <w:rFonts w:ascii="宋体" w:hAnsi="宋体" w:cs="宋体" w:eastAsia="宋体" w:hint="default"/>
                <w:sz w:val="18"/>
                <w:szCs w:val="18"/>
              </w:rPr>
              <w:t>除息处理</w:t>
            </w:r>
            <w:r>
              <w:rPr>
                <w:rFonts w:ascii="宋体" w:hAnsi="宋体" w:cs="宋体" w:eastAsia="宋体" w:hint="default"/>
                <w:spacing w:val="-92"/>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公司</w:t>
            </w:r>
            <w:r>
              <w:rPr>
                <w:rFonts w:ascii="宋体" w:hAnsi="宋体" w:cs="宋体" w:eastAsia="宋体" w:hint="default"/>
                <w:spacing w:val="2"/>
                <w:sz w:val="18"/>
                <w:szCs w:val="18"/>
              </w:rPr>
              <w:t>控</w:t>
            </w:r>
            <w:r>
              <w:rPr>
                <w:rFonts w:ascii="宋体" w:hAnsi="宋体" w:cs="宋体" w:eastAsia="宋体" w:hint="default"/>
                <w:sz w:val="18"/>
                <w:szCs w:val="18"/>
              </w:rPr>
              <w:t>股股东根据法律</w:t>
            </w:r>
            <w:r>
              <w:rPr>
                <w:rFonts w:ascii="宋体" w:hAnsi="宋体" w:cs="宋体" w:eastAsia="宋体" w:hint="default"/>
                <w:spacing w:val="-51"/>
                <w:sz w:val="18"/>
                <w:szCs w:val="18"/>
              </w:rPr>
              <w:t>、</w:t>
            </w:r>
            <w:r>
              <w:rPr>
                <w:rFonts w:ascii="宋体" w:hAnsi="宋体" w:cs="宋体" w:eastAsia="宋体" w:hint="default"/>
                <w:sz w:val="18"/>
                <w:szCs w:val="18"/>
              </w:rPr>
              <w:t>法规、</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规范性文件和公司章程的规定以增持公司股票的形式</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稳定公司股价。公司控股股东以增持公司股票的形式</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7"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稳定公司股价，遵循下述规则</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）在股东大会审议</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07"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通过的单个稳定股价具体方案中，用于增持股票的资</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金金额不低于其最近一次获得的现金分红金额的</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7"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20</w:t>
            </w:r>
            <w:r>
              <w:rPr>
                <w:rFonts w:ascii="Times New Roman" w:hAnsi="Times New Roman" w:cs="Times New Roman" w:eastAsia="Times New Roman" w:hint="default"/>
                <w:spacing w:val="-2"/>
                <w:w w:val="99"/>
                <w:sz w:val="18"/>
                <w:szCs w:val="18"/>
              </w:rPr>
              <w:t>%</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1"/>
                <w:w w:val="99"/>
                <w:sz w:val="18"/>
                <w:szCs w:val="18"/>
              </w:rPr>
              <w:t>2</w:t>
            </w:r>
            <w:r>
              <w:rPr>
                <w:rFonts w:ascii="宋体" w:hAnsi="宋体" w:cs="宋体" w:eastAsia="宋体" w:hint="default"/>
                <w:w w:val="99"/>
                <w:sz w:val="18"/>
                <w:szCs w:val="18"/>
              </w:rPr>
              <w:t>）在一个会计年度内股东大会审议通过了多</w:t>
            </w:r>
            <w:r>
              <w:rPr>
                <w:rFonts w:ascii="宋体" w:hAnsi="宋体" w:cs="宋体" w:eastAsia="宋体" w:hint="default"/>
                <w:sz w:val="18"/>
                <w:szCs w:val="18"/>
              </w:rPr>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07"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个稳定股价具体方案的情况下，股东在该会计年度内</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用于增持股票的资金金额合计不超过该股东最近一次</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7"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获得的公司现金分红金额的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）在增持行为完</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成后的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个月内将不出售所增持的股份。超过上述第</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）项标准的，本项股价稳定措施在当年度不再继续</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07"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实施。但如下一会计年度继续出现稳定股价情形的，</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7"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控股股东将继续按照上述原则执行。</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、董事（独立董</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07"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事除外</w:t>
            </w:r>
            <w:r>
              <w:rPr>
                <w:rFonts w:ascii="宋体" w:hAnsi="宋体" w:cs="宋体" w:eastAsia="宋体" w:hint="default"/>
                <w:spacing w:val="-92"/>
                <w:sz w:val="18"/>
                <w:szCs w:val="18"/>
              </w:rPr>
              <w:t>）</w:t>
            </w:r>
            <w:r>
              <w:rPr>
                <w:rFonts w:ascii="宋体" w:hAnsi="宋体" w:cs="宋体" w:eastAsia="宋体" w:hint="default"/>
                <w:sz w:val="18"/>
                <w:szCs w:val="18"/>
              </w:rPr>
              <w:t>、高级管理人员增持</w:t>
            </w:r>
            <w:r>
              <w:rPr>
                <w:rFonts w:ascii="宋体" w:hAnsi="宋体" w:cs="宋体" w:eastAsia="宋体" w:hint="default"/>
                <w:spacing w:val="2"/>
                <w:sz w:val="18"/>
                <w:szCs w:val="18"/>
              </w:rPr>
              <w:t>股</w:t>
            </w:r>
            <w:r>
              <w:rPr>
                <w:rFonts w:ascii="宋体" w:hAnsi="宋体" w:cs="宋体" w:eastAsia="宋体" w:hint="default"/>
                <w:sz w:val="18"/>
                <w:szCs w:val="18"/>
              </w:rPr>
              <w:t>份</w:t>
            </w:r>
            <w:r>
              <w:rPr>
                <w:rFonts w:ascii="宋体" w:hAnsi="宋体" w:cs="宋体" w:eastAsia="宋体" w:hint="default"/>
                <w:spacing w:val="1"/>
                <w:sz w:val="18"/>
                <w:szCs w:val="18"/>
              </w:rPr>
              <w:t> </w:t>
            </w:r>
            <w:r>
              <w:rPr>
                <w:rFonts w:ascii="宋体" w:hAnsi="宋体" w:cs="宋体" w:eastAsia="宋体" w:hint="default"/>
                <w:sz w:val="18"/>
                <w:szCs w:val="18"/>
              </w:rPr>
              <w:t>根据公司董事（独</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立董事除外</w:t>
            </w:r>
            <w:r>
              <w:rPr>
                <w:rFonts w:ascii="宋体" w:hAnsi="宋体" w:cs="宋体" w:eastAsia="宋体" w:hint="default"/>
                <w:spacing w:val="-20"/>
                <w:sz w:val="18"/>
                <w:szCs w:val="18"/>
              </w:rPr>
              <w:t>，</w:t>
            </w:r>
            <w:r>
              <w:rPr>
                <w:rFonts w:ascii="宋体" w:hAnsi="宋体" w:cs="宋体" w:eastAsia="宋体" w:hint="default"/>
                <w:sz w:val="18"/>
                <w:szCs w:val="18"/>
              </w:rPr>
              <w:t>下同</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高级管理人员出具的承诺函</w:t>
            </w:r>
            <w:r>
              <w:rPr>
                <w:rFonts w:ascii="宋体" w:hAnsi="宋体" w:cs="宋体" w:eastAsia="宋体" w:hint="default"/>
                <w:spacing w:val="-20"/>
                <w:sz w:val="18"/>
                <w:szCs w:val="18"/>
              </w:rPr>
              <w:t>，</w:t>
            </w:r>
            <w:r>
              <w:rPr>
                <w:rFonts w:ascii="宋体" w:hAnsi="宋体" w:cs="宋体" w:eastAsia="宋体" w:hint="default"/>
                <w:sz w:val="18"/>
                <w:szCs w:val="18"/>
              </w:rPr>
              <w:t>若</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稳定股价具体方案涉及公司董事、高级管理人员增持</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股份措施的，则在实施完毕稳定股价具体方案中的控</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7"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
                <w:sz w:val="18"/>
                <w:szCs w:val="18"/>
              </w:rPr>
              <w:t>股股东增持股份措施后，连续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个交易日每日股票收</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07"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盘价均低于最近一期经审计的每股净资产（审计基准</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日后发生权益分派、公积金转增股本、配股等情况的，</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应做除权</w:t>
            </w:r>
            <w:r>
              <w:rPr>
                <w:rFonts w:ascii="宋体" w:hAnsi="宋体" w:cs="宋体" w:eastAsia="宋体" w:hint="default"/>
                <w:spacing w:val="-20"/>
                <w:sz w:val="18"/>
                <w:szCs w:val="18"/>
              </w:rPr>
              <w:t>、</w:t>
            </w:r>
            <w:r>
              <w:rPr>
                <w:rFonts w:ascii="宋体" w:hAnsi="宋体" w:cs="宋体" w:eastAsia="宋体" w:hint="default"/>
                <w:sz w:val="18"/>
                <w:szCs w:val="18"/>
              </w:rPr>
              <w:t>除息处理</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公司董事</w:t>
            </w:r>
            <w:r>
              <w:rPr>
                <w:rFonts w:ascii="宋体" w:hAnsi="宋体" w:cs="宋体" w:eastAsia="宋体" w:hint="default"/>
                <w:spacing w:val="-20"/>
                <w:sz w:val="18"/>
                <w:szCs w:val="18"/>
              </w:rPr>
              <w:t>、</w:t>
            </w:r>
            <w:r>
              <w:rPr>
                <w:rFonts w:ascii="宋体" w:hAnsi="宋体" w:cs="宋体" w:eastAsia="宋体" w:hint="default"/>
                <w:sz w:val="18"/>
                <w:szCs w:val="18"/>
              </w:rPr>
              <w:t>高级管理人员将根</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据法律、法规、规范性文件和公司章程的规定以增持</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公司股票的形式稳定公司股价。公司董事、高级管理</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人员以增持公司股票的形式稳定公司股价，应遵循下</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7"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述原则</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）在股东大会审议通过的单个稳定股价具</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07"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体方案中，董事、高级管理人员用于增持股份的资金</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金额不低于其因担任董事、高级管理人员而在最近一</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7"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个会计年度从公司领取的税后薪酬的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）在一</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07"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个会计年度内股东大会审议通过了多个稳定股价具体</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方案的情况下，董事、高级管理人员用于增持股份的</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资金金额不超过其因担任董事、高级管理人员而在最</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7"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近一个会计年度从公司领取的税后薪酬的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在增持行为完成后的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个月内将不出售所增持的股</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份。超过上述第（</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）项标准的，本项股价稳定措施在</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07"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当年度不再继续实施。但如下一会计年度继续出现稳</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定股价情形的，公司董事、高级管理人员将继续按照</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7" w:hRule="exact"/>
        </w:trPr>
        <w:tc>
          <w:tcPr>
            <w:tcW w:w="1419"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4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上述原则执行。</w:t>
            </w:r>
            <w:r>
              <w:rPr>
                <w:rFonts w:ascii="Times New Roman" w:hAnsi="Times New Roman" w:cs="Times New Roman" w:eastAsia="Times New Roman" w:hint="default"/>
                <w:sz w:val="18"/>
                <w:szCs w:val="18"/>
              </w:rPr>
              <w:t>4</w:t>
            </w:r>
            <w:r>
              <w:rPr>
                <w:rFonts w:ascii="宋体" w:hAnsi="宋体" w:cs="宋体" w:eastAsia="宋体" w:hint="default"/>
                <w:sz w:val="18"/>
                <w:szCs w:val="18"/>
              </w:rPr>
              <w:t>、其他稳定股价措施</w:t>
            </w:r>
            <w:r>
              <w:rPr>
                <w:rFonts w:ascii="宋体" w:hAnsi="宋体" w:cs="宋体" w:eastAsia="宋体" w:hint="default"/>
                <w:spacing w:val="2"/>
                <w:sz w:val="18"/>
                <w:szCs w:val="18"/>
              </w:rPr>
              <w:t> </w:t>
            </w:r>
            <w:r>
              <w:rPr>
                <w:rFonts w:ascii="宋体" w:hAnsi="宋体" w:cs="宋体" w:eastAsia="宋体" w:hint="default"/>
                <w:sz w:val="18"/>
                <w:szCs w:val="18"/>
              </w:rPr>
              <w:t>当股价稳定措</w:t>
            </w: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r>
      <w:tr>
        <w:trPr>
          <w:trHeight w:val="312"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841"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43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施的启动条件成立时，公司还可以依照法律、法规、</w:t>
            </w:r>
          </w:p>
        </w:tc>
        <w:tc>
          <w:tcPr>
            <w:tcW w:w="708"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r>
    </w:tbl>
    <w:p>
      <w:pPr>
        <w:spacing w:after="0"/>
        <w:sectPr>
          <w:pgSz w:w="11910" w:h="16840"/>
          <w:pgMar w:header="910" w:footer="1013" w:top="1100" w:bottom="1200" w:left="74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419"/>
        <w:gridCol w:w="1841"/>
        <w:gridCol w:w="720"/>
        <w:gridCol w:w="4386"/>
        <w:gridCol w:w="708"/>
        <w:gridCol w:w="710"/>
        <w:gridCol w:w="720"/>
      </w:tblGrid>
      <w:tr>
        <w:trPr>
          <w:trHeight w:val="7540"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103" w:right="11"/>
              <w:jc w:val="left"/>
              <w:rPr>
                <w:rFonts w:ascii="宋体" w:hAnsi="宋体" w:cs="宋体" w:eastAsia="宋体" w:hint="default"/>
                <w:sz w:val="18"/>
                <w:szCs w:val="18"/>
              </w:rPr>
            </w:pPr>
            <w:r>
              <w:rPr>
                <w:rFonts w:ascii="宋体" w:hAnsi="宋体" w:cs="宋体" w:eastAsia="宋体" w:hint="default"/>
                <w:sz w:val="18"/>
                <w:szCs w:val="18"/>
              </w:rPr>
              <w:t>规范性文件、公司章程及公司内部治理制度的规定， 及时履行相关法定程序后采取以下措施稳定公司股 </w:t>
            </w:r>
            <w:r>
              <w:rPr>
                <w:rFonts w:ascii="宋体" w:hAnsi="宋体" w:cs="宋体" w:eastAsia="宋体" w:hint="default"/>
                <w:spacing w:val="-4"/>
                <w:sz w:val="18"/>
                <w:szCs w:val="18"/>
              </w:rPr>
              <w:t>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）在保证公司经营资金需求的前提下，实施利</w:t>
            </w:r>
            <w:r>
              <w:rPr>
                <w:rFonts w:ascii="宋体" w:hAnsi="宋体" w:cs="宋体" w:eastAsia="宋体" w:hint="default"/>
                <w:spacing w:val="-85"/>
                <w:sz w:val="18"/>
                <w:szCs w:val="18"/>
              </w:rPr>
              <w:t> </w:t>
            </w:r>
            <w:r>
              <w:rPr>
                <w:rFonts w:ascii="宋体" w:hAnsi="宋体" w:cs="宋体" w:eastAsia="宋体" w:hint="default"/>
                <w:spacing w:val="-4"/>
                <w:sz w:val="18"/>
                <w:szCs w:val="18"/>
              </w:rPr>
              <w:t>润分配或资本公积金转增股本；（</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）限制高级管理人</w:t>
            </w:r>
            <w:r>
              <w:rPr>
                <w:rFonts w:ascii="宋体" w:hAnsi="宋体" w:cs="宋体" w:eastAsia="宋体" w:hint="default"/>
                <w:spacing w:val="-82"/>
                <w:sz w:val="18"/>
                <w:szCs w:val="18"/>
              </w:rPr>
              <w:t> </w:t>
            </w:r>
            <w:r>
              <w:rPr>
                <w:rFonts w:ascii="宋体" w:hAnsi="宋体" w:cs="宋体" w:eastAsia="宋体" w:hint="default"/>
                <w:spacing w:val="-4"/>
                <w:sz w:val="18"/>
                <w:szCs w:val="18"/>
              </w:rPr>
              <w:t>员薪酬；（</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）法律、行政法规、规范性文件规定以及</w:t>
            </w:r>
            <w:r>
              <w:rPr>
                <w:rFonts w:ascii="宋体" w:hAnsi="宋体" w:cs="宋体" w:eastAsia="宋体" w:hint="default"/>
                <w:spacing w:val="-85"/>
                <w:sz w:val="18"/>
                <w:szCs w:val="18"/>
              </w:rPr>
              <w:t> </w:t>
            </w:r>
            <w:r>
              <w:rPr>
                <w:rFonts w:ascii="宋体" w:hAnsi="宋体" w:cs="宋体" w:eastAsia="宋体" w:hint="default"/>
                <w:spacing w:val="-7"/>
                <w:sz w:val="18"/>
                <w:szCs w:val="18"/>
              </w:rPr>
              <w:t>中国证监会认可的其他方式。（三）股价稳定措施的豁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免情形</w:t>
            </w:r>
            <w:r>
              <w:rPr>
                <w:rFonts w:ascii="宋体" w:hAnsi="宋体" w:cs="宋体" w:eastAsia="宋体" w:hint="default"/>
                <w:spacing w:val="1"/>
                <w:sz w:val="18"/>
                <w:szCs w:val="18"/>
              </w:rPr>
              <w:t> </w:t>
            </w:r>
            <w:r>
              <w:rPr>
                <w:rFonts w:ascii="宋体" w:hAnsi="宋体" w:cs="宋体" w:eastAsia="宋体" w:hint="default"/>
                <w:sz w:val="18"/>
                <w:szCs w:val="18"/>
              </w:rPr>
              <w:t>股东大会审议通过的股价稳定具体方案实施</w:t>
            </w:r>
            <w:r>
              <w:rPr>
                <w:rFonts w:ascii="宋体" w:hAnsi="宋体" w:cs="宋体" w:eastAsia="宋体" w:hint="default"/>
                <w:sz w:val="18"/>
                <w:szCs w:val="18"/>
              </w:rPr>
              <w:t> 完毕后的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个交易日内，如股价稳定措施的启动条件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成立的，公司不再继续实施稳定股价措施。</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个交易 日后，启动条件再次成立时，公司将再次启动稳定股 价具体方案的审议程序。尚未实施或者未履行完毕的 稳定股价具体方案因停止条件成立而停止实施的，则 自稳定股价具体方案停止实施后的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个交易日内不 再继续实施稳定股价措施。</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个交易日后，启动条件 再次成立时，公司将再次启动稳定股价具体方案的审 </w:t>
            </w:r>
            <w:r>
              <w:rPr>
                <w:rFonts w:ascii="宋体" w:hAnsi="宋体" w:cs="宋体" w:eastAsia="宋体" w:hint="default"/>
                <w:spacing w:val="-9"/>
                <w:sz w:val="18"/>
                <w:szCs w:val="18"/>
              </w:rPr>
              <w:t>议程序。（四）限制条件</w:t>
            </w:r>
            <w:r>
              <w:rPr>
                <w:rFonts w:ascii="宋体" w:hAnsi="宋体" w:cs="宋体" w:eastAsia="宋体" w:hint="default"/>
                <w:sz w:val="18"/>
                <w:szCs w:val="18"/>
              </w:rPr>
              <w:t> 公司采取任何股价稳定措施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均应符合法律、法规、规范性文件和公司章程的规定，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并确保不影响公司的上市地位。（五）其他</w:t>
            </w:r>
            <w:r>
              <w:rPr>
                <w:rFonts w:ascii="宋体" w:hAnsi="宋体" w:cs="宋体" w:eastAsia="宋体" w:hint="default"/>
                <w:sz w:val="18"/>
                <w:szCs w:val="18"/>
              </w:rPr>
              <w:t> 公司在未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来聘任新的董事（独立董事除外）、高级管理人员前，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将要求其签署承诺书，保证其履行公司首次公开发行 </w:t>
            </w:r>
            <w:r>
              <w:rPr>
                <w:rFonts w:ascii="宋体" w:hAnsi="宋体" w:cs="宋体" w:eastAsia="宋体" w:hint="default"/>
                <w:spacing w:val="-7"/>
                <w:sz w:val="18"/>
                <w:szCs w:val="18"/>
              </w:rPr>
              <w:t>上市时董事（独立董事除外）、高级管理人员已做出的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稳定股价承诺，并要求其按照公司首次公开发行上市 </w:t>
            </w:r>
            <w:r>
              <w:rPr>
                <w:rFonts w:ascii="宋体" w:hAnsi="宋体" w:cs="宋体" w:eastAsia="宋体" w:hint="default"/>
                <w:spacing w:val="-7"/>
                <w:sz w:val="18"/>
                <w:szCs w:val="18"/>
              </w:rPr>
              <w:t>时董事（独立董事除外）、高级管理人员的承诺提出未</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履行承诺的约束措施。</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1419" w:type="dxa"/>
            <w:vMerge/>
            <w:tcBorders>
              <w:left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06"/>
              <w:jc w:val="both"/>
              <w:rPr>
                <w:rFonts w:ascii="宋体" w:hAnsi="宋体" w:cs="宋体" w:eastAsia="宋体" w:hint="default"/>
                <w:sz w:val="18"/>
                <w:szCs w:val="18"/>
              </w:rPr>
            </w:pPr>
            <w:r>
              <w:rPr>
                <w:rFonts w:ascii="宋体" w:hAnsi="宋体" w:cs="宋体" w:eastAsia="宋体" w:hint="default"/>
                <w:sz w:val="18"/>
                <w:szCs w:val="18"/>
              </w:rPr>
              <w:t>董事、高级管理人员 李建国先生、许文杰 先生、梁姬女士、沈 湘平先生、胡永乐先 生、方培豪先生、杨 兆云先生、李胜兰女 士、马英华女士、万 海斌先生</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5" w:right="242"/>
              <w:jc w:val="both"/>
              <w:rPr>
                <w:rFonts w:ascii="宋体" w:hAnsi="宋体" w:cs="宋体" w:eastAsia="宋体" w:hint="default"/>
                <w:sz w:val="18"/>
                <w:szCs w:val="18"/>
              </w:rPr>
            </w:pPr>
            <w:r>
              <w:rPr>
                <w:rFonts w:ascii="宋体" w:hAnsi="宋体" w:cs="宋体" w:eastAsia="宋体" w:hint="default"/>
                <w:sz w:val="18"/>
                <w:szCs w:val="18"/>
              </w:rPr>
              <w:t>首次 公开 发行 承诺</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97"/>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、承诺不无偿或以不公平条件向其他单位或者个人输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送利益，也不采用其他方式损害公司利益。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、承诺对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董事和高级管理人员的职务消费行为进行约束。</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、承</w:t>
            </w:r>
            <w:r>
              <w:rPr>
                <w:rFonts w:ascii="宋体" w:hAnsi="宋体" w:cs="宋体" w:eastAsia="宋体" w:hint="default"/>
                <w:spacing w:val="-88"/>
                <w:sz w:val="18"/>
                <w:szCs w:val="18"/>
              </w:rPr>
              <w:t> </w:t>
            </w:r>
            <w:r>
              <w:rPr>
                <w:rFonts w:ascii="宋体" w:hAnsi="宋体" w:cs="宋体" w:eastAsia="宋体" w:hint="default"/>
                <w:sz w:val="18"/>
                <w:szCs w:val="18"/>
              </w:rPr>
              <w:t>诺不动用公司资产从事与其履行职责无关的投资、消</w:t>
            </w:r>
            <w:r>
              <w:rPr>
                <w:rFonts w:ascii="宋体" w:hAnsi="宋体" w:cs="宋体" w:eastAsia="宋体" w:hint="default"/>
                <w:sz w:val="18"/>
                <w:szCs w:val="18"/>
              </w:rPr>
              <w:t> </w:t>
            </w:r>
            <w:r>
              <w:rPr>
                <w:rFonts w:ascii="宋体" w:hAnsi="宋体" w:cs="宋体" w:eastAsia="宋体" w:hint="default"/>
                <w:spacing w:val="-3"/>
                <w:sz w:val="18"/>
                <w:szCs w:val="18"/>
              </w:rPr>
              <w:t>费活动。</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、承诺由董事会或薪酬委员会制定的薪酬制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度与公司填补回报措施的执行情况相挂钩。</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、承诺拟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公布的公司股权激励的行权条件与公司填补回报措施 的执行情况相挂钩。如本人违反上述承诺或拒不履行</w:t>
            </w:r>
            <w:r>
              <w:rPr>
                <w:rFonts w:ascii="宋体" w:hAnsi="宋体" w:cs="宋体" w:eastAsia="宋体" w:hint="default"/>
                <w:sz w:val="18"/>
                <w:szCs w:val="18"/>
              </w:rPr>
              <w:t> 上述承诺，本人应在股东大会及中国证监会指定报刊 公开作出解释并道歉；如本人违反上述承诺给公司或 者股东造成损失的，本人将依法承担补偿责任。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3" w:right="235"/>
              <w:jc w:val="both"/>
              <w:rPr>
                <w:rFonts w:ascii="宋体" w:hAnsi="宋体" w:cs="宋体" w:eastAsia="宋体" w:hint="default"/>
                <w:sz w:val="18"/>
                <w:szCs w:val="18"/>
              </w:rPr>
            </w:pPr>
            <w:r>
              <w:rPr>
                <w:rFonts w:ascii="宋体" w:hAnsi="宋体" w:cs="宋体" w:eastAsia="宋体" w:hint="default"/>
                <w:sz w:val="18"/>
                <w:szCs w:val="18"/>
              </w:rPr>
              <w:t>承诺 及法 规要 求的 期限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03" w:right="245"/>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2859"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103" w:right="106"/>
              <w:jc w:val="left"/>
              <w:rPr>
                <w:rFonts w:ascii="宋体" w:hAnsi="宋体" w:cs="宋体" w:eastAsia="宋体" w:hint="default"/>
                <w:sz w:val="18"/>
                <w:szCs w:val="18"/>
              </w:rPr>
            </w:pPr>
            <w:r>
              <w:rPr>
                <w:rFonts w:ascii="宋体" w:hAnsi="宋体" w:cs="宋体" w:eastAsia="宋体" w:hint="default"/>
                <w:sz w:val="18"/>
                <w:szCs w:val="18"/>
              </w:rPr>
              <w:t>公司实际控制人李建 国先生和蒋鹂北女士</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6" w:lineRule="auto"/>
              <w:ind w:left="105" w:right="242"/>
              <w:jc w:val="both"/>
              <w:rPr>
                <w:rFonts w:ascii="宋体" w:hAnsi="宋体" w:cs="宋体" w:eastAsia="宋体" w:hint="default"/>
                <w:sz w:val="18"/>
                <w:szCs w:val="18"/>
              </w:rPr>
            </w:pPr>
            <w:r>
              <w:rPr>
                <w:rFonts w:ascii="宋体" w:hAnsi="宋体" w:cs="宋体" w:eastAsia="宋体" w:hint="default"/>
                <w:sz w:val="18"/>
                <w:szCs w:val="18"/>
              </w:rPr>
              <w:t>首次 公开 发行 承诺</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30"/>
              <w:jc w:val="left"/>
              <w:rPr>
                <w:rFonts w:ascii="宋体" w:hAnsi="宋体" w:cs="宋体" w:eastAsia="宋体" w:hint="default"/>
                <w:sz w:val="18"/>
                <w:szCs w:val="18"/>
              </w:rPr>
            </w:pPr>
            <w:r>
              <w:rPr>
                <w:rFonts w:ascii="宋体" w:hAnsi="宋体" w:cs="宋体" w:eastAsia="宋体" w:hint="default"/>
                <w:sz w:val="18"/>
                <w:szCs w:val="18"/>
              </w:rPr>
              <w:t>发行人将按照相关内部控制制度，规范房产租赁，严 格控制瑕疵房产的数量及比重，确保承租的瑕疵房产 数量及面积比重在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年底之前降至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以下，在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年底之前降至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年底之前降至</w:t>
            </w:r>
          </w:p>
          <w:p>
            <w:pPr>
              <w:pStyle w:val="TableParagraph"/>
              <w:spacing w:line="314" w:lineRule="auto" w:before="3"/>
              <w:ind w:left="103" w:right="130"/>
              <w:jc w:val="both"/>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以下。发行人不得租用不符合安全标准的房屋，</w:t>
            </w:r>
            <w:r>
              <w:rPr>
                <w:rFonts w:ascii="宋体" w:hAnsi="宋体" w:cs="宋体" w:eastAsia="宋体" w:hint="default"/>
                <w:w w:val="99"/>
                <w:sz w:val="18"/>
                <w:szCs w:val="18"/>
              </w:rPr>
              <w:t> </w:t>
            </w:r>
            <w:r>
              <w:rPr>
                <w:rFonts w:ascii="宋体" w:hAnsi="宋体" w:cs="宋体" w:eastAsia="宋体" w:hint="default"/>
                <w:sz w:val="18"/>
                <w:szCs w:val="18"/>
              </w:rPr>
              <w:t>并定期对租赁的房屋进行全面安全检查，避免发生安</w:t>
            </w:r>
            <w:r>
              <w:rPr>
                <w:rFonts w:ascii="宋体" w:hAnsi="宋体" w:cs="宋体" w:eastAsia="宋体" w:hint="default"/>
                <w:w w:val="99"/>
                <w:sz w:val="18"/>
                <w:szCs w:val="18"/>
              </w:rPr>
              <w:t> </w:t>
            </w:r>
            <w:r>
              <w:rPr>
                <w:rFonts w:ascii="宋体" w:hAnsi="宋体" w:cs="宋体" w:eastAsia="宋体" w:hint="default"/>
                <w:sz w:val="18"/>
                <w:szCs w:val="18"/>
              </w:rPr>
              <w:t>全隐患事故。若因他人主张权利或有权部门行使职权</w:t>
            </w:r>
            <w:r>
              <w:rPr>
                <w:rFonts w:ascii="宋体" w:hAnsi="宋体" w:cs="宋体" w:eastAsia="宋体" w:hint="default"/>
                <w:w w:val="99"/>
                <w:sz w:val="18"/>
                <w:szCs w:val="18"/>
              </w:rPr>
              <w:t> </w:t>
            </w:r>
            <w:r>
              <w:rPr>
                <w:rFonts w:ascii="宋体" w:hAnsi="宋体" w:cs="宋体" w:eastAsia="宋体" w:hint="default"/>
                <w:sz w:val="18"/>
                <w:szCs w:val="18"/>
              </w:rPr>
              <w:t>而导致发行人及其分、子公司所签相关房屋租赁合同</w:t>
            </w:r>
            <w:r>
              <w:rPr>
                <w:rFonts w:ascii="宋体" w:hAnsi="宋体" w:cs="宋体" w:eastAsia="宋体" w:hint="default"/>
                <w:w w:val="99"/>
                <w:sz w:val="18"/>
                <w:szCs w:val="18"/>
              </w:rPr>
              <w:t> </w:t>
            </w:r>
            <w:r>
              <w:rPr>
                <w:rFonts w:ascii="宋体" w:hAnsi="宋体" w:cs="宋体" w:eastAsia="宋体" w:hint="default"/>
                <w:sz w:val="18"/>
                <w:szCs w:val="18"/>
              </w:rPr>
              <w:t>无效或产生纠纷，导致发行人及其分、子公司需要搬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103" w:right="235"/>
              <w:jc w:val="both"/>
              <w:rPr>
                <w:rFonts w:ascii="宋体" w:hAnsi="宋体" w:cs="宋体" w:eastAsia="宋体" w:hint="default"/>
                <w:sz w:val="18"/>
                <w:szCs w:val="18"/>
              </w:rPr>
            </w:pPr>
            <w:r>
              <w:rPr>
                <w:rFonts w:ascii="宋体" w:hAnsi="宋体" w:cs="宋体" w:eastAsia="宋体" w:hint="default"/>
                <w:sz w:val="18"/>
                <w:szCs w:val="18"/>
              </w:rPr>
              <w:t>承诺 及法 规要 求的 期限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0"/>
              <w:ind w:left="103" w:right="245"/>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6" w:lineRule="auto"/>
        <w:jc w:val="both"/>
        <w:rPr>
          <w:rFonts w:ascii="宋体" w:hAnsi="宋体" w:cs="宋体" w:eastAsia="宋体" w:hint="default"/>
          <w:sz w:val="18"/>
          <w:szCs w:val="18"/>
        </w:rPr>
        <w:sectPr>
          <w:pgSz w:w="11910" w:h="16840"/>
          <w:pgMar w:header="910" w:footer="1013" w:top="1100" w:bottom="1200" w:left="74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419"/>
        <w:gridCol w:w="1841"/>
        <w:gridCol w:w="720"/>
        <w:gridCol w:w="4386"/>
        <w:gridCol w:w="708"/>
        <w:gridCol w:w="710"/>
        <w:gridCol w:w="718"/>
      </w:tblGrid>
      <w:tr>
        <w:trPr>
          <w:trHeight w:val="1611"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
              <w:jc w:val="left"/>
              <w:rPr>
                <w:rFonts w:ascii="宋体" w:hAnsi="宋体" w:cs="宋体" w:eastAsia="宋体" w:hint="default"/>
                <w:sz w:val="18"/>
                <w:szCs w:val="18"/>
              </w:rPr>
            </w:pPr>
            <w:r>
              <w:rPr>
                <w:rFonts w:ascii="宋体" w:hAnsi="宋体" w:cs="宋体" w:eastAsia="宋体" w:hint="default"/>
                <w:sz w:val="18"/>
                <w:szCs w:val="18"/>
              </w:rPr>
              <w:t>迁、被有权部门处罚或被他人追索，或因租赁瑕疵房 产发生安全隐患事故给发行人及其分、子公司造成损 失的，本人愿意无条件地代发行人及其分、子公司承 </w:t>
            </w:r>
            <w:r>
              <w:rPr>
                <w:rFonts w:ascii="宋体" w:hAnsi="宋体" w:cs="宋体" w:eastAsia="宋体" w:hint="default"/>
                <w:spacing w:val="-3"/>
                <w:sz w:val="18"/>
                <w:szCs w:val="18"/>
              </w:rPr>
              <w:t>担相应责任，并赔偿其由此可能遭受的一切经济损失，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且自愿放弃向发行人及其分、子公司追偿的权利。</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1419" w:type="dxa"/>
            <w:vMerge/>
            <w:tcBorders>
              <w:left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3" w:right="107"/>
              <w:jc w:val="left"/>
              <w:rPr>
                <w:rFonts w:ascii="宋体" w:hAnsi="宋体" w:cs="宋体" w:eastAsia="宋体" w:hint="default"/>
                <w:sz w:val="18"/>
                <w:szCs w:val="18"/>
              </w:rPr>
            </w:pPr>
            <w:r>
              <w:rPr>
                <w:rFonts w:ascii="宋体" w:hAnsi="宋体" w:cs="宋体" w:eastAsia="宋体" w:hint="default"/>
                <w:sz w:val="18"/>
                <w:szCs w:val="18"/>
              </w:rPr>
              <w:t>润建通信以及董事、 监事、高级管理人员 李建国先生、许文杰 先生、梁姬女士、沈 湘平先生、胡永乐先 生、方培豪先生、杨 兆云先生、李胜兰女 士、马英华女士、万 海斌先生</w:t>
            </w:r>
            <w:r>
              <w:rPr>
                <w:rFonts w:ascii="宋体" w:hAnsi="宋体" w:cs="宋体" w:eastAsia="宋体" w:hint="default"/>
                <w:spacing w:val="1"/>
                <w:sz w:val="18"/>
                <w:szCs w:val="18"/>
              </w:rPr>
              <w:t> </w:t>
            </w:r>
            <w:r>
              <w:rPr>
                <w:rFonts w:ascii="宋体" w:hAnsi="宋体" w:cs="宋体" w:eastAsia="宋体" w:hint="default"/>
                <w:sz w:val="18"/>
                <w:szCs w:val="18"/>
              </w:rPr>
              <w:t>、唐敏女</w:t>
            </w:r>
            <w:r>
              <w:rPr>
                <w:rFonts w:ascii="宋体" w:hAnsi="宋体" w:cs="宋体" w:eastAsia="宋体" w:hint="default"/>
                <w:sz w:val="18"/>
                <w:szCs w:val="18"/>
              </w:rPr>
              <w:t> 士、陶秋鸿女士、欧 宇菲女士</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105" w:right="242"/>
              <w:jc w:val="both"/>
              <w:rPr>
                <w:rFonts w:ascii="宋体" w:hAnsi="宋体" w:cs="宋体" w:eastAsia="宋体" w:hint="default"/>
                <w:sz w:val="18"/>
                <w:szCs w:val="18"/>
              </w:rPr>
            </w:pPr>
            <w:r>
              <w:rPr>
                <w:rFonts w:ascii="宋体" w:hAnsi="宋体" w:cs="宋体" w:eastAsia="宋体" w:hint="default"/>
                <w:sz w:val="18"/>
                <w:szCs w:val="18"/>
              </w:rPr>
              <w:t>首次 公开 发行 承诺</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99"/>
              <w:jc w:val="left"/>
              <w:rPr>
                <w:rFonts w:ascii="宋体" w:hAnsi="宋体" w:cs="宋体" w:eastAsia="宋体" w:hint="default"/>
                <w:sz w:val="18"/>
                <w:szCs w:val="18"/>
              </w:rPr>
            </w:pPr>
            <w:r>
              <w:rPr>
                <w:rFonts w:ascii="宋体" w:hAnsi="宋体" w:cs="宋体" w:eastAsia="宋体" w:hint="default"/>
                <w:sz w:val="18"/>
                <w:szCs w:val="18"/>
              </w:rPr>
              <w:t>（一）发行人的承诺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、公司首次公开发行股票并上 市招股说明书不存在虚假记载、误导性陈述或者重大 </w:t>
            </w:r>
            <w:r>
              <w:rPr>
                <w:rFonts w:ascii="宋体" w:hAnsi="宋体" w:cs="宋体" w:eastAsia="宋体" w:hint="default"/>
                <w:spacing w:val="-3"/>
                <w:sz w:val="18"/>
                <w:szCs w:val="18"/>
              </w:rPr>
              <w:t>遗漏；</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、如公司招股说明书被相关监管机构认定存在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虚假记载、误导性陈述或者重大遗漏，对判断公司是 否符合法律规定的发行条件构成重大、实质影响的，</w:t>
            </w:r>
            <w:r>
              <w:rPr>
                <w:rFonts w:ascii="宋体" w:hAnsi="宋体" w:cs="宋体" w:eastAsia="宋体" w:hint="default"/>
                <w:sz w:val="18"/>
                <w:szCs w:val="18"/>
              </w:rPr>
              <w:t> 公司将在证券监督管理部门作出上述认定时，依法回 购首次公开发行的全部新股，回购价格按照发行价加 </w:t>
            </w:r>
            <w:r>
              <w:rPr>
                <w:rFonts w:ascii="宋体" w:hAnsi="宋体" w:cs="宋体" w:eastAsia="宋体" w:hint="default"/>
                <w:spacing w:val="-3"/>
                <w:sz w:val="18"/>
                <w:szCs w:val="18"/>
              </w:rPr>
              <w:t>算银行同期存款利息确定；</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、如公司招股说明书被相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关监管机构认定存在虚假记载、误导性陈述或者重大 遗漏，致使投资者在证券交易中遭受损失的，公司将 </w:t>
            </w:r>
            <w:r>
              <w:rPr>
                <w:rFonts w:ascii="宋体" w:hAnsi="宋体" w:cs="宋体" w:eastAsia="宋体" w:hint="default"/>
                <w:spacing w:val="-7"/>
                <w:sz w:val="18"/>
                <w:szCs w:val="18"/>
              </w:rPr>
              <w:t>依法赔偿投资者损失。（二）控股股东、实际控制人及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董事、监事、高级管理人员的承诺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、公司首次公开 发行股票并上市招股说明书不存在虚假记载、误导性 </w:t>
            </w:r>
            <w:r>
              <w:rPr>
                <w:rFonts w:ascii="宋体" w:hAnsi="宋体" w:cs="宋体" w:eastAsia="宋体" w:hint="default"/>
                <w:spacing w:val="-3"/>
                <w:sz w:val="18"/>
                <w:szCs w:val="18"/>
              </w:rPr>
              <w:t>陈述或者重大遗漏；</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、如公司招股说明书被相关监管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机构认定存在虚假记载、误导性陈述或者重大遗漏， 致使投资者在证券交易中遭受损失的，本人将依法赔</w:t>
            </w:r>
            <w:r>
              <w:rPr>
                <w:rFonts w:ascii="宋体" w:hAnsi="宋体" w:cs="宋体" w:eastAsia="宋体" w:hint="default"/>
                <w:sz w:val="18"/>
                <w:szCs w:val="18"/>
              </w:rPr>
              <w:t> 偿投资者损失。</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103" w:right="235"/>
              <w:jc w:val="both"/>
              <w:rPr>
                <w:rFonts w:ascii="宋体" w:hAnsi="宋体" w:cs="宋体" w:eastAsia="宋体" w:hint="default"/>
                <w:sz w:val="18"/>
                <w:szCs w:val="18"/>
              </w:rPr>
            </w:pPr>
            <w:r>
              <w:rPr>
                <w:rFonts w:ascii="宋体" w:hAnsi="宋体" w:cs="宋体" w:eastAsia="宋体" w:hint="default"/>
                <w:sz w:val="18"/>
                <w:szCs w:val="18"/>
              </w:rPr>
              <w:t>承诺 及法 规要 求的 期限</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243"/>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2587"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3" w:right="107"/>
              <w:jc w:val="left"/>
              <w:rPr>
                <w:rFonts w:ascii="宋体" w:hAnsi="宋体" w:cs="宋体" w:eastAsia="宋体" w:hint="default"/>
                <w:sz w:val="18"/>
                <w:szCs w:val="18"/>
              </w:rPr>
            </w:pPr>
            <w:r>
              <w:rPr>
                <w:rFonts w:ascii="宋体" w:hAnsi="宋体" w:cs="宋体" w:eastAsia="宋体" w:hint="default"/>
                <w:sz w:val="18"/>
                <w:szCs w:val="18"/>
              </w:rPr>
              <w:t>公司实际控制人李建 国先生和蒋鹂北女士</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5" w:right="242"/>
              <w:jc w:val="both"/>
              <w:rPr>
                <w:rFonts w:ascii="宋体" w:hAnsi="宋体" w:cs="宋体" w:eastAsia="宋体" w:hint="default"/>
                <w:sz w:val="18"/>
                <w:szCs w:val="18"/>
              </w:rPr>
            </w:pPr>
            <w:r>
              <w:rPr>
                <w:rFonts w:ascii="宋体" w:hAnsi="宋体" w:cs="宋体" w:eastAsia="宋体" w:hint="default"/>
                <w:sz w:val="18"/>
                <w:szCs w:val="18"/>
              </w:rPr>
              <w:t>首次 公开 发行 承诺</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31"/>
              <w:jc w:val="both"/>
              <w:rPr>
                <w:rFonts w:ascii="宋体" w:hAnsi="宋体" w:cs="宋体" w:eastAsia="宋体" w:hint="default"/>
                <w:sz w:val="18"/>
                <w:szCs w:val="18"/>
              </w:rPr>
            </w:pPr>
            <w:r>
              <w:rPr>
                <w:rFonts w:ascii="宋体" w:hAnsi="宋体" w:cs="宋体" w:eastAsia="宋体" w:hint="default"/>
                <w:sz w:val="18"/>
                <w:szCs w:val="18"/>
              </w:rPr>
              <w:t>如发行人及其下属子公司因首次公开发行并在境内证 券交易所上市完成之日前的事由，因未足额、按时为 公司全体员工缴纳社会保险、住房公积金，导致发行 人及其下属子公司需补缴社会保险、住房公积金，或 被相关行政主管机关或司法机关处以罚金、征收滞纳 金或被任何其他方索赔的，本人将以现金支付方式无 条件补足公司应缴差额并承担发行人及其下属子公司 因此而受到的全部经济损失。</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35"/>
              <w:jc w:val="both"/>
              <w:rPr>
                <w:rFonts w:ascii="宋体" w:hAnsi="宋体" w:cs="宋体" w:eastAsia="宋体" w:hint="default"/>
                <w:sz w:val="18"/>
                <w:szCs w:val="18"/>
              </w:rPr>
            </w:pPr>
            <w:r>
              <w:rPr>
                <w:rFonts w:ascii="宋体" w:hAnsi="宋体" w:cs="宋体" w:eastAsia="宋体" w:hint="default"/>
                <w:sz w:val="18"/>
                <w:szCs w:val="18"/>
              </w:rPr>
              <w:t>承诺 及法 规要 求的 期限</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43"/>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4"/>
              <w:jc w:val="right"/>
              <w:rPr>
                <w:rFonts w:ascii="宋体" w:hAnsi="宋体" w:cs="宋体" w:eastAsia="宋体" w:hint="default"/>
                <w:sz w:val="18"/>
                <w:szCs w:val="18"/>
              </w:rPr>
            </w:pPr>
            <w:r>
              <w:rPr>
                <w:rFonts w:ascii="宋体" w:hAnsi="宋体" w:cs="宋体" w:eastAsia="宋体" w:hint="default"/>
                <w:sz w:val="18"/>
                <w:szCs w:val="18"/>
              </w:rPr>
              <w:t>无</w:t>
            </w:r>
          </w:p>
        </w:tc>
        <w:tc>
          <w:tcPr>
            <w:tcW w:w="720" w:type="dxa"/>
            <w:tcBorders>
              <w:top w:val="single" w:sz="4" w:space="0" w:color="000000"/>
              <w:left w:val="single" w:sz="4" w:space="0" w:color="000000"/>
              <w:bottom w:val="single" w:sz="4" w:space="0" w:color="000000"/>
              <w:right w:val="single" w:sz="4" w:space="0" w:color="000000"/>
            </w:tcBorders>
          </w:tcPr>
          <w:p>
            <w:pPr/>
          </w:p>
        </w:tc>
        <w:tc>
          <w:tcPr>
            <w:tcW w:w="43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23"/>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824"/>
              <w:jc w:val="right"/>
              <w:rPr>
                <w:rFonts w:ascii="宋体" w:hAnsi="宋体" w:cs="宋体" w:eastAsia="宋体" w:hint="default"/>
                <w:sz w:val="18"/>
                <w:szCs w:val="18"/>
              </w:rPr>
            </w:pPr>
            <w:r>
              <w:rPr>
                <w:rFonts w:ascii="宋体" w:hAnsi="宋体" w:cs="宋体" w:eastAsia="宋体" w:hint="default"/>
                <w:sz w:val="18"/>
                <w:szCs w:val="18"/>
              </w:rPr>
              <w:t>无</w:t>
            </w:r>
          </w:p>
        </w:tc>
        <w:tc>
          <w:tcPr>
            <w:tcW w:w="720" w:type="dxa"/>
            <w:tcBorders>
              <w:top w:val="single" w:sz="4" w:space="0" w:color="000000"/>
              <w:left w:val="single" w:sz="4" w:space="0" w:color="000000"/>
              <w:bottom w:val="single" w:sz="4" w:space="0" w:color="000000"/>
              <w:right w:val="single" w:sz="4" w:space="0" w:color="000000"/>
            </w:tcBorders>
          </w:tcPr>
          <w:p>
            <w:pP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25"/>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908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9"/>
                <w:sz w:val="18"/>
                <w:szCs w:val="18"/>
              </w:rPr>
              <w:t>履行完毕的，应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当详细说明未 完成履行的具 体原因及下一 步的工作计划</w:t>
            </w:r>
          </w:p>
        </w:tc>
        <w:tc>
          <w:tcPr>
            <w:tcW w:w="908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10" w:footer="1013" w:top="1100" w:bottom="1200" w:left="740" w:right="0"/>
        </w:sectPr>
      </w:pPr>
    </w:p>
    <w:p>
      <w:pPr>
        <w:spacing w:line="240" w:lineRule="auto" w:before="5"/>
        <w:rPr>
          <w:rFonts w:ascii="Times New Roman" w:hAnsi="Times New Roman" w:cs="Times New Roman" w:eastAsia="Times New Roman" w:hint="default"/>
          <w:sz w:val="24"/>
          <w:szCs w:val="24"/>
        </w:rPr>
      </w:pPr>
    </w:p>
    <w:p>
      <w:pPr>
        <w:pStyle w:val="Heading3"/>
        <w:spacing w:line="259" w:lineRule="auto" w:before="36"/>
        <w:ind w:right="977"/>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2"/>
        </w:rPr>
        <w:t> </w:t>
      </w:r>
      <w:r>
        <w:rPr>
          <w:spacing w:val="-62"/>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977"/>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4994"/>
        <w:jc w:val="left"/>
      </w:pPr>
      <w:r>
        <w:rPr/>
        <w:t>□ 适用 √</w:t>
      </w:r>
      <w:r>
        <w:rPr>
          <w:spacing w:val="3"/>
        </w:rPr>
        <w:t> </w:t>
      </w:r>
      <w:r>
        <w:rPr/>
        <w:t>不适用</w:t>
      </w:r>
      <w:r>
        <w:rPr/>
        <w:t> 公司报告期不存在控股股东及其关联方对上市公司的非经营性占用资金。</w:t>
      </w:r>
    </w:p>
    <w:p>
      <w:pPr>
        <w:spacing w:line="240" w:lineRule="auto" w:before="7"/>
        <w:rPr>
          <w:rFonts w:ascii="宋体" w:hAnsi="宋体" w:cs="宋体" w:eastAsia="宋体" w:hint="default"/>
          <w:sz w:val="18"/>
          <w:szCs w:val="18"/>
        </w:rPr>
      </w:pPr>
    </w:p>
    <w:p>
      <w:pPr>
        <w:pStyle w:val="Heading2"/>
        <w:spacing w:line="240" w:lineRule="auto"/>
        <w:ind w:right="1116"/>
        <w:jc w:val="left"/>
        <w:rPr>
          <w:b w:val="0"/>
          <w:bCs w:val="0"/>
        </w:rPr>
      </w:pPr>
      <w:r>
        <w:rPr/>
        <w:t>五、董事会、监事会、独立董事（如有）对会计师事务所本报告期“非标准审计报告”的说</w:t>
      </w:r>
      <w:r>
        <w:rPr>
          <w:w w:val="99"/>
        </w:rPr>
        <w:t> </w:t>
      </w:r>
      <w:r>
        <w:rPr/>
        <w:t>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977"/>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pStyle w:val="Heading2"/>
        <w:spacing w:line="240" w:lineRule="auto" w:before="148"/>
        <w:ind w:left="595" w:right="977"/>
        <w:jc w:val="left"/>
        <w:rPr>
          <w:b w:val="0"/>
          <w:bCs w:val="0"/>
        </w:rPr>
      </w:pPr>
      <w:r>
        <w:rPr>
          <w:rFonts w:ascii="Times New Roman" w:hAnsi="Times New Roman" w:cs="Times New Roman" w:eastAsia="Times New Roman" w:hint="default"/>
        </w:rPr>
        <w:t>1</w:t>
      </w:r>
      <w:r>
        <w:rPr/>
        <w:t>、重要会计政策变更</w:t>
      </w:r>
      <w:r>
        <w:rPr>
          <w:b w:val="0"/>
          <w:bCs w:val="0"/>
        </w:rPr>
      </w:r>
    </w:p>
    <w:p>
      <w:pPr>
        <w:pStyle w:val="BodyText"/>
        <w:spacing w:line="316" w:lineRule="auto" w:before="28"/>
        <w:ind w:right="977" w:firstLine="360"/>
        <w:jc w:val="left"/>
        <w:rPr>
          <w:rFonts w:ascii="宋体" w:hAnsi="宋体" w:cs="宋体" w:eastAsia="宋体" w:hint="default"/>
        </w:rPr>
      </w:pPr>
      <w:r>
        <w:rPr>
          <w:spacing w:val="-4"/>
        </w:rPr>
        <w:t>根据财政部</w:t>
      </w:r>
      <w:r>
        <w:rPr>
          <w:rFonts w:ascii="宋体" w:hAnsi="宋体" w:cs="宋体" w:eastAsia="宋体" w:hint="default"/>
          <w:spacing w:val="-4"/>
        </w:rPr>
        <w:t>2018</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15</w:t>
      </w:r>
      <w:r>
        <w:rPr>
          <w:spacing w:val="-4"/>
        </w:rPr>
        <w:t>日发布的《关于修订印发</w:t>
      </w:r>
      <w:r>
        <w:rPr>
          <w:rFonts w:ascii="宋体" w:hAnsi="宋体" w:cs="宋体" w:eastAsia="宋体" w:hint="default"/>
          <w:spacing w:val="-4"/>
        </w:rPr>
        <w:t>2018</w:t>
      </w:r>
      <w:r>
        <w:rPr>
          <w:spacing w:val="-4"/>
        </w:rPr>
        <w:t>年度一般企业财务报表格式的通知》（财会</w:t>
      </w:r>
      <w:r>
        <w:rPr>
          <w:rFonts w:ascii="宋体" w:hAnsi="宋体" w:cs="宋体" w:eastAsia="宋体" w:hint="default"/>
          <w:spacing w:val="-4"/>
        </w:rPr>
        <w:t>[2018]15</w:t>
      </w:r>
      <w:r>
        <w:rPr>
          <w:spacing w:val="-4"/>
        </w:rPr>
        <w:t>号）要求，对</w:t>
      </w:r>
      <w:r>
        <w:rPr>
          <w:spacing w:val="-22"/>
        </w:rPr>
        <w:t> </w:t>
      </w:r>
      <w:r>
        <w:rPr/>
        <w:t>尚未执行新金融准则和新收入准则的企业应按如下规定编制财务报表：</w:t>
      </w:r>
      <w:r>
        <w:rPr>
          <w:rFonts w:ascii="宋体" w:hAnsi="宋体" w:cs="宋体" w:eastAsia="宋体" w:hint="default"/>
        </w:rPr>
        <w:t> </w:t>
      </w:r>
    </w:p>
    <w:p>
      <w:pPr>
        <w:pStyle w:val="BodyText"/>
        <w:spacing w:line="316" w:lineRule="auto" w:before="19"/>
        <w:ind w:right="977" w:firstLine="360"/>
        <w:jc w:val="left"/>
        <w:rPr>
          <w:rFonts w:ascii="宋体" w:hAnsi="宋体" w:cs="宋体" w:eastAsia="宋体" w:hint="default"/>
        </w:rPr>
      </w:pPr>
      <w:r>
        <w:rPr>
          <w:spacing w:val="-2"/>
        </w:rPr>
        <w:t>资产负债表中将“应收票据”和“应收账款”归并至新增的“应收票据及应收账款”项目；将“应收股利”和“应收利</w:t>
      </w:r>
      <w:r>
        <w:rPr/>
        <w:t> </w:t>
      </w:r>
      <w:r>
        <w:rPr>
          <w:spacing w:val="-4"/>
        </w:rPr>
        <w:t>息”归并至“其他应收款”项目；将“固定资产清理”归并至“固定资产”项目；将“工程物资”归并至“在建工程”项目；</w:t>
      </w:r>
      <w:r>
        <w:rPr>
          <w:spacing w:val="-51"/>
        </w:rPr>
        <w:t> </w:t>
      </w:r>
      <w:r>
        <w:rPr>
          <w:spacing w:val="-51"/>
        </w:rPr>
      </w:r>
      <w:r>
        <w:rPr>
          <w:spacing w:val="-2"/>
        </w:rPr>
        <w:t>将“应付票据”和“应付账款”归并至新增的“应付票据及应付账款”项目；将“应付股利”和“应付利息”归并至“其他</w:t>
      </w:r>
      <w:r>
        <w:rPr>
          <w:spacing w:val="-71"/>
        </w:rPr>
        <w:t> </w:t>
      </w:r>
      <w:r>
        <w:rPr>
          <w:spacing w:val="-71"/>
        </w:rPr>
      </w:r>
      <w:r>
        <w:rPr/>
        <w:t>应付款”项目；将“专项应付款”归并至“长期应付款”项目。</w:t>
      </w:r>
      <w:r>
        <w:rPr>
          <w:rFonts w:ascii="宋体" w:hAnsi="宋体" w:cs="宋体" w:eastAsia="宋体" w:hint="default"/>
        </w:rPr>
        <w:t> </w:t>
      </w:r>
    </w:p>
    <w:p>
      <w:pPr>
        <w:pStyle w:val="BodyText"/>
        <w:spacing w:line="316" w:lineRule="auto" w:before="19"/>
        <w:ind w:right="977" w:firstLine="360"/>
        <w:jc w:val="left"/>
        <w:rPr>
          <w:rFonts w:ascii="宋体" w:hAnsi="宋体" w:cs="宋体" w:eastAsia="宋体" w:hint="default"/>
        </w:rPr>
      </w:pPr>
      <w:r>
        <w:rPr>
          <w:spacing w:val="-2"/>
        </w:rPr>
        <w:t>利润表中从“管理费用”项目中分拆出“研发费用”项目，在财务费用项目下分拆“利息费用”和“利息收入”明细项</w:t>
      </w:r>
      <w:r>
        <w:rPr/>
        <w:t> 目。</w:t>
      </w:r>
      <w:r>
        <w:rPr>
          <w:rFonts w:ascii="宋体" w:hAnsi="宋体" w:cs="宋体" w:eastAsia="宋体" w:hint="default"/>
        </w:rPr>
        <w:t> </w:t>
      </w:r>
    </w:p>
    <w:p>
      <w:pPr>
        <w:pStyle w:val="BodyText"/>
        <w:spacing w:line="316" w:lineRule="auto" w:before="19"/>
        <w:ind w:right="1034" w:firstLine="360"/>
        <w:jc w:val="left"/>
        <w:rPr>
          <w:rFonts w:ascii="宋体" w:hAnsi="宋体" w:cs="宋体" w:eastAsia="宋体" w:hint="default"/>
        </w:rPr>
      </w:pPr>
      <w:r>
        <w:rPr/>
        <w:t>本公司根据财会</w:t>
      </w:r>
      <w:r>
        <w:rPr>
          <w:rFonts w:ascii="宋体" w:hAnsi="宋体" w:cs="宋体" w:eastAsia="宋体" w:hint="default"/>
        </w:rPr>
        <w:t>[2018]15</w:t>
      </w:r>
      <w:r>
        <w:rPr/>
        <w:t>号规定的财务报表格式编制</w:t>
      </w:r>
      <w:r>
        <w:rPr>
          <w:rFonts w:ascii="宋体" w:hAnsi="宋体" w:cs="宋体" w:eastAsia="宋体" w:hint="default"/>
        </w:rPr>
        <w:t>2018</w:t>
      </w:r>
      <w:r>
        <w:rPr/>
        <w:t>年度财务报表，并采用追溯调整法变更了相关财务报表列报。 相关列报调整影响如下：</w:t>
      </w:r>
      <w:r>
        <w:rPr>
          <w:rFonts w:ascii="宋体" w:hAnsi="宋体" w:cs="宋体" w:eastAsia="宋体" w:hint="default"/>
        </w:rPr>
        <w:t> </w:t>
      </w:r>
    </w:p>
    <w:p>
      <w:pPr>
        <w:pStyle w:val="BodyText"/>
        <w:spacing w:line="240" w:lineRule="auto" w:before="19"/>
        <w:ind w:left="473" w:right="977"/>
        <w:jc w:val="left"/>
        <w:rPr>
          <w:rFonts w:ascii="宋体" w:hAnsi="宋体" w:cs="宋体" w:eastAsia="宋体" w:hint="default"/>
        </w:rPr>
      </w:pP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日受影响的合并资产负债表和母公司资产负债表</w:t>
      </w:r>
      <w:r>
        <w:rPr>
          <w:rFonts w:ascii="宋体" w:hAnsi="宋体" w:cs="宋体" w:eastAsia="宋体" w:hint="default"/>
        </w:rPr>
        <w:t> </w:t>
      </w:r>
    </w:p>
    <w:p>
      <w:pPr>
        <w:spacing w:line="240" w:lineRule="auto" w:before="0"/>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410"/>
        <w:gridCol w:w="2055"/>
        <w:gridCol w:w="1844"/>
        <w:gridCol w:w="1673"/>
        <w:gridCol w:w="1666"/>
      </w:tblGrid>
      <w:tr>
        <w:trPr>
          <w:trHeight w:val="346" w:hRule="exact"/>
        </w:trPr>
        <w:tc>
          <w:tcPr>
            <w:tcW w:w="2410" w:type="dxa"/>
            <w:vMerge w:val="restart"/>
            <w:tcBorders>
              <w:top w:val="single" w:sz="4" w:space="0" w:color="000000"/>
              <w:left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899" w:type="dxa"/>
            <w:gridSpan w:val="2"/>
            <w:tcBorders>
              <w:top w:val="single" w:sz="4" w:space="0" w:color="000000"/>
              <w:left w:val="single" w:sz="6" w:space="0" w:color="000000"/>
              <w:bottom w:val="single" w:sz="8" w:space="0" w:color="000000"/>
              <w:right w:val="single" w:sz="6" w:space="0" w:color="000000"/>
            </w:tcBorders>
          </w:tcPr>
          <w:p>
            <w:pPr>
              <w:pStyle w:val="TableParagraph"/>
              <w:spacing w:line="240" w:lineRule="auto" w:before="20"/>
              <w:ind w:left="1313" w:right="0"/>
              <w:jc w:val="left"/>
              <w:rPr>
                <w:rFonts w:ascii="宋体" w:hAnsi="宋体" w:cs="宋体" w:eastAsia="宋体" w:hint="default"/>
                <w:sz w:val="18"/>
                <w:szCs w:val="18"/>
              </w:rPr>
            </w:pPr>
            <w:r>
              <w:rPr>
                <w:rFonts w:ascii="宋体" w:hAnsi="宋体" w:cs="宋体" w:eastAsia="宋体" w:hint="default"/>
                <w:sz w:val="18"/>
                <w:szCs w:val="18"/>
              </w:rPr>
              <w:t>合并资产负债表</w:t>
            </w:r>
            <w:r>
              <w:rPr>
                <w:rFonts w:ascii="宋体" w:hAnsi="宋体" w:cs="宋体" w:eastAsia="宋体" w:hint="default"/>
                <w:sz w:val="18"/>
                <w:szCs w:val="18"/>
              </w:rPr>
              <w:t> </w:t>
            </w:r>
          </w:p>
        </w:tc>
        <w:tc>
          <w:tcPr>
            <w:tcW w:w="3339" w:type="dxa"/>
            <w:gridSpan w:val="2"/>
            <w:tcBorders>
              <w:top w:val="single" w:sz="4" w:space="0" w:color="000000"/>
              <w:left w:val="single" w:sz="6" w:space="0" w:color="000000"/>
              <w:bottom w:val="single" w:sz="8" w:space="0" w:color="000000"/>
              <w:right w:val="single" w:sz="4" w:space="0" w:color="000000"/>
            </w:tcBorders>
          </w:tcPr>
          <w:p>
            <w:pPr>
              <w:pStyle w:val="TableParagraph"/>
              <w:spacing w:line="240" w:lineRule="auto" w:before="20"/>
              <w:ind w:left="943" w:right="0"/>
              <w:jc w:val="left"/>
              <w:rPr>
                <w:rFonts w:ascii="宋体" w:hAnsi="宋体" w:cs="宋体" w:eastAsia="宋体" w:hint="default"/>
                <w:sz w:val="18"/>
                <w:szCs w:val="18"/>
              </w:rPr>
            </w:pPr>
            <w:r>
              <w:rPr>
                <w:rFonts w:ascii="宋体" w:hAnsi="宋体" w:cs="宋体" w:eastAsia="宋体" w:hint="default"/>
                <w:sz w:val="18"/>
                <w:szCs w:val="18"/>
              </w:rPr>
              <w:t>母公司资产负债表</w:t>
            </w:r>
            <w:r>
              <w:rPr>
                <w:rFonts w:ascii="宋体" w:hAnsi="宋体" w:cs="宋体" w:eastAsia="宋体" w:hint="default"/>
                <w:sz w:val="18"/>
                <w:szCs w:val="18"/>
              </w:rPr>
              <w:t> </w:t>
            </w:r>
          </w:p>
        </w:tc>
      </w:tr>
      <w:tr>
        <w:trPr>
          <w:trHeight w:val="348" w:hRule="exact"/>
        </w:trPr>
        <w:tc>
          <w:tcPr>
            <w:tcW w:w="2410" w:type="dxa"/>
            <w:vMerge/>
            <w:tcBorders>
              <w:left w:val="single" w:sz="4" w:space="0" w:color="000000"/>
              <w:bottom w:val="single" w:sz="8" w:space="0" w:color="000000"/>
              <w:right w:val="single" w:sz="6" w:space="0" w:color="000000"/>
            </w:tcBorders>
          </w:tcPr>
          <w:p>
            <w:pPr/>
          </w:p>
        </w:tc>
        <w:tc>
          <w:tcPr>
            <w:tcW w:w="20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751"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646"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16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559"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666"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7"/>
              <w:ind w:left="554"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r>
      <w:tr>
        <w:trPr>
          <w:trHeight w:val="349" w:hRule="exact"/>
        </w:trPr>
        <w:tc>
          <w:tcPr>
            <w:tcW w:w="2410" w:type="dxa"/>
            <w:tcBorders>
              <w:top w:val="single" w:sz="8" w:space="0" w:color="000000"/>
              <w:left w:val="single" w:sz="4" w:space="0" w:color="000000"/>
              <w:bottom w:val="single" w:sz="8" w:space="0" w:color="000000"/>
              <w:right w:val="single" w:sz="6" w:space="0" w:color="000000"/>
            </w:tcBorders>
          </w:tcPr>
          <w:p>
            <w:pPr>
              <w:pStyle w:val="TableParagraph"/>
              <w:spacing w:line="240" w:lineRule="auto" w:before="16"/>
              <w:ind w:left="7"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20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8"/>
              <w:ind w:right="-1"/>
              <w:jc w:val="right"/>
              <w:rPr>
                <w:rFonts w:ascii="Times New Roman" w:hAnsi="Times New Roman" w:cs="Times New Roman" w:eastAsia="Times New Roman" w:hint="default"/>
                <w:sz w:val="18"/>
                <w:szCs w:val="18"/>
              </w:rPr>
            </w:pPr>
            <w:r>
              <w:rPr>
                <w:rFonts w:ascii="Times New Roman"/>
                <w:spacing w:val="-1"/>
                <w:sz w:val="18"/>
              </w:rPr>
              <w:t>1,291,677,503.25</w:t>
            </w:r>
          </w:p>
        </w:tc>
        <w:tc>
          <w:tcPr>
            <w:tcW w:w="1844" w:type="dxa"/>
            <w:tcBorders>
              <w:top w:val="single" w:sz="8" w:space="0" w:color="000000"/>
              <w:left w:val="single" w:sz="6" w:space="0" w:color="000000"/>
              <w:bottom w:val="single" w:sz="8" w:space="0" w:color="000000"/>
              <w:right w:val="single" w:sz="6" w:space="0" w:color="000000"/>
            </w:tcBorders>
          </w:tcPr>
          <w:p>
            <w:pPr/>
          </w:p>
        </w:tc>
        <w:tc>
          <w:tcPr>
            <w:tcW w:w="16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8"/>
              <w:ind w:right="1"/>
              <w:jc w:val="right"/>
              <w:rPr>
                <w:rFonts w:ascii="Times New Roman" w:hAnsi="Times New Roman" w:cs="Times New Roman" w:eastAsia="Times New Roman" w:hint="default"/>
                <w:sz w:val="18"/>
                <w:szCs w:val="18"/>
              </w:rPr>
            </w:pPr>
            <w:r>
              <w:rPr>
                <w:rFonts w:ascii="Times New Roman"/>
                <w:spacing w:val="-1"/>
                <w:sz w:val="18"/>
              </w:rPr>
              <w:t>1,291,677,503.25</w:t>
            </w:r>
          </w:p>
        </w:tc>
        <w:tc>
          <w:tcPr>
            <w:tcW w:w="1666" w:type="dxa"/>
            <w:tcBorders>
              <w:top w:val="single" w:sz="8" w:space="0" w:color="000000"/>
              <w:left w:val="single" w:sz="6" w:space="0" w:color="000000"/>
              <w:bottom w:val="single" w:sz="8" w:space="0" w:color="000000"/>
              <w:right w:val="single" w:sz="4" w:space="0" w:color="000000"/>
            </w:tcBorders>
          </w:tcPr>
          <w:p>
            <w:pPr/>
          </w:p>
        </w:tc>
      </w:tr>
      <w:tr>
        <w:trPr>
          <w:trHeight w:val="346" w:hRule="exact"/>
        </w:trPr>
        <w:tc>
          <w:tcPr>
            <w:tcW w:w="2410" w:type="dxa"/>
            <w:tcBorders>
              <w:top w:val="single" w:sz="8" w:space="0" w:color="000000"/>
              <w:left w:val="single" w:sz="4" w:space="0" w:color="000000"/>
              <w:bottom w:val="single" w:sz="8" w:space="0" w:color="000000"/>
              <w:right w:val="single" w:sz="6" w:space="0" w:color="000000"/>
            </w:tcBorders>
          </w:tcPr>
          <w:p>
            <w:pPr>
              <w:pStyle w:val="TableParagraph"/>
              <w:spacing w:line="240" w:lineRule="auto" w:before="15"/>
              <w:ind w:left="7"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r>
              <w:rPr>
                <w:rFonts w:ascii="宋体" w:hAnsi="宋体" w:cs="宋体" w:eastAsia="宋体" w:hint="default"/>
                <w:sz w:val="18"/>
                <w:szCs w:val="18"/>
              </w:rPr>
              <w:t> </w:t>
            </w:r>
          </w:p>
        </w:tc>
        <w:tc>
          <w:tcPr>
            <w:tcW w:w="2055" w:type="dxa"/>
            <w:tcBorders>
              <w:top w:val="single" w:sz="8" w:space="0" w:color="000000"/>
              <w:left w:val="single" w:sz="6" w:space="0" w:color="000000"/>
              <w:bottom w:val="single" w:sz="8" w:space="0" w:color="000000"/>
              <w:right w:val="single" w:sz="6" w:space="0" w:color="000000"/>
            </w:tcBorders>
          </w:tcPr>
          <w:p>
            <w:pP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1,291,677,503.25</w:t>
            </w:r>
          </w:p>
        </w:tc>
        <w:tc>
          <w:tcPr>
            <w:tcW w:w="1673" w:type="dxa"/>
            <w:tcBorders>
              <w:top w:val="single" w:sz="8" w:space="0" w:color="000000"/>
              <w:left w:val="single" w:sz="6" w:space="0" w:color="000000"/>
              <w:bottom w:val="single" w:sz="8" w:space="0" w:color="000000"/>
              <w:right w:val="single" w:sz="6" w:space="0" w:color="000000"/>
            </w:tcBorders>
          </w:tcPr>
          <w:p>
            <w:pPr/>
          </w:p>
        </w:tc>
        <w:tc>
          <w:tcPr>
            <w:tcW w:w="1666"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57"/>
              <w:ind w:right="3"/>
              <w:jc w:val="right"/>
              <w:rPr>
                <w:rFonts w:ascii="Times New Roman" w:hAnsi="Times New Roman" w:cs="Times New Roman" w:eastAsia="Times New Roman" w:hint="default"/>
                <w:sz w:val="18"/>
                <w:szCs w:val="18"/>
              </w:rPr>
            </w:pPr>
            <w:r>
              <w:rPr>
                <w:rFonts w:ascii="Times New Roman"/>
                <w:spacing w:val="-1"/>
                <w:sz w:val="18"/>
              </w:rPr>
              <w:t>1,291,677,503.25</w:t>
            </w:r>
          </w:p>
        </w:tc>
      </w:tr>
      <w:tr>
        <w:trPr>
          <w:trHeight w:val="348" w:hRule="exact"/>
        </w:trPr>
        <w:tc>
          <w:tcPr>
            <w:tcW w:w="2410" w:type="dxa"/>
            <w:tcBorders>
              <w:top w:val="single" w:sz="8" w:space="0" w:color="000000"/>
              <w:left w:val="single" w:sz="4" w:space="0" w:color="000000"/>
              <w:bottom w:val="single" w:sz="8" w:space="0" w:color="000000"/>
              <w:right w:val="single" w:sz="6"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20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20,000,000.00</w:t>
            </w:r>
          </w:p>
        </w:tc>
        <w:tc>
          <w:tcPr>
            <w:tcW w:w="1844" w:type="dxa"/>
            <w:tcBorders>
              <w:top w:val="single" w:sz="8" w:space="0" w:color="000000"/>
              <w:left w:val="single" w:sz="6" w:space="0" w:color="000000"/>
              <w:bottom w:val="single" w:sz="8" w:space="0" w:color="000000"/>
              <w:right w:val="single" w:sz="6" w:space="0" w:color="000000"/>
            </w:tcBorders>
          </w:tcPr>
          <w:p>
            <w:pPr/>
          </w:p>
        </w:tc>
        <w:tc>
          <w:tcPr>
            <w:tcW w:w="16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666" w:type="dxa"/>
            <w:tcBorders>
              <w:top w:val="single" w:sz="8" w:space="0" w:color="000000"/>
              <w:left w:val="single" w:sz="6" w:space="0" w:color="000000"/>
              <w:bottom w:val="single" w:sz="8" w:space="0" w:color="000000"/>
              <w:right w:val="single" w:sz="4" w:space="0" w:color="000000"/>
            </w:tcBorders>
          </w:tcPr>
          <w:p>
            <w:pPr/>
          </w:p>
        </w:tc>
      </w:tr>
      <w:tr>
        <w:trPr>
          <w:trHeight w:val="346" w:hRule="exact"/>
        </w:trPr>
        <w:tc>
          <w:tcPr>
            <w:tcW w:w="2410" w:type="dxa"/>
            <w:tcBorders>
              <w:top w:val="single" w:sz="8" w:space="0" w:color="000000"/>
              <w:left w:val="single" w:sz="4" w:space="0" w:color="000000"/>
              <w:bottom w:val="single" w:sz="8" w:space="0" w:color="000000"/>
              <w:right w:val="single" w:sz="6" w:space="0" w:color="000000"/>
            </w:tcBorders>
          </w:tcPr>
          <w:p>
            <w:pPr>
              <w:pStyle w:val="TableParagraph"/>
              <w:spacing w:line="240" w:lineRule="auto" w:before="15"/>
              <w:ind w:left="7"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20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3"/>
              <w:jc w:val="right"/>
              <w:rPr>
                <w:rFonts w:ascii="Times New Roman" w:hAnsi="Times New Roman" w:cs="Times New Roman" w:eastAsia="Times New Roman" w:hint="default"/>
                <w:sz w:val="18"/>
                <w:szCs w:val="18"/>
              </w:rPr>
            </w:pPr>
            <w:r>
              <w:rPr>
                <w:rFonts w:ascii="Times New Roman"/>
                <w:spacing w:val="-1"/>
                <w:sz w:val="18"/>
              </w:rPr>
              <w:t>539,854,990.24</w:t>
            </w:r>
            <w:r>
              <w:rPr>
                <w:rFonts w:ascii="Times New Roman"/>
                <w:sz w:val="18"/>
              </w:rPr>
            </w:r>
          </w:p>
        </w:tc>
        <w:tc>
          <w:tcPr>
            <w:tcW w:w="1844" w:type="dxa"/>
            <w:tcBorders>
              <w:top w:val="single" w:sz="8" w:space="0" w:color="000000"/>
              <w:left w:val="single" w:sz="6" w:space="0" w:color="000000"/>
              <w:bottom w:val="single" w:sz="8" w:space="0" w:color="000000"/>
              <w:right w:val="single" w:sz="6" w:space="0" w:color="000000"/>
            </w:tcBorders>
          </w:tcPr>
          <w:p>
            <w:pPr/>
          </w:p>
        </w:tc>
        <w:tc>
          <w:tcPr>
            <w:tcW w:w="16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534,713,176.60</w:t>
            </w:r>
          </w:p>
        </w:tc>
        <w:tc>
          <w:tcPr>
            <w:tcW w:w="1666" w:type="dxa"/>
            <w:tcBorders>
              <w:top w:val="single" w:sz="8" w:space="0" w:color="000000"/>
              <w:left w:val="single" w:sz="6" w:space="0" w:color="000000"/>
              <w:bottom w:val="single" w:sz="8" w:space="0" w:color="000000"/>
              <w:right w:val="single" w:sz="4" w:space="0" w:color="000000"/>
            </w:tcBorders>
          </w:tcPr>
          <w:p>
            <w:pPr/>
          </w:p>
        </w:tc>
      </w:tr>
      <w:tr>
        <w:trPr>
          <w:trHeight w:val="348" w:hRule="exact"/>
        </w:trPr>
        <w:tc>
          <w:tcPr>
            <w:tcW w:w="2410" w:type="dxa"/>
            <w:tcBorders>
              <w:top w:val="single" w:sz="8" w:space="0" w:color="000000"/>
              <w:left w:val="single" w:sz="4" w:space="0" w:color="000000"/>
              <w:bottom w:val="single" w:sz="8" w:space="0" w:color="000000"/>
              <w:right w:val="single" w:sz="6"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r>
              <w:rPr>
                <w:rFonts w:ascii="宋体" w:hAnsi="宋体" w:cs="宋体" w:eastAsia="宋体" w:hint="default"/>
                <w:sz w:val="18"/>
                <w:szCs w:val="18"/>
              </w:rPr>
              <w:t> </w:t>
            </w:r>
          </w:p>
        </w:tc>
        <w:tc>
          <w:tcPr>
            <w:tcW w:w="2055" w:type="dxa"/>
            <w:tcBorders>
              <w:top w:val="single" w:sz="8" w:space="0" w:color="000000"/>
              <w:left w:val="single" w:sz="6" w:space="0" w:color="000000"/>
              <w:bottom w:val="single" w:sz="8" w:space="0" w:color="000000"/>
              <w:right w:val="single" w:sz="6" w:space="0" w:color="000000"/>
            </w:tcBorders>
          </w:tcPr>
          <w:p>
            <w:pP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559,854,990.24</w:t>
            </w:r>
          </w:p>
        </w:tc>
        <w:tc>
          <w:tcPr>
            <w:tcW w:w="1673" w:type="dxa"/>
            <w:tcBorders>
              <w:top w:val="single" w:sz="8" w:space="0" w:color="000000"/>
              <w:left w:val="single" w:sz="6" w:space="0" w:color="000000"/>
              <w:bottom w:val="single" w:sz="8" w:space="0" w:color="000000"/>
              <w:right w:val="single" w:sz="6" w:space="0" w:color="000000"/>
            </w:tcBorders>
          </w:tcPr>
          <w:p>
            <w:pPr/>
          </w:p>
        </w:tc>
        <w:tc>
          <w:tcPr>
            <w:tcW w:w="1666"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554,713,176.60</w:t>
            </w:r>
          </w:p>
        </w:tc>
      </w:tr>
      <w:tr>
        <w:trPr>
          <w:trHeight w:val="346" w:hRule="exact"/>
        </w:trPr>
        <w:tc>
          <w:tcPr>
            <w:tcW w:w="2410" w:type="dxa"/>
            <w:tcBorders>
              <w:top w:val="single" w:sz="8" w:space="0" w:color="000000"/>
              <w:left w:val="single" w:sz="4" w:space="0" w:color="000000"/>
              <w:bottom w:val="single" w:sz="8" w:space="0" w:color="000000"/>
              <w:right w:val="single" w:sz="6" w:space="0" w:color="000000"/>
            </w:tcBorders>
          </w:tcPr>
          <w:p>
            <w:pPr>
              <w:pStyle w:val="TableParagraph"/>
              <w:spacing w:line="240" w:lineRule="auto" w:before="15"/>
              <w:ind w:left="7" w:right="0"/>
              <w:jc w:val="left"/>
              <w:rPr>
                <w:rFonts w:ascii="宋体" w:hAnsi="宋体" w:cs="宋体" w:eastAsia="宋体" w:hint="default"/>
                <w:sz w:val="18"/>
                <w:szCs w:val="18"/>
              </w:rPr>
            </w:pPr>
            <w:r>
              <w:rPr>
                <w:rFonts w:ascii="宋体" w:hAnsi="宋体" w:cs="宋体" w:eastAsia="宋体" w:hint="default"/>
                <w:sz w:val="18"/>
                <w:szCs w:val="18"/>
              </w:rPr>
              <w:t>应付利息</w:t>
            </w:r>
            <w:r>
              <w:rPr>
                <w:rFonts w:ascii="宋体" w:hAnsi="宋体" w:cs="宋体" w:eastAsia="宋体" w:hint="default"/>
                <w:sz w:val="18"/>
                <w:szCs w:val="18"/>
              </w:rPr>
              <w:t> </w:t>
            </w:r>
          </w:p>
        </w:tc>
        <w:tc>
          <w:tcPr>
            <w:tcW w:w="20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122,564.10</w:t>
            </w:r>
          </w:p>
        </w:tc>
        <w:tc>
          <w:tcPr>
            <w:tcW w:w="1844" w:type="dxa"/>
            <w:tcBorders>
              <w:top w:val="single" w:sz="8" w:space="0" w:color="000000"/>
              <w:left w:val="single" w:sz="6" w:space="0" w:color="000000"/>
              <w:bottom w:val="single" w:sz="8" w:space="0" w:color="000000"/>
              <w:right w:val="single" w:sz="6" w:space="0" w:color="000000"/>
            </w:tcBorders>
          </w:tcPr>
          <w:p>
            <w:pPr/>
          </w:p>
        </w:tc>
        <w:tc>
          <w:tcPr>
            <w:tcW w:w="16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122,564.10</w:t>
            </w:r>
          </w:p>
        </w:tc>
        <w:tc>
          <w:tcPr>
            <w:tcW w:w="1666" w:type="dxa"/>
            <w:tcBorders>
              <w:top w:val="single" w:sz="8" w:space="0" w:color="000000"/>
              <w:left w:val="single" w:sz="6" w:space="0" w:color="000000"/>
              <w:bottom w:val="single" w:sz="8" w:space="0" w:color="000000"/>
              <w:right w:val="single" w:sz="4" w:space="0" w:color="000000"/>
            </w:tcBorders>
          </w:tcPr>
          <w:p>
            <w:pPr/>
          </w:p>
        </w:tc>
      </w:tr>
      <w:tr>
        <w:trPr>
          <w:trHeight w:val="343" w:hRule="exact"/>
        </w:trPr>
        <w:tc>
          <w:tcPr>
            <w:tcW w:w="2410" w:type="dxa"/>
            <w:tcBorders>
              <w:top w:val="single" w:sz="8" w:space="0" w:color="000000"/>
              <w:left w:val="single" w:sz="4" w:space="0" w:color="000000"/>
              <w:bottom w:val="single" w:sz="4" w:space="0" w:color="000000"/>
              <w:right w:val="single" w:sz="6"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2055" w:type="dxa"/>
            <w:tcBorders>
              <w:top w:val="single" w:sz="8" w:space="0" w:color="000000"/>
              <w:left w:val="single" w:sz="6" w:space="0" w:color="000000"/>
              <w:bottom w:val="single" w:sz="4"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5,273,249.95</w:t>
            </w:r>
          </w:p>
        </w:tc>
        <w:tc>
          <w:tcPr>
            <w:tcW w:w="1844" w:type="dxa"/>
            <w:tcBorders>
              <w:top w:val="single" w:sz="8" w:space="0" w:color="000000"/>
              <w:left w:val="single" w:sz="6" w:space="0" w:color="000000"/>
              <w:bottom w:val="single" w:sz="4"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5,395,814.05</w:t>
            </w:r>
          </w:p>
        </w:tc>
        <w:tc>
          <w:tcPr>
            <w:tcW w:w="1673" w:type="dxa"/>
            <w:tcBorders>
              <w:top w:val="single" w:sz="8" w:space="0" w:color="000000"/>
              <w:left w:val="single" w:sz="6" w:space="0" w:color="000000"/>
              <w:bottom w:val="single" w:sz="4"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5,018,111.35</w:t>
            </w:r>
          </w:p>
        </w:tc>
        <w:tc>
          <w:tcPr>
            <w:tcW w:w="1666"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5,140,675.45</w:t>
            </w:r>
          </w:p>
        </w:tc>
      </w:tr>
    </w:tbl>
    <w:p>
      <w:pPr>
        <w:pStyle w:val="BodyText"/>
        <w:spacing w:line="240" w:lineRule="auto" w:before="10"/>
        <w:ind w:left="473" w:right="977"/>
        <w:jc w:val="left"/>
        <w:rPr>
          <w:rFonts w:ascii="宋体" w:hAnsi="宋体" w:cs="宋体" w:eastAsia="宋体" w:hint="default"/>
        </w:rPr>
      </w:pPr>
      <w:r>
        <w:rPr>
          <w:rFonts w:ascii="宋体" w:hAnsi="宋体" w:cs="宋体" w:eastAsia="宋体" w:hint="default"/>
        </w:rPr>
        <w:t>2017</w:t>
      </w:r>
      <w:r>
        <w:rPr/>
        <w:t>年度受影响的合并利润表和母公司利润表</w:t>
      </w:r>
      <w:r>
        <w:rPr>
          <w:rFonts w:ascii="宋体" w:hAnsi="宋体" w:cs="宋体" w:eastAsia="宋体" w:hint="default"/>
        </w:rPr>
        <w:t> </w:t>
      </w:r>
    </w:p>
    <w:p>
      <w:pPr>
        <w:spacing w:line="240" w:lineRule="auto" w:before="0"/>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1277"/>
        <w:gridCol w:w="2185"/>
        <w:gridCol w:w="2900"/>
        <w:gridCol w:w="1640"/>
        <w:gridCol w:w="1642"/>
      </w:tblGrid>
      <w:tr>
        <w:trPr>
          <w:trHeight w:val="348" w:hRule="exact"/>
        </w:trPr>
        <w:tc>
          <w:tcPr>
            <w:tcW w:w="1277" w:type="dxa"/>
            <w:vMerge w:val="restart"/>
            <w:tcBorders>
              <w:top w:val="single" w:sz="4" w:space="0" w:color="000000"/>
              <w:left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5084" w:type="dxa"/>
            <w:gridSpan w:val="2"/>
            <w:tcBorders>
              <w:top w:val="single" w:sz="4" w:space="0" w:color="000000"/>
              <w:left w:val="single" w:sz="6" w:space="0" w:color="000000"/>
              <w:bottom w:val="single" w:sz="8"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合并利润表</w:t>
            </w:r>
            <w:r>
              <w:rPr>
                <w:rFonts w:ascii="宋体" w:hAnsi="宋体" w:cs="宋体" w:eastAsia="宋体" w:hint="default"/>
                <w:sz w:val="18"/>
                <w:szCs w:val="18"/>
              </w:rPr>
              <w:t> </w:t>
            </w:r>
          </w:p>
        </w:tc>
        <w:tc>
          <w:tcPr>
            <w:tcW w:w="3281" w:type="dxa"/>
            <w:gridSpan w:val="2"/>
            <w:tcBorders>
              <w:top w:val="single" w:sz="4" w:space="0" w:color="000000"/>
              <w:left w:val="single" w:sz="6" w:space="0" w:color="000000"/>
              <w:bottom w:val="single" w:sz="8" w:space="0" w:color="000000"/>
              <w:right w:val="single" w:sz="4" w:space="0" w:color="000000"/>
            </w:tcBorders>
          </w:tcPr>
          <w:p>
            <w:pPr>
              <w:pStyle w:val="TableParagraph"/>
              <w:spacing w:line="240" w:lineRule="auto" w:before="22"/>
              <w:ind w:left="1094" w:right="0"/>
              <w:jc w:val="left"/>
              <w:rPr>
                <w:rFonts w:ascii="宋体" w:hAnsi="宋体" w:cs="宋体" w:eastAsia="宋体" w:hint="default"/>
                <w:sz w:val="18"/>
                <w:szCs w:val="18"/>
              </w:rPr>
            </w:pPr>
            <w:r>
              <w:rPr>
                <w:rFonts w:ascii="宋体" w:hAnsi="宋体" w:cs="宋体" w:eastAsia="宋体" w:hint="default"/>
                <w:sz w:val="18"/>
                <w:szCs w:val="18"/>
              </w:rPr>
              <w:t>母公司利润表</w:t>
            </w:r>
            <w:r>
              <w:rPr>
                <w:rFonts w:ascii="宋体" w:hAnsi="宋体" w:cs="宋体" w:eastAsia="宋体" w:hint="default"/>
                <w:sz w:val="18"/>
                <w:szCs w:val="18"/>
              </w:rPr>
              <w:t> </w:t>
            </w:r>
          </w:p>
        </w:tc>
      </w:tr>
      <w:tr>
        <w:trPr>
          <w:trHeight w:val="346" w:hRule="exact"/>
        </w:trPr>
        <w:tc>
          <w:tcPr>
            <w:tcW w:w="1277" w:type="dxa"/>
            <w:vMerge/>
            <w:tcBorders>
              <w:left w:val="single" w:sz="4" w:space="0" w:color="000000"/>
              <w:bottom w:val="single" w:sz="8" w:space="0" w:color="000000"/>
              <w:right w:val="single" w:sz="6" w:space="0" w:color="000000"/>
            </w:tcBorders>
          </w:tcPr>
          <w:p>
            <w:pPr/>
          </w:p>
        </w:tc>
        <w:tc>
          <w:tcPr>
            <w:tcW w:w="21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87" w:right="0"/>
              <w:jc w:val="center"/>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29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87" w:right="0"/>
              <w:jc w:val="center"/>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164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544"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64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5"/>
              <w:ind w:left="544"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r>
      <w:tr>
        <w:trPr>
          <w:trHeight w:val="348" w:hRule="exact"/>
        </w:trPr>
        <w:tc>
          <w:tcPr>
            <w:tcW w:w="1277" w:type="dxa"/>
            <w:tcBorders>
              <w:top w:val="single" w:sz="8" w:space="0" w:color="000000"/>
              <w:left w:val="single" w:sz="4" w:space="0" w:color="000000"/>
              <w:bottom w:val="single" w:sz="8" w:space="0" w:color="000000"/>
              <w:right w:val="single" w:sz="6"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 </w:t>
            </w:r>
          </w:p>
        </w:tc>
        <w:tc>
          <w:tcPr>
            <w:tcW w:w="21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1041" w:right="0"/>
              <w:jc w:val="left"/>
              <w:rPr>
                <w:rFonts w:ascii="Times New Roman" w:hAnsi="Times New Roman" w:cs="Times New Roman" w:eastAsia="Times New Roman" w:hint="default"/>
                <w:sz w:val="18"/>
                <w:szCs w:val="18"/>
              </w:rPr>
            </w:pPr>
            <w:r>
              <w:rPr>
                <w:rFonts w:ascii="Times New Roman"/>
                <w:sz w:val="18"/>
              </w:rPr>
              <w:t>261,826,151.01</w:t>
            </w:r>
          </w:p>
        </w:tc>
        <w:tc>
          <w:tcPr>
            <w:tcW w:w="29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1757" w:right="0"/>
              <w:jc w:val="left"/>
              <w:rPr>
                <w:rFonts w:ascii="Times New Roman" w:hAnsi="Times New Roman" w:cs="Times New Roman" w:eastAsia="Times New Roman" w:hint="default"/>
                <w:sz w:val="18"/>
                <w:szCs w:val="18"/>
              </w:rPr>
            </w:pPr>
            <w:r>
              <w:rPr>
                <w:rFonts w:ascii="Times New Roman"/>
                <w:sz w:val="18"/>
              </w:rPr>
              <w:t>173,795,414.88</w:t>
            </w:r>
          </w:p>
        </w:tc>
        <w:tc>
          <w:tcPr>
            <w:tcW w:w="164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499" w:right="0"/>
              <w:jc w:val="left"/>
              <w:rPr>
                <w:rFonts w:ascii="Times New Roman" w:hAnsi="Times New Roman" w:cs="Times New Roman" w:eastAsia="Times New Roman" w:hint="default"/>
                <w:sz w:val="18"/>
                <w:szCs w:val="18"/>
              </w:rPr>
            </w:pPr>
            <w:r>
              <w:rPr>
                <w:rFonts w:ascii="Times New Roman"/>
                <w:sz w:val="18"/>
              </w:rPr>
              <w:t>255,151,137.07</w:t>
            </w:r>
          </w:p>
        </w:tc>
        <w:tc>
          <w:tcPr>
            <w:tcW w:w="164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60"/>
              <w:ind w:left="499" w:right="0"/>
              <w:jc w:val="left"/>
              <w:rPr>
                <w:rFonts w:ascii="Times New Roman" w:hAnsi="Times New Roman" w:cs="Times New Roman" w:eastAsia="Times New Roman" w:hint="default"/>
                <w:sz w:val="18"/>
                <w:szCs w:val="18"/>
              </w:rPr>
            </w:pPr>
            <w:r>
              <w:rPr>
                <w:rFonts w:ascii="Times New Roman"/>
                <w:sz w:val="18"/>
              </w:rPr>
              <w:t>167,670,580.67</w:t>
            </w:r>
          </w:p>
        </w:tc>
      </w:tr>
    </w:tbl>
    <w:p>
      <w:pPr>
        <w:spacing w:after="0" w:line="240" w:lineRule="auto"/>
        <w:jc w:val="left"/>
        <w:rPr>
          <w:rFonts w:ascii="Times New Roman" w:hAnsi="Times New Roman" w:cs="Times New Roman" w:eastAsia="Times New Roman" w:hint="default"/>
          <w:sz w:val="18"/>
          <w:szCs w:val="18"/>
        </w:rPr>
        <w:sectPr>
          <w:pgSz w:w="11910" w:h="16840"/>
          <w:pgMar w:header="910" w:footer="1013" w:top="1100" w:bottom="1200" w:left="1020" w:right="0"/>
        </w:sectPr>
      </w:pPr>
    </w:p>
    <w:p>
      <w:pPr>
        <w:spacing w:line="240" w:lineRule="auto" w:before="2"/>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277"/>
        <w:gridCol w:w="2185"/>
        <w:gridCol w:w="2900"/>
        <w:gridCol w:w="1640"/>
        <w:gridCol w:w="1642"/>
      </w:tblGrid>
      <w:tr>
        <w:trPr>
          <w:trHeight w:val="348" w:hRule="exact"/>
        </w:trPr>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研发费用</w:t>
            </w:r>
            <w:r>
              <w:rPr>
                <w:rFonts w:ascii="宋体" w:hAnsi="宋体" w:cs="宋体" w:eastAsia="宋体" w:hint="default"/>
                <w:sz w:val="18"/>
                <w:szCs w:val="18"/>
              </w:rPr>
              <w:t> </w:t>
            </w:r>
          </w:p>
        </w:tc>
        <w:tc>
          <w:tcPr>
            <w:tcW w:w="2185" w:type="dxa"/>
            <w:tcBorders>
              <w:top w:val="single" w:sz="6" w:space="0" w:color="000000"/>
              <w:left w:val="single" w:sz="6" w:space="0" w:color="000000"/>
              <w:bottom w:val="single" w:sz="6" w:space="0" w:color="000000"/>
              <w:right w:val="single" w:sz="6" w:space="0" w:color="000000"/>
            </w:tcBorders>
          </w:tcPr>
          <w:p>
            <w:pPr/>
          </w:p>
        </w:tc>
        <w:tc>
          <w:tcPr>
            <w:tcW w:w="2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88,030,736.13</w:t>
            </w:r>
          </w:p>
        </w:tc>
        <w:tc>
          <w:tcPr>
            <w:tcW w:w="1640" w:type="dxa"/>
            <w:tcBorders>
              <w:top w:val="single" w:sz="6" w:space="0" w:color="000000"/>
              <w:left w:val="single" w:sz="6" w:space="0" w:color="000000"/>
              <w:bottom w:val="single" w:sz="6" w:space="0" w:color="000000"/>
              <w:right w:val="single" w:sz="6" w:space="0" w:color="000000"/>
            </w:tcBorders>
          </w:tcPr>
          <w:p>
            <w:pPr/>
          </w:p>
        </w:tc>
        <w:tc>
          <w:tcPr>
            <w:tcW w:w="16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87,480,556.40</w:t>
            </w:r>
          </w:p>
        </w:tc>
      </w:tr>
      <w:tr>
        <w:trPr>
          <w:trHeight w:val="346" w:hRule="exact"/>
        </w:trPr>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营业外收入</w:t>
            </w:r>
            <w:r>
              <w:rPr>
                <w:rFonts w:ascii="宋体" w:hAnsi="宋体" w:cs="宋体" w:eastAsia="宋体" w:hint="default"/>
                <w:sz w:val="18"/>
                <w:szCs w:val="18"/>
              </w:rPr>
              <w:t> </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1,131,725.27</w:t>
            </w:r>
          </w:p>
        </w:tc>
        <w:tc>
          <w:tcPr>
            <w:tcW w:w="2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169,736.91</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1,091,744.37</w:t>
            </w:r>
          </w:p>
        </w:tc>
        <w:tc>
          <w:tcPr>
            <w:tcW w:w="16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129,756.01</w:t>
            </w:r>
          </w:p>
        </w:tc>
      </w:tr>
      <w:tr>
        <w:trPr>
          <w:trHeight w:val="346" w:hRule="exact"/>
        </w:trPr>
        <w:tc>
          <w:tcPr>
            <w:tcW w:w="1277"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18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10,720,600.00</w:t>
            </w:r>
          </w:p>
        </w:tc>
        <w:tc>
          <w:tcPr>
            <w:tcW w:w="290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11,682,588.36</w:t>
            </w:r>
          </w:p>
        </w:tc>
        <w:tc>
          <w:tcPr>
            <w:tcW w:w="164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10,498,200.00</w:t>
            </w:r>
          </w:p>
        </w:tc>
        <w:tc>
          <w:tcPr>
            <w:tcW w:w="164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11,460,188.36</w:t>
            </w:r>
          </w:p>
        </w:tc>
      </w:tr>
    </w:tbl>
    <w:p>
      <w:pPr>
        <w:pStyle w:val="BodyText"/>
        <w:spacing w:line="240" w:lineRule="auto" w:before="10"/>
        <w:ind w:left="473" w:right="977"/>
        <w:jc w:val="left"/>
        <w:rPr>
          <w:rFonts w:ascii="宋体" w:hAnsi="宋体" w:cs="宋体" w:eastAsia="宋体" w:hint="default"/>
        </w:rPr>
      </w:pPr>
      <w:r>
        <w:rPr/>
        <w:t>该会计政策变更已经公司第三届董事会第十四次会议审议通过。</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2"/>
        <w:spacing w:line="240" w:lineRule="auto"/>
        <w:ind w:right="977"/>
        <w:jc w:val="left"/>
        <w:rPr>
          <w:b w:val="0"/>
          <w:bCs w:val="0"/>
        </w:rPr>
      </w:pPr>
      <w:r>
        <w:rPr/>
        <w:t>七、报告期内发生重大会计差错更正需追溯重述的情况说明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614"/>
        <w:jc w:val="left"/>
      </w:pPr>
      <w:r>
        <w:rPr/>
        <w:t>□ 适用 √</w:t>
      </w:r>
      <w:r>
        <w:rPr>
          <w:spacing w:val="3"/>
        </w:rPr>
        <w:t> </w:t>
      </w:r>
      <w:r>
        <w:rPr/>
        <w:t>不适用</w:t>
      </w:r>
      <w:r>
        <w:rPr/>
        <w:t> 公司报告期无重大会计差错更正需追溯重述的情况。</w:t>
      </w:r>
    </w:p>
    <w:p>
      <w:pPr>
        <w:spacing w:line="240" w:lineRule="auto" w:before="5"/>
        <w:rPr>
          <w:rFonts w:ascii="宋体" w:hAnsi="宋体" w:cs="宋体" w:eastAsia="宋体" w:hint="default"/>
          <w:sz w:val="18"/>
          <w:szCs w:val="18"/>
        </w:rPr>
      </w:pPr>
    </w:p>
    <w:p>
      <w:pPr>
        <w:pStyle w:val="Heading2"/>
        <w:spacing w:line="240" w:lineRule="auto"/>
        <w:ind w:right="977"/>
        <w:jc w:val="left"/>
        <w:rPr>
          <w:b w:val="0"/>
          <w:bCs w:val="0"/>
        </w:rPr>
      </w:pP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154"/>
        <w:jc w:val="left"/>
      </w:pPr>
      <w:r>
        <w:rPr/>
        <w:t>□ 适用 √</w:t>
      </w:r>
      <w:r>
        <w:rPr>
          <w:spacing w:val="3"/>
        </w:rPr>
        <w:t> </w:t>
      </w:r>
      <w:r>
        <w:rPr/>
        <w:t>不适用</w:t>
      </w:r>
      <w:r>
        <w:rPr/>
        <w:t> 公司报告期无合并报表范围发生变化的情况。</w:t>
      </w:r>
    </w:p>
    <w:p>
      <w:pPr>
        <w:spacing w:line="240" w:lineRule="auto" w:before="7"/>
        <w:rPr>
          <w:rFonts w:ascii="宋体" w:hAnsi="宋体" w:cs="宋体" w:eastAsia="宋体" w:hint="default"/>
          <w:sz w:val="18"/>
          <w:szCs w:val="18"/>
        </w:rPr>
      </w:pPr>
    </w:p>
    <w:p>
      <w:pPr>
        <w:pStyle w:val="Heading2"/>
        <w:spacing w:line="240" w:lineRule="auto"/>
        <w:ind w:right="977"/>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77"/>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left"/>
              <w:rPr>
                <w:rFonts w:ascii="Times New Roman" w:hAnsi="Times New Roman" w:cs="Times New Roman" w:eastAsia="Times New Roman" w:hint="default"/>
                <w:sz w:val="18"/>
                <w:szCs w:val="18"/>
              </w:rPr>
            </w:pPr>
            <w:r>
              <w:rPr>
                <w:rFonts w:ascii="Times New Roman"/>
                <w:sz w:val="18"/>
              </w:rPr>
              <w:t>90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纪玉红、崔勇趁、时静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境外会计师事务</w:t>
            </w:r>
            <w:r>
              <w:rPr>
                <w:rFonts w:ascii="宋体" w:hAnsi="宋体" w:cs="宋体" w:eastAsia="宋体" w:hint="default"/>
                <w:spacing w:val="-1"/>
                <w:sz w:val="18"/>
                <w:szCs w:val="18"/>
              </w:rPr>
              <w:t>所</w:t>
            </w:r>
            <w:r>
              <w:rPr>
                <w:rFonts w:ascii="宋体" w:hAnsi="宋体" w:cs="宋体" w:eastAsia="宋体" w:hint="default"/>
                <w:sz w:val="18"/>
                <w:szCs w:val="18"/>
              </w:rPr>
              <w:t>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977"/>
        <w:jc w:val="left"/>
      </w:pPr>
      <w:r>
        <w:rPr/>
        <w:t>当期是否改聘会计师事务所</w:t>
      </w:r>
    </w:p>
    <w:p>
      <w:pPr>
        <w:pStyle w:val="BodyText"/>
        <w:spacing w:line="360" w:lineRule="auto" w:before="115"/>
        <w:ind w:right="8054"/>
        <w:jc w:val="left"/>
      </w:pPr>
      <w:r>
        <w:rPr/>
        <w:t>√ 是 □</w:t>
      </w:r>
      <w:r>
        <w:rPr>
          <w:spacing w:val="3"/>
        </w:rPr>
        <w:t> </w:t>
      </w:r>
      <w:r>
        <w:rPr/>
        <w:t>否</w:t>
      </w:r>
      <w:r>
        <w:rPr/>
        <w:t> 是否在审计期间改聘会计师事务所</w:t>
      </w:r>
    </w:p>
    <w:p>
      <w:pPr>
        <w:pStyle w:val="BodyText"/>
        <w:spacing w:line="360" w:lineRule="auto" w:before="25"/>
        <w:ind w:right="7874"/>
        <w:jc w:val="left"/>
      </w:pPr>
      <w:r>
        <w:rPr/>
        <w:t>□ 是 √</w:t>
      </w:r>
      <w:r>
        <w:rPr>
          <w:spacing w:val="3"/>
        </w:rPr>
        <w:t> </w:t>
      </w:r>
      <w:r>
        <w:rPr/>
        <w:t>否</w:t>
      </w:r>
      <w:r>
        <w:rPr/>
        <w:t> 更换会计师事务所是否履行审批程序</w:t>
      </w:r>
    </w:p>
    <w:p>
      <w:pPr>
        <w:pStyle w:val="BodyText"/>
        <w:spacing w:line="357" w:lineRule="auto" w:before="27"/>
        <w:ind w:right="7334"/>
        <w:jc w:val="left"/>
      </w:pPr>
      <w:r>
        <w:rPr/>
        <w:t>√ 是 □</w:t>
      </w:r>
      <w:r>
        <w:rPr>
          <w:spacing w:val="3"/>
        </w:rPr>
        <w:t> </w:t>
      </w:r>
      <w:r>
        <w:rPr/>
        <w:t>否</w:t>
      </w:r>
      <w:r>
        <w:rPr/>
        <w:t> 对改聘、变更会计师事务所情况的详细说明</w:t>
      </w:r>
    </w:p>
    <w:p>
      <w:pPr>
        <w:pStyle w:val="BodyText"/>
        <w:spacing w:line="316" w:lineRule="auto" w:before="29"/>
        <w:ind w:right="1128" w:firstLine="360"/>
        <w:jc w:val="both"/>
      </w:pPr>
      <w:r>
        <w:rPr>
          <w:spacing w:val="-4"/>
        </w:rPr>
        <w:t>公司原审计机构大华会计师事务所（特殊普通合伙）（以下简称</w:t>
      </w:r>
      <w:r>
        <w:rPr>
          <w:spacing w:val="21"/>
        </w:rPr>
        <w:t> </w:t>
      </w:r>
      <w:r>
        <w:rPr>
          <w:spacing w:val="-4"/>
        </w:rPr>
        <w:t>“大华会计师事务所”）与公司服务合同已经到期，鉴</w:t>
      </w:r>
      <w:r>
        <w:rPr/>
        <w:t> </w:t>
      </w:r>
      <w:r>
        <w:rPr>
          <w:spacing w:val="-2"/>
        </w:rPr>
        <w:t>于该审计团队已连续多年为公司提供审计服务，为确保公司审计工作的独立性与客观性，拟聘请华普天健会计师事务所（特</w:t>
      </w:r>
      <w:r>
        <w:rPr>
          <w:spacing w:val="-64"/>
        </w:rPr>
        <w:t> </w:t>
      </w:r>
      <w:r>
        <w:rPr>
          <w:spacing w:val="-64"/>
        </w:rPr>
      </w:r>
      <w:r>
        <w:rPr/>
        <w:t>殊普通合伙）为公司</w:t>
      </w:r>
      <w:r>
        <w:rPr>
          <w:spacing w:val="-46"/>
        </w:rPr>
        <w:t> </w:t>
      </w:r>
      <w:r>
        <w:rPr>
          <w:rFonts w:ascii="Times New Roman" w:hAnsi="Times New Roman" w:cs="Times New Roman" w:eastAsia="Times New Roman" w:hint="default"/>
        </w:rPr>
        <w:t>2018 </w:t>
      </w:r>
      <w:r>
        <w:rPr/>
        <w:t>年度审计机构。该事项符合有关法律、法规及相关监管规则和公司章程的有关规定。</w:t>
      </w:r>
    </w:p>
    <w:p>
      <w:pPr>
        <w:pStyle w:val="BodyText"/>
        <w:spacing w:line="240" w:lineRule="auto" w:before="40"/>
        <w:ind w:right="977"/>
        <w:jc w:val="left"/>
      </w:pPr>
      <w:r>
        <w:rPr/>
        <w:t>聘请内部控制审计会计师事务所、财务顾问或保荐人情况</w:t>
      </w:r>
    </w:p>
    <w:p>
      <w:pPr>
        <w:spacing w:after="0" w:line="240" w:lineRule="auto"/>
        <w:jc w:val="left"/>
        <w:sectPr>
          <w:footerReference w:type="default" r:id="rId13"/>
          <w:pgSz w:w="11910" w:h="16840"/>
          <w:pgMar w:footer="1636" w:header="910" w:top="1100" w:bottom="1820" w:left="1020" w:right="0"/>
          <w:pgNumType w:start="41"/>
        </w:sectPr>
      </w:pPr>
    </w:p>
    <w:p>
      <w:pPr>
        <w:spacing w:line="240" w:lineRule="auto" w:before="7"/>
        <w:rPr>
          <w:rFonts w:ascii="宋体" w:hAnsi="宋体" w:cs="宋体" w:eastAsia="宋体" w:hint="default"/>
          <w:sz w:val="20"/>
          <w:szCs w:val="20"/>
        </w:rPr>
      </w:pPr>
    </w:p>
    <w:p>
      <w:pPr>
        <w:pStyle w:val="Heading2"/>
        <w:spacing w:line="240" w:lineRule="auto" w:before="26"/>
        <w:ind w:right="977"/>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977"/>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4"/>
        <w:jc w:val="left"/>
      </w:pPr>
      <w:r>
        <w:rPr/>
        <w:t>□ 适用 √</w:t>
      </w:r>
      <w:r>
        <w:rPr>
          <w:spacing w:val="3"/>
        </w:rPr>
        <w:t> </w:t>
      </w:r>
      <w:r>
        <w:rPr/>
        <w:t>不适用</w:t>
      </w:r>
      <w:r>
        <w:rPr/>
        <w:t> 公司报告期未发生破产重整相关事项。</w:t>
      </w:r>
    </w:p>
    <w:p>
      <w:pPr>
        <w:spacing w:line="240" w:lineRule="auto" w:before="2"/>
        <w:rPr>
          <w:rFonts w:ascii="宋体" w:hAnsi="宋体" w:cs="宋体" w:eastAsia="宋体" w:hint="default"/>
          <w:sz w:val="18"/>
          <w:szCs w:val="18"/>
        </w:rPr>
      </w:pPr>
    </w:p>
    <w:p>
      <w:pPr>
        <w:pStyle w:val="Heading2"/>
        <w:spacing w:line="240" w:lineRule="auto"/>
        <w:ind w:right="977"/>
        <w:jc w:val="left"/>
        <w:rPr>
          <w:b w:val="0"/>
          <w:bCs w:val="0"/>
        </w:rPr>
      </w:pPr>
      <w:r>
        <w:rPr/>
        <w:t>十二、重大诉讼、仲裁事项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4"/>
        <w:jc w:val="left"/>
      </w:pPr>
      <w:r>
        <w:rPr/>
        <w:t>□ 适用 √</w:t>
      </w:r>
      <w:r>
        <w:rPr>
          <w:spacing w:val="3"/>
        </w:rPr>
        <w:t> </w:t>
      </w:r>
      <w:r>
        <w:rPr/>
        <w:t>不适用</w:t>
      </w:r>
      <w:r>
        <w:rPr/>
        <w:t> 本报告期公司无重大诉讼、仲裁事项。</w:t>
      </w:r>
    </w:p>
    <w:p>
      <w:pPr>
        <w:spacing w:line="240" w:lineRule="auto" w:before="5"/>
        <w:rPr>
          <w:rFonts w:ascii="宋体" w:hAnsi="宋体" w:cs="宋体" w:eastAsia="宋体" w:hint="default"/>
          <w:sz w:val="18"/>
          <w:szCs w:val="18"/>
        </w:rPr>
      </w:pPr>
    </w:p>
    <w:p>
      <w:pPr>
        <w:pStyle w:val="Heading2"/>
        <w:spacing w:line="240" w:lineRule="auto"/>
        <w:ind w:right="977"/>
        <w:jc w:val="left"/>
        <w:rPr>
          <w:b w:val="0"/>
          <w:bCs w:val="0"/>
        </w:rPr>
      </w:pPr>
      <w:r>
        <w:rPr/>
        <w:t>十三、处罚及整改情况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874"/>
        <w:jc w:val="left"/>
      </w:pPr>
      <w:r>
        <w:rPr/>
        <w:t>□ 适用 √</w:t>
      </w:r>
      <w:r>
        <w:rPr>
          <w:spacing w:val="3"/>
        </w:rPr>
        <w:t> </w:t>
      </w:r>
      <w:r>
        <w:rPr/>
        <w:t>不适用</w:t>
      </w:r>
      <w:r>
        <w:rPr/>
        <w:t> 公司报告期不存在处罚及整改情况。</w:t>
      </w:r>
    </w:p>
    <w:p>
      <w:pPr>
        <w:spacing w:line="240" w:lineRule="auto" w:before="5"/>
        <w:rPr>
          <w:rFonts w:ascii="宋体" w:hAnsi="宋体" w:cs="宋体" w:eastAsia="宋体" w:hint="default"/>
          <w:sz w:val="18"/>
          <w:szCs w:val="18"/>
        </w:rPr>
      </w:pPr>
    </w:p>
    <w:p>
      <w:pPr>
        <w:pStyle w:val="Heading2"/>
        <w:spacing w:line="240" w:lineRule="auto"/>
        <w:ind w:right="977"/>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977"/>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pStyle w:val="BodyText"/>
        <w:spacing w:line="340" w:lineRule="auto" w:before="117"/>
        <w:ind w:right="1845"/>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号——上市公司从事软件与信息技术服务业务》的披露要求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977"/>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77"/>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6794"/>
        <w:jc w:val="left"/>
      </w:pPr>
      <w:r>
        <w:rPr/>
        <w:t>□ 适用 √</w:t>
      </w:r>
      <w:r>
        <w:rPr>
          <w:spacing w:val="3"/>
        </w:rPr>
        <w:t> </w:t>
      </w:r>
      <w:r>
        <w:rPr/>
        <w:t>不适用</w:t>
      </w:r>
      <w:r>
        <w:rPr/>
        <w:t> 公司报告期未发生与日常经营相关的关联交易。</w:t>
      </w:r>
    </w:p>
    <w:p>
      <w:pPr>
        <w:spacing w:line="240" w:lineRule="auto" w:before="3"/>
        <w:rPr>
          <w:rFonts w:ascii="宋体" w:hAnsi="宋体" w:cs="宋体" w:eastAsia="宋体" w:hint="default"/>
          <w:sz w:val="20"/>
          <w:szCs w:val="20"/>
        </w:rPr>
      </w:pPr>
    </w:p>
    <w:p>
      <w:pPr>
        <w:pStyle w:val="Heading3"/>
        <w:spacing w:line="240" w:lineRule="auto"/>
        <w:ind w:right="977"/>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434"/>
        <w:jc w:val="left"/>
      </w:pPr>
      <w:r>
        <w:rPr/>
        <w:t>□ 适用 √</w:t>
      </w:r>
      <w:r>
        <w:rPr>
          <w:spacing w:val="3"/>
        </w:rPr>
        <w:t> </w:t>
      </w:r>
      <w:r>
        <w:rPr/>
        <w:t>不适用</w:t>
      </w:r>
      <w:r>
        <w:rPr/>
        <w:t> 公司报告期未发生资产或股权收购、出售的关联交易。</w:t>
      </w:r>
    </w:p>
    <w:p>
      <w:pPr>
        <w:spacing w:line="240" w:lineRule="auto" w:before="12"/>
        <w:rPr>
          <w:rFonts w:ascii="宋体" w:hAnsi="宋体" w:cs="宋体" w:eastAsia="宋体" w:hint="default"/>
          <w:sz w:val="19"/>
          <w:szCs w:val="19"/>
        </w:rPr>
      </w:pPr>
    </w:p>
    <w:p>
      <w:pPr>
        <w:pStyle w:val="Heading3"/>
        <w:spacing w:line="240" w:lineRule="auto"/>
        <w:ind w:right="977"/>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after="0" w:line="240" w:lineRule="auto"/>
        <w:jc w:val="left"/>
        <w:sectPr>
          <w:pgSz w:w="11910" w:h="16840"/>
          <w:pgMar w:header="910" w:footer="1636" w:top="1100" w:bottom="1820" w:left="1020" w:right="0"/>
        </w:sectPr>
      </w:pPr>
    </w:p>
    <w:p>
      <w:pPr>
        <w:spacing w:line="240" w:lineRule="auto" w:before="8"/>
        <w:rPr>
          <w:rFonts w:ascii="宋体" w:hAnsi="宋体" w:cs="宋体" w:eastAsia="宋体" w:hint="default"/>
          <w:b/>
          <w:bCs/>
          <w:sz w:val="22"/>
          <w:szCs w:val="22"/>
        </w:rPr>
      </w:pPr>
    </w:p>
    <w:p>
      <w:pPr>
        <w:pStyle w:val="BodyText"/>
        <w:spacing w:line="240" w:lineRule="auto" w:before="44"/>
        <w:ind w:right="977"/>
        <w:jc w:val="left"/>
      </w:pPr>
      <w:r>
        <w:rPr/>
        <w:t>公司报告期未发生共同对外投资的关联交易。</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4"/>
        <w:jc w:val="left"/>
      </w:pPr>
      <w:r>
        <w:rPr/>
        <w:t>□ 适用 √</w:t>
      </w:r>
      <w:r>
        <w:rPr>
          <w:spacing w:val="3"/>
        </w:rPr>
        <w:t> </w:t>
      </w:r>
      <w:r>
        <w:rPr/>
        <w:t>不适用</w:t>
      </w:r>
      <w:r>
        <w:rPr/>
        <w:t> 公司报告期不存在关联债权债务往来。</w:t>
      </w:r>
    </w:p>
    <w:p>
      <w:pPr>
        <w:spacing w:line="240" w:lineRule="auto" w:before="3"/>
        <w:rPr>
          <w:rFonts w:ascii="宋体" w:hAnsi="宋体" w:cs="宋体" w:eastAsia="宋体" w:hint="default"/>
          <w:sz w:val="20"/>
          <w:szCs w:val="20"/>
        </w:rPr>
      </w:pPr>
    </w:p>
    <w:p>
      <w:pPr>
        <w:pStyle w:val="Heading3"/>
        <w:spacing w:line="240" w:lineRule="auto"/>
        <w:ind w:right="977"/>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977"/>
        <w:jc w:val="left"/>
        <w:rPr>
          <w:b w:val="0"/>
          <w:bCs w:val="0"/>
        </w:rPr>
      </w:pP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77"/>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77"/>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4"/>
        <w:jc w:val="left"/>
      </w:pPr>
      <w:r>
        <w:rPr/>
        <w:t>□ 适用 √</w:t>
      </w:r>
      <w:r>
        <w:rPr>
          <w:spacing w:val="3"/>
        </w:rPr>
        <w:t> </w:t>
      </w:r>
      <w:r>
        <w:rPr/>
        <w:t>不适用</w:t>
      </w:r>
      <w:r>
        <w:rPr/>
        <w:t> 公司报告期不存在托管情况。</w:t>
      </w:r>
    </w:p>
    <w:p>
      <w:pPr>
        <w:spacing w:line="240" w:lineRule="auto" w:before="2"/>
        <w:rPr>
          <w:rFonts w:ascii="宋体" w:hAnsi="宋体" w:cs="宋体" w:eastAsia="宋体" w:hint="default"/>
          <w:sz w:val="20"/>
          <w:szCs w:val="20"/>
        </w:rPr>
      </w:pPr>
    </w:p>
    <w:p>
      <w:pPr>
        <w:pStyle w:val="Heading3"/>
        <w:spacing w:line="240" w:lineRule="auto"/>
        <w:ind w:right="977"/>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414"/>
        <w:jc w:val="left"/>
      </w:pPr>
      <w:r>
        <w:rPr/>
        <w:t>□ 适用 √</w:t>
      </w:r>
      <w:r>
        <w:rPr>
          <w:spacing w:val="3"/>
        </w:rPr>
        <w:t> </w:t>
      </w:r>
      <w:r>
        <w:rPr/>
        <w:t>不适用</w:t>
      </w:r>
      <w:r>
        <w:rPr/>
        <w:t> 公司报告期不存在承包情况。</w:t>
      </w:r>
    </w:p>
    <w:p>
      <w:pPr>
        <w:spacing w:line="240" w:lineRule="auto" w:before="3"/>
        <w:rPr>
          <w:rFonts w:ascii="宋体" w:hAnsi="宋体" w:cs="宋体" w:eastAsia="宋体" w:hint="default"/>
          <w:sz w:val="20"/>
          <w:szCs w:val="20"/>
        </w:rPr>
      </w:pPr>
    </w:p>
    <w:p>
      <w:pPr>
        <w:pStyle w:val="Heading3"/>
        <w:spacing w:line="240" w:lineRule="auto"/>
        <w:ind w:right="977"/>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414"/>
        <w:jc w:val="left"/>
      </w:pPr>
      <w:r>
        <w:rPr/>
        <w:t>□ 适用 √</w:t>
      </w:r>
      <w:r>
        <w:rPr>
          <w:spacing w:val="3"/>
        </w:rPr>
        <w:t> </w:t>
      </w:r>
      <w:r>
        <w:rPr/>
        <w:t>不适用</w:t>
      </w:r>
      <w:r>
        <w:rPr/>
        <w:t> 公司报告期不存在租赁情况。</w:t>
      </w:r>
    </w:p>
    <w:p>
      <w:pPr>
        <w:spacing w:line="240" w:lineRule="auto" w:before="3"/>
        <w:rPr>
          <w:rFonts w:ascii="宋体" w:hAnsi="宋体" w:cs="宋体" w:eastAsia="宋体" w:hint="default"/>
          <w:sz w:val="20"/>
          <w:szCs w:val="20"/>
        </w:rPr>
      </w:pPr>
    </w:p>
    <w:p>
      <w:pPr>
        <w:pStyle w:val="Heading3"/>
        <w:spacing w:line="240" w:lineRule="auto"/>
        <w:ind w:right="977"/>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4"/>
        <w:jc w:val="left"/>
      </w:pPr>
      <w:r>
        <w:rPr/>
        <w:t>□ 适用 √</w:t>
      </w:r>
      <w:r>
        <w:rPr>
          <w:spacing w:val="3"/>
        </w:rPr>
        <w:t> </w:t>
      </w:r>
      <w:r>
        <w:rPr/>
        <w:t>不适用</w:t>
      </w:r>
      <w:r>
        <w:rPr/>
        <w:t> 公司报告期不存在担保情况。</w:t>
      </w:r>
    </w:p>
    <w:p>
      <w:pPr>
        <w:spacing w:line="240" w:lineRule="auto" w:before="12"/>
        <w:rPr>
          <w:rFonts w:ascii="宋体" w:hAnsi="宋体" w:cs="宋体" w:eastAsia="宋体" w:hint="default"/>
          <w:sz w:val="19"/>
          <w:szCs w:val="19"/>
        </w:rPr>
      </w:pPr>
    </w:p>
    <w:p>
      <w:pPr>
        <w:pStyle w:val="Heading3"/>
        <w:spacing w:line="240" w:lineRule="auto"/>
        <w:ind w:right="977"/>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77"/>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14"/>
          <w:pgSz w:w="11910" w:h="16840"/>
          <w:pgMar w:footer="1013" w:header="910" w:top="1100" w:bottom="1200" w:left="1020" w:right="0"/>
          <w:pgNumType w:start="43"/>
        </w:sectPr>
      </w:pPr>
    </w:p>
    <w:p>
      <w:pPr>
        <w:pStyle w:val="BodyText"/>
        <w:spacing w:line="357" w:lineRule="auto" w:before="44"/>
        <w:ind w:right="-20"/>
        <w:jc w:val="left"/>
      </w:pPr>
      <w:r>
        <w:rPr/>
        <w:t>√ 适用 □</w:t>
      </w:r>
      <w:r>
        <w:rPr>
          <w:spacing w:val="3"/>
        </w:rPr>
        <w:t> </w:t>
      </w:r>
      <w:r>
        <w:rPr/>
        <w:t>不适用</w:t>
      </w:r>
      <w:r>
        <w:rPr/>
        <w:t>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100" w:bottom="1200" w:left="1020" w:right="0"/>
          <w:cols w:num="2" w:equalWidth="0">
            <w:col w:w="1913" w:space="6827"/>
            <w:col w:w="215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66"/>
        <w:gridCol w:w="1964"/>
        <w:gridCol w:w="1980"/>
        <w:gridCol w:w="1911"/>
        <w:gridCol w:w="1846"/>
      </w:tblGrid>
      <w:tr>
        <w:trPr>
          <w:trHeight w:val="401" w:hRule="exact"/>
        </w:trPr>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bl>
    <w:p>
      <w:pPr>
        <w:spacing w:after="0" w:line="240" w:lineRule="auto"/>
        <w:jc w:val="left"/>
        <w:rPr>
          <w:rFonts w:ascii="宋体" w:hAnsi="宋体" w:cs="宋体" w:eastAsia="宋体" w:hint="default"/>
          <w:sz w:val="18"/>
          <w:szCs w:val="18"/>
        </w:rPr>
        <w:sectPr>
          <w:type w:val="continuous"/>
          <w:pgSz w:w="11910" w:h="16840"/>
          <w:pgMar w:top="1100" w:bottom="1200" w:left="1020" w:right="0"/>
        </w:sectPr>
      </w:pPr>
    </w:p>
    <w:p>
      <w:pPr>
        <w:spacing w:line="240" w:lineRule="auto" w:before="2"/>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135,291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65,000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7,960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22,100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9,000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222,391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16,960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977"/>
        <w:jc w:val="left"/>
      </w:pPr>
      <w:r>
        <w:rPr/>
        <w:t>单项金额重大或安全性较低、流动性较差、不保本的高风险委托理财具体情况</w:t>
      </w:r>
    </w:p>
    <w:p>
      <w:pPr>
        <w:pStyle w:val="BodyText"/>
        <w:spacing w:line="360" w:lineRule="auto" w:before="115"/>
        <w:ind w:right="5714"/>
        <w:jc w:val="left"/>
      </w:pPr>
      <w:r>
        <w:rPr/>
        <w:t>□ 适用 √</w:t>
      </w:r>
      <w:r>
        <w:rPr>
          <w:spacing w:val="3"/>
        </w:rPr>
        <w:t> </w:t>
      </w:r>
      <w:r>
        <w:rPr/>
        <w:t>不适用</w:t>
      </w:r>
      <w:r>
        <w:rPr/>
        <w:t> 委托理财出现预期无法收回本金或存在其他可能导致减值的情形</w:t>
      </w:r>
    </w:p>
    <w:p>
      <w:pPr>
        <w:pStyle w:val="BodyText"/>
        <w:spacing w:line="240" w:lineRule="auto" w:before="27"/>
        <w:ind w:right="977"/>
        <w:jc w:val="left"/>
      </w:pPr>
      <w:r>
        <w:rPr/>
        <w:t>□ 适用 √</w:t>
      </w:r>
      <w:r>
        <w:rPr>
          <w:spacing w:val="3"/>
        </w:rPr>
        <w:t> </w:t>
      </w:r>
      <w:r>
        <w:rPr/>
        <w:t>不适用</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414"/>
        <w:jc w:val="left"/>
      </w:pPr>
      <w:r>
        <w:rPr/>
        <w:t>□ 适用 √</w:t>
      </w:r>
      <w:r>
        <w:rPr>
          <w:spacing w:val="3"/>
        </w:rPr>
        <w:t> </w:t>
      </w:r>
      <w:r>
        <w:rPr/>
        <w:t>不适用</w:t>
      </w:r>
      <w:r>
        <w:rPr/>
        <w:t> 公司报告期不存在委托贷款。</w:t>
      </w:r>
    </w:p>
    <w:p>
      <w:pPr>
        <w:spacing w:line="240" w:lineRule="auto" w:before="2"/>
        <w:rPr>
          <w:rFonts w:ascii="宋体" w:hAnsi="宋体" w:cs="宋体" w:eastAsia="宋体" w:hint="default"/>
          <w:sz w:val="20"/>
          <w:szCs w:val="20"/>
        </w:rPr>
      </w:pPr>
    </w:p>
    <w:p>
      <w:pPr>
        <w:pStyle w:val="Heading3"/>
        <w:spacing w:line="240" w:lineRule="auto"/>
        <w:ind w:right="977"/>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054"/>
        <w:jc w:val="left"/>
      </w:pPr>
      <w:r>
        <w:rPr/>
        <w:t>□ 适用 √</w:t>
      </w:r>
      <w:r>
        <w:rPr>
          <w:spacing w:val="3"/>
        </w:rPr>
        <w:t> </w:t>
      </w:r>
      <w:r>
        <w:rPr/>
        <w:t>不适用</w:t>
      </w:r>
      <w:r>
        <w:rPr/>
        <w:t> 公司报告期不存在其他重大合同。</w:t>
      </w:r>
    </w:p>
    <w:p>
      <w:pPr>
        <w:spacing w:line="240" w:lineRule="auto" w:before="7"/>
        <w:rPr>
          <w:rFonts w:ascii="宋体" w:hAnsi="宋体" w:cs="宋体" w:eastAsia="宋体" w:hint="default"/>
          <w:sz w:val="18"/>
          <w:szCs w:val="18"/>
        </w:rPr>
      </w:pPr>
    </w:p>
    <w:p>
      <w:pPr>
        <w:pStyle w:val="Heading2"/>
        <w:spacing w:line="240" w:lineRule="auto"/>
        <w:ind w:right="977"/>
        <w:jc w:val="left"/>
        <w:rPr>
          <w:b w:val="0"/>
          <w:bCs w:val="0"/>
        </w:rPr>
      </w:pPr>
      <w:r>
        <w:rPr/>
        <w:t>十八、社会责任情况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77"/>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firstLine="360"/>
        <w:jc w:val="left"/>
        <w:rPr>
          <w:rFonts w:ascii="宋体" w:hAnsi="宋体" w:cs="宋体" w:eastAsia="宋体" w:hint="default"/>
        </w:rPr>
      </w:pPr>
      <w:r>
        <w:rPr>
          <w:spacing w:val="-2"/>
        </w:rPr>
        <w:t>公司自</w:t>
      </w:r>
      <w:r>
        <w:rPr>
          <w:rFonts w:ascii="宋体" w:hAnsi="宋体" w:cs="宋体" w:eastAsia="宋体" w:hint="default"/>
          <w:spacing w:val="-2"/>
        </w:rPr>
        <w:t>2018</w:t>
      </w:r>
      <w:r>
        <w:rPr>
          <w:spacing w:val="-2"/>
        </w:rPr>
        <w:t>年上市以来，一直积极履行上市公司应尽的义务，并承担社会责任，秉持公平、公正、公开的原则对待全体</w:t>
      </w:r>
      <w:r>
        <w:rPr/>
        <w:t> 投资者，维护广大投资者特别是中小投资者的利益。公司致力于建立健全内部管理和控制制度，组织协调各职能部门工作， </w:t>
      </w:r>
      <w:r>
        <w:rPr>
          <w:spacing w:val="-5"/>
        </w:rPr>
        <w:t>提高公司的治理水平。公司严格按照《公司法》、《公司章程》等的规定和要求，规范股东大会的召集、召开及表决程序，通</w:t>
      </w:r>
      <w:r>
        <w:rPr>
          <w:spacing w:val="-85"/>
        </w:rPr>
        <w:t> </w:t>
      </w:r>
      <w:r>
        <w:rPr>
          <w:spacing w:val="-85"/>
        </w:rPr>
      </w:r>
      <w:r>
        <w:rPr>
          <w:spacing w:val="-2"/>
        </w:rPr>
        <w:t>过现场、网络等合法有效的方式，让更多的股东特别是中小股东能够参加股东大会，确保股东对公司重大事项的知情权、参</w:t>
      </w:r>
      <w:r>
        <w:rPr>
          <w:spacing w:val="-63"/>
        </w:rPr>
        <w:t> </w:t>
      </w:r>
      <w:r>
        <w:rPr>
          <w:spacing w:val="-63"/>
        </w:rPr>
      </w:r>
      <w:r>
        <w:rPr>
          <w:spacing w:val="-2"/>
        </w:rPr>
        <w:t>与权和表决权；同时，公司认真履行信息披露义务，通过投资者电话、电子邮箱、公司网站和投资者关系互动平台等多种方</w:t>
      </w:r>
      <w:r>
        <w:rPr>
          <w:spacing w:val="-68"/>
        </w:rPr>
        <w:t> </w:t>
      </w:r>
      <w:r>
        <w:rPr>
          <w:spacing w:val="-68"/>
        </w:rPr>
      </w:r>
      <w:r>
        <w:rPr>
          <w:spacing w:val="-2"/>
        </w:rPr>
        <w:t>式与投资者进行沟通交流，加深广大投资者对公司的认识和了解；公司非常重视对投资者的合理回报，制定了相对稳定的利</w:t>
      </w:r>
      <w:r>
        <w:rPr>
          <w:spacing w:val="-63"/>
        </w:rPr>
        <w:t> </w:t>
      </w:r>
      <w:r>
        <w:rPr>
          <w:spacing w:val="-63"/>
        </w:rPr>
      </w:r>
      <w:r>
        <w:rPr/>
        <w:t>润分配政策和分红方案以回报股东。</w:t>
      </w:r>
      <w:r>
        <w:rPr>
          <w:rFonts w:ascii="宋体" w:hAnsi="宋体" w:cs="宋体" w:eastAsia="宋体" w:hint="default"/>
        </w:rPr>
        <w:t> </w:t>
      </w:r>
    </w:p>
    <w:p>
      <w:pPr>
        <w:spacing w:line="240" w:lineRule="auto" w:before="8"/>
        <w:rPr>
          <w:rFonts w:ascii="宋体" w:hAnsi="宋体" w:cs="宋体" w:eastAsia="宋体" w:hint="default"/>
          <w:sz w:val="13"/>
          <w:szCs w:val="13"/>
        </w:rPr>
      </w:pPr>
    </w:p>
    <w:p>
      <w:pPr>
        <w:pStyle w:val="BodyText"/>
        <w:spacing w:line="316" w:lineRule="auto"/>
        <w:ind w:right="1149" w:firstLine="425"/>
        <w:jc w:val="left"/>
        <w:rPr>
          <w:rFonts w:ascii="宋体" w:hAnsi="宋体" w:cs="宋体" w:eastAsia="宋体" w:hint="default"/>
        </w:rPr>
      </w:pPr>
      <w:r>
        <w:rPr/>
        <w:t>此外，</w:t>
      </w:r>
      <w:r>
        <w:rPr>
          <w:rFonts w:ascii="宋体" w:hAnsi="宋体" w:cs="宋体" w:eastAsia="宋体" w:hint="default"/>
        </w:rPr>
        <w:t>2018</w:t>
      </w:r>
      <w:r>
        <w:rPr/>
        <w:t>年公司开展了多层次的捐资助学活动，不仅设立扶贫助学教育基金</w:t>
      </w:r>
      <w:r>
        <w:rPr>
          <w:rFonts w:ascii="宋体" w:hAnsi="宋体" w:cs="宋体" w:eastAsia="宋体" w:hint="default"/>
        </w:rPr>
        <w:t>30</w:t>
      </w:r>
      <w:r>
        <w:rPr/>
        <w:t>万元，鼓励和捐助农村贫困大学生完 成高等教育，也在中山大学捐助了奖学金、助学金项目</w:t>
      </w:r>
      <w:r>
        <w:rPr>
          <w:rFonts w:ascii="宋体" w:hAnsi="宋体" w:cs="宋体" w:eastAsia="宋体" w:hint="default"/>
        </w:rPr>
        <w:t>50</w:t>
      </w:r>
      <w:r>
        <w:rPr/>
        <w:t>万元，用于鼓励和奖励优秀学子。</w:t>
      </w:r>
      <w:r>
        <w:rPr>
          <w:rFonts w:ascii="宋体" w:hAnsi="宋体" w:cs="宋体" w:eastAsia="宋体" w:hint="default"/>
        </w:rPr>
        <w:t> </w:t>
      </w:r>
    </w:p>
    <w:p>
      <w:pPr>
        <w:spacing w:line="240" w:lineRule="auto" w:before="6"/>
        <w:rPr>
          <w:rFonts w:ascii="宋体" w:hAnsi="宋体" w:cs="宋体" w:eastAsia="宋体" w:hint="default"/>
          <w:sz w:val="22"/>
          <w:szCs w:val="22"/>
        </w:rPr>
      </w:pPr>
    </w:p>
    <w:p>
      <w:pPr>
        <w:pStyle w:val="Heading3"/>
        <w:spacing w:line="240" w:lineRule="auto"/>
        <w:ind w:right="977"/>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rPr>
          <w:rFonts w:ascii="宋体" w:hAnsi="宋体" w:cs="宋体" w:eastAsia="宋体" w:hint="default"/>
        </w:rPr>
      </w:pPr>
      <w:r>
        <w:rPr/>
        <w:t>公司报告年度暂未开展精准扶贫工作，也暂无后续精准扶贫计划。</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5714"/>
        <w:jc w:val="left"/>
      </w:pPr>
      <w:r>
        <w:rPr/>
        <w:t>上市公司及其子公司是否属于环境保护部门公布的重点排污单位 否</w:t>
      </w:r>
    </w:p>
    <w:p>
      <w:pPr>
        <w:pStyle w:val="BodyText"/>
        <w:spacing w:line="240" w:lineRule="auto" w:before="29"/>
        <w:ind w:right="977"/>
        <w:jc w:val="left"/>
        <w:rPr>
          <w:rFonts w:ascii="宋体" w:hAnsi="宋体" w:cs="宋体" w:eastAsia="宋体" w:hint="default"/>
        </w:rPr>
      </w:pPr>
      <w:r>
        <w:rPr/>
        <w:t>公司及子公司不属于环境保护部门公布的重点排污单位。</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910" w:footer="1013" w:top="1100" w:bottom="1200" w:left="1020" w:right="0"/>
        </w:sectPr>
      </w:pPr>
    </w:p>
    <w:p>
      <w:pPr>
        <w:spacing w:line="240" w:lineRule="auto" w:before="7"/>
        <w:rPr>
          <w:rFonts w:ascii="宋体" w:hAnsi="宋体" w:cs="宋体" w:eastAsia="宋体" w:hint="default"/>
          <w:sz w:val="20"/>
          <w:szCs w:val="20"/>
        </w:rPr>
      </w:pPr>
    </w:p>
    <w:p>
      <w:pPr>
        <w:pStyle w:val="Heading2"/>
        <w:spacing w:line="240" w:lineRule="auto" w:before="26"/>
        <w:ind w:right="977"/>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7154"/>
        <w:jc w:val="left"/>
      </w:pPr>
      <w:r>
        <w:rPr/>
        <w:t>□ 适用 √</w:t>
      </w:r>
      <w:r>
        <w:rPr>
          <w:spacing w:val="3"/>
        </w:rPr>
        <w:t> </w:t>
      </w:r>
      <w:r>
        <w:rPr/>
        <w:t>不适用</w:t>
      </w:r>
      <w:r>
        <w:rPr/>
        <w:t> 公司报告期不存在需要说明的其他重大事项。</w:t>
      </w:r>
    </w:p>
    <w:p>
      <w:pPr>
        <w:spacing w:line="240" w:lineRule="auto" w:before="7"/>
        <w:rPr>
          <w:rFonts w:ascii="宋体" w:hAnsi="宋体" w:cs="宋体" w:eastAsia="宋体" w:hint="default"/>
          <w:sz w:val="18"/>
          <w:szCs w:val="18"/>
        </w:rPr>
      </w:pPr>
    </w:p>
    <w:p>
      <w:pPr>
        <w:pStyle w:val="Heading2"/>
        <w:spacing w:line="240" w:lineRule="auto"/>
        <w:ind w:right="977"/>
        <w:jc w:val="left"/>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after="0" w:line="240" w:lineRule="auto"/>
        <w:jc w:val="left"/>
        <w:sectPr>
          <w:pgSz w:w="11910" w:h="16840"/>
          <w:pgMar w:header="910" w:footer="1013"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3204" w:right="0"/>
        <w:jc w:val="left"/>
        <w:rPr>
          <w:b w:val="0"/>
          <w:bCs w:val="0"/>
        </w:rPr>
      </w:pPr>
      <w:bookmarkStart w:name="_bookmark4" w:id="5"/>
      <w:bookmarkEnd w:id="5"/>
      <w:r>
        <w:rPr>
          <w:b w:val="0"/>
          <w:bCs w:val="0"/>
        </w:rPr>
      </w:r>
      <w:r>
        <w:rPr/>
        <w:t>第六节</w:t>
      </w:r>
      <w:r>
        <w:rPr>
          <w:spacing w:val="-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392" w:right="0"/>
        <w:jc w:val="left"/>
        <w:rPr>
          <w:b w:val="0"/>
          <w:bCs w:val="0"/>
        </w:rPr>
      </w:pPr>
      <w:r>
        <w:rPr/>
        <w:t>一、股份变动情况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392"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单位：股</w:t>
      </w:r>
    </w:p>
    <w:p>
      <w:pPr>
        <w:spacing w:line="240" w:lineRule="auto" w:before="13"/>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2225"/>
        <w:gridCol w:w="1177"/>
        <w:gridCol w:w="994"/>
        <w:gridCol w:w="1133"/>
        <w:gridCol w:w="427"/>
        <w:gridCol w:w="708"/>
        <w:gridCol w:w="425"/>
        <w:gridCol w:w="1114"/>
        <w:gridCol w:w="1135"/>
        <w:gridCol w:w="970"/>
      </w:tblGrid>
      <w:tr>
        <w:trPr>
          <w:trHeight w:val="403" w:hRule="exact"/>
        </w:trPr>
        <w:tc>
          <w:tcPr>
            <w:tcW w:w="2225" w:type="dxa"/>
            <w:vMerge w:val="restart"/>
            <w:tcBorders>
              <w:top w:val="single" w:sz="4" w:space="0" w:color="000000"/>
              <w:left w:val="single" w:sz="4" w:space="0" w:color="000000"/>
              <w:right w:val="single" w:sz="4" w:space="0" w:color="000000"/>
            </w:tcBorders>
            <w:shd w:val="clear" w:color="auto" w:fill="D2D2D2"/>
          </w:tcPr>
          <w:p>
            <w:pPr/>
          </w:p>
        </w:tc>
        <w:tc>
          <w:tcPr>
            <w:tcW w:w="21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0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025" w:hRule="exact"/>
        </w:trPr>
        <w:tc>
          <w:tcPr>
            <w:tcW w:w="2225" w:type="dxa"/>
            <w:vMerge/>
            <w:tcBorders>
              <w:left w:val="single" w:sz="4" w:space="0" w:color="000000"/>
              <w:bottom w:val="single" w:sz="4" w:space="0" w:color="000000"/>
              <w:right w:val="single" w:sz="4" w:space="0" w:color="000000"/>
            </w:tcBorders>
            <w:shd w:val="clear" w:color="auto" w:fill="D2D2D2"/>
          </w:tcPr>
          <w:p>
            <w:pP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9" w:right="115"/>
              <w:jc w:val="left"/>
              <w:rPr>
                <w:rFonts w:ascii="宋体" w:hAnsi="宋体" w:cs="宋体" w:eastAsia="宋体" w:hint="default"/>
                <w:sz w:val="18"/>
                <w:szCs w:val="18"/>
              </w:rPr>
            </w:pPr>
            <w:r>
              <w:rPr>
                <w:rFonts w:ascii="宋体" w:hAnsi="宋体" w:cs="宋体" w:eastAsia="宋体" w:hint="default"/>
                <w:sz w:val="18"/>
                <w:szCs w:val="18"/>
              </w:rPr>
              <w:t>送 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7"/>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9" w:right="113"/>
              <w:jc w:val="left"/>
              <w:rPr>
                <w:rFonts w:ascii="宋体" w:hAnsi="宋体" w:cs="宋体" w:eastAsia="宋体" w:hint="default"/>
                <w:sz w:val="18"/>
                <w:szCs w:val="18"/>
              </w:rPr>
            </w:pPr>
            <w:r>
              <w:rPr>
                <w:rFonts w:ascii="宋体" w:hAnsi="宋体" w:cs="宋体" w:eastAsia="宋体" w:hint="default"/>
                <w:sz w:val="18"/>
                <w:szCs w:val="18"/>
              </w:rPr>
              <w:t>其 他</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165,559,747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165,559,747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75.00%</w:t>
            </w:r>
          </w:p>
        </w:tc>
      </w:tr>
      <w:tr>
        <w:trPr>
          <w:trHeight w:val="401"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2,075,680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2,075,680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0.94%</w:t>
            </w:r>
          </w:p>
        </w:tc>
      </w:tr>
      <w:tr>
        <w:trPr>
          <w:trHeight w:val="401"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163,484,067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98.75%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163,484,067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74.06%</w:t>
            </w:r>
          </w:p>
        </w:tc>
      </w:tr>
      <w:tr>
        <w:trPr>
          <w:trHeight w:val="403"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79,908,851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48.27%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79,908,851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36.20%</w:t>
            </w:r>
          </w:p>
        </w:tc>
      </w:tr>
      <w:tr>
        <w:trPr>
          <w:trHeight w:val="401"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83,575,216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50.48%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83,575,216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37.86%</w:t>
            </w:r>
          </w:p>
        </w:tc>
      </w:tr>
      <w:tr>
        <w:trPr>
          <w:trHeight w:val="404"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55,186,600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55,186,600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55,186,600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55,186,600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55,186,600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55,186,600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7"/>
              <w:jc w:val="right"/>
              <w:rPr>
                <w:rFonts w:ascii="Times New Roman" w:hAnsi="Times New Roman" w:cs="Times New Roman" w:eastAsia="Times New Roman" w:hint="default"/>
                <w:sz w:val="18"/>
                <w:szCs w:val="18"/>
              </w:rPr>
            </w:pPr>
            <w:r>
              <w:rPr>
                <w:rFonts w:ascii="Times New Roman"/>
                <w:spacing w:val="-1"/>
                <w:sz w:val="18"/>
              </w:rPr>
              <w:t>165,559,747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8" w:right="0"/>
              <w:jc w:val="left"/>
              <w:rPr>
                <w:rFonts w:ascii="Times New Roman" w:hAnsi="Times New Roman" w:cs="Times New Roman" w:eastAsia="Times New Roman" w:hint="default"/>
                <w:sz w:val="18"/>
                <w:szCs w:val="18"/>
              </w:rPr>
            </w:pPr>
            <w:r>
              <w:rPr>
                <w:rFonts w:ascii="Times New Roman"/>
                <w:sz w:val="18"/>
              </w:rPr>
              <w:t>55,186,600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55,186,600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220,746,347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left="392" w:right="0"/>
        <w:jc w:val="left"/>
      </w:pPr>
      <w:r>
        <w:rPr/>
        <w:t>股份变动的原因</w:t>
      </w:r>
    </w:p>
    <w:p>
      <w:pPr>
        <w:pStyle w:val="BodyText"/>
        <w:spacing w:line="240" w:lineRule="auto" w:before="115"/>
        <w:ind w:left="392" w:right="0"/>
        <w:jc w:val="left"/>
      </w:pPr>
      <w:r>
        <w:rPr/>
        <w:t>√ 适用 □</w:t>
      </w:r>
      <w:r>
        <w:rPr>
          <w:spacing w:val="3"/>
        </w:rPr>
        <w:t> </w:t>
      </w:r>
      <w:r>
        <w:rPr/>
        <w:t>不适用</w:t>
      </w:r>
    </w:p>
    <w:p>
      <w:pPr>
        <w:pStyle w:val="BodyText"/>
        <w:spacing w:line="240" w:lineRule="auto" w:before="117"/>
        <w:ind w:left="753" w:right="0"/>
        <w:jc w:val="left"/>
        <w:rPr>
          <w:rFonts w:ascii="宋体" w:hAnsi="宋体" w:cs="宋体" w:eastAsia="宋体" w:hint="default"/>
        </w:rPr>
      </w:pP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w:t>
      </w:r>
      <w:r>
        <w:rPr/>
        <w:t>日，公司首次公开发行人民币普通股</w:t>
      </w:r>
      <w:r>
        <w:rPr>
          <w:rFonts w:ascii="宋体" w:hAnsi="宋体" w:cs="宋体" w:eastAsia="宋体" w:hint="default"/>
        </w:rPr>
        <w:t>55,186,600</w:t>
      </w:r>
      <w:r>
        <w:rPr/>
        <w:t>股并上市。</w:t>
      </w:r>
      <w:r>
        <w:rPr>
          <w:rFonts w:ascii="宋体" w:hAnsi="宋体" w:cs="宋体" w:eastAsia="宋体" w:hint="default"/>
        </w:rPr>
        <w:t> </w:t>
      </w:r>
    </w:p>
    <w:p>
      <w:pPr>
        <w:pStyle w:val="BodyText"/>
        <w:spacing w:line="240" w:lineRule="auto" w:before="117"/>
        <w:ind w:left="392" w:right="0"/>
        <w:jc w:val="left"/>
      </w:pPr>
      <w:r>
        <w:rPr/>
        <w:t>股份变动的批准情况</w:t>
      </w:r>
    </w:p>
    <w:p>
      <w:pPr>
        <w:pStyle w:val="BodyText"/>
        <w:spacing w:line="240" w:lineRule="auto" w:before="115"/>
        <w:ind w:left="392" w:right="0"/>
        <w:jc w:val="left"/>
      </w:pPr>
      <w:r>
        <w:rPr/>
        <w:t>√ 适用 □</w:t>
      </w:r>
      <w:r>
        <w:rPr>
          <w:spacing w:val="3"/>
        </w:rPr>
        <w:t> </w:t>
      </w:r>
      <w:r>
        <w:rPr/>
        <w:t>不适用</w:t>
      </w:r>
    </w:p>
    <w:p>
      <w:pPr>
        <w:pStyle w:val="BodyText"/>
        <w:spacing w:line="240" w:lineRule="auto" w:before="117"/>
        <w:ind w:left="753" w:right="0"/>
        <w:jc w:val="left"/>
      </w:pP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8</w:t>
      </w:r>
      <w:r>
        <w:rPr>
          <w:spacing w:val="-1"/>
        </w:rPr>
        <w:t>年</w:t>
      </w:r>
      <w:r>
        <w:rPr>
          <w:rFonts w:ascii="宋体" w:hAnsi="宋体" w:cs="宋体" w:eastAsia="宋体" w:hint="default"/>
          <w:spacing w:val="1"/>
        </w:rPr>
        <w:t>2</w:t>
      </w:r>
      <w:r>
        <w:rPr>
          <w:spacing w:val="-3"/>
        </w:rPr>
        <w:t>月</w:t>
      </w:r>
      <w:r>
        <w:rPr>
          <w:rFonts w:ascii="宋体" w:hAnsi="宋体" w:cs="宋体" w:eastAsia="宋体" w:hint="default"/>
          <w:spacing w:val="1"/>
        </w:rPr>
        <w:t>2</w:t>
      </w:r>
      <w:r>
        <w:rPr/>
        <w:t>日，中国证券监</w:t>
      </w:r>
      <w:r>
        <w:rPr>
          <w:spacing w:val="-3"/>
        </w:rPr>
        <w:t>督</w:t>
      </w:r>
      <w:r>
        <w:rPr/>
        <w:t>管理委员会出具《关于核准润建通信股份有限公司首次公开发行股票的批复</w:t>
      </w:r>
      <w:r>
        <w:rPr>
          <w:spacing w:val="-92"/>
        </w:rPr>
        <w:t>》</w:t>
      </w:r>
      <w:r>
        <w:rPr/>
        <w:t>（</w:t>
      </w:r>
      <w:r>
        <w:rPr>
          <w:spacing w:val="1"/>
        </w:rPr>
        <w:t>证</w:t>
      </w:r>
      <w:r>
        <w:rPr/>
        <w:t>监许可</w:t>
      </w:r>
    </w:p>
    <w:p>
      <w:pPr>
        <w:pStyle w:val="BodyText"/>
        <w:spacing w:line="360" w:lineRule="auto" w:before="76"/>
        <w:ind w:left="392" w:right="3978"/>
        <w:jc w:val="left"/>
      </w:pPr>
      <w:r>
        <w:rPr>
          <w:spacing w:val="-3"/>
        </w:rPr>
        <w:t>【</w:t>
      </w:r>
      <w:r>
        <w:rPr>
          <w:rFonts w:ascii="宋体" w:hAnsi="宋体" w:cs="宋体" w:eastAsia="宋体" w:hint="default"/>
          <w:spacing w:val="-3"/>
        </w:rPr>
        <w:t>2018</w:t>
      </w:r>
      <w:r>
        <w:rPr>
          <w:spacing w:val="-3"/>
        </w:rPr>
        <w:t>】第</w:t>
      </w:r>
      <w:r>
        <w:rPr>
          <w:rFonts w:ascii="宋体" w:hAnsi="宋体" w:cs="宋体" w:eastAsia="宋体" w:hint="default"/>
          <w:spacing w:val="-3"/>
        </w:rPr>
        <w:t>262</w:t>
      </w:r>
      <w:r>
        <w:rPr>
          <w:spacing w:val="-3"/>
        </w:rPr>
        <w:t>号），核准公司公开发行不超过</w:t>
      </w:r>
      <w:r>
        <w:rPr>
          <w:rFonts w:ascii="宋体" w:hAnsi="宋体" w:cs="宋体" w:eastAsia="宋体" w:hint="default"/>
          <w:spacing w:val="-3"/>
        </w:rPr>
        <w:t>55,186,600</w:t>
      </w:r>
      <w:r>
        <w:rPr>
          <w:spacing w:val="-3"/>
        </w:rPr>
        <w:t>股新股。</w:t>
      </w:r>
      <w:r>
        <w:rPr>
          <w:spacing w:val="-75"/>
        </w:rPr>
        <w:t> </w:t>
      </w:r>
      <w:r>
        <w:rPr>
          <w:rFonts w:ascii="宋体" w:hAnsi="宋体" w:cs="宋体" w:eastAsia="宋体" w:hint="default"/>
          <w:spacing w:val="-75"/>
        </w:rPr>
      </w:r>
      <w:r>
        <w:rPr/>
        <w:t>股份变动的过户情况</w:t>
      </w:r>
    </w:p>
    <w:p>
      <w:pPr>
        <w:pStyle w:val="BodyText"/>
        <w:spacing w:line="240" w:lineRule="auto" w:before="24"/>
        <w:ind w:left="392" w:right="0"/>
        <w:jc w:val="left"/>
      </w:pPr>
      <w:r>
        <w:rPr/>
        <w:t>√ 适用 □</w:t>
      </w:r>
      <w:r>
        <w:rPr>
          <w:spacing w:val="3"/>
        </w:rPr>
        <w:t> </w:t>
      </w:r>
      <w:r>
        <w:rPr/>
        <w:t>不适用</w:t>
      </w:r>
    </w:p>
    <w:p>
      <w:pPr>
        <w:pStyle w:val="BodyText"/>
        <w:spacing w:line="240" w:lineRule="auto" w:before="117"/>
        <w:ind w:left="753" w:right="0"/>
        <w:jc w:val="left"/>
      </w:pP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8</w:t>
      </w:r>
      <w:r>
        <w:rPr>
          <w:spacing w:val="-1"/>
        </w:rPr>
        <w:t>年</w:t>
      </w:r>
      <w:r>
        <w:rPr>
          <w:rFonts w:ascii="宋体" w:hAnsi="宋体" w:cs="宋体" w:eastAsia="宋体" w:hint="default"/>
          <w:spacing w:val="1"/>
        </w:rPr>
        <w:t>2</w:t>
      </w:r>
      <w:r>
        <w:rPr>
          <w:spacing w:val="-3"/>
        </w:rPr>
        <w:t>月</w:t>
      </w:r>
      <w:r>
        <w:rPr>
          <w:spacing w:val="-82"/>
        </w:rPr>
        <w:t>，</w:t>
      </w:r>
      <w:r>
        <w:rPr/>
        <w:t>公司首次公开发</w:t>
      </w:r>
      <w:r>
        <w:rPr>
          <w:spacing w:val="-3"/>
        </w:rPr>
        <w:t>行</w:t>
      </w:r>
      <w:r>
        <w:rPr/>
        <w:t>的</w:t>
      </w:r>
      <w:r>
        <w:rPr>
          <w:rFonts w:ascii="宋体" w:hAnsi="宋体" w:cs="宋体" w:eastAsia="宋体" w:hint="default"/>
          <w:spacing w:val="1"/>
        </w:rPr>
        <w:t>55</w:t>
      </w:r>
      <w:r>
        <w:rPr>
          <w:rFonts w:ascii="宋体" w:hAnsi="宋体" w:cs="宋体" w:eastAsia="宋体" w:hint="default"/>
          <w:spacing w:val="-2"/>
        </w:rPr>
        <w:t>,</w:t>
      </w:r>
      <w:r>
        <w:rPr>
          <w:rFonts w:ascii="宋体" w:hAnsi="宋体" w:cs="宋体" w:eastAsia="宋体" w:hint="default"/>
          <w:spacing w:val="1"/>
        </w:rPr>
        <w:t>1</w:t>
      </w:r>
      <w:r>
        <w:rPr>
          <w:rFonts w:ascii="宋体" w:hAnsi="宋体" w:cs="宋体" w:eastAsia="宋体" w:hint="default"/>
          <w:spacing w:val="-2"/>
        </w:rPr>
        <w:t>8</w:t>
      </w:r>
      <w:r>
        <w:rPr>
          <w:rFonts w:ascii="宋体" w:hAnsi="宋体" w:cs="宋体" w:eastAsia="宋体" w:hint="default"/>
          <w:spacing w:val="1"/>
        </w:rPr>
        <w:t>6</w:t>
      </w:r>
      <w:r>
        <w:rPr>
          <w:rFonts w:ascii="宋体" w:hAnsi="宋体" w:cs="宋体" w:eastAsia="宋体" w:hint="default"/>
          <w:spacing w:val="-2"/>
        </w:rPr>
        <w:t>,</w:t>
      </w:r>
      <w:r>
        <w:rPr>
          <w:rFonts w:ascii="宋体" w:hAnsi="宋体" w:cs="宋体" w:eastAsia="宋体" w:hint="default"/>
          <w:spacing w:val="1"/>
        </w:rPr>
        <w:t>6</w:t>
      </w:r>
      <w:r>
        <w:rPr>
          <w:rFonts w:ascii="宋体" w:hAnsi="宋体" w:cs="宋体" w:eastAsia="宋体" w:hint="default"/>
          <w:spacing w:val="-2"/>
        </w:rPr>
        <w:t>0</w:t>
      </w:r>
      <w:r>
        <w:rPr>
          <w:rFonts w:ascii="宋体" w:hAnsi="宋体" w:cs="宋体" w:eastAsia="宋体" w:hint="default"/>
          <w:spacing w:val="2"/>
        </w:rPr>
        <w:t>0</w:t>
      </w:r>
      <w:r>
        <w:rPr/>
        <w:t>股股份在中国</w:t>
      </w:r>
      <w:r>
        <w:rPr>
          <w:spacing w:val="-3"/>
        </w:rPr>
        <w:t>证</w:t>
      </w:r>
      <w:r>
        <w:rPr/>
        <w:t>券登记结算有限责任公司深圳分公司办理了证券登记手续。</w:t>
      </w:r>
    </w:p>
    <w:p>
      <w:pPr>
        <w:spacing w:after="0" w:line="240" w:lineRule="auto"/>
        <w:jc w:val="left"/>
        <w:sectPr>
          <w:pgSz w:w="11910" w:h="16840"/>
          <w:pgMar w:header="910" w:footer="1013" w:top="1100" w:bottom="1200" w:left="740" w:right="0"/>
        </w:sectPr>
      </w:pPr>
    </w:p>
    <w:p>
      <w:pPr>
        <w:spacing w:line="240" w:lineRule="auto" w:before="8"/>
        <w:rPr>
          <w:rFonts w:ascii="宋体" w:hAnsi="宋体" w:cs="宋体" w:eastAsia="宋体" w:hint="default"/>
          <w:sz w:val="22"/>
          <w:szCs w:val="22"/>
        </w:rPr>
      </w:pPr>
    </w:p>
    <w:p>
      <w:pPr>
        <w:pStyle w:val="BodyText"/>
        <w:spacing w:line="240" w:lineRule="auto" w:before="44"/>
        <w:ind w:left="252" w:right="6974"/>
        <w:jc w:val="left"/>
      </w:pPr>
      <w:r>
        <w:rPr/>
        <w:t>股份回购的实施进展情况</w:t>
      </w:r>
    </w:p>
    <w:p>
      <w:pPr>
        <w:pStyle w:val="BodyText"/>
        <w:spacing w:line="357" w:lineRule="auto" w:before="117"/>
        <w:ind w:left="252" w:right="6974"/>
        <w:jc w:val="left"/>
      </w:pPr>
      <w:r>
        <w:rPr/>
        <w:t>□ 适用 √</w:t>
      </w:r>
      <w:r>
        <w:rPr>
          <w:spacing w:val="3"/>
        </w:rPr>
        <w:t> </w:t>
      </w:r>
      <w:r>
        <w:rPr/>
        <w:t>不适用</w:t>
      </w:r>
      <w:r>
        <w:rPr/>
        <w:t> 采用集中竞价方式减持回购股份的实施进展情况</w:t>
      </w:r>
    </w:p>
    <w:p>
      <w:pPr>
        <w:pStyle w:val="BodyText"/>
        <w:spacing w:line="360" w:lineRule="auto" w:before="29"/>
        <w:ind w:left="252" w:right="1394"/>
        <w:jc w:val="left"/>
      </w:pPr>
      <w:r>
        <w:rPr/>
        <w:t>□ 适用 √</w:t>
      </w:r>
      <w:r>
        <w:rPr>
          <w:spacing w:val="3"/>
        </w:rPr>
        <w:t> </w:t>
      </w:r>
      <w:r>
        <w:rPr/>
        <w:t>不适用</w:t>
      </w:r>
      <w:r>
        <w:rPr/>
        <w:t> 股份变动对最近一年和最近一期基本每股收益和稀释每股收益、归属于公司普通股股东的每股净资产等财务指标的影响</w:t>
      </w:r>
    </w:p>
    <w:p>
      <w:pPr>
        <w:pStyle w:val="BodyText"/>
        <w:spacing w:line="360" w:lineRule="auto" w:before="25"/>
        <w:ind w:left="613" w:right="27" w:hanging="361"/>
        <w:jc w:val="left"/>
      </w:pPr>
      <w:r>
        <w:rPr/>
        <w:t>√ 适用 □</w:t>
      </w:r>
      <w:r>
        <w:rPr>
          <w:spacing w:val="3"/>
        </w:rPr>
        <w:t> </w:t>
      </w:r>
      <w:r>
        <w:rPr/>
        <w:t>不适用</w:t>
      </w:r>
      <w:r>
        <w:rPr/>
        <w:t> </w:t>
      </w:r>
      <w:r>
        <w:rPr>
          <w:spacing w:val="-2"/>
        </w:rPr>
        <w:t>公司公开发行股份上市后，公司总股本由</w:t>
      </w:r>
      <w:r>
        <w:rPr>
          <w:rFonts w:ascii="宋体" w:hAnsi="宋体" w:cs="宋体" w:eastAsia="宋体" w:hint="default"/>
          <w:spacing w:val="-2"/>
        </w:rPr>
        <w:t>165,559,747</w:t>
      </w:r>
      <w:r>
        <w:rPr>
          <w:spacing w:val="-2"/>
        </w:rPr>
        <w:t>股变更为</w:t>
      </w:r>
      <w:r>
        <w:rPr>
          <w:rFonts w:ascii="宋体" w:hAnsi="宋体" w:cs="宋体" w:eastAsia="宋体" w:hint="default"/>
          <w:spacing w:val="-2"/>
        </w:rPr>
        <w:t>220,746,347</w:t>
      </w:r>
      <w:r>
        <w:rPr>
          <w:spacing w:val="-2"/>
        </w:rPr>
        <w:t>股，最近一年和最近一期基本每股收益和稀</w:t>
      </w:r>
    </w:p>
    <w:p>
      <w:pPr>
        <w:pStyle w:val="BodyText"/>
        <w:spacing w:line="222" w:lineRule="exact"/>
        <w:ind w:left="252" w:right="1394"/>
        <w:jc w:val="left"/>
        <w:rPr>
          <w:rFonts w:ascii="宋体" w:hAnsi="宋体" w:cs="宋体" w:eastAsia="宋体" w:hint="default"/>
        </w:rPr>
      </w:pPr>
      <w:r>
        <w:rPr/>
        <w:t>释每股收益等财务指标被摊薄，募集资金到账，归属于公司普通股股东的每股净资产增加。</w:t>
      </w:r>
      <w:r>
        <w:rPr>
          <w:rFonts w:ascii="宋体" w:hAnsi="宋体" w:cs="宋体" w:eastAsia="宋体" w:hint="default"/>
        </w:rPr>
        <w:t> </w:t>
      </w:r>
    </w:p>
    <w:p>
      <w:pPr>
        <w:pStyle w:val="BodyText"/>
        <w:spacing w:line="240" w:lineRule="auto" w:before="117"/>
        <w:ind w:left="252" w:right="1394"/>
        <w:jc w:val="left"/>
      </w:pPr>
      <w:r>
        <w:rPr/>
        <w:t>公司认为必要或证券监管机构要求披露的其他内容</w:t>
      </w:r>
    </w:p>
    <w:p>
      <w:pPr>
        <w:pStyle w:val="BodyText"/>
        <w:spacing w:line="240" w:lineRule="auto" w:before="115"/>
        <w:ind w:left="252" w:right="6974"/>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left="252" w:right="6974"/>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52" w:right="6974"/>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left="252" w:right="6974"/>
        <w:jc w:val="left"/>
        <w:rPr>
          <w:b w:val="0"/>
          <w:bCs w:val="0"/>
        </w:rPr>
      </w:pPr>
      <w:r>
        <w:rPr/>
        <w:t>二、证券发行与上市情况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252" w:right="1394"/>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52" w:right="6974"/>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702"/>
        <w:gridCol w:w="1561"/>
        <w:gridCol w:w="1133"/>
        <w:gridCol w:w="1277"/>
        <w:gridCol w:w="1558"/>
        <w:gridCol w:w="1277"/>
        <w:gridCol w:w="1205"/>
      </w:tblGrid>
      <w:tr>
        <w:trPr>
          <w:trHeight w:val="75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1"/>
              <w:ind w:left="487" w:right="302" w:hanging="180"/>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115"/>
              <w:ind w:left="112"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0"/>
              <w:ind w:left="454" w:right="92"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71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公开发行股份</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55,186,600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55,186,600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971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3" w:hRule="exact"/>
        </w:trPr>
        <w:tc>
          <w:tcPr>
            <w:tcW w:w="971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316" w:lineRule="auto" w:before="10"/>
        <w:ind w:left="252" w:right="27" w:firstLine="360"/>
        <w:jc w:val="left"/>
        <w:rPr>
          <w:rFonts w:ascii="宋体" w:hAnsi="宋体" w:cs="宋体" w:eastAsia="宋体" w:hint="default"/>
        </w:rPr>
      </w:pPr>
      <w:r>
        <w:rPr>
          <w:spacing w:val="-2"/>
        </w:rPr>
        <w:t>经中国证券监督管理委员会《关于核准润建信股份有限公司首次公开发行股票的批复》（证监许可</w:t>
      </w:r>
      <w:r>
        <w:rPr>
          <w:rFonts w:ascii="宋体" w:hAnsi="宋体" w:cs="宋体" w:eastAsia="宋体" w:hint="default"/>
          <w:spacing w:val="-2"/>
        </w:rPr>
        <w:t>2018</w:t>
      </w:r>
      <w:r>
        <w:rPr>
          <w:spacing w:val="-2"/>
        </w:rPr>
        <w:t>第</w:t>
      </w:r>
      <w:r>
        <w:rPr>
          <w:rFonts w:ascii="宋体" w:hAnsi="宋体" w:cs="宋体" w:eastAsia="宋体" w:hint="default"/>
          <w:spacing w:val="-2"/>
        </w:rPr>
        <w:t>262</w:t>
      </w:r>
      <w:r>
        <w:rPr>
          <w:spacing w:val="-2"/>
        </w:rPr>
        <w:t>号）核准，</w:t>
      </w:r>
      <w:r>
        <w:rPr/>
        <w:t> 公司首次公开发行人民币普通股（</w:t>
      </w:r>
      <w:r>
        <w:rPr>
          <w:rFonts w:ascii="宋体" w:hAnsi="宋体" w:cs="宋体" w:eastAsia="宋体" w:hint="default"/>
        </w:rPr>
        <w:t>A</w:t>
      </w:r>
      <w:r>
        <w:rPr/>
        <w:t>股）</w:t>
      </w:r>
      <w:r>
        <w:rPr>
          <w:rFonts w:ascii="宋体" w:hAnsi="宋体" w:cs="宋体" w:eastAsia="宋体" w:hint="default"/>
        </w:rPr>
        <w:t>5,518.66</w:t>
      </w:r>
      <w:r>
        <w:rPr/>
        <w:t>万股，每股面值</w:t>
      </w:r>
      <w:r>
        <w:rPr>
          <w:rFonts w:ascii="宋体" w:hAnsi="宋体" w:cs="宋体" w:eastAsia="宋体" w:hint="default"/>
        </w:rPr>
        <w:t>1</w:t>
      </w:r>
      <w:r>
        <w:rPr/>
        <w:t>元，发行价格</w:t>
      </w:r>
      <w:r>
        <w:rPr>
          <w:rFonts w:ascii="宋体" w:hAnsi="宋体" w:cs="宋体" w:eastAsia="宋体" w:hint="default"/>
        </w:rPr>
        <w:t>23.95</w:t>
      </w:r>
      <w:r>
        <w:rPr/>
        <w:t>元每股，募集资金总额</w:t>
      </w:r>
      <w:r>
        <w:rPr>
          <w:rFonts w:ascii="宋体" w:hAnsi="宋体" w:cs="宋体" w:eastAsia="宋体" w:hint="default"/>
        </w:rPr>
        <w:t>132,171.9070 </w:t>
      </w:r>
      <w:r>
        <w:rPr>
          <w:spacing w:val="-2"/>
        </w:rPr>
        <w:t>万元，扣除各项发行费用人民币</w:t>
      </w:r>
      <w:r>
        <w:rPr>
          <w:rFonts w:ascii="宋体" w:hAnsi="宋体" w:cs="宋体" w:eastAsia="宋体" w:hint="default"/>
          <w:spacing w:val="-2"/>
        </w:rPr>
        <w:t>6,575.8491</w:t>
      </w:r>
      <w:r>
        <w:rPr>
          <w:spacing w:val="-2"/>
        </w:rPr>
        <w:t>万元后，募集资金净额</w:t>
      </w:r>
      <w:r>
        <w:rPr>
          <w:rFonts w:ascii="宋体" w:hAnsi="宋体" w:cs="宋体" w:eastAsia="宋体" w:hint="default"/>
          <w:spacing w:val="-2"/>
        </w:rPr>
        <w:t>125,596.0579</w:t>
      </w:r>
      <w:r>
        <w:rPr>
          <w:spacing w:val="-2"/>
        </w:rPr>
        <w:t>万元。具体情况请查阅公司刊登在巨潮资讯</w:t>
      </w:r>
      <w:r>
        <w:rPr>
          <w:spacing w:val="-52"/>
        </w:rPr>
        <w:t> </w:t>
      </w:r>
      <w:r>
        <w:rPr>
          <w:spacing w:val="-52"/>
        </w:rPr>
      </w:r>
      <w:r>
        <w:rPr>
          <w:spacing w:val="-4"/>
        </w:rPr>
        <w:t>网的《招股说明书》及《首次公开发行股票发行公告》。</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3"/>
        <w:spacing w:line="240" w:lineRule="auto"/>
        <w:ind w:left="252" w:right="1394"/>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52" w:right="6974"/>
        <w:jc w:val="left"/>
      </w:pPr>
      <w:r>
        <w:rPr/>
        <w:t>√ 适用 □</w:t>
      </w:r>
      <w:r>
        <w:rPr>
          <w:spacing w:val="3"/>
        </w:rPr>
        <w:t> </w:t>
      </w:r>
      <w:r>
        <w:rPr/>
        <w:t>不适用</w:t>
      </w:r>
    </w:p>
    <w:p>
      <w:pPr>
        <w:pStyle w:val="BodyText"/>
        <w:spacing w:line="240" w:lineRule="auto" w:before="117"/>
        <w:ind w:left="252" w:right="1394"/>
        <w:jc w:val="left"/>
      </w:pPr>
      <w:r>
        <w:rPr/>
        <w:t>公司公开发行股份上市后，公司总股本由</w:t>
      </w:r>
      <w:r>
        <w:rPr>
          <w:spacing w:val="-48"/>
        </w:rPr>
        <w:t> </w:t>
      </w:r>
      <w:r>
        <w:rPr>
          <w:rFonts w:ascii="宋体" w:hAnsi="宋体" w:cs="宋体" w:eastAsia="宋体" w:hint="default"/>
        </w:rPr>
        <w:t>165,559,747</w:t>
      </w:r>
      <w:r>
        <w:rPr>
          <w:rFonts w:ascii="宋体" w:hAnsi="宋体" w:cs="宋体" w:eastAsia="宋体" w:hint="default"/>
          <w:spacing w:val="-48"/>
        </w:rPr>
        <w:t> </w:t>
      </w:r>
      <w:r>
        <w:rPr/>
        <w:t>股变更为</w:t>
      </w:r>
      <w:r>
        <w:rPr>
          <w:spacing w:val="-49"/>
        </w:rPr>
        <w:t> </w:t>
      </w:r>
      <w:r>
        <w:rPr>
          <w:rFonts w:ascii="宋体" w:hAnsi="宋体" w:cs="宋体" w:eastAsia="宋体" w:hint="default"/>
        </w:rPr>
        <w:t>220,746,347</w:t>
      </w:r>
      <w:r>
        <w:rPr>
          <w:rFonts w:ascii="宋体" w:hAnsi="宋体" w:cs="宋体" w:eastAsia="宋体" w:hint="default"/>
          <w:spacing w:val="-48"/>
        </w:rPr>
        <w:t> </w:t>
      </w:r>
      <w:r>
        <w:rPr/>
        <w:t>股，因公开发行股票使公司净资产增加</w:t>
      </w:r>
    </w:p>
    <w:p>
      <w:pPr>
        <w:pStyle w:val="BodyText"/>
        <w:spacing w:line="240" w:lineRule="auto" w:before="76"/>
        <w:ind w:left="252" w:right="1394"/>
        <w:jc w:val="left"/>
      </w:pPr>
      <w:r>
        <w:rPr>
          <w:rFonts w:ascii="Times New Roman" w:hAnsi="Times New Roman" w:cs="Times New Roman" w:eastAsia="Times New Roman" w:hint="default"/>
        </w:rPr>
        <w:t>125,596.06</w:t>
      </w:r>
      <w:r>
        <w:rPr>
          <w:rFonts w:ascii="Times New Roman" w:hAnsi="Times New Roman" w:cs="Times New Roman" w:eastAsia="Times New Roman" w:hint="default"/>
          <w:spacing w:val="-8"/>
        </w:rPr>
        <w:t> </w:t>
      </w:r>
      <w:r>
        <w:rPr/>
        <w:t>万元，资产负债率降低，公司的财务风险相应降低。</w:t>
      </w:r>
    </w:p>
    <w:p>
      <w:pPr>
        <w:spacing w:line="240" w:lineRule="auto" w:before="13"/>
        <w:rPr>
          <w:rFonts w:ascii="宋体" w:hAnsi="宋体" w:cs="宋体" w:eastAsia="宋体" w:hint="default"/>
          <w:sz w:val="25"/>
          <w:szCs w:val="25"/>
        </w:rPr>
      </w:pPr>
    </w:p>
    <w:p>
      <w:pPr>
        <w:pStyle w:val="Heading3"/>
        <w:spacing w:line="240" w:lineRule="auto"/>
        <w:ind w:left="252" w:right="6974"/>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52" w:right="6974"/>
        <w:jc w:val="left"/>
      </w:pPr>
      <w:r>
        <w:rPr/>
        <w:t>□ 适用 √</w:t>
      </w:r>
      <w:r>
        <w:rPr>
          <w:spacing w:val="3"/>
        </w:rPr>
        <w:t> </w:t>
      </w:r>
      <w:r>
        <w:rPr/>
        <w:t>不适用</w:t>
      </w:r>
    </w:p>
    <w:p>
      <w:pPr>
        <w:spacing w:after="0" w:line="240" w:lineRule="auto"/>
        <w:jc w:val="left"/>
        <w:sectPr>
          <w:pgSz w:w="11910" w:h="16840"/>
          <w:pgMar w:header="910" w:footer="1013" w:top="1100" w:bottom="1200" w:left="880" w:right="0"/>
        </w:sectPr>
      </w:pPr>
    </w:p>
    <w:p>
      <w:pPr>
        <w:spacing w:line="240" w:lineRule="auto" w:before="7"/>
        <w:rPr>
          <w:rFonts w:ascii="宋体" w:hAnsi="宋体" w:cs="宋体" w:eastAsia="宋体" w:hint="default"/>
          <w:sz w:val="20"/>
          <w:szCs w:val="20"/>
        </w:rPr>
      </w:pPr>
    </w:p>
    <w:p>
      <w:pPr>
        <w:pStyle w:val="Heading2"/>
        <w:spacing w:line="240" w:lineRule="auto" w:before="26"/>
        <w:ind w:right="977"/>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77"/>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196"/>
        <w:gridCol w:w="271"/>
        <w:gridCol w:w="923"/>
        <w:gridCol w:w="587"/>
        <w:gridCol w:w="750"/>
        <w:gridCol w:w="1190"/>
        <w:gridCol w:w="341"/>
        <w:gridCol w:w="511"/>
        <w:gridCol w:w="746"/>
        <w:gridCol w:w="386"/>
        <w:gridCol w:w="841"/>
        <w:gridCol w:w="322"/>
        <w:gridCol w:w="727"/>
        <w:gridCol w:w="408"/>
        <w:gridCol w:w="728"/>
      </w:tblGrid>
      <w:tr>
        <w:trPr>
          <w:trHeight w:val="227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180"/>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87" w:right="0"/>
              <w:jc w:val="left"/>
              <w:rPr>
                <w:rFonts w:ascii="Times New Roman" w:hAnsi="Times New Roman" w:cs="Times New Roman" w:eastAsia="Times New Roman" w:hint="default"/>
                <w:sz w:val="18"/>
                <w:szCs w:val="18"/>
              </w:rPr>
            </w:pPr>
            <w:r>
              <w:rPr>
                <w:rFonts w:ascii="Times New Roman"/>
                <w:sz w:val="18"/>
              </w:rPr>
              <w:t>37,423</w:t>
            </w:r>
          </w:p>
        </w:tc>
        <w:tc>
          <w:tcPr>
            <w:tcW w:w="13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5" w:right="14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5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22" w:right="0"/>
              <w:jc w:val="left"/>
              <w:rPr>
                <w:rFonts w:ascii="Times New Roman" w:hAnsi="Times New Roman" w:cs="Times New Roman" w:eastAsia="Times New Roman" w:hint="default"/>
                <w:sz w:val="18"/>
                <w:szCs w:val="18"/>
              </w:rPr>
            </w:pPr>
            <w:r>
              <w:rPr>
                <w:rFonts w:ascii="Times New Roman"/>
                <w:sz w:val="18"/>
              </w:rPr>
              <w:t>33,307</w:t>
            </w:r>
          </w:p>
        </w:tc>
        <w:tc>
          <w:tcPr>
            <w:tcW w:w="1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62"/>
              <w:jc w:val="left"/>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5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0"/>
              <w:jc w:val="both"/>
              <w:rPr>
                <w:rFonts w:ascii="宋体" w:hAnsi="宋体" w:cs="宋体" w:eastAsia="宋体" w:hint="default"/>
                <w:sz w:val="18"/>
                <w:szCs w:val="18"/>
              </w:rPr>
            </w:pPr>
            <w:r>
              <w:rPr>
                <w:rFonts w:ascii="宋体" w:hAnsi="宋体" w:cs="宋体" w:eastAsia="宋体" w:hint="default"/>
                <w:sz w:val="18"/>
                <w:szCs w:val="18"/>
              </w:rPr>
              <w:t>年度报告披 露日前上一 月末表决权 恢复的优先 股股东总数</w:t>
            </w:r>
          </w:p>
          <w:p>
            <w:pPr>
              <w:pStyle w:val="TableParagraph"/>
              <w:spacing w:line="319" w:lineRule="auto" w:before="19"/>
              <w:ind w:left="103" w:right="101"/>
              <w:jc w:val="both"/>
              <w:rPr>
                <w:rFonts w:ascii="宋体" w:hAnsi="宋体" w:cs="宋体" w:eastAsia="宋体" w:hint="default"/>
                <w:sz w:val="18"/>
                <w:szCs w:val="18"/>
              </w:rPr>
            </w:pPr>
            <w:r>
              <w:rPr>
                <w:rFonts w:ascii="宋体" w:hAnsi="宋体" w:cs="宋体" w:eastAsia="宋体" w:hint="default"/>
                <w:spacing w:val="-27"/>
                <w:sz w:val="18"/>
                <w:szCs w:val="18"/>
              </w:rPr>
              <w:t>（如有）（参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92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24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1" w:hRule="exact"/>
        </w:trPr>
        <w:tc>
          <w:tcPr>
            <w:tcW w:w="14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99"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1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9" w:right="11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51" w:right="149"/>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11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0" w:right="11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84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44" w:right="146"/>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18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67" w:type="dxa"/>
            <w:gridSpan w:val="2"/>
            <w:vMerge/>
            <w:tcBorders>
              <w:left w:val="single" w:sz="4" w:space="0" w:color="000000"/>
              <w:bottom w:val="single" w:sz="4" w:space="0" w:color="000000"/>
              <w:right w:val="single" w:sz="4" w:space="0" w:color="000000"/>
            </w:tcBorders>
            <w:shd w:val="clear" w:color="auto" w:fill="D2D2D2"/>
          </w:tcPr>
          <w:p>
            <w:pPr/>
          </w:p>
        </w:tc>
        <w:tc>
          <w:tcPr>
            <w:tcW w:w="1510"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1190" w:type="dxa"/>
            <w:vMerge/>
            <w:tcBorders>
              <w:left w:val="single" w:sz="4" w:space="0" w:color="000000"/>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000000"/>
            </w:tcBorders>
            <w:shd w:val="clear" w:color="auto" w:fill="D2D2D2"/>
          </w:tcPr>
          <w:p>
            <w:pPr/>
          </w:p>
        </w:tc>
        <w:tc>
          <w:tcPr>
            <w:tcW w:w="1133" w:type="dxa"/>
            <w:gridSpan w:val="2"/>
            <w:vMerge/>
            <w:tcBorders>
              <w:left w:val="single" w:sz="4" w:space="0" w:color="000000"/>
              <w:bottom w:val="single" w:sz="4" w:space="0" w:color="000000"/>
              <w:right w:val="single" w:sz="4" w:space="0" w:color="000000"/>
            </w:tcBorders>
            <w:shd w:val="clear" w:color="auto" w:fill="D2D2D2"/>
          </w:tcPr>
          <w:p>
            <w:pPr/>
          </w:p>
        </w:tc>
        <w:tc>
          <w:tcPr>
            <w:tcW w:w="841" w:type="dxa"/>
            <w:vMerge/>
            <w:tcBorders>
              <w:left w:val="single" w:sz="4" w:space="0" w:color="000000"/>
              <w:bottom w:val="single" w:sz="4" w:space="0" w:color="000000"/>
              <w:right w:val="single" w:sz="4" w:space="0" w:color="000000"/>
            </w:tcBorders>
            <w:shd w:val="clear" w:color="auto" w:fill="D2D2D2"/>
          </w:tcPr>
          <w:p>
            <w:pPr/>
          </w:p>
        </w:tc>
        <w:tc>
          <w:tcPr>
            <w:tcW w:w="10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1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14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8"/>
              <w:jc w:val="right"/>
              <w:rPr>
                <w:rFonts w:ascii="Times New Roman" w:hAnsi="Times New Roman" w:cs="Times New Roman" w:eastAsia="Times New Roman" w:hint="default"/>
                <w:sz w:val="18"/>
                <w:szCs w:val="18"/>
              </w:rPr>
            </w:pPr>
            <w:r>
              <w:rPr>
                <w:rFonts w:ascii="Times New Roman"/>
                <w:sz w:val="18"/>
              </w:rPr>
              <w:t>35.52%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78,415,666</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78,415,666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0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Times New Roman" w:hAnsi="Times New Roman" w:cs="Times New Roman" w:eastAsia="Times New Roman" w:hint="default"/>
                <w:sz w:val="18"/>
                <w:szCs w:val="18"/>
              </w:rPr>
            </w:pPr>
            <w:r>
              <w:rPr>
                <w:rFonts w:ascii="Times New Roman"/>
                <w:sz w:val="18"/>
              </w:rPr>
              <w:t>29,962,800</w:t>
            </w:r>
          </w:p>
        </w:tc>
      </w:tr>
      <w:tr>
        <w:trPr>
          <w:trHeight w:val="1025" w:hRule="exact"/>
        </w:trPr>
        <w:tc>
          <w:tcPr>
            <w:tcW w:w="146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1"/>
              <w:jc w:val="left"/>
              <w:rPr>
                <w:rFonts w:ascii="宋体" w:hAnsi="宋体" w:cs="宋体" w:eastAsia="宋体" w:hint="default"/>
                <w:sz w:val="18"/>
                <w:szCs w:val="18"/>
              </w:rPr>
            </w:pPr>
            <w:r>
              <w:rPr>
                <w:rFonts w:ascii="宋体" w:hAnsi="宋体" w:cs="宋体" w:eastAsia="宋体" w:hint="default"/>
                <w:sz w:val="18"/>
                <w:szCs w:val="18"/>
              </w:rPr>
              <w:t>珠海弘泽熙元 投资管理中心</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23.60%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52,103,829</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52,103,829</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049" w:type="dxa"/>
            <w:gridSpan w:val="2"/>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1"/>
              <w:jc w:val="both"/>
              <w:rPr>
                <w:rFonts w:ascii="Times New Roman" w:hAnsi="Times New Roman" w:cs="Times New Roman" w:eastAsia="Times New Roman" w:hint="default"/>
                <w:sz w:val="18"/>
                <w:szCs w:val="18"/>
              </w:rPr>
            </w:pPr>
            <w:r>
              <w:rPr>
                <w:rFonts w:ascii="宋体" w:hAnsi="宋体" w:cs="宋体" w:eastAsia="宋体" w:hint="default"/>
                <w:sz w:val="18"/>
                <w:szCs w:val="18"/>
              </w:rPr>
              <w:t>广西威克德力 投资管理中心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z w:val="18"/>
              </w:rPr>
              <w:t>6.17%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13,625,479</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13,625,479</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049" w:type="dxa"/>
            <w:gridSpan w:val="2"/>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7"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211"/>
              <w:jc w:val="both"/>
              <w:rPr>
                <w:rFonts w:ascii="Times New Roman" w:hAnsi="Times New Roman" w:cs="Times New Roman" w:eastAsia="Times New Roman" w:hint="default"/>
                <w:sz w:val="18"/>
                <w:szCs w:val="18"/>
              </w:rPr>
            </w:pPr>
            <w:r>
              <w:rPr>
                <w:rFonts w:ascii="宋体" w:hAnsi="宋体" w:cs="宋体" w:eastAsia="宋体" w:hint="default"/>
                <w:sz w:val="18"/>
                <w:szCs w:val="18"/>
              </w:rPr>
              <w:t>广西盛欧投资 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z w:val="18"/>
              </w:rPr>
              <w:t>2.72%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5,995,210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5,995,210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049" w:type="dxa"/>
            <w:gridSpan w:val="2"/>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1"/>
              <w:jc w:val="both"/>
              <w:rPr>
                <w:rFonts w:ascii="宋体" w:hAnsi="宋体" w:cs="宋体" w:eastAsia="宋体" w:hint="default"/>
                <w:sz w:val="18"/>
                <w:szCs w:val="18"/>
              </w:rPr>
            </w:pPr>
            <w:r>
              <w:rPr>
                <w:rFonts w:ascii="宋体" w:hAnsi="宋体" w:cs="宋体" w:eastAsia="宋体" w:hint="default"/>
                <w:sz w:val="18"/>
                <w:szCs w:val="18"/>
              </w:rPr>
              <w:t>珠江西江产业 投资基金管理 有限公司</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z w:val="18"/>
              </w:rPr>
              <w:t>0.94%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2,075,680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2,075,680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049" w:type="dxa"/>
            <w:gridSpan w:val="2"/>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新余市鑫宏图 </w:t>
            </w:r>
            <w:r>
              <w:rPr>
                <w:rFonts w:ascii="宋体" w:hAnsi="宋体" w:cs="宋体" w:eastAsia="宋体" w:hint="default"/>
                <w:spacing w:val="-2"/>
                <w:sz w:val="18"/>
                <w:szCs w:val="18"/>
              </w:rPr>
              <w:t>投资中心（有限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z w:val="18"/>
              </w:rPr>
              <w:t>0.88%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1,942,356</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1,942,356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049" w:type="dxa"/>
            <w:gridSpan w:val="2"/>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郑志树</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0"/>
              <w:jc w:val="right"/>
              <w:rPr>
                <w:rFonts w:ascii="Times New Roman" w:hAnsi="Times New Roman" w:cs="Times New Roman" w:eastAsia="Times New Roman" w:hint="default"/>
                <w:sz w:val="18"/>
                <w:szCs w:val="18"/>
              </w:rPr>
            </w:pPr>
            <w:r>
              <w:rPr>
                <w:rFonts w:ascii="Times New Roman"/>
                <w:sz w:val="18"/>
              </w:rPr>
              <w:t>0.86%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1,895,035</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1,895,035</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0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2" w:right="0"/>
              <w:jc w:val="left"/>
              <w:rPr>
                <w:rFonts w:ascii="Times New Roman" w:hAnsi="Times New Roman" w:cs="Times New Roman" w:eastAsia="Times New Roman" w:hint="default"/>
                <w:sz w:val="18"/>
                <w:szCs w:val="18"/>
              </w:rPr>
            </w:pPr>
            <w:r>
              <w:rPr>
                <w:rFonts w:ascii="Times New Roman"/>
                <w:sz w:val="18"/>
              </w:rPr>
              <w:t>1,895,035</w:t>
            </w:r>
          </w:p>
        </w:tc>
      </w:tr>
      <w:tr>
        <w:trPr>
          <w:trHeight w:val="1337" w:hRule="exact"/>
        </w:trPr>
        <w:tc>
          <w:tcPr>
            <w:tcW w:w="146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1"/>
              <w:jc w:val="both"/>
              <w:rPr>
                <w:rFonts w:ascii="宋体" w:hAnsi="宋体" w:cs="宋体" w:eastAsia="宋体" w:hint="default"/>
                <w:sz w:val="18"/>
                <w:szCs w:val="18"/>
              </w:rPr>
            </w:pPr>
            <w:r>
              <w:rPr>
                <w:rFonts w:ascii="宋体" w:hAnsi="宋体" w:cs="宋体" w:eastAsia="宋体" w:hint="default"/>
                <w:sz w:val="18"/>
                <w:szCs w:val="18"/>
              </w:rPr>
              <w:t>吉林省现代农 业和新兴产业 投资基金有限 公司</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z w:val="18"/>
              </w:rPr>
              <w:t>0.45%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1,000,000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049" w:type="dxa"/>
            <w:gridSpan w:val="2"/>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
        </w:tc>
      </w:tr>
      <w:tr>
        <w:trPr>
          <w:trHeight w:val="987" w:hRule="exact"/>
        </w:trPr>
        <w:tc>
          <w:tcPr>
            <w:tcW w:w="146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广东广垦太证 现代农业股权 </w:t>
            </w:r>
            <w:r>
              <w:rPr>
                <w:rFonts w:ascii="宋体" w:hAnsi="宋体" w:cs="宋体" w:eastAsia="宋体" w:hint="default"/>
                <w:spacing w:val="-2"/>
                <w:sz w:val="18"/>
                <w:szCs w:val="18"/>
              </w:rPr>
              <w:t>投资基金（有限</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62"/>
              <w:jc w:val="right"/>
              <w:rPr>
                <w:rFonts w:ascii="Times New Roman" w:hAnsi="Times New Roman" w:cs="Times New Roman" w:eastAsia="Times New Roman" w:hint="default"/>
                <w:sz w:val="18"/>
                <w:szCs w:val="18"/>
              </w:rPr>
            </w:pPr>
            <w:r>
              <w:rPr>
                <w:rFonts w:ascii="Times New Roman"/>
                <w:sz w:val="18"/>
              </w:rPr>
              <w:t>0.45%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pacing w:val="-1"/>
                <w:sz w:val="18"/>
              </w:rPr>
              <w:t>1,000,000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99" w:right="0"/>
              <w:jc w:val="left"/>
              <w:rPr>
                <w:rFonts w:ascii="Times New Roman" w:hAnsi="Times New Roman" w:cs="Times New Roman" w:eastAsia="Times New Roman" w:hint="default"/>
                <w:sz w:val="18"/>
                <w:szCs w:val="18"/>
              </w:rPr>
            </w:pPr>
            <w:r>
              <w:rPr>
                <w:rFonts w:ascii="Times New Roman"/>
                <w:sz w:val="18"/>
              </w:rPr>
              <w:t>1,000,000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102"/>
              <w:jc w:val="right"/>
              <w:rPr>
                <w:rFonts w:ascii="Times New Roman" w:hAnsi="Times New Roman" w:cs="Times New Roman" w:eastAsia="Times New Roman" w:hint="default"/>
                <w:sz w:val="18"/>
                <w:szCs w:val="18"/>
              </w:rPr>
            </w:pPr>
            <w:r>
              <w:rPr>
                <w:rFonts w:ascii="Times New Roman"/>
                <w:sz w:val="18"/>
              </w:rPr>
              <w:t>0</w:t>
            </w:r>
          </w:p>
        </w:tc>
        <w:tc>
          <w:tcPr>
            <w:tcW w:w="1049" w:type="dxa"/>
            <w:gridSpan w:val="2"/>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0" w:footer="1013" w:top="1100" w:bottom="1200" w:left="1020" w:right="0"/>
        </w:sectPr>
      </w:pPr>
    </w:p>
    <w:p>
      <w:pPr>
        <w:spacing w:line="240" w:lineRule="auto" w:before="2"/>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467"/>
        <w:gridCol w:w="1510"/>
        <w:gridCol w:w="790"/>
        <w:gridCol w:w="1150"/>
        <w:gridCol w:w="852"/>
        <w:gridCol w:w="1133"/>
        <w:gridCol w:w="471"/>
        <w:gridCol w:w="370"/>
        <w:gridCol w:w="1049"/>
        <w:gridCol w:w="1136"/>
      </w:tblGrid>
      <w:tr>
        <w:trPr>
          <w:trHeight w:val="363"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51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41" w:type="dxa"/>
            <w:gridSpan w:val="2"/>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2"/>
                <w:sz w:val="18"/>
                <w:szCs w:val="18"/>
              </w:rPr>
              <w:t>海通（吉林）现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代服务业创业</w:t>
            </w:r>
            <w:r>
              <w:rPr>
                <w:rFonts w:ascii="宋体" w:hAnsi="宋体" w:cs="宋体" w:eastAsia="宋体" w:hint="default"/>
                <w:sz w:val="18"/>
                <w:szCs w:val="18"/>
              </w:rPr>
              <w:t> 投资基金合伙 企业（有限合 伙）</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0.45%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1,000,000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1,000,000</w:t>
            </w:r>
          </w:p>
        </w:tc>
        <w:tc>
          <w:tcPr>
            <w:tcW w:w="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01"/>
              <w:jc w:val="both"/>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94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002" w:hRule="exact"/>
        </w:trPr>
        <w:tc>
          <w:tcPr>
            <w:tcW w:w="29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316" w:lineRule="auto"/>
              <w:ind w:left="103" w:right="16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949" w:type="dxa"/>
            <w:gridSpan w:val="8"/>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5" w:right="9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、蒋鹂北女士系李建国先生配偶、公司共同实际控制人；蒋鹂北女士为珠海弘泽熙元</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投资管理中心（有限合伙）的普通合伙人，蒋鹂北女士与李建国先生持有该合伙企业 全部合伙份额；</w:t>
            </w:r>
          </w:p>
          <w:p>
            <w:pPr>
              <w:pStyle w:val="TableParagraph"/>
              <w:spacing w:line="300" w:lineRule="auto" w:before="62"/>
              <w:ind w:left="105" w:right="11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、广西威克德力投资管理中心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系公司为激励管理层及骨干员工所设立的持 股平台，李建国先生持有威克德力</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73.39%</w:t>
            </w:r>
            <w:r>
              <w:rPr>
                <w:rFonts w:ascii="宋体" w:hAnsi="宋体" w:cs="宋体" w:eastAsia="宋体" w:hint="default"/>
                <w:sz w:val="18"/>
                <w:szCs w:val="18"/>
              </w:rPr>
              <w:t>的合伙份额，为该合伙企业的执行事务合伙 人。</w:t>
            </w:r>
          </w:p>
        </w:tc>
      </w:tr>
      <w:tr>
        <w:trPr>
          <w:trHeight w:val="402" w:hRule="exact"/>
        </w:trPr>
        <w:tc>
          <w:tcPr>
            <w:tcW w:w="992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9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395"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4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5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977" w:type="dxa"/>
            <w:gridSpan w:val="2"/>
            <w:vMerge/>
            <w:tcBorders>
              <w:left w:val="single" w:sz="4" w:space="0" w:color="000000"/>
              <w:bottom w:val="single" w:sz="4" w:space="0" w:color="000000"/>
              <w:right w:val="single" w:sz="4" w:space="0" w:color="000000"/>
            </w:tcBorders>
            <w:shd w:val="clear" w:color="auto" w:fill="D2D2D2"/>
          </w:tcPr>
          <w:p>
            <w:pPr/>
          </w:p>
        </w:tc>
        <w:tc>
          <w:tcPr>
            <w:tcW w:w="4395" w:type="dxa"/>
            <w:gridSpan w:val="5"/>
            <w:vMerge/>
            <w:tcBorders>
              <w:left w:val="single" w:sz="4" w:space="0" w:color="000000"/>
              <w:bottom w:val="single" w:sz="4" w:space="0" w:color="000000"/>
              <w:right w:val="single" w:sz="4" w:space="0" w:color="000000"/>
            </w:tcBorders>
            <w:shd w:val="clear" w:color="auto" w:fill="D2D2D2"/>
          </w:tcPr>
          <w:p>
            <w:pP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胡双怀</w:t>
            </w:r>
          </w:p>
        </w:tc>
        <w:tc>
          <w:tcPr>
            <w:tcW w:w="43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497,400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497,400</w:t>
            </w:r>
          </w:p>
        </w:tc>
      </w:tr>
      <w:tr>
        <w:trPr>
          <w:trHeight w:val="401"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游庆明</w:t>
            </w:r>
          </w:p>
        </w:tc>
        <w:tc>
          <w:tcPr>
            <w:tcW w:w="43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494,800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494,800</w:t>
            </w:r>
          </w:p>
        </w:tc>
      </w:tr>
      <w:tr>
        <w:trPr>
          <w:trHeight w:val="403"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义来珠</w:t>
            </w:r>
          </w:p>
        </w:tc>
        <w:tc>
          <w:tcPr>
            <w:tcW w:w="43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382,400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382,400</w:t>
            </w:r>
          </w:p>
        </w:tc>
      </w:tr>
      <w:tr>
        <w:trPr>
          <w:trHeight w:val="1025"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1"/>
              <w:jc w:val="both"/>
              <w:rPr>
                <w:rFonts w:ascii="宋体" w:hAnsi="宋体" w:cs="宋体" w:eastAsia="宋体" w:hint="default"/>
                <w:sz w:val="18"/>
                <w:szCs w:val="18"/>
              </w:rPr>
            </w:pPr>
            <w:r>
              <w:rPr>
                <w:rFonts w:ascii="宋体" w:hAnsi="宋体" w:cs="宋体" w:eastAsia="宋体" w:hint="default"/>
                <w:sz w:val="18"/>
                <w:szCs w:val="18"/>
              </w:rPr>
              <w:t>中国建设银行股份有限公司－中欧 电子信息产业沪港深股票型证券投 资基金</w:t>
            </w:r>
          </w:p>
        </w:tc>
        <w:tc>
          <w:tcPr>
            <w:tcW w:w="43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376,700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376,700</w:t>
            </w:r>
          </w:p>
        </w:tc>
      </w:tr>
      <w:tr>
        <w:trPr>
          <w:trHeight w:val="403"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郭力</w:t>
            </w:r>
          </w:p>
        </w:tc>
        <w:tc>
          <w:tcPr>
            <w:tcW w:w="43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251,300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251,300</w:t>
            </w:r>
          </w:p>
        </w:tc>
      </w:tr>
      <w:tr>
        <w:trPr>
          <w:trHeight w:val="401"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李常岭</w:t>
            </w:r>
          </w:p>
        </w:tc>
        <w:tc>
          <w:tcPr>
            <w:tcW w:w="43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183,600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183,600</w:t>
            </w:r>
          </w:p>
        </w:tc>
      </w:tr>
      <w:tr>
        <w:trPr>
          <w:trHeight w:val="403"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曹瑞恒</w:t>
            </w:r>
          </w:p>
        </w:tc>
        <w:tc>
          <w:tcPr>
            <w:tcW w:w="43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175,500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175,500</w:t>
            </w:r>
          </w:p>
        </w:tc>
      </w:tr>
      <w:tr>
        <w:trPr>
          <w:trHeight w:val="401"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赖丽卿</w:t>
            </w:r>
          </w:p>
        </w:tc>
        <w:tc>
          <w:tcPr>
            <w:tcW w:w="43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171,400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171,400</w:t>
            </w:r>
          </w:p>
        </w:tc>
      </w:tr>
      <w:tr>
        <w:trPr>
          <w:trHeight w:val="404"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胡双华</w:t>
            </w:r>
          </w:p>
        </w:tc>
        <w:tc>
          <w:tcPr>
            <w:tcW w:w="43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167,300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167,300</w:t>
            </w:r>
          </w:p>
        </w:tc>
      </w:tr>
      <w:tr>
        <w:trPr>
          <w:trHeight w:val="401"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杨柳</w:t>
            </w:r>
          </w:p>
        </w:tc>
        <w:tc>
          <w:tcPr>
            <w:tcW w:w="43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166,900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166,900</w:t>
            </w:r>
          </w:p>
        </w:tc>
      </w:tr>
      <w:tr>
        <w:trPr>
          <w:trHeight w:val="1339" w:hRule="exact"/>
        </w:trPr>
        <w:tc>
          <w:tcPr>
            <w:tcW w:w="29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名无限售流通股股东之间，以</w:t>
            </w:r>
            <w:r>
              <w:rPr>
                <w:rFonts w:ascii="宋体" w:hAnsi="宋体" w:cs="宋体" w:eastAsia="宋体" w:hint="default"/>
                <w:sz w:val="18"/>
                <w:szCs w:val="18"/>
              </w:rPr>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p>
          <w:p>
            <w:pPr>
              <w:pStyle w:val="TableParagraph"/>
              <w:spacing w:line="300" w:lineRule="auto" w:before="63"/>
              <w:ind w:left="103"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名股东之间关联关系或一致行动 的说明</w:t>
            </w:r>
          </w:p>
        </w:tc>
        <w:tc>
          <w:tcPr>
            <w:tcW w:w="694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105" w:right="171"/>
              <w:jc w:val="both"/>
              <w:rPr>
                <w:rFonts w:ascii="宋体" w:hAnsi="宋体" w:cs="宋体" w:eastAsia="宋体" w:hint="default"/>
                <w:sz w:val="18"/>
                <w:szCs w:val="18"/>
              </w:rPr>
            </w:pPr>
            <w:r>
              <w:rPr>
                <w:rFonts w:ascii="宋体" w:hAnsi="宋体" w:cs="宋体" w:eastAsia="宋体" w:hint="default"/>
                <w:sz w:val="18"/>
                <w:szCs w:val="18"/>
              </w:rPr>
              <w:t>公司未知前十名无限售条件普通股股东之间是否存在关联关系，也未知是否属于一致 行动人。公司未知前十名无限售条件普通股股东和前十名普通股股东之间是否存在关 联关系，也未知是否属于一致行动人。</w:t>
            </w:r>
          </w:p>
        </w:tc>
      </w:tr>
      <w:tr>
        <w:trPr>
          <w:trHeight w:val="715" w:hRule="exact"/>
        </w:trPr>
        <w:tc>
          <w:tcPr>
            <w:tcW w:w="29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4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名普通股股东中，股东胡双怀在报告期末持有股份数量为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497,400 </w:t>
            </w:r>
            <w:r>
              <w:rPr>
                <w:rFonts w:ascii="宋体" w:hAnsi="宋体" w:cs="宋体" w:eastAsia="宋体" w:hint="default"/>
                <w:sz w:val="18"/>
                <w:szCs w:val="18"/>
              </w:rPr>
              <w:t>股，其中普通</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证券账户持有数量为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240,500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股，信用证券账户持有数量为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256,900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977"/>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977"/>
        <w:jc w:val="left"/>
      </w:pPr>
      <w:r>
        <w:rPr/>
        <w:t>□ 是 √</w:t>
      </w:r>
      <w:r>
        <w:rPr>
          <w:spacing w:val="3"/>
        </w:rPr>
        <w:t> </w:t>
      </w:r>
      <w:r>
        <w:rPr/>
        <w:t>否</w:t>
      </w:r>
    </w:p>
    <w:p>
      <w:pPr>
        <w:spacing w:after="0" w:line="240" w:lineRule="auto"/>
        <w:jc w:val="left"/>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240" w:lineRule="auto" w:before="44"/>
        <w:ind w:right="977"/>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977"/>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594"/>
        <w:jc w:val="left"/>
      </w:pPr>
      <w:r>
        <w:rPr/>
        <w:t>控股股东性质：自然人控股 控股股东类型：自然人</w:t>
      </w:r>
    </w:p>
    <w:tbl>
      <w:tblPr>
        <w:tblW w:w="0" w:type="auto"/>
        <w:jc w:val="left"/>
        <w:tblInd w:w="108" w:type="dxa"/>
        <w:tblLayout w:type="fixed"/>
        <w:tblCellMar>
          <w:top w:w="0" w:type="dxa"/>
          <w:left w:w="0" w:type="dxa"/>
          <w:bottom w:w="0" w:type="dxa"/>
          <w:right w:w="0" w:type="dxa"/>
        </w:tblCellMar>
        <w:tblLook w:val="01E0"/>
      </w:tblPr>
      <w:tblGrid>
        <w:gridCol w:w="3419"/>
        <w:gridCol w:w="2302"/>
        <w:gridCol w:w="3850"/>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63"/>
              <w:jc w:val="right"/>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24"/>
              <w:jc w:val="right"/>
              <w:rPr>
                <w:rFonts w:ascii="宋体" w:hAnsi="宋体" w:cs="宋体" w:eastAsia="宋体" w:hint="default"/>
                <w:sz w:val="18"/>
                <w:szCs w:val="18"/>
              </w:rPr>
            </w:pPr>
            <w:r>
              <w:rPr>
                <w:rFonts w:ascii="宋体" w:hAnsi="宋体" w:cs="宋体" w:eastAsia="宋体" w:hint="default"/>
                <w:sz w:val="18"/>
                <w:szCs w:val="18"/>
              </w:rPr>
              <w:t>中华人民共和国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李建国系润建股份有限公司董事长</w:t>
            </w:r>
          </w:p>
        </w:tc>
      </w:tr>
      <w:tr>
        <w:trPr>
          <w:trHeight w:val="716"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3" w:right="2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 公司的股权情况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977"/>
        <w:jc w:val="left"/>
      </w:pPr>
      <w:r>
        <w:rPr/>
        <w:t>控股股东报告期内变更</w:t>
      </w:r>
    </w:p>
    <w:p>
      <w:pPr>
        <w:pStyle w:val="BodyText"/>
        <w:spacing w:line="360" w:lineRule="auto" w:before="115"/>
        <w:ind w:right="7694"/>
        <w:jc w:val="left"/>
      </w:pPr>
      <w:r>
        <w:rPr/>
        <w:t>□ 适用 √</w:t>
      </w:r>
      <w:r>
        <w:rPr>
          <w:spacing w:val="3"/>
        </w:rPr>
        <w:t> </w:t>
      </w:r>
      <w:r>
        <w:rPr/>
        <w:t>不适用</w:t>
      </w:r>
      <w:r>
        <w:rPr/>
        <w:t> 公司报告期控股股东未发生变更。</w:t>
      </w:r>
    </w:p>
    <w:p>
      <w:pPr>
        <w:spacing w:line="240" w:lineRule="auto" w:before="2"/>
        <w:rPr>
          <w:rFonts w:ascii="宋体" w:hAnsi="宋体" w:cs="宋体" w:eastAsia="宋体" w:hint="default"/>
          <w:sz w:val="20"/>
          <w:szCs w:val="20"/>
        </w:rPr>
      </w:pPr>
    </w:p>
    <w:p>
      <w:pPr>
        <w:pStyle w:val="Heading3"/>
        <w:spacing w:line="240" w:lineRule="auto"/>
        <w:ind w:right="977"/>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414"/>
        <w:jc w:val="left"/>
      </w:pPr>
      <w:r>
        <w:rPr/>
        <w:t>实际控制人性质：境内自然人 实际控制人类型：自然人</w:t>
      </w: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8"/>
              <w:jc w:val="right"/>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5"/>
              <w:jc w:val="right"/>
              <w:rPr>
                <w:rFonts w:ascii="宋体" w:hAnsi="宋体" w:cs="宋体" w:eastAsia="宋体" w:hint="default"/>
                <w:sz w:val="18"/>
                <w:szCs w:val="18"/>
              </w:rPr>
            </w:pPr>
            <w:r>
              <w:rPr>
                <w:rFonts w:ascii="宋体" w:hAnsi="宋体" w:cs="宋体" w:eastAsia="宋体" w:hint="default"/>
                <w:sz w:val="18"/>
                <w:szCs w:val="18"/>
              </w:rPr>
              <w:t>中华人民共和国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蒋鹂北</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5"/>
              <w:jc w:val="left"/>
              <w:rPr>
                <w:rFonts w:ascii="宋体" w:hAnsi="宋体" w:cs="宋体" w:eastAsia="宋体" w:hint="default"/>
                <w:sz w:val="18"/>
                <w:szCs w:val="18"/>
              </w:rPr>
            </w:pPr>
            <w:r>
              <w:rPr>
                <w:rFonts w:ascii="宋体" w:hAnsi="宋体" w:cs="宋体" w:eastAsia="宋体" w:hint="default"/>
                <w:sz w:val="18"/>
                <w:szCs w:val="18"/>
              </w:rPr>
              <w:t>一致行动（含协议、亲属、 同一控制）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5"/>
              <w:jc w:val="right"/>
              <w:rPr>
                <w:rFonts w:ascii="宋体" w:hAnsi="宋体" w:cs="宋体" w:eastAsia="宋体" w:hint="default"/>
                <w:sz w:val="18"/>
                <w:szCs w:val="18"/>
              </w:rPr>
            </w:pPr>
            <w:r>
              <w:rPr>
                <w:rFonts w:ascii="宋体" w:hAnsi="宋体" w:cs="宋体" w:eastAsia="宋体" w:hint="default"/>
                <w:sz w:val="18"/>
                <w:szCs w:val="18"/>
              </w:rPr>
              <w:t>中华人民共和国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01"/>
              <w:jc w:val="both"/>
              <w:rPr>
                <w:rFonts w:ascii="宋体" w:hAnsi="宋体" w:cs="宋体" w:eastAsia="宋体" w:hint="default"/>
                <w:sz w:val="18"/>
                <w:szCs w:val="18"/>
              </w:rPr>
            </w:pPr>
            <w:r>
              <w:rPr>
                <w:rFonts w:ascii="宋体" w:hAnsi="宋体" w:cs="宋体" w:eastAsia="宋体" w:hint="default"/>
                <w:spacing w:val="-2"/>
                <w:sz w:val="18"/>
                <w:szCs w:val="18"/>
              </w:rPr>
              <w:t>蒋鹂北女士系李建国先生配偶、公司共同实际控制人；蒋鹂北女士为珠海弘泽熙元投资管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理中心（有限合伙）的普通合伙人，蒋鹂北女士与李建国先生持有该合伙企业全部合伙份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额</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04"/>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 上市公司情况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977"/>
        <w:jc w:val="left"/>
      </w:pPr>
      <w:r>
        <w:rPr/>
        <w:t>实际控制人报告期内变更</w:t>
      </w:r>
    </w:p>
    <w:p>
      <w:pPr>
        <w:pStyle w:val="BodyText"/>
        <w:spacing w:line="357" w:lineRule="auto" w:before="115"/>
        <w:ind w:right="6794"/>
        <w:jc w:val="left"/>
      </w:pPr>
      <w:r>
        <w:rPr/>
        <w:t>□ 适用 √</w:t>
      </w:r>
      <w:r>
        <w:rPr>
          <w:spacing w:val="3"/>
        </w:rPr>
        <w:t> </w:t>
      </w:r>
      <w:r>
        <w:rPr/>
        <w:t>不适用</w:t>
      </w:r>
      <w:r>
        <w:rPr/>
        <w:t> 公司报告期实际控制人未发生变更。 公司与实际控制人之间的产权及控制关系的方框图</w:t>
      </w:r>
    </w:p>
    <w:p>
      <w:pPr>
        <w:spacing w:after="0" w:line="357" w:lineRule="auto"/>
        <w:jc w:val="left"/>
        <w:sectPr>
          <w:pgSz w:w="11910" w:h="16840"/>
          <w:pgMar w:header="910" w:footer="1013" w:top="1100" w:bottom="1200" w:left="10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3491" w:lineRule="exact"/>
        <w:ind w:left="1925"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3840998" cy="2216943"/>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3840998" cy="2216943"/>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8"/>
        <w:rPr>
          <w:rFonts w:ascii="宋体" w:hAnsi="宋体" w:cs="宋体" w:eastAsia="宋体" w:hint="default"/>
          <w:sz w:val="21"/>
          <w:szCs w:val="21"/>
        </w:rPr>
      </w:pPr>
    </w:p>
    <w:p>
      <w:pPr>
        <w:pStyle w:val="BodyText"/>
        <w:spacing w:line="240" w:lineRule="auto" w:before="44"/>
        <w:ind w:right="977"/>
        <w:jc w:val="left"/>
      </w:pPr>
      <w:r>
        <w:rPr/>
        <w:t>实际控制人通过信托或其他资产管理方式控制公司</w:t>
      </w:r>
    </w:p>
    <w:p>
      <w:pPr>
        <w:pStyle w:val="BodyText"/>
        <w:spacing w:line="240" w:lineRule="auto" w:before="117"/>
        <w:ind w:right="977"/>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581"/>
        <w:gridCol w:w="1814"/>
        <w:gridCol w:w="1414"/>
        <w:gridCol w:w="1635"/>
        <w:gridCol w:w="2126"/>
      </w:tblGrid>
      <w:tr>
        <w:trPr>
          <w:trHeight w:val="715" w:hRule="exact"/>
        </w:trPr>
        <w:tc>
          <w:tcPr>
            <w:tcW w:w="2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22" w:right="155" w:hanging="56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69" w:right="156" w:hanging="812"/>
              <w:jc w:val="left"/>
              <w:rPr>
                <w:rFonts w:ascii="宋体" w:hAnsi="宋体" w:cs="宋体" w:eastAsia="宋体" w:hint="default"/>
                <w:sz w:val="18"/>
                <w:szCs w:val="18"/>
              </w:rPr>
            </w:pPr>
            <w:r>
              <w:rPr>
                <w:rFonts w:ascii="宋体" w:hAnsi="宋体" w:cs="宋体" w:eastAsia="宋体" w:hint="default"/>
                <w:sz w:val="18"/>
                <w:szCs w:val="18"/>
              </w:rPr>
              <w:t>主要经营业务或管理活 动</w:t>
            </w:r>
          </w:p>
        </w:tc>
      </w:tr>
      <w:tr>
        <w:trPr>
          <w:trHeight w:val="713"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珠海弘泽熙元投资管理中心</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蒋鹂北</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7"/>
                <w:sz w:val="18"/>
                <w:szCs w:val="18"/>
              </w:rPr>
              <w:t>企业投资管理，资产管理</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after="0" w:line="240" w:lineRule="auto"/>
        <w:jc w:val="left"/>
        <w:sectPr>
          <w:pgSz w:w="11910" w:h="16840"/>
          <w:pgMar w:header="910" w:footer="1013"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3385" w:right="1394"/>
        <w:jc w:val="left"/>
        <w:rPr>
          <w:b w:val="0"/>
          <w:bCs w:val="0"/>
        </w:rPr>
      </w:pPr>
      <w:bookmarkStart w:name="_bookmark5" w:id="6"/>
      <w:bookmarkEnd w:id="6"/>
      <w:r>
        <w:rPr>
          <w:b w:val="0"/>
          <w:bCs w:val="0"/>
        </w:rPr>
      </w:r>
      <w:r>
        <w:rPr/>
        <w:t>第七节</w:t>
      </w:r>
      <w:r>
        <w:rPr>
          <w:spacing w:val="-4"/>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57" w:lineRule="auto" w:before="44"/>
        <w:ind w:left="252" w:right="8594"/>
        <w:jc w:val="left"/>
      </w:pPr>
      <w:r>
        <w:rPr/>
        <w:t>□ 适用 √</w:t>
      </w:r>
      <w:r>
        <w:rPr>
          <w:spacing w:val="3"/>
        </w:rPr>
        <w:t> </w:t>
      </w:r>
      <w:r>
        <w:rPr/>
        <w:t>不适用</w:t>
      </w:r>
      <w:r>
        <w:rPr/>
        <w:t> 报告期公司不存在优先股。</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Heading1"/>
        <w:spacing w:line="240" w:lineRule="auto"/>
        <w:ind w:left="1779" w:right="1394"/>
        <w:jc w:val="left"/>
        <w:rPr>
          <w:b w:val="0"/>
          <w:bCs w:val="0"/>
        </w:rPr>
      </w:pPr>
      <w:bookmarkStart w:name="_bookmark6" w:id="7"/>
      <w:bookmarkEnd w:id="7"/>
      <w:r>
        <w:rPr>
          <w:b w:val="0"/>
          <w:bCs w:val="0"/>
        </w:rPr>
      </w:r>
      <w:r>
        <w:rPr/>
        <w:t>第八节</w:t>
      </w:r>
      <w:r>
        <w:rPr>
          <w:spacing w:val="-8"/>
        </w:rPr>
        <w:t> </w:t>
      </w:r>
      <w:r>
        <w:rPr/>
        <w:t>董事、监事、高级管理人员和员工情况</w:t>
      </w:r>
      <w:r>
        <w:rPr>
          <w:b w:val="0"/>
          <w:bCs w:val="0"/>
        </w:rPr>
      </w:r>
    </w:p>
    <w:p>
      <w:pPr>
        <w:spacing w:line="240" w:lineRule="auto" w:before="0"/>
        <w:rPr>
          <w:rFonts w:ascii="宋体" w:hAnsi="宋体" w:cs="宋体" w:eastAsia="宋体" w:hint="default"/>
          <w:b/>
          <w:bCs/>
          <w:sz w:val="39"/>
          <w:szCs w:val="39"/>
        </w:rPr>
      </w:pPr>
    </w:p>
    <w:p>
      <w:pPr>
        <w:pStyle w:val="Heading2"/>
        <w:spacing w:line="240" w:lineRule="auto"/>
        <w:ind w:left="252" w:right="1394"/>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797"/>
        <w:gridCol w:w="763"/>
        <w:gridCol w:w="708"/>
        <w:gridCol w:w="425"/>
        <w:gridCol w:w="425"/>
        <w:gridCol w:w="994"/>
        <w:gridCol w:w="992"/>
        <w:gridCol w:w="1135"/>
        <w:gridCol w:w="991"/>
        <w:gridCol w:w="797"/>
        <w:gridCol w:w="799"/>
        <w:gridCol w:w="1097"/>
      </w:tblGrid>
      <w:tr>
        <w:trPr>
          <w:trHeight w:val="1339"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67" w:right="168"/>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17" w:right="116"/>
              <w:jc w:val="left"/>
              <w:rPr>
                <w:rFonts w:ascii="宋体" w:hAnsi="宋体" w:cs="宋体" w:eastAsia="宋体" w:hint="default"/>
                <w:sz w:val="18"/>
                <w:szCs w:val="18"/>
              </w:rPr>
            </w:pPr>
            <w:r>
              <w:rPr>
                <w:rFonts w:ascii="宋体" w:hAnsi="宋体" w:cs="宋体" w:eastAsia="宋体" w:hint="default"/>
                <w:sz w:val="18"/>
                <w:szCs w:val="18"/>
              </w:rPr>
              <w:t>性 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19" w:right="113"/>
              <w:jc w:val="left"/>
              <w:rPr>
                <w:rFonts w:ascii="宋体" w:hAnsi="宋体" w:cs="宋体" w:eastAsia="宋体" w:hint="default"/>
                <w:sz w:val="18"/>
                <w:szCs w:val="18"/>
              </w:rPr>
            </w:pPr>
            <w:r>
              <w:rPr>
                <w:rFonts w:ascii="宋体" w:hAnsi="宋体" w:cs="宋体" w:eastAsia="宋体" w:hint="default"/>
                <w:sz w:val="18"/>
                <w:szCs w:val="18"/>
              </w:rPr>
              <w:t>年 龄</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11" w:right="1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9" w:right="13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29" w:right="131"/>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22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4" w:right="120"/>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1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27" w:right="120"/>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12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84" w:right="180"/>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78,415,666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78,415,666</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88"/>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78,415,666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78,415,666</w:t>
            </w:r>
          </w:p>
        </w:tc>
      </w:tr>
    </w:tbl>
    <w:p>
      <w:pPr>
        <w:spacing w:line="240" w:lineRule="auto" w:before="3"/>
        <w:rPr>
          <w:rFonts w:ascii="宋体" w:hAnsi="宋体" w:cs="宋体" w:eastAsia="宋体" w:hint="default"/>
          <w:b/>
          <w:bCs/>
          <w:sz w:val="18"/>
          <w:szCs w:val="18"/>
        </w:rPr>
      </w:pPr>
    </w:p>
    <w:p>
      <w:pPr>
        <w:pStyle w:val="Heading2"/>
        <w:spacing w:line="240" w:lineRule="auto" w:before="26"/>
        <w:ind w:left="252" w:right="0"/>
        <w:jc w:val="both"/>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52" w:right="0"/>
        <w:jc w:val="both"/>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left="252" w:right="0"/>
        <w:jc w:val="both"/>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252" w:right="3734"/>
        <w:jc w:val="left"/>
        <w:rPr>
          <w:rFonts w:ascii="宋体" w:hAnsi="宋体" w:cs="宋体" w:eastAsia="宋体" w:hint="default"/>
        </w:rPr>
      </w:pPr>
      <w:r>
        <w:rPr/>
        <w:t>公司现任董事、监事、高级管理人员专业背景、主要工作经历以及目前在公司的主要职责 一、董事</w:t>
      </w:r>
      <w:r>
        <w:rPr>
          <w:rFonts w:ascii="宋体" w:hAnsi="宋体" w:cs="宋体" w:eastAsia="宋体" w:hint="default"/>
        </w:rPr>
        <w:t> </w:t>
      </w:r>
    </w:p>
    <w:p>
      <w:pPr>
        <w:pStyle w:val="BodyText"/>
        <w:spacing w:line="224" w:lineRule="exact"/>
        <w:ind w:left="252" w:right="0"/>
        <w:jc w:val="both"/>
        <w:rPr>
          <w:rFonts w:ascii="宋体" w:hAnsi="宋体" w:cs="宋体" w:eastAsia="宋体" w:hint="default"/>
        </w:rPr>
      </w:pPr>
      <w:r>
        <w:rPr/>
        <w:t>李建国先生</w:t>
      </w:r>
      <w:r>
        <w:rPr>
          <w:rFonts w:ascii="宋体" w:hAnsi="宋体" w:cs="宋体" w:eastAsia="宋体" w:hint="default"/>
        </w:rPr>
        <w:t> </w:t>
      </w:r>
    </w:p>
    <w:p>
      <w:pPr>
        <w:spacing w:line="240" w:lineRule="auto" w:before="10"/>
        <w:rPr>
          <w:rFonts w:ascii="宋体" w:hAnsi="宋体" w:cs="宋体" w:eastAsia="宋体" w:hint="default"/>
          <w:sz w:val="17"/>
          <w:szCs w:val="17"/>
        </w:rPr>
      </w:pPr>
    </w:p>
    <w:p>
      <w:pPr>
        <w:pStyle w:val="BodyText"/>
        <w:spacing w:line="319" w:lineRule="auto"/>
        <w:ind w:left="252" w:right="1128"/>
        <w:jc w:val="both"/>
        <w:rPr>
          <w:rFonts w:ascii="宋体" w:hAnsi="宋体" w:cs="宋体" w:eastAsia="宋体" w:hint="default"/>
        </w:rPr>
      </w:pPr>
      <w:r>
        <w:rPr>
          <w:rFonts w:ascii="宋体" w:hAnsi="宋体" w:cs="宋体" w:eastAsia="宋体" w:hint="default"/>
          <w:spacing w:val="-2"/>
        </w:rPr>
        <w:t>1964</w:t>
      </w:r>
      <w:r>
        <w:rPr>
          <w:spacing w:val="-2"/>
        </w:rPr>
        <w:t>年</w:t>
      </w:r>
      <w:r>
        <w:rPr>
          <w:rFonts w:ascii="宋体" w:hAnsi="宋体" w:cs="宋体" w:eastAsia="宋体" w:hint="default"/>
          <w:spacing w:val="-2"/>
        </w:rPr>
        <w:t>12</w:t>
      </w:r>
      <w:r>
        <w:rPr>
          <w:spacing w:val="-2"/>
        </w:rPr>
        <w:t>月出生，中国国籍，无境外永久居留权，本科学历，高级工程师。</w:t>
      </w:r>
      <w:r>
        <w:rPr>
          <w:rFonts w:ascii="宋体" w:hAnsi="宋体" w:cs="宋体" w:eastAsia="宋体" w:hint="default"/>
          <w:spacing w:val="-2"/>
        </w:rPr>
        <w:t>1982</w:t>
      </w:r>
      <w:r>
        <w:rPr>
          <w:spacing w:val="-2"/>
        </w:rPr>
        <w:t>年</w:t>
      </w:r>
      <w:r>
        <w:rPr>
          <w:rFonts w:ascii="宋体" w:hAnsi="宋体" w:cs="宋体" w:eastAsia="宋体" w:hint="default"/>
          <w:spacing w:val="-2"/>
        </w:rPr>
        <w:t>11</w:t>
      </w:r>
      <w:r>
        <w:rPr>
          <w:spacing w:val="-2"/>
        </w:rPr>
        <w:t>月至</w:t>
      </w:r>
      <w:r>
        <w:rPr>
          <w:rFonts w:ascii="宋体" w:hAnsi="宋体" w:cs="宋体" w:eastAsia="宋体" w:hint="default"/>
          <w:spacing w:val="-2"/>
        </w:rPr>
        <w:t>1984</w:t>
      </w:r>
      <w:r>
        <w:rPr>
          <w:spacing w:val="-2"/>
        </w:rPr>
        <w:t>年</w:t>
      </w:r>
      <w:r>
        <w:rPr>
          <w:rFonts w:ascii="宋体" w:hAnsi="宋体" w:cs="宋体" w:eastAsia="宋体" w:hint="default"/>
          <w:spacing w:val="-2"/>
        </w:rPr>
        <w:t>6</w:t>
      </w:r>
      <w:r>
        <w:rPr>
          <w:spacing w:val="-2"/>
        </w:rPr>
        <w:t>月期间在海南军区守备</w:t>
      </w:r>
      <w:r>
        <w:rPr>
          <w:rFonts w:ascii="宋体" w:hAnsi="宋体" w:cs="宋体" w:eastAsia="宋体" w:hint="default"/>
          <w:spacing w:val="-2"/>
        </w:rPr>
        <w:t>121</w:t>
      </w:r>
      <w:r>
        <w:rPr>
          <w:rFonts w:ascii="宋体" w:hAnsi="宋体" w:cs="宋体" w:eastAsia="宋体" w:hint="default"/>
          <w:spacing w:val="-52"/>
        </w:rPr>
        <w:t> </w:t>
      </w:r>
      <w:r>
        <w:rPr>
          <w:rFonts w:ascii="宋体" w:hAnsi="宋体" w:cs="宋体" w:eastAsia="宋体" w:hint="default"/>
          <w:spacing w:val="-52"/>
        </w:rPr>
      </w:r>
      <w:r>
        <w:rPr/>
        <w:t>师担任战士；</w:t>
      </w:r>
      <w:r>
        <w:rPr>
          <w:rFonts w:ascii="宋体" w:hAnsi="宋体" w:cs="宋体" w:eastAsia="宋体" w:hint="default"/>
        </w:rPr>
        <w:t>1984</w:t>
      </w:r>
      <w:r>
        <w:rPr/>
        <w:t>年</w:t>
      </w:r>
      <w:r>
        <w:rPr>
          <w:rFonts w:ascii="宋体" w:hAnsi="宋体" w:cs="宋体" w:eastAsia="宋体" w:hint="default"/>
        </w:rPr>
        <w:t>6</w:t>
      </w:r>
      <w:r>
        <w:rPr/>
        <w:t>月至</w:t>
      </w:r>
      <w:r>
        <w:rPr>
          <w:rFonts w:ascii="宋体" w:hAnsi="宋体" w:cs="宋体" w:eastAsia="宋体" w:hint="default"/>
        </w:rPr>
        <w:t>1986</w:t>
      </w:r>
      <w:r>
        <w:rPr/>
        <w:t>年</w:t>
      </w:r>
      <w:r>
        <w:rPr>
          <w:rFonts w:ascii="宋体" w:hAnsi="宋体" w:cs="宋体" w:eastAsia="宋体" w:hint="default"/>
        </w:rPr>
        <w:t>6</w:t>
      </w:r>
      <w:r>
        <w:rPr/>
        <w:t>月期间在桂林陆军学院担任学员；</w:t>
      </w:r>
      <w:r>
        <w:rPr>
          <w:rFonts w:ascii="宋体" w:hAnsi="宋体" w:cs="宋体" w:eastAsia="宋体" w:hint="default"/>
        </w:rPr>
        <w:t>1986</w:t>
      </w:r>
      <w:r>
        <w:rPr/>
        <w:t>年</w:t>
      </w:r>
      <w:r>
        <w:rPr>
          <w:rFonts w:ascii="宋体" w:hAnsi="宋体" w:cs="宋体" w:eastAsia="宋体" w:hint="default"/>
        </w:rPr>
        <w:t>6</w:t>
      </w:r>
      <w:r>
        <w:rPr/>
        <w:t>月至</w:t>
      </w:r>
      <w:r>
        <w:rPr>
          <w:rFonts w:ascii="宋体" w:hAnsi="宋体" w:cs="宋体" w:eastAsia="宋体" w:hint="default"/>
        </w:rPr>
        <w:t>1994</w:t>
      </w:r>
      <w:r>
        <w:rPr/>
        <w:t>年</w:t>
      </w:r>
      <w:r>
        <w:rPr>
          <w:rFonts w:ascii="宋体" w:hAnsi="宋体" w:cs="宋体" w:eastAsia="宋体" w:hint="default"/>
        </w:rPr>
        <w:t>10</w:t>
      </w:r>
      <w:r>
        <w:rPr/>
        <w:t>月期间在广州军区第二通信总站 担任军官；</w:t>
      </w:r>
      <w:r>
        <w:rPr>
          <w:rFonts w:ascii="宋体" w:hAnsi="宋体" w:cs="宋体" w:eastAsia="宋体" w:hint="default"/>
        </w:rPr>
        <w:t>1994</w:t>
      </w:r>
      <w:r>
        <w:rPr/>
        <w:t>年</w:t>
      </w:r>
      <w:r>
        <w:rPr>
          <w:rFonts w:ascii="宋体" w:hAnsi="宋体" w:cs="宋体" w:eastAsia="宋体" w:hint="default"/>
        </w:rPr>
        <w:t>10</w:t>
      </w:r>
      <w:r>
        <w:rPr/>
        <w:t>月至</w:t>
      </w:r>
      <w:r>
        <w:rPr>
          <w:rFonts w:ascii="宋体" w:hAnsi="宋体" w:cs="宋体" w:eastAsia="宋体" w:hint="default"/>
        </w:rPr>
        <w:t>2005 </w:t>
      </w:r>
      <w:r>
        <w:rPr/>
        <w:t>年</w:t>
      </w:r>
      <w:r>
        <w:rPr>
          <w:rFonts w:ascii="宋体" w:hAnsi="宋体" w:cs="宋体" w:eastAsia="宋体" w:hint="default"/>
        </w:rPr>
        <w:t>7</w:t>
      </w:r>
      <w:r>
        <w:rPr/>
        <w:t>月期间在广东中人企业（集团）有限公司担任项目经理；</w:t>
      </w:r>
      <w:r>
        <w:rPr>
          <w:rFonts w:ascii="宋体" w:hAnsi="宋体" w:cs="宋体" w:eastAsia="宋体" w:hint="default"/>
        </w:rPr>
        <w:t>2006</w:t>
      </w:r>
      <w:r>
        <w:rPr/>
        <w:t>年</w:t>
      </w:r>
      <w:r>
        <w:rPr>
          <w:rFonts w:ascii="宋体" w:hAnsi="宋体" w:cs="宋体" w:eastAsia="宋体" w:hint="default"/>
        </w:rPr>
        <w:t>1</w:t>
      </w:r>
      <w:r>
        <w:rPr/>
        <w:t>月至</w:t>
      </w:r>
      <w:r>
        <w:rPr>
          <w:rFonts w:ascii="宋体" w:hAnsi="宋体" w:cs="宋体" w:eastAsia="宋体" w:hint="default"/>
        </w:rPr>
        <w:t>2008</w:t>
      </w:r>
      <w:r>
        <w:rPr>
          <w:rFonts w:ascii="宋体" w:hAnsi="宋体" w:cs="宋体" w:eastAsia="宋体" w:hint="default"/>
          <w:spacing w:val="1"/>
        </w:rPr>
        <w:t> </w:t>
      </w:r>
      <w:r>
        <w:rPr/>
        <w:t>年</w:t>
      </w:r>
      <w:r>
        <w:rPr>
          <w:rFonts w:ascii="宋体" w:hAnsi="宋体" w:cs="宋体" w:eastAsia="宋体" w:hint="default"/>
        </w:rPr>
        <w:t>3</w:t>
      </w:r>
      <w:r>
        <w:rPr/>
        <w:t>月期间在 </w:t>
      </w:r>
      <w:r>
        <w:rPr>
          <w:spacing w:val="-5"/>
        </w:rPr>
        <w:t>广东中人集团建设有限公司担任项目经理；</w:t>
      </w:r>
      <w:r>
        <w:rPr>
          <w:rFonts w:ascii="宋体" w:hAnsi="宋体" w:cs="宋体" w:eastAsia="宋体" w:hint="default"/>
          <w:spacing w:val="-5"/>
        </w:rPr>
        <w:t>2003</w:t>
      </w:r>
      <w:r>
        <w:rPr>
          <w:spacing w:val="-5"/>
        </w:rPr>
        <w:t>年</w:t>
      </w:r>
      <w:r>
        <w:rPr>
          <w:rFonts w:ascii="宋体" w:hAnsi="宋体" w:cs="宋体" w:eastAsia="宋体" w:hint="default"/>
          <w:spacing w:val="-5"/>
        </w:rPr>
        <w:t>1</w:t>
      </w:r>
      <w:r>
        <w:rPr>
          <w:spacing w:val="-5"/>
        </w:rPr>
        <w:t>月至</w:t>
      </w:r>
      <w:r>
        <w:rPr>
          <w:rFonts w:ascii="宋体" w:hAnsi="宋体" w:cs="宋体" w:eastAsia="宋体" w:hint="default"/>
          <w:spacing w:val="-5"/>
        </w:rPr>
        <w:t>2012</w:t>
      </w:r>
      <w:r>
        <w:rPr>
          <w:spacing w:val="-5"/>
        </w:rPr>
        <w:t>年</w:t>
      </w:r>
      <w:r>
        <w:rPr>
          <w:rFonts w:ascii="宋体" w:hAnsi="宋体" w:cs="宋体" w:eastAsia="宋体" w:hint="default"/>
          <w:spacing w:val="-5"/>
        </w:rPr>
        <w:t>9</w:t>
      </w:r>
      <w:r>
        <w:rPr>
          <w:spacing w:val="-5"/>
        </w:rPr>
        <w:t>月期间在润建有限工作，曾先后担任执行董事、董事长；</w:t>
      </w:r>
      <w:r>
        <w:rPr>
          <w:rFonts w:ascii="宋体" w:hAnsi="宋体" w:cs="宋体" w:eastAsia="宋体" w:hint="default"/>
          <w:spacing w:val="-5"/>
        </w:rPr>
        <w:t>2012</w:t>
      </w:r>
      <w:r>
        <w:rPr>
          <w:rFonts w:ascii="宋体" w:hAnsi="宋体" w:cs="宋体" w:eastAsia="宋体" w:hint="default"/>
          <w:spacing w:val="-49"/>
        </w:rPr>
        <w:t> </w:t>
      </w:r>
      <w:r>
        <w:rPr>
          <w:rFonts w:ascii="宋体" w:hAnsi="宋体" w:cs="宋体" w:eastAsia="宋体" w:hint="default"/>
          <w:spacing w:val="-49"/>
        </w:rPr>
      </w:r>
      <w:r>
        <w:rPr/>
        <w:t>年</w:t>
      </w:r>
      <w:r>
        <w:rPr>
          <w:rFonts w:ascii="宋体" w:hAnsi="宋体" w:cs="宋体" w:eastAsia="宋体" w:hint="default"/>
        </w:rPr>
        <w:t>9</w:t>
      </w:r>
      <w:r>
        <w:rPr/>
        <w:t>月至今担任润建股份董事长。</w:t>
      </w:r>
      <w:r>
        <w:rPr>
          <w:rFonts w:ascii="宋体" w:hAnsi="宋体" w:cs="宋体" w:eastAsia="宋体" w:hint="default"/>
        </w:rPr>
        <w:t> </w:t>
      </w:r>
    </w:p>
    <w:p>
      <w:pPr>
        <w:spacing w:line="240" w:lineRule="auto" w:before="3"/>
        <w:rPr>
          <w:rFonts w:ascii="宋体" w:hAnsi="宋体" w:cs="宋体" w:eastAsia="宋体" w:hint="default"/>
          <w:sz w:val="13"/>
          <w:szCs w:val="13"/>
        </w:rPr>
      </w:pPr>
    </w:p>
    <w:p>
      <w:pPr>
        <w:pStyle w:val="BodyText"/>
        <w:spacing w:line="240" w:lineRule="auto"/>
        <w:ind w:left="252" w:right="0"/>
        <w:jc w:val="both"/>
        <w:rPr>
          <w:rFonts w:ascii="宋体" w:hAnsi="宋体" w:cs="宋体" w:eastAsia="宋体" w:hint="default"/>
        </w:rPr>
      </w:pPr>
      <w:r>
        <w:rPr/>
        <w:t>许文杰先生</w:t>
      </w:r>
      <w:r>
        <w:rPr>
          <w:rFonts w:ascii="宋体" w:hAnsi="宋体" w:cs="宋体" w:eastAsia="宋体" w:hint="default"/>
        </w:rPr>
        <w:t> </w:t>
      </w:r>
    </w:p>
    <w:p>
      <w:pPr>
        <w:spacing w:line="240" w:lineRule="auto" w:before="10"/>
        <w:rPr>
          <w:rFonts w:ascii="宋体" w:hAnsi="宋体" w:cs="宋体" w:eastAsia="宋体" w:hint="default"/>
          <w:sz w:val="17"/>
          <w:szCs w:val="17"/>
        </w:rPr>
      </w:pPr>
    </w:p>
    <w:p>
      <w:pPr>
        <w:pStyle w:val="BodyText"/>
        <w:spacing w:line="316" w:lineRule="auto"/>
        <w:ind w:left="252" w:right="1131"/>
        <w:jc w:val="both"/>
        <w:rPr>
          <w:rFonts w:ascii="宋体" w:hAnsi="宋体" w:cs="宋体" w:eastAsia="宋体" w:hint="default"/>
        </w:rPr>
      </w:pPr>
      <w:r>
        <w:rPr>
          <w:rFonts w:ascii="宋体" w:hAnsi="宋体" w:cs="宋体" w:eastAsia="宋体" w:hint="default"/>
        </w:rPr>
        <w:t>1975</w:t>
      </w:r>
      <w:r>
        <w:rPr/>
        <w:t>年</w:t>
      </w:r>
      <w:r>
        <w:rPr>
          <w:rFonts w:ascii="宋体" w:hAnsi="宋体" w:cs="宋体" w:eastAsia="宋体" w:hint="default"/>
        </w:rPr>
        <w:t>9</w:t>
      </w:r>
      <w:r>
        <w:rPr/>
        <w:t>月出生，中国国籍，无境外永久居留权，研究生学历，高级工程师。</w:t>
      </w:r>
      <w:r>
        <w:rPr>
          <w:rFonts w:ascii="宋体" w:hAnsi="宋体" w:cs="宋体" w:eastAsia="宋体" w:hint="default"/>
        </w:rPr>
        <w:t>2001</w:t>
      </w:r>
      <w:r>
        <w:rPr/>
        <w:t>年</w:t>
      </w:r>
      <w:r>
        <w:rPr>
          <w:rFonts w:ascii="宋体" w:hAnsi="宋体" w:cs="宋体" w:eastAsia="宋体" w:hint="default"/>
        </w:rPr>
        <w:t>9</w:t>
      </w:r>
      <w:r>
        <w:rPr/>
        <w:t>月至</w:t>
      </w:r>
      <w:r>
        <w:rPr>
          <w:rFonts w:ascii="宋体" w:hAnsi="宋体" w:cs="宋体" w:eastAsia="宋体" w:hint="default"/>
        </w:rPr>
        <w:t>2003</w:t>
      </w:r>
      <w:r>
        <w:rPr/>
        <w:t>年</w:t>
      </w:r>
      <w:r>
        <w:rPr>
          <w:rFonts w:ascii="宋体" w:hAnsi="宋体" w:cs="宋体" w:eastAsia="宋体" w:hint="default"/>
        </w:rPr>
        <w:t>5</w:t>
      </w:r>
      <w:r>
        <w:rPr/>
        <w:t>月期间在广州环信信息有 限公司担任项目经理；</w:t>
      </w:r>
      <w:r>
        <w:rPr>
          <w:rFonts w:ascii="宋体" w:hAnsi="宋体" w:cs="宋体" w:eastAsia="宋体" w:hint="default"/>
        </w:rPr>
        <w:t>2003</w:t>
      </w:r>
      <w:r>
        <w:rPr/>
        <w:t>年</w:t>
      </w:r>
      <w:r>
        <w:rPr>
          <w:rFonts w:ascii="宋体" w:hAnsi="宋体" w:cs="宋体" w:eastAsia="宋体" w:hint="default"/>
        </w:rPr>
        <w:t>5</w:t>
      </w:r>
      <w:r>
        <w:rPr/>
        <w:t>月至</w:t>
      </w:r>
      <w:r>
        <w:rPr>
          <w:rFonts w:ascii="宋体" w:hAnsi="宋体" w:cs="宋体" w:eastAsia="宋体" w:hint="default"/>
        </w:rPr>
        <w:t>2012</w:t>
      </w:r>
      <w:r>
        <w:rPr/>
        <w:t>年</w:t>
      </w:r>
      <w:r>
        <w:rPr>
          <w:rFonts w:ascii="宋体" w:hAnsi="宋体" w:cs="宋体" w:eastAsia="宋体" w:hint="default"/>
        </w:rPr>
        <w:t>9</w:t>
      </w:r>
      <w:r>
        <w:rPr/>
        <w:t>月在润建有限任职，先后担任执行董事、总经理；</w:t>
      </w:r>
      <w:r>
        <w:rPr>
          <w:rFonts w:ascii="宋体" w:hAnsi="宋体" w:cs="宋体" w:eastAsia="宋体" w:hint="default"/>
        </w:rPr>
        <w:t>2012</w:t>
      </w:r>
      <w:r>
        <w:rPr/>
        <w:t>年</w:t>
      </w:r>
      <w:r>
        <w:rPr>
          <w:rFonts w:ascii="宋体" w:hAnsi="宋体" w:cs="宋体" w:eastAsia="宋体" w:hint="default"/>
        </w:rPr>
        <w:t>9</w:t>
      </w:r>
      <w:r>
        <w:rPr/>
        <w:t>月至今在润建股份任 职，其中</w:t>
      </w:r>
      <w:r>
        <w:rPr>
          <w:rFonts w:ascii="宋体" w:hAnsi="宋体" w:cs="宋体" w:eastAsia="宋体" w:hint="default"/>
        </w:rPr>
        <w:t>2012</w:t>
      </w:r>
      <w:r>
        <w:rPr/>
        <w:t>年</w:t>
      </w:r>
      <w:r>
        <w:rPr>
          <w:rFonts w:ascii="宋体" w:hAnsi="宋体" w:cs="宋体" w:eastAsia="宋体" w:hint="default"/>
        </w:rPr>
        <w:t>9</w:t>
      </w:r>
      <w:r>
        <w:rPr/>
        <w:t>月至今担任总经理，</w:t>
      </w:r>
      <w:r>
        <w:rPr>
          <w:rFonts w:ascii="宋体" w:hAnsi="宋体" w:cs="宋体" w:eastAsia="宋体" w:hint="default"/>
        </w:rPr>
        <w:t>2014</w:t>
      </w:r>
      <w:r>
        <w:rPr/>
        <w:t>年</w:t>
      </w:r>
      <w:r>
        <w:rPr>
          <w:rFonts w:ascii="宋体" w:hAnsi="宋体" w:cs="宋体" w:eastAsia="宋体" w:hint="default"/>
        </w:rPr>
        <w:t>4</w:t>
      </w:r>
      <w:r>
        <w:rPr/>
        <w:t>月至今担任董事，</w:t>
      </w:r>
      <w:r>
        <w:rPr>
          <w:rFonts w:ascii="宋体" w:hAnsi="宋体" w:cs="宋体" w:eastAsia="宋体" w:hint="default"/>
        </w:rPr>
        <w:t>2016</w:t>
      </w:r>
      <w:r>
        <w:rPr/>
        <w:t>年</w:t>
      </w:r>
      <w:r>
        <w:rPr>
          <w:rFonts w:ascii="宋体" w:hAnsi="宋体" w:cs="宋体" w:eastAsia="宋体" w:hint="default"/>
        </w:rPr>
        <w:t>4</w:t>
      </w:r>
      <w:r>
        <w:rPr/>
        <w:t>月至今担任副董事长。</w:t>
      </w:r>
      <w:r>
        <w:rPr>
          <w:rFonts w:ascii="宋体" w:hAnsi="宋体" w:cs="宋体" w:eastAsia="宋体" w:hint="default"/>
        </w:rPr>
        <w:t> </w:t>
      </w:r>
    </w:p>
    <w:p>
      <w:pPr>
        <w:spacing w:line="240" w:lineRule="auto" w:before="5"/>
        <w:rPr>
          <w:rFonts w:ascii="宋体" w:hAnsi="宋体" w:cs="宋体" w:eastAsia="宋体" w:hint="default"/>
          <w:sz w:val="13"/>
          <w:szCs w:val="13"/>
        </w:rPr>
      </w:pPr>
    </w:p>
    <w:p>
      <w:pPr>
        <w:pStyle w:val="BodyText"/>
        <w:spacing w:line="477" w:lineRule="auto"/>
        <w:ind w:left="252" w:right="1049"/>
        <w:jc w:val="both"/>
      </w:pPr>
      <w:r>
        <w:rPr/>
        <w:t>梁姬女士</w:t>
      </w:r>
      <w:r>
        <w:rPr>
          <w:rFonts w:ascii="宋体" w:hAnsi="宋体" w:cs="宋体" w:eastAsia="宋体" w:hint="default"/>
        </w:rPr>
        <w:t> 1972</w:t>
      </w:r>
      <w:r>
        <w:rPr/>
        <w:t>年</w:t>
      </w:r>
      <w:r>
        <w:rPr>
          <w:rFonts w:ascii="宋体" w:hAnsi="宋体" w:cs="宋体" w:eastAsia="宋体" w:hint="default"/>
        </w:rPr>
        <w:t>10</w:t>
      </w:r>
      <w:r>
        <w:rPr/>
        <w:t>月出生，中国国籍，无境外永久居留权，研究生学历。</w:t>
      </w:r>
      <w:r>
        <w:rPr>
          <w:rFonts w:ascii="宋体" w:hAnsi="宋体" w:cs="宋体" w:eastAsia="宋体" w:hint="default"/>
        </w:rPr>
        <w:t>1990</w:t>
      </w:r>
      <w:r>
        <w:rPr/>
        <w:t>年</w:t>
      </w:r>
      <w:r>
        <w:rPr>
          <w:rFonts w:ascii="宋体" w:hAnsi="宋体" w:cs="宋体" w:eastAsia="宋体" w:hint="default"/>
        </w:rPr>
        <w:t>7</w:t>
      </w:r>
      <w:r>
        <w:rPr/>
        <w:t>月至</w:t>
      </w:r>
      <w:r>
        <w:rPr>
          <w:rFonts w:ascii="宋体" w:hAnsi="宋体" w:cs="宋体" w:eastAsia="宋体" w:hint="default"/>
        </w:rPr>
        <w:t>2000</w:t>
      </w:r>
      <w:r>
        <w:rPr/>
        <w:t>年</w:t>
      </w:r>
      <w:r>
        <w:rPr>
          <w:rFonts w:ascii="宋体" w:hAnsi="宋体" w:cs="宋体" w:eastAsia="宋体" w:hint="default"/>
        </w:rPr>
        <w:t>4</w:t>
      </w:r>
      <w:r>
        <w:rPr/>
        <w:t>月期间在南宁市钢精厂担任工业会计；</w:t>
      </w:r>
    </w:p>
    <w:p>
      <w:pPr>
        <w:spacing w:after="0" w:line="477" w:lineRule="auto"/>
        <w:jc w:val="both"/>
        <w:sectPr>
          <w:pgSz w:w="11910" w:h="16840"/>
          <w:pgMar w:header="910" w:footer="1013" w:top="1100" w:bottom="1200" w:left="880" w:right="0"/>
        </w:sectPr>
      </w:pPr>
    </w:p>
    <w:p>
      <w:pPr>
        <w:spacing w:line="240" w:lineRule="auto" w:before="8"/>
        <w:rPr>
          <w:rFonts w:ascii="宋体" w:hAnsi="宋体" w:cs="宋体" w:eastAsia="宋体" w:hint="default"/>
          <w:sz w:val="22"/>
          <w:szCs w:val="22"/>
        </w:rPr>
      </w:pPr>
    </w:p>
    <w:p>
      <w:pPr>
        <w:pStyle w:val="BodyText"/>
        <w:spacing w:line="316" w:lineRule="auto" w:before="44"/>
        <w:ind w:right="1124"/>
        <w:jc w:val="left"/>
        <w:rPr>
          <w:rFonts w:ascii="宋体" w:hAnsi="宋体" w:cs="宋体" w:eastAsia="宋体" w:hint="default"/>
        </w:rPr>
      </w:pPr>
      <w:r>
        <w:rPr>
          <w:rFonts w:ascii="宋体" w:hAnsi="宋体" w:cs="宋体" w:eastAsia="宋体" w:hint="default"/>
        </w:rPr>
        <w:t>2000</w:t>
      </w:r>
      <w:r>
        <w:rPr/>
        <w:t>年</w:t>
      </w:r>
      <w:r>
        <w:rPr>
          <w:rFonts w:ascii="宋体" w:hAnsi="宋体" w:cs="宋体" w:eastAsia="宋体" w:hint="default"/>
        </w:rPr>
        <w:t>5</w:t>
      </w:r>
      <w:r>
        <w:rPr/>
        <w:t>月至</w:t>
      </w:r>
      <w:r>
        <w:rPr>
          <w:rFonts w:ascii="宋体" w:hAnsi="宋体" w:cs="宋体" w:eastAsia="宋体" w:hint="default"/>
        </w:rPr>
        <w:t>2002</w:t>
      </w:r>
      <w:r>
        <w:rPr/>
        <w:t>年</w:t>
      </w:r>
      <w:r>
        <w:rPr>
          <w:rFonts w:ascii="宋体" w:hAnsi="宋体" w:cs="宋体" w:eastAsia="宋体" w:hint="default"/>
        </w:rPr>
        <w:t>12</w:t>
      </w:r>
      <w:r>
        <w:rPr/>
        <w:t>月期间在广东中人润建发展有限公司担任财务经理；</w:t>
      </w:r>
      <w:r>
        <w:rPr>
          <w:rFonts w:ascii="宋体" w:hAnsi="宋体" w:cs="宋体" w:eastAsia="宋体" w:hint="default"/>
        </w:rPr>
        <w:t>2003</w:t>
      </w:r>
      <w:r>
        <w:rPr/>
        <w:t>年</w:t>
      </w:r>
      <w:r>
        <w:rPr>
          <w:rFonts w:ascii="宋体" w:hAnsi="宋体" w:cs="宋体" w:eastAsia="宋体" w:hint="default"/>
        </w:rPr>
        <w:t>1</w:t>
      </w:r>
      <w:r>
        <w:rPr/>
        <w:t>月至</w:t>
      </w:r>
      <w:r>
        <w:rPr>
          <w:rFonts w:ascii="宋体" w:hAnsi="宋体" w:cs="宋体" w:eastAsia="宋体" w:hint="default"/>
        </w:rPr>
        <w:t>2012</w:t>
      </w:r>
      <w:r>
        <w:rPr/>
        <w:t>年</w:t>
      </w:r>
      <w:r>
        <w:rPr>
          <w:rFonts w:ascii="宋体" w:hAnsi="宋体" w:cs="宋体" w:eastAsia="宋体" w:hint="default"/>
        </w:rPr>
        <w:t>9</w:t>
      </w:r>
      <w:r>
        <w:rPr/>
        <w:t>月在润建有限工作，先后担 任公司财务部经理、审计结算部经理、财务总监；</w:t>
      </w:r>
      <w:r>
        <w:rPr>
          <w:rFonts w:ascii="宋体" w:hAnsi="宋体" w:cs="宋体" w:eastAsia="宋体" w:hint="default"/>
        </w:rPr>
        <w:t>2012</w:t>
      </w:r>
      <w:r>
        <w:rPr/>
        <w:t>年</w:t>
      </w:r>
      <w:r>
        <w:rPr>
          <w:rFonts w:ascii="宋体" w:hAnsi="宋体" w:cs="宋体" w:eastAsia="宋体" w:hint="default"/>
        </w:rPr>
        <w:t>9</w:t>
      </w:r>
      <w:r>
        <w:rPr/>
        <w:t>月至今在润建股份担任董事、财务总监。</w:t>
      </w:r>
      <w:r>
        <w:rPr>
          <w:rFonts w:ascii="宋体" w:hAnsi="宋体" w:cs="宋体" w:eastAsia="宋体" w:hint="default"/>
        </w:rPr>
        <w:t> </w:t>
      </w:r>
    </w:p>
    <w:p>
      <w:pPr>
        <w:spacing w:line="240" w:lineRule="auto" w:before="5"/>
        <w:rPr>
          <w:rFonts w:ascii="宋体" w:hAnsi="宋体" w:cs="宋体" w:eastAsia="宋体" w:hint="default"/>
          <w:sz w:val="13"/>
          <w:szCs w:val="13"/>
        </w:rPr>
      </w:pPr>
    </w:p>
    <w:p>
      <w:pPr>
        <w:pStyle w:val="BodyText"/>
        <w:spacing w:line="240" w:lineRule="auto"/>
        <w:ind w:right="977"/>
        <w:jc w:val="left"/>
        <w:rPr>
          <w:rFonts w:ascii="宋体" w:hAnsi="宋体" w:cs="宋体" w:eastAsia="宋体" w:hint="default"/>
        </w:rPr>
      </w:pPr>
      <w:r>
        <w:rPr/>
        <w:t>沈湘平先生</w:t>
      </w:r>
      <w:r>
        <w:rPr>
          <w:rFonts w:ascii="宋体" w:hAnsi="宋体" w:cs="宋体" w:eastAsia="宋体" w:hint="default"/>
        </w:rPr>
        <w:t> </w:t>
      </w:r>
    </w:p>
    <w:p>
      <w:pPr>
        <w:spacing w:line="240" w:lineRule="auto" w:before="10"/>
        <w:rPr>
          <w:rFonts w:ascii="宋体" w:hAnsi="宋体" w:cs="宋体" w:eastAsia="宋体" w:hint="default"/>
          <w:sz w:val="17"/>
          <w:szCs w:val="17"/>
        </w:rPr>
      </w:pPr>
    </w:p>
    <w:p>
      <w:pPr>
        <w:pStyle w:val="BodyText"/>
        <w:spacing w:line="316" w:lineRule="auto"/>
        <w:ind w:right="1040"/>
        <w:jc w:val="left"/>
        <w:rPr>
          <w:rFonts w:ascii="宋体" w:hAnsi="宋体" w:cs="宋体" w:eastAsia="宋体" w:hint="default"/>
        </w:rPr>
      </w:pPr>
      <w:r>
        <w:rPr>
          <w:rFonts w:ascii="宋体" w:hAnsi="宋体" w:cs="宋体" w:eastAsia="宋体" w:hint="default"/>
        </w:rPr>
        <w:t>1977</w:t>
      </w:r>
      <w:r>
        <w:rPr/>
        <w:t>年</w:t>
      </w:r>
      <w:r>
        <w:rPr>
          <w:rFonts w:ascii="宋体" w:hAnsi="宋体" w:cs="宋体" w:eastAsia="宋体" w:hint="default"/>
        </w:rPr>
        <w:t>4</w:t>
      </w:r>
      <w:r>
        <w:rPr/>
        <w:t>月出生，中国国籍，无境外永久居留权，研究生学历，高级工程师，高级经济师。</w:t>
      </w:r>
      <w:r>
        <w:rPr>
          <w:rFonts w:ascii="宋体" w:hAnsi="宋体" w:cs="宋体" w:eastAsia="宋体" w:hint="default"/>
        </w:rPr>
        <w:t>2000</w:t>
      </w:r>
      <w:r>
        <w:rPr/>
        <w:t>年</w:t>
      </w:r>
      <w:r>
        <w:rPr>
          <w:rFonts w:ascii="宋体" w:hAnsi="宋体" w:cs="宋体" w:eastAsia="宋体" w:hint="default"/>
        </w:rPr>
        <w:t>9</w:t>
      </w:r>
      <w:r>
        <w:rPr/>
        <w:t>月至</w:t>
      </w:r>
      <w:r>
        <w:rPr>
          <w:rFonts w:ascii="宋体" w:hAnsi="宋体" w:cs="宋体" w:eastAsia="宋体" w:hint="default"/>
        </w:rPr>
        <w:t>2003</w:t>
      </w:r>
      <w:r>
        <w:rPr/>
        <w:t>年</w:t>
      </w:r>
      <w:r>
        <w:rPr>
          <w:rFonts w:ascii="宋体" w:hAnsi="宋体" w:cs="宋体" w:eastAsia="宋体" w:hint="default"/>
        </w:rPr>
        <w:t>7</w:t>
      </w:r>
      <w:r>
        <w:rPr/>
        <w:t>月期间在惠 </w:t>
      </w:r>
      <w:r>
        <w:rPr>
          <w:spacing w:val="-2"/>
        </w:rPr>
        <w:t>州市小金口中学担任物理教师；</w:t>
      </w:r>
      <w:r>
        <w:rPr>
          <w:rFonts w:ascii="宋体" w:hAnsi="宋体" w:cs="宋体" w:eastAsia="宋体" w:hint="default"/>
          <w:spacing w:val="-2"/>
        </w:rPr>
        <w:t>2003</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2006</w:t>
      </w:r>
      <w:r>
        <w:rPr>
          <w:spacing w:val="-2"/>
        </w:rPr>
        <w:t>年</w:t>
      </w:r>
      <w:r>
        <w:rPr>
          <w:rFonts w:ascii="宋体" w:hAnsi="宋体" w:cs="宋体" w:eastAsia="宋体" w:hint="default"/>
          <w:spacing w:val="-2"/>
        </w:rPr>
        <w:t>7</w:t>
      </w:r>
      <w:r>
        <w:rPr>
          <w:spacing w:val="-2"/>
        </w:rPr>
        <w:t>月期间在暨南大学攻读硕士；</w:t>
      </w:r>
      <w:r>
        <w:rPr>
          <w:rFonts w:ascii="宋体" w:hAnsi="宋体" w:cs="宋体" w:eastAsia="宋体" w:hint="default"/>
          <w:spacing w:val="-2"/>
        </w:rPr>
        <w:t>2006</w:t>
      </w:r>
      <w:r>
        <w:rPr>
          <w:rFonts w:ascii="宋体" w:hAnsi="宋体" w:cs="宋体" w:eastAsia="宋体" w:hint="default"/>
          <w:spacing w:val="13"/>
        </w:rPr>
        <w:t> </w:t>
      </w:r>
      <w:r>
        <w:rPr>
          <w:spacing w:val="-1"/>
        </w:rPr>
        <w:t>年</w:t>
      </w:r>
      <w:r>
        <w:rPr>
          <w:rFonts w:ascii="宋体" w:hAnsi="宋体" w:cs="宋体" w:eastAsia="宋体" w:hint="default"/>
          <w:spacing w:val="-1"/>
        </w:rPr>
        <w:t>7</w:t>
      </w:r>
      <w:r>
        <w:rPr>
          <w:spacing w:val="-1"/>
        </w:rPr>
        <w:t>月至</w:t>
      </w:r>
      <w:r>
        <w:rPr>
          <w:rFonts w:ascii="宋体" w:hAnsi="宋体" w:cs="宋体" w:eastAsia="宋体" w:hint="default"/>
          <w:spacing w:val="-1"/>
        </w:rPr>
        <w:t>2012</w:t>
      </w:r>
      <w:r>
        <w:rPr>
          <w:spacing w:val="-1"/>
        </w:rPr>
        <w:t>年</w:t>
      </w:r>
      <w:r>
        <w:rPr>
          <w:rFonts w:ascii="宋体" w:hAnsi="宋体" w:cs="宋体" w:eastAsia="宋体" w:hint="default"/>
          <w:spacing w:val="-1"/>
        </w:rPr>
        <w:t>9</w:t>
      </w:r>
      <w:r>
        <w:rPr>
          <w:spacing w:val="-1"/>
        </w:rPr>
        <w:t>月在润建有限工作，</w:t>
      </w:r>
      <w:r>
        <w:rPr>
          <w:spacing w:val="-88"/>
        </w:rPr>
        <w:t> </w:t>
      </w:r>
      <w:r>
        <w:rPr>
          <w:spacing w:val="-88"/>
        </w:rPr>
      </w:r>
      <w:r>
        <w:rPr/>
        <w:t>先后担任人事行政部经理、副总经理；</w:t>
      </w:r>
      <w:r>
        <w:rPr>
          <w:rFonts w:ascii="宋体" w:hAnsi="宋体" w:cs="宋体" w:eastAsia="宋体" w:hint="default"/>
        </w:rPr>
        <w:t>2012</w:t>
      </w:r>
      <w:r>
        <w:rPr/>
        <w:t>年</w:t>
      </w:r>
      <w:r>
        <w:rPr>
          <w:rFonts w:ascii="宋体" w:hAnsi="宋体" w:cs="宋体" w:eastAsia="宋体" w:hint="default"/>
        </w:rPr>
        <w:t>9</w:t>
      </w:r>
      <w:r>
        <w:rPr/>
        <w:t>月至今在润建股份担任副总经理、董事会秘书，</w:t>
      </w:r>
      <w:r>
        <w:rPr>
          <w:rFonts w:ascii="宋体" w:hAnsi="宋体" w:cs="宋体" w:eastAsia="宋体" w:hint="default"/>
        </w:rPr>
        <w:t>2014</w:t>
      </w:r>
      <w:r>
        <w:rPr/>
        <w:t>年</w:t>
      </w:r>
      <w:r>
        <w:rPr>
          <w:rFonts w:ascii="宋体" w:hAnsi="宋体" w:cs="宋体" w:eastAsia="宋体" w:hint="default"/>
        </w:rPr>
        <w:t>4</w:t>
      </w:r>
      <w:r>
        <w:rPr/>
        <w:t>月至今担任董事。</w:t>
      </w:r>
      <w:r>
        <w:rPr>
          <w:rFonts w:ascii="宋体" w:hAnsi="宋体" w:cs="宋体" w:eastAsia="宋体" w:hint="default"/>
        </w:rPr>
        <w:t> </w:t>
      </w:r>
    </w:p>
    <w:p>
      <w:pPr>
        <w:spacing w:line="240" w:lineRule="auto" w:before="5"/>
        <w:rPr>
          <w:rFonts w:ascii="宋体" w:hAnsi="宋体" w:cs="宋体" w:eastAsia="宋体" w:hint="default"/>
          <w:sz w:val="13"/>
          <w:szCs w:val="13"/>
        </w:rPr>
      </w:pPr>
    </w:p>
    <w:p>
      <w:pPr>
        <w:pStyle w:val="BodyText"/>
        <w:spacing w:line="240" w:lineRule="auto"/>
        <w:ind w:right="977"/>
        <w:jc w:val="left"/>
        <w:rPr>
          <w:rFonts w:ascii="宋体" w:hAnsi="宋体" w:cs="宋体" w:eastAsia="宋体" w:hint="default"/>
        </w:rPr>
      </w:pPr>
      <w:r>
        <w:rPr/>
        <w:t>方培豪先生</w:t>
      </w:r>
      <w:r>
        <w:rPr>
          <w:rFonts w:ascii="宋体" w:hAnsi="宋体" w:cs="宋体" w:eastAsia="宋体" w:hint="default"/>
        </w:rPr>
        <w:t> </w:t>
      </w:r>
    </w:p>
    <w:p>
      <w:pPr>
        <w:spacing w:line="240" w:lineRule="auto" w:before="10"/>
        <w:rPr>
          <w:rFonts w:ascii="宋体" w:hAnsi="宋体" w:cs="宋体" w:eastAsia="宋体" w:hint="default"/>
          <w:sz w:val="17"/>
          <w:szCs w:val="17"/>
        </w:rPr>
      </w:pPr>
    </w:p>
    <w:p>
      <w:pPr>
        <w:pStyle w:val="BodyText"/>
        <w:spacing w:line="319" w:lineRule="auto"/>
        <w:ind w:right="1126"/>
        <w:jc w:val="both"/>
        <w:rPr>
          <w:rFonts w:ascii="宋体" w:hAnsi="宋体" w:cs="宋体" w:eastAsia="宋体" w:hint="default"/>
        </w:rPr>
      </w:pPr>
      <w:r>
        <w:rPr>
          <w:rFonts w:ascii="宋体" w:hAnsi="宋体" w:cs="宋体" w:eastAsia="宋体" w:hint="default"/>
        </w:rPr>
        <w:t>1968</w:t>
      </w:r>
      <w:r>
        <w:rPr/>
        <w:t>年</w:t>
      </w:r>
      <w:r>
        <w:rPr>
          <w:rFonts w:ascii="宋体" w:hAnsi="宋体" w:cs="宋体" w:eastAsia="宋体" w:hint="default"/>
        </w:rPr>
        <w:t>11</w:t>
      </w:r>
      <w:r>
        <w:rPr/>
        <w:t>月出生，中国国籍，无境外永久居留权，本科学历，工程师。</w:t>
      </w:r>
      <w:r>
        <w:rPr>
          <w:rFonts w:ascii="宋体" w:hAnsi="宋体" w:cs="宋体" w:eastAsia="宋体" w:hint="default"/>
        </w:rPr>
        <w:t>1994</w:t>
      </w:r>
      <w:r>
        <w:rPr/>
        <w:t>年</w:t>
      </w:r>
      <w:r>
        <w:rPr>
          <w:rFonts w:ascii="宋体" w:hAnsi="宋体" w:cs="宋体" w:eastAsia="宋体" w:hint="default"/>
        </w:rPr>
        <w:t>7</w:t>
      </w:r>
      <w:r>
        <w:rPr/>
        <w:t>月至</w:t>
      </w:r>
      <w:r>
        <w:rPr>
          <w:rFonts w:ascii="宋体" w:hAnsi="宋体" w:cs="宋体" w:eastAsia="宋体" w:hint="default"/>
        </w:rPr>
        <w:t>1998</w:t>
      </w:r>
      <w:r>
        <w:rPr/>
        <w:t>年</w:t>
      </w:r>
      <w:r>
        <w:rPr>
          <w:rFonts w:ascii="宋体" w:hAnsi="宋体" w:cs="宋体" w:eastAsia="宋体" w:hint="default"/>
        </w:rPr>
        <w:t>11</w:t>
      </w:r>
      <w:r>
        <w:rPr/>
        <w:t>月期间在广东邮电学院担任教 师；</w:t>
      </w:r>
      <w:r>
        <w:rPr>
          <w:rFonts w:ascii="宋体" w:hAnsi="宋体" w:cs="宋体" w:eastAsia="宋体" w:hint="default"/>
        </w:rPr>
        <w:t>1998</w:t>
      </w:r>
      <w:r>
        <w:rPr/>
        <w:t>年</w:t>
      </w:r>
      <w:r>
        <w:rPr>
          <w:rFonts w:ascii="宋体" w:hAnsi="宋体" w:cs="宋体" w:eastAsia="宋体" w:hint="default"/>
        </w:rPr>
        <w:t>11</w:t>
      </w:r>
      <w:r>
        <w:rPr/>
        <w:t>月至</w:t>
      </w:r>
      <w:r>
        <w:rPr>
          <w:rFonts w:ascii="宋体" w:hAnsi="宋体" w:cs="宋体" w:eastAsia="宋体" w:hint="default"/>
        </w:rPr>
        <w:t>2001</w:t>
      </w:r>
      <w:r>
        <w:rPr/>
        <w:t>年</w:t>
      </w:r>
      <w:r>
        <w:rPr>
          <w:rFonts w:ascii="宋体" w:hAnsi="宋体" w:cs="宋体" w:eastAsia="宋体" w:hint="default"/>
        </w:rPr>
        <w:t>1</w:t>
      </w:r>
      <w:r>
        <w:rPr/>
        <w:t>月期间在广东粤讯工程有限公司担任经理；</w:t>
      </w:r>
      <w:r>
        <w:rPr>
          <w:rFonts w:ascii="宋体" w:hAnsi="宋体" w:cs="宋体" w:eastAsia="宋体" w:hint="default"/>
        </w:rPr>
        <w:t>2001</w:t>
      </w:r>
      <w:r>
        <w:rPr/>
        <w:t>年</w:t>
      </w:r>
      <w:r>
        <w:rPr>
          <w:rFonts w:ascii="宋体" w:hAnsi="宋体" w:cs="宋体" w:eastAsia="宋体" w:hint="default"/>
        </w:rPr>
        <w:t>1</w:t>
      </w:r>
      <w:r>
        <w:rPr/>
        <w:t>月至</w:t>
      </w:r>
      <w:r>
        <w:rPr>
          <w:rFonts w:ascii="宋体" w:hAnsi="宋体" w:cs="宋体" w:eastAsia="宋体" w:hint="default"/>
        </w:rPr>
        <w:t>2006</w:t>
      </w:r>
      <w:r>
        <w:rPr/>
        <w:t>年</w:t>
      </w:r>
      <w:r>
        <w:rPr>
          <w:rFonts w:ascii="宋体" w:hAnsi="宋体" w:cs="宋体" w:eastAsia="宋体" w:hint="default"/>
        </w:rPr>
        <w:t>9</w:t>
      </w:r>
      <w:r>
        <w:rPr/>
        <w:t>月期间在惠州邮电工程有限公司 </w:t>
      </w:r>
      <w:r>
        <w:rPr>
          <w:spacing w:val="-2"/>
        </w:rPr>
        <w:t>担任经理；</w:t>
      </w:r>
      <w:r>
        <w:rPr>
          <w:rFonts w:ascii="宋体" w:hAnsi="宋体" w:cs="宋体" w:eastAsia="宋体" w:hint="default"/>
          <w:spacing w:val="-2"/>
        </w:rPr>
        <w:t>2006</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2016</w:t>
      </w:r>
      <w:r>
        <w:rPr>
          <w:spacing w:val="-2"/>
        </w:rPr>
        <w:t>年</w:t>
      </w:r>
      <w:r>
        <w:rPr>
          <w:rFonts w:ascii="宋体" w:hAnsi="宋体" w:cs="宋体" w:eastAsia="宋体" w:hint="default"/>
          <w:spacing w:val="-2"/>
        </w:rPr>
        <w:t>9</w:t>
      </w:r>
      <w:r>
        <w:rPr>
          <w:spacing w:val="-2"/>
        </w:rPr>
        <w:t>月期间在广州逸信电子科技有限公司担任董事长、总经理；</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月起在润建股份股份有</w:t>
      </w:r>
      <w:r>
        <w:rPr>
          <w:spacing w:val="-51"/>
        </w:rPr>
        <w:t> </w:t>
      </w:r>
      <w:r>
        <w:rPr/>
        <w:t>限公司担任董事。</w:t>
      </w:r>
      <w:r>
        <w:rPr>
          <w:rFonts w:ascii="宋体" w:hAnsi="宋体" w:cs="宋体" w:eastAsia="宋体" w:hint="default"/>
        </w:rPr>
        <w:t> </w:t>
      </w:r>
    </w:p>
    <w:p>
      <w:pPr>
        <w:spacing w:line="240" w:lineRule="auto" w:before="3"/>
        <w:rPr>
          <w:rFonts w:ascii="宋体" w:hAnsi="宋体" w:cs="宋体" w:eastAsia="宋体" w:hint="default"/>
          <w:sz w:val="13"/>
          <w:szCs w:val="13"/>
        </w:rPr>
      </w:pPr>
    </w:p>
    <w:p>
      <w:pPr>
        <w:pStyle w:val="BodyText"/>
        <w:spacing w:line="240" w:lineRule="auto"/>
        <w:ind w:right="977"/>
        <w:jc w:val="left"/>
        <w:rPr>
          <w:rFonts w:ascii="宋体" w:hAnsi="宋体" w:cs="宋体" w:eastAsia="宋体" w:hint="default"/>
        </w:rPr>
      </w:pPr>
      <w:r>
        <w:rPr/>
        <w:t>胡永乐先生</w:t>
      </w:r>
      <w:r>
        <w:rPr>
          <w:rFonts w:ascii="宋体" w:hAnsi="宋体" w:cs="宋体" w:eastAsia="宋体" w:hint="default"/>
        </w:rPr>
        <w:t> </w:t>
      </w:r>
    </w:p>
    <w:p>
      <w:pPr>
        <w:spacing w:line="240" w:lineRule="auto" w:before="10"/>
        <w:rPr>
          <w:rFonts w:ascii="宋体" w:hAnsi="宋体" w:cs="宋体" w:eastAsia="宋体" w:hint="default"/>
          <w:sz w:val="17"/>
          <w:szCs w:val="17"/>
        </w:rPr>
      </w:pPr>
    </w:p>
    <w:p>
      <w:pPr>
        <w:pStyle w:val="BodyText"/>
        <w:spacing w:line="316" w:lineRule="auto"/>
        <w:ind w:right="1034"/>
        <w:jc w:val="left"/>
        <w:rPr>
          <w:rFonts w:ascii="宋体" w:hAnsi="宋体" w:cs="宋体" w:eastAsia="宋体" w:hint="default"/>
        </w:rPr>
      </w:pPr>
      <w:r>
        <w:rPr>
          <w:rFonts w:ascii="宋体" w:hAnsi="宋体" w:cs="宋体" w:eastAsia="宋体" w:hint="default"/>
          <w:spacing w:val="-6"/>
        </w:rPr>
        <w:t>1980</w:t>
      </w:r>
      <w:r>
        <w:rPr>
          <w:spacing w:val="-6"/>
        </w:rPr>
        <w:t>年</w:t>
      </w:r>
      <w:r>
        <w:rPr>
          <w:rFonts w:ascii="宋体" w:hAnsi="宋体" w:cs="宋体" w:eastAsia="宋体" w:hint="default"/>
          <w:spacing w:val="-6"/>
        </w:rPr>
        <w:t>1</w:t>
      </w:r>
      <w:r>
        <w:rPr>
          <w:spacing w:val="-6"/>
        </w:rPr>
        <w:t>月出生，中国国籍，无境外永久居留权，研究生学历，高级工程师。</w:t>
      </w:r>
      <w:r>
        <w:rPr>
          <w:rFonts w:ascii="宋体" w:hAnsi="宋体" w:cs="宋体" w:eastAsia="宋体" w:hint="default"/>
          <w:spacing w:val="-6"/>
        </w:rPr>
        <w:t>2004</w:t>
      </w:r>
      <w:r>
        <w:rPr>
          <w:spacing w:val="-6"/>
        </w:rPr>
        <w:t>年</w:t>
      </w:r>
      <w:r>
        <w:rPr>
          <w:rFonts w:ascii="宋体" w:hAnsi="宋体" w:cs="宋体" w:eastAsia="宋体" w:hint="default"/>
          <w:spacing w:val="-6"/>
        </w:rPr>
        <w:t>5</w:t>
      </w:r>
      <w:r>
        <w:rPr>
          <w:spacing w:val="-6"/>
        </w:rPr>
        <w:t>月至</w:t>
      </w:r>
      <w:r>
        <w:rPr>
          <w:rFonts w:ascii="宋体" w:hAnsi="宋体" w:cs="宋体" w:eastAsia="宋体" w:hint="default"/>
          <w:spacing w:val="-6"/>
        </w:rPr>
        <w:t>2005</w:t>
      </w:r>
      <w:r>
        <w:rPr>
          <w:spacing w:val="-6"/>
        </w:rPr>
        <w:t>年</w:t>
      </w:r>
      <w:r>
        <w:rPr>
          <w:rFonts w:ascii="宋体" w:hAnsi="宋体" w:cs="宋体" w:eastAsia="宋体" w:hint="default"/>
          <w:spacing w:val="-6"/>
        </w:rPr>
        <w:t>3</w:t>
      </w:r>
      <w:r>
        <w:rPr>
          <w:spacing w:val="-6"/>
        </w:rPr>
        <w:t>月期间在</w:t>
      </w:r>
      <w:r>
        <w:rPr>
          <w:rFonts w:ascii="宋体" w:hAnsi="宋体" w:cs="宋体" w:eastAsia="宋体" w:hint="default"/>
          <w:spacing w:val="-6"/>
        </w:rPr>
        <w:t>Shinki</w:t>
      </w:r>
      <w:r>
        <w:rPr>
          <w:rFonts w:ascii="宋体" w:hAnsi="宋体" w:cs="宋体" w:eastAsia="宋体" w:hint="default"/>
          <w:spacing w:val="-35"/>
        </w:rPr>
        <w:t> </w:t>
      </w:r>
      <w:r>
        <w:rPr>
          <w:rFonts w:ascii="宋体" w:hAnsi="宋体" w:cs="宋体" w:eastAsia="宋体" w:hint="default"/>
        </w:rPr>
        <w:t>Corporation</w:t>
      </w:r>
      <w:r>
        <w:rPr>
          <w:rFonts w:ascii="宋体" w:hAnsi="宋体" w:cs="宋体" w:eastAsia="宋体" w:hint="default"/>
          <w:spacing w:val="-65"/>
        </w:rPr>
        <w:t> </w:t>
      </w:r>
      <w:r>
        <w:rPr>
          <w:rFonts w:ascii="宋体" w:hAnsi="宋体" w:cs="宋体" w:eastAsia="宋体" w:hint="default"/>
        </w:rPr>
        <w:t>of</w:t>
      </w:r>
      <w:r>
        <w:rPr>
          <w:rFonts w:ascii="宋体" w:hAnsi="宋体" w:cs="宋体" w:eastAsia="宋体" w:hint="default"/>
          <w:spacing w:val="-32"/>
        </w:rPr>
        <w:t> </w:t>
      </w:r>
      <w:r>
        <w:rPr>
          <w:rFonts w:ascii="宋体" w:hAnsi="宋体" w:cs="宋体" w:eastAsia="宋体" w:hint="default"/>
        </w:rPr>
        <w:t>Hong</w:t>
      </w:r>
      <w:r>
        <w:rPr>
          <w:rFonts w:ascii="宋体" w:hAnsi="宋体" w:cs="宋体" w:eastAsia="宋体" w:hint="default"/>
          <w:spacing w:val="-32"/>
        </w:rPr>
        <w:t> </w:t>
      </w:r>
      <w:r>
        <w:rPr>
          <w:rFonts w:ascii="宋体" w:hAnsi="宋体" w:cs="宋体" w:eastAsia="宋体" w:hint="default"/>
        </w:rPr>
        <w:t>Kong</w:t>
      </w:r>
      <w:r>
        <w:rPr>
          <w:rFonts w:ascii="宋体" w:hAnsi="宋体" w:cs="宋体" w:eastAsia="宋体" w:hint="default"/>
          <w:spacing w:val="-32"/>
        </w:rPr>
        <w:t> </w:t>
      </w:r>
      <w:r>
        <w:rPr>
          <w:rFonts w:ascii="宋体" w:hAnsi="宋体" w:cs="宋体" w:eastAsia="宋体" w:hint="default"/>
        </w:rPr>
        <w:t>Limited</w:t>
      </w:r>
      <w:r>
        <w:rPr/>
        <w:t>担任工程师；</w:t>
      </w:r>
      <w:r>
        <w:rPr>
          <w:rFonts w:ascii="宋体" w:hAnsi="宋体" w:cs="宋体" w:eastAsia="宋体" w:hint="default"/>
        </w:rPr>
        <w:t>2005</w:t>
      </w:r>
      <w:r>
        <w:rPr/>
        <w:t>年</w:t>
      </w:r>
      <w:r>
        <w:rPr>
          <w:rFonts w:ascii="宋体" w:hAnsi="宋体" w:cs="宋体" w:eastAsia="宋体" w:hint="default"/>
        </w:rPr>
        <w:t>4</w:t>
      </w:r>
      <w:r>
        <w:rPr/>
        <w:t>月至</w:t>
      </w:r>
      <w:r>
        <w:rPr>
          <w:rFonts w:ascii="宋体" w:hAnsi="宋体" w:cs="宋体" w:eastAsia="宋体" w:hint="default"/>
        </w:rPr>
        <w:t>2008</w:t>
      </w:r>
      <w:r>
        <w:rPr/>
        <w:t>年</w:t>
      </w:r>
      <w:r>
        <w:rPr>
          <w:rFonts w:ascii="宋体" w:hAnsi="宋体" w:cs="宋体" w:eastAsia="宋体" w:hint="default"/>
        </w:rPr>
        <w:t>1</w:t>
      </w:r>
      <w:r>
        <w:rPr/>
        <w:t>月期间在华为技术有限公担任工程师；</w:t>
      </w:r>
      <w:r>
        <w:rPr>
          <w:rFonts w:ascii="宋体" w:hAnsi="宋体" w:cs="宋体" w:eastAsia="宋体" w:hint="default"/>
        </w:rPr>
        <w:t>2008</w:t>
      </w:r>
      <w:r>
        <w:rPr/>
        <w:t>年</w:t>
      </w:r>
      <w:r>
        <w:rPr>
          <w:rFonts w:ascii="宋体" w:hAnsi="宋体" w:cs="宋体" w:eastAsia="宋体" w:hint="default"/>
        </w:rPr>
        <w:t>2</w:t>
      </w:r>
      <w:r>
        <w:rPr/>
        <w:t>月至</w:t>
      </w:r>
      <w:r>
        <w:rPr>
          <w:rFonts w:ascii="宋体" w:hAnsi="宋体" w:cs="宋体" w:eastAsia="宋体" w:hint="default"/>
        </w:rPr>
        <w:t>2012</w:t>
      </w:r>
      <w:r>
        <w:rPr/>
        <w:t>年</w:t>
      </w:r>
      <w:r>
        <w:rPr>
          <w:rFonts w:ascii="宋体" w:hAnsi="宋体" w:cs="宋体" w:eastAsia="宋体" w:hint="default"/>
        </w:rPr>
        <w:t>9</w:t>
      </w:r>
      <w:r>
        <w:rPr/>
        <w:t>月在润 建有限工作，历任网络部、研发部总经理；</w:t>
      </w:r>
      <w:r>
        <w:rPr>
          <w:rFonts w:ascii="宋体" w:hAnsi="宋体" w:cs="宋体" w:eastAsia="宋体" w:hint="default"/>
        </w:rPr>
        <w:t>2012</w:t>
      </w:r>
      <w:r>
        <w:rPr/>
        <w:t>年</w:t>
      </w:r>
      <w:r>
        <w:rPr>
          <w:rFonts w:ascii="宋体" w:hAnsi="宋体" w:cs="宋体" w:eastAsia="宋体" w:hint="default"/>
        </w:rPr>
        <w:t>9</w:t>
      </w:r>
      <w:r>
        <w:rPr/>
        <w:t>月至今在润建股份任职，其中</w:t>
      </w:r>
      <w:r>
        <w:rPr>
          <w:rFonts w:ascii="宋体" w:hAnsi="宋体" w:cs="宋体" w:eastAsia="宋体" w:hint="default"/>
        </w:rPr>
        <w:t>2012</w:t>
      </w:r>
      <w:r>
        <w:rPr/>
        <w:t>年</w:t>
      </w:r>
      <w:r>
        <w:rPr>
          <w:rFonts w:ascii="宋体" w:hAnsi="宋体" w:cs="宋体" w:eastAsia="宋体" w:hint="default"/>
        </w:rPr>
        <w:t>9</w:t>
      </w:r>
      <w:r>
        <w:rPr/>
        <w:t>月至今担任研发部主管，</w:t>
      </w:r>
      <w:r>
        <w:rPr>
          <w:rFonts w:ascii="宋体" w:hAnsi="宋体" w:cs="宋体" w:eastAsia="宋体" w:hint="default"/>
        </w:rPr>
        <w:t>2016</w:t>
      </w:r>
      <w:r>
        <w:rPr/>
        <w:t>年</w:t>
      </w:r>
      <w:r>
        <w:rPr>
          <w:rFonts w:ascii="宋体" w:hAnsi="宋体" w:cs="宋体" w:eastAsia="宋体" w:hint="default"/>
        </w:rPr>
        <w:t>2 </w:t>
      </w:r>
      <w:r>
        <w:rPr/>
        <w:t>月至今担任董事。</w:t>
      </w:r>
      <w:r>
        <w:rPr>
          <w:rFonts w:ascii="宋体" w:hAnsi="宋体" w:cs="宋体" w:eastAsia="宋体" w:hint="default"/>
        </w:rPr>
        <w:t> </w:t>
      </w:r>
    </w:p>
    <w:p>
      <w:pPr>
        <w:spacing w:line="240" w:lineRule="auto" w:before="5"/>
        <w:rPr>
          <w:rFonts w:ascii="宋体" w:hAnsi="宋体" w:cs="宋体" w:eastAsia="宋体" w:hint="default"/>
          <w:sz w:val="13"/>
          <w:szCs w:val="13"/>
        </w:rPr>
      </w:pPr>
    </w:p>
    <w:p>
      <w:pPr>
        <w:pStyle w:val="BodyText"/>
        <w:spacing w:line="240" w:lineRule="auto"/>
        <w:ind w:right="977"/>
        <w:jc w:val="left"/>
        <w:rPr>
          <w:rFonts w:ascii="宋体" w:hAnsi="宋体" w:cs="宋体" w:eastAsia="宋体" w:hint="default"/>
        </w:rPr>
      </w:pPr>
      <w:r>
        <w:rPr/>
        <w:t>李胜兰女士</w:t>
      </w:r>
      <w:r>
        <w:rPr>
          <w:rFonts w:ascii="宋体" w:hAnsi="宋体" w:cs="宋体" w:eastAsia="宋体" w:hint="default"/>
        </w:rPr>
        <w:t> </w:t>
      </w:r>
    </w:p>
    <w:p>
      <w:pPr>
        <w:spacing w:line="240" w:lineRule="auto" w:before="10"/>
        <w:rPr>
          <w:rFonts w:ascii="宋体" w:hAnsi="宋体" w:cs="宋体" w:eastAsia="宋体" w:hint="default"/>
          <w:sz w:val="17"/>
          <w:szCs w:val="17"/>
        </w:rPr>
      </w:pPr>
    </w:p>
    <w:p>
      <w:pPr>
        <w:pStyle w:val="BodyText"/>
        <w:spacing w:line="316" w:lineRule="auto"/>
        <w:ind w:right="977"/>
        <w:jc w:val="left"/>
        <w:rPr>
          <w:rFonts w:ascii="宋体" w:hAnsi="宋体" w:cs="宋体" w:eastAsia="宋体" w:hint="default"/>
        </w:rPr>
      </w:pPr>
      <w:r>
        <w:rPr>
          <w:rFonts w:ascii="宋体" w:hAnsi="宋体" w:cs="宋体" w:eastAsia="宋体" w:hint="default"/>
        </w:rPr>
        <w:t>1960</w:t>
      </w:r>
      <w:r>
        <w:rPr/>
        <w:t>年</w:t>
      </w:r>
      <w:r>
        <w:rPr>
          <w:rFonts w:ascii="宋体" w:hAnsi="宋体" w:cs="宋体" w:eastAsia="宋体" w:hint="default"/>
        </w:rPr>
        <w:t>6</w:t>
      </w:r>
      <w:r>
        <w:rPr/>
        <w:t>月出生，中国国籍，无境外永久居留权，博士研究生学历，教授。</w:t>
      </w:r>
      <w:r>
        <w:rPr>
          <w:rFonts w:ascii="宋体" w:hAnsi="宋体" w:cs="宋体" w:eastAsia="宋体" w:hint="default"/>
        </w:rPr>
        <w:t>1977</w:t>
      </w:r>
      <w:r>
        <w:rPr/>
        <w:t>年至</w:t>
      </w:r>
      <w:r>
        <w:rPr>
          <w:rFonts w:ascii="宋体" w:hAnsi="宋体" w:cs="宋体" w:eastAsia="宋体" w:hint="default"/>
        </w:rPr>
        <w:t>1979</w:t>
      </w:r>
      <w:r>
        <w:rPr/>
        <w:t>年期间在兰州市公交公司四车队担</w:t>
      </w:r>
      <w:r>
        <w:rPr>
          <w:spacing w:val="-87"/>
        </w:rPr>
        <w:t> </w:t>
      </w:r>
      <w:r>
        <w:rPr>
          <w:spacing w:val="-87"/>
        </w:rPr>
      </w:r>
      <w:r>
        <w:rPr>
          <w:spacing w:val="-3"/>
        </w:rPr>
        <w:t>任文书；</w:t>
      </w:r>
      <w:r>
        <w:rPr>
          <w:rFonts w:ascii="宋体" w:hAnsi="宋体" w:cs="宋体" w:eastAsia="宋体" w:hint="default"/>
          <w:spacing w:val="-3"/>
        </w:rPr>
        <w:t>1979</w:t>
      </w:r>
      <w:r>
        <w:rPr>
          <w:spacing w:val="-3"/>
        </w:rPr>
        <w:t>年</w:t>
      </w:r>
      <w:r>
        <w:rPr>
          <w:rFonts w:ascii="宋体" w:hAnsi="宋体" w:cs="宋体" w:eastAsia="宋体" w:hint="default"/>
          <w:spacing w:val="-3"/>
        </w:rPr>
        <w:t>8</w:t>
      </w:r>
      <w:r>
        <w:rPr>
          <w:spacing w:val="-3"/>
        </w:rPr>
        <w:t>月至</w:t>
      </w:r>
      <w:r>
        <w:rPr>
          <w:rFonts w:ascii="宋体" w:hAnsi="宋体" w:cs="宋体" w:eastAsia="宋体" w:hint="default"/>
          <w:spacing w:val="-3"/>
        </w:rPr>
        <w:t>1983</w:t>
      </w:r>
      <w:r>
        <w:rPr>
          <w:spacing w:val="-3"/>
        </w:rPr>
        <w:t>年</w:t>
      </w:r>
      <w:r>
        <w:rPr>
          <w:rFonts w:ascii="宋体" w:hAnsi="宋体" w:cs="宋体" w:eastAsia="宋体" w:hint="default"/>
          <w:spacing w:val="-3"/>
        </w:rPr>
        <w:t>7</w:t>
      </w:r>
      <w:r>
        <w:rPr>
          <w:spacing w:val="-3"/>
        </w:rPr>
        <w:t>月在西北师范大学政治系攻读本科学位；</w:t>
      </w:r>
      <w:r>
        <w:rPr>
          <w:rFonts w:ascii="宋体" w:hAnsi="宋体" w:cs="宋体" w:eastAsia="宋体" w:hint="default"/>
          <w:spacing w:val="-3"/>
        </w:rPr>
        <w:t>1983</w:t>
      </w:r>
      <w:r>
        <w:rPr>
          <w:spacing w:val="-3"/>
        </w:rPr>
        <w:t>年至</w:t>
      </w:r>
      <w:r>
        <w:rPr>
          <w:rFonts w:ascii="宋体" w:hAnsi="宋体" w:cs="宋体" w:eastAsia="宋体" w:hint="default"/>
          <w:spacing w:val="-3"/>
        </w:rPr>
        <w:t>1988</w:t>
      </w:r>
      <w:r>
        <w:rPr>
          <w:spacing w:val="-3"/>
        </w:rPr>
        <w:t>年期间在西北师范大学政治系担任讲师；</w:t>
      </w:r>
      <w:r>
        <w:rPr>
          <w:spacing w:val="-81"/>
        </w:rPr>
        <w:t> </w:t>
      </w:r>
      <w:r>
        <w:rPr>
          <w:spacing w:val="-81"/>
        </w:rPr>
      </w:r>
      <w:r>
        <w:rPr>
          <w:rFonts w:ascii="宋体" w:hAnsi="宋体" w:cs="宋体" w:eastAsia="宋体" w:hint="default"/>
          <w:spacing w:val="-5"/>
        </w:rPr>
        <w:t>1988</w:t>
      </w:r>
      <w:r>
        <w:rPr>
          <w:spacing w:val="-5"/>
        </w:rPr>
        <w:t>年至</w:t>
      </w:r>
      <w:r>
        <w:rPr>
          <w:rFonts w:ascii="宋体" w:hAnsi="宋体" w:cs="宋体" w:eastAsia="宋体" w:hint="default"/>
          <w:spacing w:val="-5"/>
        </w:rPr>
        <w:t>1991</w:t>
      </w:r>
      <w:r>
        <w:rPr>
          <w:spacing w:val="-5"/>
        </w:rPr>
        <w:t>年期间在兰州大学攻读硕士学位；</w:t>
      </w:r>
      <w:r>
        <w:rPr>
          <w:rFonts w:ascii="宋体" w:hAnsi="宋体" w:cs="宋体" w:eastAsia="宋体" w:hint="default"/>
          <w:spacing w:val="-5"/>
        </w:rPr>
        <w:t>1991</w:t>
      </w:r>
      <w:r>
        <w:rPr>
          <w:spacing w:val="-5"/>
        </w:rPr>
        <w:t>年至</w:t>
      </w:r>
      <w:r>
        <w:rPr>
          <w:rFonts w:ascii="宋体" w:hAnsi="宋体" w:cs="宋体" w:eastAsia="宋体" w:hint="default"/>
          <w:spacing w:val="-5"/>
        </w:rPr>
        <w:t>1999</w:t>
      </w:r>
      <w:r>
        <w:rPr>
          <w:spacing w:val="-5"/>
        </w:rPr>
        <w:t>年期间在兰州大学管理科学系担任系副主任（主持工作）；</w:t>
      </w:r>
      <w:r>
        <w:rPr>
          <w:rFonts w:ascii="宋体" w:hAnsi="宋体" w:cs="宋体" w:eastAsia="宋体" w:hint="default"/>
          <w:spacing w:val="-5"/>
        </w:rPr>
        <w:t>1999</w:t>
      </w:r>
      <w:r>
        <w:rPr>
          <w:rFonts w:ascii="宋体" w:hAnsi="宋体" w:cs="宋体" w:eastAsia="宋体" w:hint="default"/>
          <w:spacing w:val="-35"/>
        </w:rPr>
        <w:t> </w:t>
      </w:r>
      <w:r>
        <w:rPr>
          <w:rFonts w:ascii="宋体" w:hAnsi="宋体" w:cs="宋体" w:eastAsia="宋体" w:hint="default"/>
          <w:spacing w:val="-35"/>
        </w:rPr>
      </w:r>
      <w:r>
        <w:rPr>
          <w:spacing w:val="-2"/>
        </w:rPr>
        <w:t>年至</w:t>
      </w:r>
      <w:r>
        <w:rPr>
          <w:rFonts w:ascii="宋体" w:hAnsi="宋体" w:cs="宋体" w:eastAsia="宋体" w:hint="default"/>
          <w:spacing w:val="-2"/>
        </w:rPr>
        <w:t>2006</w:t>
      </w:r>
      <w:r>
        <w:rPr>
          <w:spacing w:val="-2"/>
        </w:rPr>
        <w:t>年期间在中山大学岭南学院经济学系担任系主任；</w:t>
      </w:r>
      <w:r>
        <w:rPr>
          <w:rFonts w:ascii="宋体" w:hAnsi="宋体" w:cs="宋体" w:eastAsia="宋体" w:hint="default"/>
          <w:spacing w:val="-2"/>
        </w:rPr>
        <w:t>2007</w:t>
      </w:r>
      <w:r>
        <w:rPr>
          <w:spacing w:val="-2"/>
        </w:rPr>
        <w:t>年至</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月期间在中山大学岭南学院担任副院长；</w:t>
      </w:r>
      <w:r>
        <w:rPr>
          <w:rFonts w:ascii="宋体" w:hAnsi="宋体" w:cs="宋体" w:eastAsia="宋体" w:hint="default"/>
          <w:spacing w:val="-2"/>
        </w:rPr>
        <w:t>2016</w:t>
      </w:r>
      <w:r>
        <w:rPr>
          <w:rFonts w:ascii="宋体" w:hAnsi="宋体" w:cs="宋体" w:eastAsia="宋体" w:hint="default"/>
          <w:spacing w:val="-57"/>
        </w:rPr>
        <w:t> </w:t>
      </w:r>
      <w:r>
        <w:rPr>
          <w:rFonts w:ascii="宋体" w:hAnsi="宋体" w:cs="宋体" w:eastAsia="宋体" w:hint="default"/>
          <w:spacing w:val="-57"/>
        </w:rPr>
      </w:r>
      <w:r>
        <w:rPr/>
        <w:t>年</w:t>
      </w:r>
      <w:r>
        <w:rPr>
          <w:rFonts w:ascii="宋体" w:hAnsi="宋体" w:cs="宋体" w:eastAsia="宋体" w:hint="default"/>
        </w:rPr>
        <w:t>1</w:t>
      </w:r>
      <w:r>
        <w:rPr/>
        <w:t>月至今任中山大学岭南学院经济学教授、博士生导师；</w:t>
      </w:r>
      <w:r>
        <w:rPr>
          <w:rFonts w:ascii="宋体" w:hAnsi="宋体" w:cs="宋体" w:eastAsia="宋体" w:hint="default"/>
        </w:rPr>
        <w:t>2013</w:t>
      </w:r>
      <w:r>
        <w:rPr/>
        <w:t>年</w:t>
      </w:r>
      <w:r>
        <w:rPr>
          <w:rFonts w:ascii="宋体" w:hAnsi="宋体" w:cs="宋体" w:eastAsia="宋体" w:hint="default"/>
        </w:rPr>
        <w:t>12</w:t>
      </w:r>
      <w:r>
        <w:rPr/>
        <w:t>月至今担任广州白云电器设备股份有限公司独立董事； </w:t>
      </w:r>
      <w:r>
        <w:rPr>
          <w:rFonts w:ascii="宋体" w:hAnsi="宋体" w:cs="宋体" w:eastAsia="宋体" w:hint="default"/>
          <w:spacing w:val="-2"/>
        </w:rPr>
        <w:t>2016</w:t>
      </w:r>
      <w:r>
        <w:rPr>
          <w:spacing w:val="-2"/>
        </w:rPr>
        <w:t>年</w:t>
      </w:r>
      <w:r>
        <w:rPr>
          <w:rFonts w:ascii="宋体" w:hAnsi="宋体" w:cs="宋体" w:eastAsia="宋体" w:hint="default"/>
          <w:spacing w:val="-2"/>
        </w:rPr>
        <w:t>2</w:t>
      </w:r>
      <w:r>
        <w:rPr>
          <w:spacing w:val="-2"/>
        </w:rPr>
        <w:t>月至今担任润建股份独立董事；</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月至今担任广弘股份有限公司独立董事；</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月至今担任粤桂股份独立</w:t>
      </w:r>
      <w:r>
        <w:rPr>
          <w:spacing w:val="-52"/>
        </w:rPr>
        <w:t> </w:t>
      </w:r>
      <w:r>
        <w:rPr/>
        <w:t>董事；</w:t>
      </w:r>
      <w:r>
        <w:rPr>
          <w:rFonts w:ascii="宋体" w:hAnsi="宋体" w:cs="宋体" w:eastAsia="宋体" w:hint="default"/>
        </w:rPr>
        <w:t>2019</w:t>
      </w:r>
      <w:r>
        <w:rPr/>
        <w:t>年</w:t>
      </w:r>
      <w:r>
        <w:rPr>
          <w:rFonts w:ascii="宋体" w:hAnsi="宋体" w:cs="宋体" w:eastAsia="宋体" w:hint="default"/>
        </w:rPr>
        <w:t>1</w:t>
      </w:r>
      <w:r>
        <w:rPr/>
        <w:t>月至今担任惠州农商行独立董事。</w:t>
      </w:r>
      <w:r>
        <w:rPr>
          <w:rFonts w:ascii="宋体" w:hAnsi="宋体" w:cs="宋体" w:eastAsia="宋体" w:hint="default"/>
        </w:rPr>
        <w:t> </w:t>
      </w:r>
    </w:p>
    <w:p>
      <w:pPr>
        <w:pStyle w:val="BodyText"/>
        <w:spacing w:line="468" w:lineRule="exact" w:before="10"/>
        <w:ind w:right="977"/>
        <w:jc w:val="left"/>
        <w:rPr>
          <w:rFonts w:ascii="宋体" w:hAnsi="宋体" w:cs="宋体" w:eastAsia="宋体" w:hint="default"/>
        </w:rPr>
      </w:pPr>
      <w:r>
        <w:rPr/>
        <w:t>马英华女士</w:t>
      </w:r>
      <w:r>
        <w:rPr>
          <w:rFonts w:ascii="宋体" w:hAnsi="宋体" w:cs="宋体" w:eastAsia="宋体" w:hint="default"/>
        </w:rPr>
        <w:t> 1963</w:t>
      </w:r>
      <w:r>
        <w:rPr/>
        <w:t>年</w:t>
      </w:r>
      <w:r>
        <w:rPr>
          <w:rFonts w:ascii="宋体" w:hAnsi="宋体" w:cs="宋体" w:eastAsia="宋体" w:hint="default"/>
        </w:rPr>
        <w:t>11</w:t>
      </w:r>
      <w:r>
        <w:rPr/>
        <w:t>月出生，中国国籍，无境外永久居留权，本科学历，教授。</w:t>
      </w:r>
      <w:r>
        <w:rPr>
          <w:rFonts w:ascii="宋体" w:hAnsi="宋体" w:cs="宋体" w:eastAsia="宋体" w:hint="default"/>
        </w:rPr>
        <w:t>1986</w:t>
      </w:r>
      <w:r>
        <w:rPr/>
        <w:t>年</w:t>
      </w:r>
      <w:r>
        <w:rPr>
          <w:rFonts w:ascii="宋体" w:hAnsi="宋体" w:cs="宋体" w:eastAsia="宋体" w:hint="default"/>
        </w:rPr>
        <w:t>7</w:t>
      </w:r>
      <w:r>
        <w:rPr/>
        <w:t>月至</w:t>
      </w:r>
      <w:r>
        <w:rPr>
          <w:rFonts w:ascii="宋体" w:hAnsi="宋体" w:cs="宋体" w:eastAsia="宋体" w:hint="default"/>
        </w:rPr>
        <w:t>1995</w:t>
      </w:r>
      <w:r>
        <w:rPr/>
        <w:t>年</w:t>
      </w:r>
      <w:r>
        <w:rPr>
          <w:rFonts w:ascii="宋体" w:hAnsi="宋体" w:cs="宋体" w:eastAsia="宋体" w:hint="default"/>
        </w:rPr>
        <w:t>10</w:t>
      </w:r>
      <w:r>
        <w:rPr/>
        <w:t>月在哈尔滨财贸大学任教；</w:t>
      </w:r>
      <w:r>
        <w:rPr>
          <w:rFonts w:ascii="宋体" w:hAnsi="宋体" w:cs="宋体" w:eastAsia="宋体" w:hint="default"/>
        </w:rPr>
        <w:t>1995</w:t>
      </w:r>
    </w:p>
    <w:p>
      <w:pPr>
        <w:pStyle w:val="BodyText"/>
        <w:spacing w:line="319" w:lineRule="auto" w:before="8"/>
        <w:ind w:right="977"/>
        <w:jc w:val="left"/>
        <w:rPr>
          <w:rFonts w:ascii="宋体" w:hAnsi="宋体" w:cs="宋体" w:eastAsia="宋体" w:hint="default"/>
        </w:rPr>
      </w:pPr>
      <w:r>
        <w:rPr>
          <w:spacing w:val="-3"/>
        </w:rPr>
        <w:t>年</w:t>
      </w:r>
      <w:r>
        <w:rPr>
          <w:rFonts w:ascii="宋体" w:hAnsi="宋体" w:cs="宋体" w:eastAsia="宋体" w:hint="default"/>
          <w:spacing w:val="-3"/>
        </w:rPr>
        <w:t>10</w:t>
      </w:r>
      <w:r>
        <w:rPr>
          <w:spacing w:val="-3"/>
        </w:rPr>
        <w:t>月至</w:t>
      </w:r>
      <w:r>
        <w:rPr>
          <w:rFonts w:ascii="宋体" w:hAnsi="宋体" w:cs="宋体" w:eastAsia="宋体" w:hint="default"/>
          <w:spacing w:val="-3"/>
        </w:rPr>
        <w:t>2004</w:t>
      </w:r>
      <w:r>
        <w:rPr>
          <w:spacing w:val="-3"/>
        </w:rPr>
        <w:t>年</w:t>
      </w:r>
      <w:r>
        <w:rPr>
          <w:rFonts w:ascii="宋体" w:hAnsi="宋体" w:cs="宋体" w:eastAsia="宋体" w:hint="default"/>
          <w:spacing w:val="-3"/>
        </w:rPr>
        <w:t>9</w:t>
      </w:r>
      <w:r>
        <w:rPr>
          <w:spacing w:val="-3"/>
        </w:rPr>
        <w:t>月在广西财专（广西财院前身）任教，担任会计系副主任；</w:t>
      </w:r>
      <w:r>
        <w:rPr>
          <w:rFonts w:ascii="宋体" w:hAnsi="宋体" w:cs="宋体" w:eastAsia="宋体" w:hint="default"/>
          <w:spacing w:val="-3"/>
        </w:rPr>
        <w:t>2007</w:t>
      </w:r>
      <w:r>
        <w:rPr>
          <w:spacing w:val="-3"/>
        </w:rPr>
        <w:t>年</w:t>
      </w:r>
      <w:r>
        <w:rPr>
          <w:rFonts w:ascii="宋体" w:hAnsi="宋体" w:cs="宋体" w:eastAsia="宋体" w:hint="default"/>
          <w:spacing w:val="-3"/>
        </w:rPr>
        <w:t>10</w:t>
      </w:r>
      <w:r>
        <w:rPr>
          <w:spacing w:val="-3"/>
        </w:rPr>
        <w:t>月至</w:t>
      </w:r>
      <w:r>
        <w:rPr>
          <w:rFonts w:ascii="宋体" w:hAnsi="宋体" w:cs="宋体" w:eastAsia="宋体" w:hint="default"/>
          <w:spacing w:val="-3"/>
        </w:rPr>
        <w:t>2008</w:t>
      </w:r>
      <w:r>
        <w:rPr>
          <w:spacing w:val="-3"/>
        </w:rPr>
        <w:t>年</w:t>
      </w:r>
      <w:r>
        <w:rPr>
          <w:rFonts w:ascii="宋体" w:hAnsi="宋体" w:cs="宋体" w:eastAsia="宋体" w:hint="default"/>
          <w:spacing w:val="-3"/>
        </w:rPr>
        <w:t>6</w:t>
      </w:r>
      <w:r>
        <w:rPr>
          <w:spacing w:val="-3"/>
        </w:rPr>
        <w:t>月，在广西财经学院任教，</w:t>
      </w:r>
      <w:r>
        <w:rPr>
          <w:spacing w:val="-75"/>
        </w:rPr>
        <w:t> </w:t>
      </w:r>
      <w:r>
        <w:rPr>
          <w:spacing w:val="-75"/>
        </w:rPr>
      </w:r>
      <w:r>
        <w:rPr/>
        <w:t>担任会计系副主任；</w:t>
      </w:r>
      <w:r>
        <w:rPr>
          <w:rFonts w:ascii="宋体" w:hAnsi="宋体" w:cs="宋体" w:eastAsia="宋体" w:hint="default"/>
        </w:rPr>
        <w:t>2008</w:t>
      </w:r>
      <w:r>
        <w:rPr/>
        <w:t>年</w:t>
      </w:r>
      <w:r>
        <w:rPr>
          <w:rFonts w:ascii="宋体" w:hAnsi="宋体" w:cs="宋体" w:eastAsia="宋体" w:hint="default"/>
        </w:rPr>
        <w:t>6</w:t>
      </w:r>
      <w:r>
        <w:rPr/>
        <w:t>月至今在广西财经学院会计与审计学院担任教授；</w:t>
      </w:r>
      <w:r>
        <w:rPr>
          <w:rFonts w:ascii="宋体" w:hAnsi="宋体" w:cs="宋体" w:eastAsia="宋体" w:hint="default"/>
        </w:rPr>
        <w:t>2016</w:t>
      </w:r>
      <w:r>
        <w:rPr/>
        <w:t>年</w:t>
      </w:r>
      <w:r>
        <w:rPr>
          <w:rFonts w:ascii="宋体" w:hAnsi="宋体" w:cs="宋体" w:eastAsia="宋体" w:hint="default"/>
        </w:rPr>
        <w:t>6</w:t>
      </w:r>
      <w:r>
        <w:rPr/>
        <w:t>月至今担任润建股份独立董事。</w:t>
      </w:r>
      <w:r>
        <w:rPr>
          <w:rFonts w:ascii="宋体" w:hAnsi="宋体" w:cs="宋体" w:eastAsia="宋体" w:hint="default"/>
        </w:rPr>
        <w:t> </w:t>
      </w:r>
    </w:p>
    <w:p>
      <w:pPr>
        <w:spacing w:line="240" w:lineRule="auto" w:before="3"/>
        <w:rPr>
          <w:rFonts w:ascii="宋体" w:hAnsi="宋体" w:cs="宋体" w:eastAsia="宋体" w:hint="default"/>
          <w:sz w:val="13"/>
          <w:szCs w:val="13"/>
        </w:rPr>
      </w:pPr>
    </w:p>
    <w:p>
      <w:pPr>
        <w:pStyle w:val="BodyText"/>
        <w:spacing w:line="240" w:lineRule="auto"/>
        <w:ind w:right="977"/>
        <w:jc w:val="left"/>
        <w:rPr>
          <w:rFonts w:ascii="宋体" w:hAnsi="宋体" w:cs="宋体" w:eastAsia="宋体" w:hint="default"/>
        </w:rPr>
      </w:pPr>
      <w:r>
        <w:rPr/>
        <w:t>万海斌先生</w:t>
      </w:r>
      <w:r>
        <w:rPr>
          <w:rFonts w:ascii="宋体" w:hAnsi="宋体" w:cs="宋体" w:eastAsia="宋体" w:hint="default"/>
        </w:rPr>
        <w:t> </w:t>
      </w:r>
    </w:p>
    <w:p>
      <w:pPr>
        <w:spacing w:line="240" w:lineRule="auto" w:before="10"/>
        <w:rPr>
          <w:rFonts w:ascii="宋体" w:hAnsi="宋体" w:cs="宋体" w:eastAsia="宋体" w:hint="default"/>
          <w:sz w:val="17"/>
          <w:szCs w:val="17"/>
        </w:rPr>
      </w:pPr>
    </w:p>
    <w:p>
      <w:pPr>
        <w:pStyle w:val="BodyText"/>
        <w:spacing w:line="316" w:lineRule="auto"/>
        <w:ind w:right="1041"/>
        <w:jc w:val="both"/>
        <w:rPr>
          <w:rFonts w:ascii="宋体" w:hAnsi="宋体" w:cs="宋体" w:eastAsia="宋体" w:hint="default"/>
        </w:rPr>
      </w:pPr>
      <w:r>
        <w:rPr>
          <w:rFonts w:ascii="宋体" w:hAnsi="宋体" w:cs="宋体" w:eastAsia="宋体" w:hint="default"/>
          <w:spacing w:val="-2"/>
        </w:rPr>
        <w:t>1979</w:t>
      </w:r>
      <w:r>
        <w:rPr>
          <w:spacing w:val="-2"/>
        </w:rPr>
        <w:t>年</w:t>
      </w:r>
      <w:r>
        <w:rPr>
          <w:rFonts w:ascii="宋体" w:hAnsi="宋体" w:cs="宋体" w:eastAsia="宋体" w:hint="default"/>
          <w:spacing w:val="-2"/>
        </w:rPr>
        <w:t>1</w:t>
      </w:r>
      <w:r>
        <w:rPr>
          <w:spacing w:val="-2"/>
        </w:rPr>
        <w:t>月出生，中国国籍，无境外永久居留权，博士研究生学历，副教授。</w:t>
      </w:r>
      <w:r>
        <w:rPr>
          <w:rFonts w:ascii="宋体" w:hAnsi="宋体" w:cs="宋体" w:eastAsia="宋体" w:hint="default"/>
          <w:spacing w:val="-2"/>
        </w:rPr>
        <w:t>2006</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2008</w:t>
      </w:r>
      <w:r>
        <w:rPr>
          <w:spacing w:val="-2"/>
        </w:rPr>
        <w:t>年</w:t>
      </w:r>
      <w:r>
        <w:rPr>
          <w:rFonts w:ascii="宋体" w:hAnsi="宋体" w:cs="宋体" w:eastAsia="宋体" w:hint="default"/>
          <w:spacing w:val="-2"/>
        </w:rPr>
        <w:t>12</w:t>
      </w:r>
      <w:r>
        <w:rPr>
          <w:spacing w:val="-2"/>
        </w:rPr>
        <w:t>月期间在广西大学电子科</w:t>
      </w:r>
      <w:r>
        <w:rPr>
          <w:spacing w:val="-57"/>
        </w:rPr>
        <w:t> </w:t>
      </w:r>
      <w:r>
        <w:rPr>
          <w:spacing w:val="-57"/>
        </w:rPr>
      </w:r>
      <w:r>
        <w:rPr>
          <w:spacing w:val="-2"/>
        </w:rPr>
        <w:t>学与技术系担任助教；</w:t>
      </w:r>
      <w:r>
        <w:rPr>
          <w:rFonts w:ascii="宋体" w:hAnsi="宋体" w:cs="宋体" w:eastAsia="宋体" w:hint="default"/>
          <w:spacing w:val="-2"/>
        </w:rPr>
        <w:t>2009</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月期间在广西大学电子科学与技术系担任讲师；</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月期间在</w:t>
      </w:r>
      <w:r>
        <w:rPr>
          <w:spacing w:val="-55"/>
        </w:rPr>
        <w:t> </w:t>
      </w:r>
      <w:r>
        <w:rPr>
          <w:spacing w:val="-55"/>
        </w:rPr>
      </w:r>
      <w:r>
        <w:rPr>
          <w:spacing w:val="-2"/>
        </w:rPr>
        <w:t>广西大学通信工程系担任教师；</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月至今在广西大学通信工程系担任副教授；</w:t>
      </w:r>
      <w:r>
        <w:rPr>
          <w:rFonts w:ascii="宋体" w:hAnsi="宋体" w:cs="宋体" w:eastAsia="宋体" w:hint="default"/>
          <w:spacing w:val="-2"/>
        </w:rPr>
        <w:t>2016</w:t>
      </w:r>
      <w:r>
        <w:rPr>
          <w:spacing w:val="-2"/>
        </w:rPr>
        <w:t>年</w:t>
      </w:r>
      <w:r>
        <w:rPr>
          <w:rFonts w:ascii="宋体" w:hAnsi="宋体" w:cs="宋体" w:eastAsia="宋体" w:hint="default"/>
          <w:spacing w:val="-2"/>
        </w:rPr>
        <w:t>2</w:t>
      </w:r>
      <w:r>
        <w:rPr>
          <w:spacing w:val="-2"/>
        </w:rPr>
        <w:t>月至今担任润建股份独立董事。</w:t>
      </w:r>
      <w:r>
        <w:rPr>
          <w:rFonts w:ascii="宋体" w:hAnsi="宋体" w:cs="宋体" w:eastAsia="宋体" w:hint="default"/>
        </w:rPr>
        <w:t> </w:t>
      </w:r>
    </w:p>
    <w:p>
      <w:pPr>
        <w:spacing w:line="240" w:lineRule="auto" w:before="5"/>
        <w:rPr>
          <w:rFonts w:ascii="宋体" w:hAnsi="宋体" w:cs="宋体" w:eastAsia="宋体" w:hint="default"/>
          <w:sz w:val="13"/>
          <w:szCs w:val="13"/>
        </w:rPr>
      </w:pPr>
    </w:p>
    <w:p>
      <w:pPr>
        <w:pStyle w:val="BodyText"/>
        <w:spacing w:line="477" w:lineRule="auto"/>
        <w:ind w:right="9354"/>
        <w:jc w:val="left"/>
        <w:rPr>
          <w:rFonts w:ascii="宋体" w:hAnsi="宋体" w:cs="宋体" w:eastAsia="宋体" w:hint="default"/>
        </w:rPr>
      </w:pPr>
      <w:r>
        <w:rPr/>
        <w:t>二、监事</w:t>
      </w:r>
      <w:r>
        <w:rPr>
          <w:rFonts w:ascii="宋体" w:hAnsi="宋体" w:cs="宋体" w:eastAsia="宋体" w:hint="default"/>
        </w:rPr>
        <w:t> </w:t>
      </w:r>
      <w:r>
        <w:rPr/>
        <w:t>唐敏女士</w:t>
      </w:r>
      <w:r>
        <w:rPr>
          <w:rFonts w:ascii="宋体" w:hAnsi="宋体" w:cs="宋体" w:eastAsia="宋体" w:hint="default"/>
        </w:rPr>
        <w:t> </w:t>
      </w:r>
    </w:p>
    <w:p>
      <w:pPr>
        <w:pStyle w:val="BodyText"/>
        <w:spacing w:line="319" w:lineRule="auto" w:before="54"/>
        <w:ind w:right="1128"/>
        <w:jc w:val="both"/>
      </w:pPr>
      <w:r>
        <w:rPr>
          <w:rFonts w:ascii="宋体" w:hAnsi="宋体" w:cs="宋体" w:eastAsia="宋体" w:hint="default"/>
          <w:spacing w:val="-2"/>
        </w:rPr>
        <w:t>1984</w:t>
      </w:r>
      <w:r>
        <w:rPr>
          <w:spacing w:val="-2"/>
        </w:rPr>
        <w:t>年</w:t>
      </w:r>
      <w:r>
        <w:rPr>
          <w:rFonts w:ascii="宋体" w:hAnsi="宋体" w:cs="宋体" w:eastAsia="宋体" w:hint="default"/>
          <w:spacing w:val="-2"/>
        </w:rPr>
        <w:t>11</w:t>
      </w:r>
      <w:r>
        <w:rPr>
          <w:spacing w:val="-2"/>
        </w:rPr>
        <w:t>月出生，中国国籍，无境外永久居留权，本科学历。</w:t>
      </w:r>
      <w:r>
        <w:rPr>
          <w:rFonts w:ascii="宋体" w:hAnsi="宋体" w:cs="宋体" w:eastAsia="宋体" w:hint="default"/>
          <w:spacing w:val="-2"/>
        </w:rPr>
        <w:t>2007</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2008</w:t>
      </w:r>
      <w:r>
        <w:rPr>
          <w:spacing w:val="-2"/>
        </w:rPr>
        <w:t>年</w:t>
      </w:r>
      <w:r>
        <w:rPr>
          <w:rFonts w:ascii="宋体" w:hAnsi="宋体" w:cs="宋体" w:eastAsia="宋体" w:hint="default"/>
          <w:spacing w:val="-2"/>
        </w:rPr>
        <w:t>1</w:t>
      </w:r>
      <w:r>
        <w:rPr>
          <w:spacing w:val="-2"/>
        </w:rPr>
        <w:t>月期间在广西鑫辉通讯有限公司担任市场</w:t>
      </w:r>
      <w:r>
        <w:rPr>
          <w:spacing w:val="-53"/>
        </w:rPr>
        <w:t> </w:t>
      </w:r>
      <w:r>
        <w:rPr>
          <w:spacing w:val="-53"/>
        </w:rPr>
      </w:r>
      <w:r>
        <w:rPr/>
        <w:t>部职员；</w:t>
      </w:r>
      <w:r>
        <w:rPr>
          <w:rFonts w:ascii="宋体" w:hAnsi="宋体" w:cs="宋体" w:eastAsia="宋体" w:hint="default"/>
        </w:rPr>
        <w:t>2008</w:t>
      </w:r>
      <w:r>
        <w:rPr/>
        <w:t>年</w:t>
      </w:r>
      <w:r>
        <w:rPr>
          <w:rFonts w:ascii="宋体" w:hAnsi="宋体" w:cs="宋体" w:eastAsia="宋体" w:hint="default"/>
        </w:rPr>
        <w:t>2</w:t>
      </w:r>
      <w:r>
        <w:rPr/>
        <w:t>月至</w:t>
      </w:r>
      <w:r>
        <w:rPr>
          <w:rFonts w:ascii="宋体" w:hAnsi="宋体" w:cs="宋体" w:eastAsia="宋体" w:hint="default"/>
        </w:rPr>
        <w:t>2008</w:t>
      </w:r>
      <w:r>
        <w:rPr/>
        <w:t>年</w:t>
      </w:r>
      <w:r>
        <w:rPr>
          <w:rFonts w:ascii="宋体" w:hAnsi="宋体" w:cs="宋体" w:eastAsia="宋体" w:hint="default"/>
        </w:rPr>
        <w:t>9</w:t>
      </w:r>
      <w:r>
        <w:rPr/>
        <w:t>月期间在广西东冠投资有限公司担任市场部职员；</w:t>
      </w:r>
      <w:r>
        <w:rPr>
          <w:rFonts w:ascii="宋体" w:hAnsi="宋体" w:cs="宋体" w:eastAsia="宋体" w:hint="default"/>
        </w:rPr>
        <w:t>2008</w:t>
      </w:r>
      <w:r>
        <w:rPr/>
        <w:t>年</w:t>
      </w:r>
      <w:r>
        <w:rPr>
          <w:rFonts w:ascii="宋体" w:hAnsi="宋体" w:cs="宋体" w:eastAsia="宋体" w:hint="default"/>
        </w:rPr>
        <w:t>11</w:t>
      </w:r>
      <w:r>
        <w:rPr/>
        <w:t>月至</w:t>
      </w:r>
      <w:r>
        <w:rPr>
          <w:rFonts w:ascii="宋体" w:hAnsi="宋体" w:cs="宋体" w:eastAsia="宋体" w:hint="default"/>
        </w:rPr>
        <w:t>2012</w:t>
      </w:r>
      <w:r>
        <w:rPr/>
        <w:t>年</w:t>
      </w:r>
      <w:r>
        <w:rPr>
          <w:rFonts w:ascii="宋体" w:hAnsi="宋体" w:cs="宋体" w:eastAsia="宋体" w:hint="default"/>
        </w:rPr>
        <w:t>9</w:t>
      </w:r>
      <w:r>
        <w:rPr/>
        <w:t>月在润建有限工作， 先后担任审计部客户经理、线路工程部客户经理、工程建设部主管、工程建设部副主任、审计部主管；</w:t>
      </w:r>
      <w:r>
        <w:rPr>
          <w:rFonts w:ascii="宋体" w:hAnsi="宋体" w:cs="宋体" w:eastAsia="宋体" w:hint="default"/>
        </w:rPr>
        <w:t>2012</w:t>
      </w:r>
      <w:r>
        <w:rPr/>
        <w:t>年</w:t>
      </w:r>
      <w:r>
        <w:rPr>
          <w:rFonts w:ascii="宋体" w:hAnsi="宋体" w:cs="宋体" w:eastAsia="宋体" w:hint="default"/>
        </w:rPr>
        <w:t>9</w:t>
      </w:r>
      <w:r>
        <w:rPr/>
        <w:t>月至今在润</w:t>
      </w:r>
    </w:p>
    <w:p>
      <w:pPr>
        <w:spacing w:after="0" w:line="319" w:lineRule="auto"/>
        <w:jc w:val="both"/>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316" w:lineRule="auto" w:before="44"/>
        <w:ind w:left="212" w:right="1124"/>
        <w:jc w:val="left"/>
        <w:rPr>
          <w:rFonts w:ascii="宋体" w:hAnsi="宋体" w:cs="宋体" w:eastAsia="宋体" w:hint="default"/>
        </w:rPr>
      </w:pPr>
      <w:r>
        <w:rPr/>
        <w:t>建股份工作，先后担任审计部总经理助理、广西公司经管部副经理、经管部副总经理、综合管理部总经理，</w:t>
      </w:r>
      <w:r>
        <w:rPr>
          <w:rFonts w:ascii="宋体" w:hAnsi="宋体" w:cs="宋体" w:eastAsia="宋体" w:hint="default"/>
        </w:rPr>
        <w:t>2016</w:t>
      </w:r>
      <w:r>
        <w:rPr/>
        <w:t>年</w:t>
      </w:r>
      <w:r>
        <w:rPr>
          <w:rFonts w:ascii="宋体" w:hAnsi="宋体" w:cs="宋体" w:eastAsia="宋体" w:hint="default"/>
        </w:rPr>
        <w:t>6</w:t>
      </w:r>
      <w:r>
        <w:rPr/>
        <w:t>月至今</w:t>
      </w:r>
      <w:r>
        <w:rPr>
          <w:spacing w:val="-84"/>
        </w:rPr>
        <w:t> </w:t>
      </w:r>
      <w:r>
        <w:rPr>
          <w:spacing w:val="-84"/>
        </w:rPr>
      </w:r>
      <w:r>
        <w:rPr/>
        <w:t>担任润建股份监事会主席。</w:t>
      </w:r>
      <w:r>
        <w:rPr>
          <w:rFonts w:ascii="宋体" w:hAnsi="宋体" w:cs="宋体" w:eastAsia="宋体" w:hint="default"/>
        </w:rPr>
        <w:t> </w:t>
      </w:r>
    </w:p>
    <w:p>
      <w:pPr>
        <w:pStyle w:val="BodyText"/>
        <w:spacing w:line="466" w:lineRule="exact" w:before="14"/>
        <w:ind w:left="212" w:right="1124"/>
        <w:jc w:val="left"/>
        <w:rPr>
          <w:rFonts w:ascii="宋体" w:hAnsi="宋体" w:cs="宋体" w:eastAsia="宋体" w:hint="default"/>
        </w:rPr>
      </w:pPr>
      <w:r>
        <w:rPr/>
        <w:t>陶秋鸿女士</w:t>
      </w:r>
      <w:r>
        <w:rPr>
          <w:rFonts w:ascii="宋体" w:hAnsi="宋体" w:cs="宋体" w:eastAsia="宋体" w:hint="default"/>
        </w:rPr>
        <w:t> </w:t>
      </w:r>
      <w:r>
        <w:rPr>
          <w:rFonts w:ascii="宋体" w:hAnsi="宋体" w:cs="宋体" w:eastAsia="宋体" w:hint="default"/>
          <w:spacing w:val="-2"/>
        </w:rPr>
        <w:t>1980</w:t>
      </w:r>
      <w:r>
        <w:rPr>
          <w:spacing w:val="-2"/>
        </w:rPr>
        <w:t>年</w:t>
      </w:r>
      <w:r>
        <w:rPr>
          <w:rFonts w:ascii="宋体" w:hAnsi="宋体" w:cs="宋体" w:eastAsia="宋体" w:hint="default"/>
          <w:spacing w:val="-2"/>
        </w:rPr>
        <w:t>10</w:t>
      </w:r>
      <w:r>
        <w:rPr>
          <w:spacing w:val="-2"/>
        </w:rPr>
        <w:t>月出生，中国国籍，无境外永久居留权，本科学历。</w:t>
      </w:r>
      <w:r>
        <w:rPr>
          <w:rFonts w:ascii="宋体" w:hAnsi="宋体" w:cs="宋体" w:eastAsia="宋体" w:hint="default"/>
          <w:spacing w:val="-2"/>
        </w:rPr>
        <w:t>2002</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2003</w:t>
      </w:r>
      <w:r>
        <w:rPr>
          <w:spacing w:val="-2"/>
        </w:rPr>
        <w:t>年</w:t>
      </w:r>
      <w:r>
        <w:rPr>
          <w:rFonts w:ascii="宋体" w:hAnsi="宋体" w:cs="宋体" w:eastAsia="宋体" w:hint="default"/>
          <w:spacing w:val="-2"/>
        </w:rPr>
        <w:t>3</w:t>
      </w:r>
      <w:r>
        <w:rPr>
          <w:spacing w:val="-2"/>
        </w:rPr>
        <w:t>月在中铁寻呼有限公司担任话务员；</w:t>
      </w:r>
      <w:r>
        <w:rPr>
          <w:rFonts w:ascii="宋体" w:hAnsi="宋体" w:cs="宋体" w:eastAsia="宋体" w:hint="default"/>
          <w:spacing w:val="-2"/>
        </w:rPr>
        <w:t>2003</w:t>
      </w:r>
      <w:r>
        <w:rPr>
          <w:rFonts w:ascii="宋体" w:hAnsi="宋体" w:cs="宋体" w:eastAsia="宋体" w:hint="default"/>
        </w:rPr>
      </w:r>
    </w:p>
    <w:p>
      <w:pPr>
        <w:pStyle w:val="BodyText"/>
        <w:spacing w:line="316" w:lineRule="auto" w:before="8"/>
        <w:ind w:left="212" w:right="1131"/>
        <w:jc w:val="both"/>
        <w:rPr>
          <w:rFonts w:ascii="宋体" w:hAnsi="宋体" w:cs="宋体" w:eastAsia="宋体" w:hint="default"/>
        </w:rPr>
      </w:pPr>
      <w:r>
        <w:rPr>
          <w:spacing w:val="-2"/>
        </w:rPr>
        <w:t>年</w:t>
      </w:r>
      <w:r>
        <w:rPr>
          <w:rFonts w:ascii="宋体" w:hAnsi="宋体" w:cs="宋体" w:eastAsia="宋体" w:hint="default"/>
          <w:spacing w:val="-2"/>
        </w:rPr>
        <w:t>5</w:t>
      </w:r>
      <w:r>
        <w:rPr>
          <w:spacing w:val="-2"/>
        </w:rPr>
        <w:t>月至</w:t>
      </w:r>
      <w:r>
        <w:rPr>
          <w:rFonts w:ascii="宋体" w:hAnsi="宋体" w:cs="宋体" w:eastAsia="宋体" w:hint="default"/>
          <w:spacing w:val="-2"/>
        </w:rPr>
        <w:t>2011</w:t>
      </w:r>
      <w:r>
        <w:rPr>
          <w:spacing w:val="-2"/>
        </w:rPr>
        <w:t>年</w:t>
      </w:r>
      <w:r>
        <w:rPr>
          <w:rFonts w:ascii="宋体" w:hAnsi="宋体" w:cs="宋体" w:eastAsia="宋体" w:hint="default"/>
          <w:spacing w:val="-2"/>
        </w:rPr>
        <w:t>7</w:t>
      </w:r>
      <w:r>
        <w:rPr>
          <w:spacing w:val="-2"/>
        </w:rPr>
        <w:t>月在广东怡创科技有限公司担任无线工程项目部综合支撑经理；</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月在润建有限担任工程</w:t>
      </w:r>
      <w:r>
        <w:rPr>
          <w:spacing w:val="-55"/>
        </w:rPr>
        <w:t> </w:t>
      </w:r>
      <w:r>
        <w:rPr>
          <w:spacing w:val="-55"/>
        </w:rPr>
      </w:r>
      <w:r>
        <w:rPr/>
        <w:t>建设部主管；</w:t>
      </w:r>
      <w:r>
        <w:rPr>
          <w:rFonts w:ascii="宋体" w:hAnsi="宋体" w:cs="宋体" w:eastAsia="宋体" w:hint="default"/>
        </w:rPr>
        <w:t>2012</w:t>
      </w:r>
      <w:r>
        <w:rPr/>
        <w:t>年</w:t>
      </w:r>
      <w:r>
        <w:rPr>
          <w:rFonts w:ascii="宋体" w:hAnsi="宋体" w:cs="宋体" w:eastAsia="宋体" w:hint="default"/>
        </w:rPr>
        <w:t>9</w:t>
      </w:r>
      <w:r>
        <w:rPr/>
        <w:t>月至今在润建股份工作，先后担任工程建设部主管、工程建设部总经理助理、工程建设部经理、交付</w:t>
      </w:r>
      <w:r>
        <w:rPr>
          <w:spacing w:val="-84"/>
        </w:rPr>
        <w:t> </w:t>
      </w:r>
      <w:r>
        <w:rPr>
          <w:spacing w:val="-84"/>
        </w:rPr>
      </w:r>
      <w:r>
        <w:rPr/>
        <w:t>管理部总经理，</w:t>
      </w:r>
      <w:r>
        <w:rPr>
          <w:rFonts w:ascii="宋体" w:hAnsi="宋体" w:cs="宋体" w:eastAsia="宋体" w:hint="default"/>
        </w:rPr>
        <w:t>2016</w:t>
      </w:r>
      <w:r>
        <w:rPr/>
        <w:t>年</w:t>
      </w:r>
      <w:r>
        <w:rPr>
          <w:rFonts w:ascii="宋体" w:hAnsi="宋体" w:cs="宋体" w:eastAsia="宋体" w:hint="default"/>
        </w:rPr>
        <w:t>9</w:t>
      </w:r>
      <w:r>
        <w:rPr/>
        <w:t>月至今担任监事。</w:t>
      </w:r>
      <w:r>
        <w:rPr>
          <w:rFonts w:ascii="宋体" w:hAnsi="宋体" w:cs="宋体" w:eastAsia="宋体" w:hint="default"/>
        </w:rPr>
        <w:t> </w:t>
      </w:r>
    </w:p>
    <w:p>
      <w:pPr>
        <w:spacing w:line="240" w:lineRule="auto" w:before="7"/>
        <w:rPr>
          <w:rFonts w:ascii="宋体" w:hAnsi="宋体" w:cs="宋体" w:eastAsia="宋体" w:hint="default"/>
          <w:sz w:val="13"/>
          <w:szCs w:val="13"/>
        </w:rPr>
      </w:pPr>
    </w:p>
    <w:p>
      <w:pPr>
        <w:pStyle w:val="BodyText"/>
        <w:spacing w:line="240" w:lineRule="auto"/>
        <w:ind w:left="212" w:right="1124"/>
        <w:jc w:val="left"/>
        <w:rPr>
          <w:rFonts w:ascii="宋体" w:hAnsi="宋体" w:cs="宋体" w:eastAsia="宋体" w:hint="default"/>
        </w:rPr>
      </w:pPr>
      <w:r>
        <w:rPr/>
        <w:t>欧宇菲女士</w:t>
      </w:r>
      <w:r>
        <w:rPr>
          <w:rFonts w:ascii="宋体" w:hAnsi="宋体" w:cs="宋体" w:eastAsia="宋体" w:hint="default"/>
        </w:rPr>
        <w:t> </w:t>
      </w:r>
    </w:p>
    <w:p>
      <w:pPr>
        <w:spacing w:line="240" w:lineRule="auto" w:before="8"/>
        <w:rPr>
          <w:rFonts w:ascii="宋体" w:hAnsi="宋体" w:cs="宋体" w:eastAsia="宋体" w:hint="default"/>
          <w:sz w:val="17"/>
          <w:szCs w:val="17"/>
        </w:rPr>
      </w:pPr>
    </w:p>
    <w:p>
      <w:pPr>
        <w:pStyle w:val="BodyText"/>
        <w:spacing w:line="319" w:lineRule="auto"/>
        <w:ind w:left="212" w:right="1124"/>
        <w:jc w:val="left"/>
        <w:rPr>
          <w:rFonts w:ascii="宋体" w:hAnsi="宋体" w:cs="宋体" w:eastAsia="宋体" w:hint="default"/>
        </w:rPr>
      </w:pPr>
      <w:r>
        <w:rPr>
          <w:rFonts w:ascii="宋体" w:hAnsi="宋体" w:cs="宋体" w:eastAsia="宋体" w:hint="default"/>
          <w:spacing w:val="-2"/>
        </w:rPr>
        <w:t>1989</w:t>
      </w:r>
      <w:r>
        <w:rPr>
          <w:spacing w:val="-2"/>
        </w:rPr>
        <w:t>年</w:t>
      </w:r>
      <w:r>
        <w:rPr>
          <w:rFonts w:ascii="宋体" w:hAnsi="宋体" w:cs="宋体" w:eastAsia="宋体" w:hint="default"/>
          <w:spacing w:val="-2"/>
        </w:rPr>
        <w:t>9</w:t>
      </w:r>
      <w:r>
        <w:rPr>
          <w:spacing w:val="-2"/>
        </w:rPr>
        <w:t>月出生，中国国籍，无境外永久居留权，本科学历。</w:t>
      </w:r>
      <w:r>
        <w:rPr>
          <w:rFonts w:ascii="宋体" w:hAnsi="宋体" w:cs="宋体" w:eastAsia="宋体" w:hint="default"/>
          <w:spacing w:val="-2"/>
        </w:rPr>
        <w:t>2010</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2013</w:t>
      </w:r>
      <w:r>
        <w:rPr>
          <w:spacing w:val="-2"/>
        </w:rPr>
        <w:t>年</w:t>
      </w:r>
      <w:r>
        <w:rPr>
          <w:rFonts w:ascii="宋体" w:hAnsi="宋体" w:cs="宋体" w:eastAsia="宋体" w:hint="default"/>
          <w:spacing w:val="-2"/>
        </w:rPr>
        <w:t>4</w:t>
      </w:r>
      <w:r>
        <w:rPr>
          <w:spacing w:val="-2"/>
        </w:rPr>
        <w:t>月在润建股份担任人事专员；</w:t>
      </w:r>
      <w:r>
        <w:rPr>
          <w:rFonts w:ascii="宋体" w:hAnsi="宋体" w:cs="宋体" w:eastAsia="宋体" w:hint="default"/>
          <w:spacing w:val="-2"/>
        </w:rPr>
        <w:t>2013</w:t>
      </w:r>
      <w:r>
        <w:rPr>
          <w:spacing w:val="-2"/>
        </w:rPr>
        <w:t>年</w:t>
      </w:r>
      <w:r>
        <w:rPr>
          <w:rFonts w:ascii="宋体" w:hAnsi="宋体" w:cs="宋体" w:eastAsia="宋体" w:hint="default"/>
          <w:spacing w:val="-2"/>
        </w:rPr>
        <w:t>4</w:t>
      </w:r>
      <w:r>
        <w:rPr>
          <w:spacing w:val="-2"/>
        </w:rPr>
        <w:t>月至</w:t>
      </w:r>
      <w:r>
        <w:rPr>
          <w:spacing w:val="-48"/>
        </w:rPr>
        <w:t> </w:t>
      </w:r>
      <w:r>
        <w:rPr/>
        <w:t>今先后但任润建股份人事主管、创研院人事经理；</w:t>
      </w:r>
      <w:r>
        <w:rPr>
          <w:rFonts w:ascii="宋体" w:hAnsi="宋体" w:cs="宋体" w:eastAsia="宋体" w:hint="default"/>
        </w:rPr>
        <w:t>2017</w:t>
      </w:r>
      <w:r>
        <w:rPr/>
        <w:t>年</w:t>
      </w:r>
      <w:r>
        <w:rPr>
          <w:rFonts w:ascii="宋体" w:hAnsi="宋体" w:cs="宋体" w:eastAsia="宋体" w:hint="default"/>
        </w:rPr>
        <w:t>4</w:t>
      </w:r>
      <w:r>
        <w:rPr/>
        <w:t>月至今在润建股份担任职工代表监事。</w:t>
      </w:r>
      <w:r>
        <w:rPr>
          <w:rFonts w:ascii="宋体" w:hAnsi="宋体" w:cs="宋体" w:eastAsia="宋体" w:hint="default"/>
        </w:rPr>
        <w:t> </w:t>
      </w:r>
    </w:p>
    <w:p>
      <w:pPr>
        <w:pStyle w:val="BodyText"/>
        <w:spacing w:line="466" w:lineRule="exact" w:before="13"/>
        <w:ind w:left="212" w:right="8454"/>
        <w:jc w:val="left"/>
        <w:rPr>
          <w:rFonts w:ascii="宋体" w:hAnsi="宋体" w:cs="宋体" w:eastAsia="宋体" w:hint="default"/>
        </w:rPr>
      </w:pPr>
      <w:r>
        <w:rPr/>
        <w:t>三、高级管理人员</w:t>
      </w:r>
      <w:r>
        <w:rPr>
          <w:rFonts w:ascii="宋体" w:hAnsi="宋体" w:cs="宋体" w:eastAsia="宋体" w:hint="default"/>
        </w:rPr>
        <w:t> </w:t>
      </w:r>
      <w:r>
        <w:rPr/>
        <w:t>杨兆云先生</w:t>
      </w:r>
      <w:r>
        <w:rPr>
          <w:rFonts w:ascii="宋体" w:hAnsi="宋体" w:cs="宋体" w:eastAsia="宋体" w:hint="default"/>
        </w:rPr>
        <w:t> </w:t>
      </w:r>
    </w:p>
    <w:p>
      <w:pPr>
        <w:pStyle w:val="BodyText"/>
        <w:spacing w:line="316" w:lineRule="auto" w:before="49"/>
        <w:ind w:left="212" w:right="1034"/>
        <w:jc w:val="left"/>
        <w:rPr>
          <w:rFonts w:ascii="宋体" w:hAnsi="宋体" w:cs="宋体" w:eastAsia="宋体" w:hint="default"/>
        </w:rPr>
      </w:pPr>
      <w:r>
        <w:rPr>
          <w:rFonts w:ascii="宋体" w:hAnsi="宋体" w:cs="宋体" w:eastAsia="宋体" w:hint="default"/>
        </w:rPr>
        <w:t>1964</w:t>
      </w:r>
      <w:r>
        <w:rPr/>
        <w:t>年</w:t>
      </w:r>
      <w:r>
        <w:rPr>
          <w:rFonts w:ascii="宋体" w:hAnsi="宋体" w:cs="宋体" w:eastAsia="宋体" w:hint="default"/>
        </w:rPr>
        <w:t>4</w:t>
      </w:r>
      <w:r>
        <w:rPr/>
        <w:t>月出生，中国国籍，无境外永久居留权，本科学历，高级工程师。</w:t>
      </w:r>
      <w:r>
        <w:rPr>
          <w:rFonts w:ascii="宋体" w:hAnsi="宋体" w:cs="宋体" w:eastAsia="宋体" w:hint="default"/>
        </w:rPr>
        <w:t>1984</w:t>
      </w:r>
      <w:r>
        <w:rPr/>
        <w:t>年</w:t>
      </w:r>
      <w:r>
        <w:rPr>
          <w:rFonts w:ascii="宋体" w:hAnsi="宋体" w:cs="宋体" w:eastAsia="宋体" w:hint="default"/>
        </w:rPr>
        <w:t>7</w:t>
      </w:r>
      <w:r>
        <w:rPr/>
        <w:t>月至</w:t>
      </w:r>
      <w:r>
        <w:rPr>
          <w:rFonts w:ascii="宋体" w:hAnsi="宋体" w:cs="宋体" w:eastAsia="宋体" w:hint="default"/>
        </w:rPr>
        <w:t>1996</w:t>
      </w:r>
      <w:r>
        <w:rPr/>
        <w:t>年</w:t>
      </w:r>
      <w:r>
        <w:rPr>
          <w:rFonts w:ascii="宋体" w:hAnsi="宋体" w:cs="宋体" w:eastAsia="宋体" w:hint="default"/>
        </w:rPr>
        <w:t>3</w:t>
      </w:r>
      <w:r>
        <w:rPr/>
        <w:t>月期间在广西邮电管理局北 海市邮电局担任科长；</w:t>
      </w:r>
      <w:r>
        <w:rPr>
          <w:rFonts w:ascii="宋体" w:hAnsi="宋体" w:cs="宋体" w:eastAsia="宋体" w:hint="default"/>
        </w:rPr>
        <w:t>1996</w:t>
      </w:r>
      <w:r>
        <w:rPr/>
        <w:t>年</w:t>
      </w:r>
      <w:r>
        <w:rPr>
          <w:rFonts w:ascii="宋体" w:hAnsi="宋体" w:cs="宋体" w:eastAsia="宋体" w:hint="default"/>
        </w:rPr>
        <w:t>3</w:t>
      </w:r>
      <w:r>
        <w:rPr/>
        <w:t>月至</w:t>
      </w:r>
      <w:r>
        <w:rPr>
          <w:rFonts w:ascii="宋体" w:hAnsi="宋体" w:cs="宋体" w:eastAsia="宋体" w:hint="default"/>
        </w:rPr>
        <w:t>2003</w:t>
      </w:r>
      <w:r>
        <w:rPr/>
        <w:t>年</w:t>
      </w:r>
      <w:r>
        <w:rPr>
          <w:rFonts w:ascii="宋体" w:hAnsi="宋体" w:cs="宋体" w:eastAsia="宋体" w:hint="default"/>
        </w:rPr>
        <w:t>11</w:t>
      </w:r>
      <w:r>
        <w:rPr/>
        <w:t>月期间在广西北海电信实业有限公司担任总经理；</w:t>
      </w:r>
      <w:r>
        <w:rPr>
          <w:rFonts w:ascii="宋体" w:hAnsi="宋体" w:cs="宋体" w:eastAsia="宋体" w:hint="default"/>
        </w:rPr>
        <w:t>2003</w:t>
      </w:r>
      <w:r>
        <w:rPr/>
        <w:t>年</w:t>
      </w:r>
      <w:r>
        <w:rPr>
          <w:rFonts w:ascii="宋体" w:hAnsi="宋体" w:cs="宋体" w:eastAsia="宋体" w:hint="default"/>
        </w:rPr>
        <w:t>11</w:t>
      </w:r>
      <w:r>
        <w:rPr/>
        <w:t>月至</w:t>
      </w:r>
      <w:r>
        <w:rPr>
          <w:rFonts w:ascii="宋体" w:hAnsi="宋体" w:cs="宋体" w:eastAsia="宋体" w:hint="default"/>
        </w:rPr>
        <w:t>2006</w:t>
      </w:r>
      <w:r>
        <w:rPr/>
        <w:t>年</w:t>
      </w:r>
      <w:r>
        <w:rPr>
          <w:rFonts w:ascii="宋体" w:hAnsi="宋体" w:cs="宋体" w:eastAsia="宋体" w:hint="default"/>
        </w:rPr>
        <w:t>12</w:t>
      </w:r>
      <w:r>
        <w:rPr/>
        <w:t>月期</w:t>
      </w:r>
      <w:r>
        <w:rPr>
          <w:spacing w:val="-3"/>
        </w:rPr>
        <w:t> </w:t>
      </w:r>
      <w:r>
        <w:rPr/>
        <w:t>间在北海电信有限公司担任副总经理；</w:t>
      </w:r>
      <w:r>
        <w:rPr>
          <w:rFonts w:ascii="宋体" w:hAnsi="宋体" w:cs="宋体" w:eastAsia="宋体" w:hint="default"/>
        </w:rPr>
        <w:t>2006</w:t>
      </w:r>
      <w:r>
        <w:rPr/>
        <w:t>年</w:t>
      </w:r>
      <w:r>
        <w:rPr>
          <w:rFonts w:ascii="宋体" w:hAnsi="宋体" w:cs="宋体" w:eastAsia="宋体" w:hint="default"/>
        </w:rPr>
        <w:t>12</w:t>
      </w:r>
      <w:r>
        <w:rPr/>
        <w:t>至</w:t>
      </w:r>
      <w:r>
        <w:rPr>
          <w:rFonts w:ascii="宋体" w:hAnsi="宋体" w:cs="宋体" w:eastAsia="宋体" w:hint="default"/>
        </w:rPr>
        <w:t>2010</w:t>
      </w:r>
      <w:r>
        <w:rPr/>
        <w:t>年</w:t>
      </w:r>
      <w:r>
        <w:rPr>
          <w:rFonts w:ascii="宋体" w:hAnsi="宋体" w:cs="宋体" w:eastAsia="宋体" w:hint="default"/>
        </w:rPr>
        <w:t>12</w:t>
      </w:r>
      <w:r>
        <w:rPr/>
        <w:t>月期间在北海电信有限公司合浦分公司担任总经理；</w:t>
      </w:r>
      <w:r>
        <w:rPr>
          <w:rFonts w:ascii="宋体" w:hAnsi="宋体" w:cs="宋体" w:eastAsia="宋体" w:hint="default"/>
        </w:rPr>
        <w:t>2011</w:t>
      </w:r>
      <w:r>
        <w:rPr/>
        <w:t>年</w:t>
      </w:r>
      <w:r>
        <w:rPr>
          <w:rFonts w:ascii="宋体" w:hAnsi="宋体" w:cs="宋体" w:eastAsia="宋体" w:hint="default"/>
        </w:rPr>
        <w:t>6</w:t>
      </w:r>
      <w:r>
        <w:rPr/>
        <w:t>月 至</w:t>
      </w:r>
      <w:r>
        <w:rPr>
          <w:rFonts w:ascii="宋体" w:hAnsi="宋体" w:cs="宋体" w:eastAsia="宋体" w:hint="default"/>
        </w:rPr>
        <w:t>2012</w:t>
      </w:r>
      <w:r>
        <w:rPr/>
        <w:t>年</w:t>
      </w:r>
      <w:r>
        <w:rPr>
          <w:rFonts w:ascii="宋体" w:hAnsi="宋体" w:cs="宋体" w:eastAsia="宋体" w:hint="default"/>
        </w:rPr>
        <w:t>9</w:t>
      </w:r>
      <w:r>
        <w:rPr/>
        <w:t>月在润建有限工作，担任部门经理；</w:t>
      </w:r>
      <w:r>
        <w:rPr>
          <w:rFonts w:ascii="宋体" w:hAnsi="宋体" w:cs="宋体" w:eastAsia="宋体" w:hint="default"/>
        </w:rPr>
        <w:t>2012</w:t>
      </w:r>
      <w:r>
        <w:rPr/>
        <w:t>年</w:t>
      </w:r>
      <w:r>
        <w:rPr>
          <w:rFonts w:ascii="宋体" w:hAnsi="宋体" w:cs="宋体" w:eastAsia="宋体" w:hint="default"/>
        </w:rPr>
        <w:t>9</w:t>
      </w:r>
      <w:r>
        <w:rPr/>
        <w:t>月至今在润建股份任职，其中</w:t>
      </w:r>
      <w:r>
        <w:rPr>
          <w:rFonts w:ascii="宋体" w:hAnsi="宋体" w:cs="宋体" w:eastAsia="宋体" w:hint="default"/>
        </w:rPr>
        <w:t>2012</w:t>
      </w:r>
      <w:r>
        <w:rPr/>
        <w:t>年</w:t>
      </w:r>
      <w:r>
        <w:rPr>
          <w:rFonts w:ascii="宋体" w:hAnsi="宋体" w:cs="宋体" w:eastAsia="宋体" w:hint="default"/>
        </w:rPr>
        <w:t>9</w:t>
      </w:r>
      <w:r>
        <w:rPr/>
        <w:t>月至</w:t>
      </w:r>
      <w:r>
        <w:rPr>
          <w:rFonts w:ascii="宋体" w:hAnsi="宋体" w:cs="宋体" w:eastAsia="宋体" w:hint="default"/>
        </w:rPr>
        <w:t>2016</w:t>
      </w:r>
      <w:r>
        <w:rPr/>
        <w:t>年</w:t>
      </w:r>
      <w:r>
        <w:rPr>
          <w:rFonts w:ascii="宋体" w:hAnsi="宋体" w:cs="宋体" w:eastAsia="宋体" w:hint="default"/>
        </w:rPr>
        <w:t>1</w:t>
      </w:r>
      <w:r>
        <w:rPr/>
        <w:t>月担任部门经理， </w:t>
      </w:r>
      <w:r>
        <w:rPr>
          <w:rFonts w:ascii="宋体" w:hAnsi="宋体" w:cs="宋体" w:eastAsia="宋体" w:hint="default"/>
        </w:rPr>
        <w:t>2016</w:t>
      </w:r>
      <w:r>
        <w:rPr/>
        <w:t>年</w:t>
      </w:r>
      <w:r>
        <w:rPr>
          <w:rFonts w:ascii="宋体" w:hAnsi="宋体" w:cs="宋体" w:eastAsia="宋体" w:hint="default"/>
        </w:rPr>
        <w:t>1</w:t>
      </w:r>
      <w:r>
        <w:rPr/>
        <w:t>月至今担任副总经理，</w:t>
      </w:r>
      <w:r>
        <w:rPr>
          <w:rFonts w:ascii="宋体" w:hAnsi="宋体" w:cs="宋体" w:eastAsia="宋体" w:hint="default"/>
        </w:rPr>
        <w:t>2016</w:t>
      </w:r>
      <w:r>
        <w:rPr/>
        <w:t>年</w:t>
      </w:r>
      <w:r>
        <w:rPr>
          <w:rFonts w:ascii="宋体" w:hAnsi="宋体" w:cs="宋体" w:eastAsia="宋体" w:hint="default"/>
        </w:rPr>
        <w:t>2</w:t>
      </w:r>
      <w:r>
        <w:rPr/>
        <w:t>月至</w:t>
      </w:r>
      <w:r>
        <w:rPr>
          <w:rFonts w:ascii="宋体" w:hAnsi="宋体" w:cs="宋体" w:eastAsia="宋体" w:hint="default"/>
        </w:rPr>
        <w:t>2016</w:t>
      </w:r>
      <w:r>
        <w:rPr/>
        <w:t>年</w:t>
      </w:r>
      <w:r>
        <w:rPr>
          <w:rFonts w:ascii="宋体" w:hAnsi="宋体" w:cs="宋体" w:eastAsia="宋体" w:hint="default"/>
        </w:rPr>
        <w:t>11</w:t>
      </w:r>
      <w:r>
        <w:rPr/>
        <w:t>月担任董事。</w:t>
      </w:r>
      <w:r>
        <w:rPr>
          <w:rFonts w:ascii="宋体" w:hAnsi="宋体" w:cs="宋体" w:eastAsia="宋体" w:hint="default"/>
        </w:rPr>
        <w:t> </w:t>
      </w:r>
    </w:p>
    <w:p>
      <w:pPr>
        <w:pStyle w:val="BodyText"/>
        <w:spacing w:line="240" w:lineRule="auto" w:before="57"/>
        <w:ind w:left="212" w:right="1124"/>
        <w:jc w:val="left"/>
      </w:pPr>
      <w:r>
        <w:rPr/>
        <w:t>在股东单位任职情况</w:t>
      </w:r>
    </w:p>
    <w:p>
      <w:pPr>
        <w:pStyle w:val="BodyText"/>
        <w:spacing w:line="240" w:lineRule="auto" w:before="117"/>
        <w:ind w:left="212" w:right="1124"/>
        <w:jc w:val="left"/>
      </w:pPr>
      <w:r>
        <w:rPr/>
        <w:t>√ 适用 □</w:t>
      </w:r>
      <w:r>
        <w:rPr>
          <w:spacing w:val="3"/>
        </w:rPr>
        <w:t> </w:t>
      </w:r>
      <w:r>
        <w:rPr/>
        <w:t>不适用</w:t>
      </w:r>
    </w:p>
    <w:p>
      <w:pPr>
        <w:spacing w:line="240" w:lineRule="auto" w:before="5"/>
        <w:rPr>
          <w:rFonts w:ascii="宋体" w:hAnsi="宋体" w:cs="宋体" w:eastAsia="宋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960"/>
        <w:gridCol w:w="3277"/>
        <w:gridCol w:w="1544"/>
        <w:gridCol w:w="1700"/>
        <w:gridCol w:w="994"/>
        <w:gridCol w:w="1376"/>
      </w:tblGrid>
      <w:tr>
        <w:trPr>
          <w:trHeight w:val="1027"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5" w:right="113" w:hanging="181"/>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96" w:right="134"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14" w:right="12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1" w:right="142"/>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广西威克德力投资管理中</w:t>
            </w:r>
            <w:r>
              <w:rPr>
                <w:rFonts w:ascii="宋体" w:hAnsi="宋体" w:cs="宋体" w:eastAsia="宋体" w:hint="default"/>
                <w:spacing w:val="-89"/>
                <w:sz w:val="18"/>
                <w:szCs w:val="18"/>
              </w:rPr>
              <w:t>心</w:t>
            </w:r>
            <w:r>
              <w:rPr>
                <w:rFonts w:ascii="宋体" w:hAnsi="宋体" w:cs="宋体" w:eastAsia="宋体" w:hint="default"/>
                <w:sz w:val="18"/>
                <w:szCs w:val="18"/>
              </w:rPr>
              <w:t>（有限合伙）</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许文杰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广西盛欧投资管理中心（有限合伙）</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212" w:right="1124"/>
        <w:jc w:val="left"/>
      </w:pPr>
      <w:r>
        <w:rPr/>
        <w:t>在其他单位任职情况</w:t>
      </w:r>
    </w:p>
    <w:p>
      <w:pPr>
        <w:pStyle w:val="BodyText"/>
        <w:spacing w:line="360" w:lineRule="auto" w:before="115"/>
        <w:ind w:left="212" w:right="4094"/>
        <w:jc w:val="left"/>
      </w:pPr>
      <w:r>
        <w:rPr/>
        <w:t>□ 适用 √</w:t>
      </w:r>
      <w:r>
        <w:rPr>
          <w:spacing w:val="3"/>
        </w:rPr>
        <w:t> </w:t>
      </w:r>
      <w:r>
        <w:rPr/>
        <w:t>不适用</w:t>
      </w:r>
      <w:r>
        <w:rPr/>
        <w:t> 公司现任及报告期内离任董事、监事和高级管理人员近三年证券监管机构处罚的情况</w:t>
      </w:r>
    </w:p>
    <w:p>
      <w:pPr>
        <w:pStyle w:val="BodyText"/>
        <w:spacing w:line="240" w:lineRule="auto" w:before="25"/>
        <w:ind w:left="212" w:right="1124"/>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2" w:right="1124"/>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212" w:right="1124"/>
        <w:jc w:val="left"/>
      </w:pPr>
      <w:r>
        <w:rPr/>
        <w:t>董事、监事、高级管理人员报酬的决策程序、确定依据、实际支付情况 </w:t>
      </w:r>
      <w:r>
        <w:rPr>
          <w:spacing w:val="-2"/>
        </w:rPr>
        <w:t>董事、监事、高级管理人员报酬的决策程序：董事报酬由公司股东大会决定，高级管理人员报酬由公司董事会决定。公司董</w:t>
      </w:r>
      <w:r>
        <w:rPr>
          <w:spacing w:val="-68"/>
        </w:rPr>
        <w:t> </w:t>
      </w:r>
      <w:r>
        <w:rPr>
          <w:spacing w:val="-68"/>
        </w:rPr>
      </w:r>
      <w:r>
        <w:rPr>
          <w:spacing w:val="-2"/>
        </w:rPr>
        <w:t>事会薪酬与考核委员会按照《董事会薪酬与考核委员会实施细则》认真履行职责，对公司年度报告中董事和高管人员所披露</w:t>
      </w:r>
    </w:p>
    <w:p>
      <w:pPr>
        <w:pStyle w:val="BodyText"/>
        <w:spacing w:line="319" w:lineRule="auto" w:before="2"/>
        <w:ind w:left="212" w:right="1128"/>
        <w:jc w:val="both"/>
        <w:rPr>
          <w:rFonts w:ascii="宋体" w:hAnsi="宋体" w:cs="宋体" w:eastAsia="宋体" w:hint="default"/>
        </w:rPr>
      </w:pPr>
      <w:r>
        <w:rPr>
          <w:spacing w:val="-2"/>
        </w:rPr>
        <w:t>薪酬事项进行了审核，核查意见如下：</w:t>
      </w:r>
      <w:r>
        <w:rPr>
          <w:rFonts w:ascii="宋体" w:hAnsi="宋体" w:cs="宋体" w:eastAsia="宋体" w:hint="default"/>
          <w:spacing w:val="-2"/>
        </w:rPr>
        <w:t>2018</w:t>
      </w:r>
      <w:r>
        <w:rPr>
          <w:spacing w:val="-2"/>
        </w:rPr>
        <w:t>年度公司董事、监事及高管人员披露的薪酬情况符合公司薪酬管理制度，未有违</w:t>
      </w:r>
      <w:r>
        <w:rPr>
          <w:spacing w:val="-60"/>
        </w:rPr>
        <w:t> </w:t>
      </w:r>
      <w:r>
        <w:rPr>
          <w:spacing w:val="-60"/>
        </w:rPr>
      </w:r>
      <w:r>
        <w:rPr>
          <w:spacing w:val="-2"/>
        </w:rPr>
        <w:t>反公司薪酬管理制度及与公司薪酬管理制度不一致的情形发生。独立董事对公司</w:t>
      </w:r>
      <w:r>
        <w:rPr>
          <w:rFonts w:ascii="宋体" w:hAnsi="宋体" w:cs="宋体" w:eastAsia="宋体" w:hint="default"/>
          <w:spacing w:val="-2"/>
        </w:rPr>
        <w:t>2018</w:t>
      </w:r>
      <w:r>
        <w:rPr>
          <w:spacing w:val="-2"/>
        </w:rPr>
        <w:t>年年度报告中关于董事、高级管理人员</w:t>
      </w:r>
      <w:r>
        <w:rPr>
          <w:spacing w:val="-61"/>
        </w:rPr>
        <w:t> </w:t>
      </w:r>
      <w:r>
        <w:rPr>
          <w:spacing w:val="-61"/>
        </w:rPr>
      </w:r>
      <w:r>
        <w:rPr>
          <w:spacing w:val="-2"/>
        </w:rPr>
        <w:t>薪酬进行了审核，并发表了同意的独立董事意见，认为公司能严格按照公司董事和高级管理人员薪酬和有关业绩考核制度执</w:t>
      </w:r>
      <w:r>
        <w:rPr>
          <w:spacing w:val="-65"/>
        </w:rPr>
        <w:t> </w:t>
      </w:r>
      <w:r>
        <w:rPr>
          <w:spacing w:val="-65"/>
        </w:rPr>
      </w:r>
      <w:r>
        <w:rPr>
          <w:spacing w:val="-2"/>
        </w:rPr>
        <w:t>行，薪酬发放的程序符合有关法律法规及《公司章程》的规定，不存在损害公司和全体股东利益的情形，</w:t>
      </w:r>
      <w:r>
        <w:rPr>
          <w:rFonts w:ascii="宋体" w:hAnsi="宋体" w:cs="宋体" w:eastAsia="宋体" w:hint="default"/>
          <w:spacing w:val="-2"/>
        </w:rPr>
        <w:t>2018</w:t>
      </w:r>
      <w:r>
        <w:rPr>
          <w:spacing w:val="-2"/>
        </w:rPr>
        <w:t>年年度报告中</w:t>
      </w:r>
      <w:r>
        <w:rPr>
          <w:spacing w:val="-65"/>
        </w:rPr>
        <w:t> </w:t>
      </w:r>
      <w:r>
        <w:rPr>
          <w:spacing w:val="-65"/>
        </w:rPr>
      </w:r>
      <w:r>
        <w:rPr/>
        <w:t>关于董事、高级管理人员薪酬的披露内容与实际情况一致。</w:t>
      </w:r>
      <w:r>
        <w:rPr>
          <w:rFonts w:ascii="宋体" w:hAnsi="宋体" w:cs="宋体" w:eastAsia="宋体" w:hint="default"/>
        </w:rPr>
        <w:t> </w:t>
      </w:r>
    </w:p>
    <w:p>
      <w:pPr>
        <w:spacing w:after="0" w:line="319" w:lineRule="auto"/>
        <w:jc w:val="both"/>
        <w:rPr>
          <w:rFonts w:ascii="宋体" w:hAnsi="宋体" w:cs="宋体" w:eastAsia="宋体" w:hint="default"/>
        </w:rPr>
        <w:sectPr>
          <w:pgSz w:w="11910" w:h="16840"/>
          <w:pgMar w:header="910" w:footer="1013" w:top="1100" w:bottom="1200" w:left="920" w:right="0"/>
        </w:sectPr>
      </w:pPr>
    </w:p>
    <w:p>
      <w:pPr>
        <w:spacing w:line="240" w:lineRule="auto" w:before="8"/>
        <w:rPr>
          <w:rFonts w:ascii="宋体" w:hAnsi="宋体" w:cs="宋体" w:eastAsia="宋体" w:hint="default"/>
          <w:sz w:val="22"/>
          <w:szCs w:val="22"/>
        </w:rPr>
      </w:pPr>
    </w:p>
    <w:p>
      <w:pPr>
        <w:pStyle w:val="BodyText"/>
        <w:spacing w:line="316" w:lineRule="auto" w:before="44"/>
        <w:ind w:right="949"/>
        <w:jc w:val="both"/>
        <w:rPr>
          <w:rFonts w:ascii="宋体" w:hAnsi="宋体" w:cs="宋体" w:eastAsia="宋体" w:hint="default"/>
        </w:rPr>
      </w:pPr>
      <w:r>
        <w:rPr/>
        <w:t>董事、监事、高级管理人员报酬确定依据：董事长、副董事长、董事、监事薪酬按其在公司担任的实际工作岗位领取薪酬， </w:t>
      </w:r>
      <w:r>
        <w:rPr>
          <w:spacing w:val="-5"/>
        </w:rPr>
        <w:t>不领取董事、监事津贴；实际报酬依据公司盈利水平及各董事、监事、高级管理人员的分工及履职情况、绩效考核情况确定。</w:t>
      </w:r>
      <w:r>
        <w:rPr>
          <w:spacing w:val="-89"/>
        </w:rPr>
        <w:t> </w:t>
      </w:r>
      <w:r>
        <w:rPr>
          <w:rFonts w:ascii="宋体" w:hAnsi="宋体" w:cs="宋体" w:eastAsia="宋体" w:hint="default"/>
          <w:spacing w:val="-89"/>
        </w:rPr>
      </w:r>
      <w:r>
        <w:rPr>
          <w:spacing w:val="-1"/>
        </w:rPr>
        <w:t>董事、监事和高级管理人员报酬的实际支付情况</w:t>
      </w:r>
      <w:r>
        <w:rPr>
          <w:spacing w:val="31"/>
        </w:rPr>
        <w:t> </w:t>
      </w:r>
      <w:r>
        <w:rPr>
          <w:rFonts w:ascii="宋体" w:hAnsi="宋体" w:cs="宋体" w:eastAsia="宋体" w:hint="default"/>
          <w:spacing w:val="31"/>
        </w:rPr>
      </w:r>
      <w:r>
        <w:rPr>
          <w:spacing w:val="-5"/>
        </w:rPr>
        <w:t>：</w:t>
      </w:r>
      <w:r>
        <w:rPr>
          <w:rFonts w:ascii="宋体" w:hAnsi="宋体" w:cs="宋体" w:eastAsia="宋体" w:hint="default"/>
          <w:spacing w:val="-5"/>
        </w:rPr>
        <w:t>2018</w:t>
      </w:r>
      <w:r>
        <w:rPr>
          <w:spacing w:val="-5"/>
        </w:rPr>
        <w:t>年度公司实际支付董事、监事、高级管理人员报酬共计</w:t>
      </w:r>
      <w:r>
        <w:rPr>
          <w:rFonts w:ascii="宋体" w:hAnsi="宋体" w:cs="宋体" w:eastAsia="宋体" w:hint="default"/>
          <w:spacing w:val="-5"/>
        </w:rPr>
        <w:t>357.76</w:t>
      </w:r>
      <w:r>
        <w:rPr>
          <w:spacing w:val="-5"/>
        </w:rPr>
        <w:t>万元。</w:t>
      </w:r>
      <w:r>
        <w:rPr>
          <w:rFonts w:ascii="宋体" w:hAnsi="宋体" w:cs="宋体" w:eastAsia="宋体" w:hint="default"/>
          <w:spacing w:val="1"/>
        </w:rPr>
        <w:t> </w:t>
      </w:r>
      <w:r>
        <w:rPr>
          <w:rFonts w:ascii="宋体" w:hAnsi="宋体" w:cs="宋体" w:eastAsia="宋体" w:hint="default"/>
        </w:rPr>
        <w:t> </w:t>
      </w:r>
    </w:p>
    <w:p>
      <w:pPr>
        <w:pStyle w:val="BodyText"/>
        <w:spacing w:line="240" w:lineRule="auto" w:before="59"/>
        <w:ind w:right="0"/>
        <w:jc w:val="both"/>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994"/>
        <w:gridCol w:w="2693"/>
        <w:gridCol w:w="991"/>
        <w:gridCol w:w="994"/>
        <w:gridCol w:w="1133"/>
        <w:gridCol w:w="1369"/>
        <w:gridCol w:w="1366"/>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9" w:right="137"/>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9" w:right="134"/>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53.99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许文杰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副董事长兼总经理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36.69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沈湘平</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董事兼副总经理兼董事会秘书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34.19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梁姬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31.93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胡永乐</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37.26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方培豪</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36.93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万海斌</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马英华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李胜兰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杨兆云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38.35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唐敏</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27.65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陶秋鸿</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 w:right="0"/>
              <w:jc w:val="center"/>
              <w:rPr>
                <w:rFonts w:ascii="Times New Roman" w:hAnsi="Times New Roman" w:cs="Times New Roman" w:eastAsia="Times New Roman" w:hint="default"/>
                <w:sz w:val="18"/>
                <w:szCs w:val="18"/>
              </w:rPr>
            </w:pPr>
            <w:r>
              <w:rPr>
                <w:rFonts w:ascii="Times New Roman"/>
                <w:sz w:val="18"/>
              </w:rPr>
              <w:t>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35.56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欧宇菲</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7.21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357.76</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614"/>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977"/>
        <w:jc w:val="left"/>
      </w:pPr>
      <w:r>
        <w:rPr/>
        <w:t>公司董事、高级管理人员报告期内被授予的股权激励情况</w:t>
      </w:r>
    </w:p>
    <w:p>
      <w:pPr>
        <w:pStyle w:val="BodyText"/>
        <w:spacing w:line="240" w:lineRule="auto" w:before="115"/>
        <w:ind w:right="977"/>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977"/>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77"/>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9,191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69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9,260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9,260</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9"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106</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1020" w:right="0"/>
        </w:sectPr>
      </w:pPr>
    </w:p>
    <w:p>
      <w:pPr>
        <w:spacing w:line="240" w:lineRule="auto" w:before="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8719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380</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9,260</w:t>
            </w:r>
          </w:p>
        </w:tc>
      </w:tr>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大学专科以下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4,095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大学专科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3,527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1,615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研究生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23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9,260</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jc w:val="both"/>
        <w:rPr>
          <w:rFonts w:ascii="宋体" w:hAnsi="宋体" w:cs="宋体" w:eastAsia="宋体" w:hint="default"/>
        </w:rPr>
      </w:pPr>
      <w:r>
        <w:rPr>
          <w:spacing w:val="-2"/>
        </w:rPr>
        <w:t>公司具有完善的薪酬体系，公司结合市场薪资提升情况，参照同行业内薪资水平，以及内部员工晋升发展需要，每年度都会</w:t>
      </w:r>
      <w:r>
        <w:rPr>
          <w:spacing w:val="-64"/>
        </w:rPr>
        <w:t> </w:t>
      </w:r>
      <w:r>
        <w:rPr>
          <w:spacing w:val="-64"/>
        </w:rPr>
      </w:r>
      <w:r>
        <w:rPr>
          <w:spacing w:val="-2"/>
        </w:rPr>
        <w:t>进行不等幅度的调薪，采取不同的激励措施，提升员工的满意度，更能极大地提升员工的工作积极性，提高工作效率，为企</w:t>
      </w:r>
      <w:r>
        <w:rPr>
          <w:spacing w:val="-67"/>
        </w:rPr>
        <w:t> </w:t>
      </w:r>
      <w:r>
        <w:rPr>
          <w:spacing w:val="-67"/>
        </w:rPr>
      </w:r>
      <w:r>
        <w:rPr/>
        <w:t>业创造更多的利润。</w:t>
      </w:r>
      <w:r>
        <w:rPr>
          <w:rFonts w:ascii="宋体" w:hAnsi="宋体" w:cs="宋体" w:eastAsia="宋体" w:hint="default"/>
        </w:rPr>
        <w:t> </w:t>
      </w:r>
    </w:p>
    <w:p>
      <w:pPr>
        <w:pStyle w:val="BodyText"/>
        <w:spacing w:line="328" w:lineRule="auto" w:before="59"/>
        <w:ind w:right="977"/>
        <w:jc w:val="left"/>
        <w:rPr>
          <w:rFonts w:ascii="宋体" w:hAnsi="宋体" w:cs="宋体" w:eastAsia="宋体" w:hint="default"/>
        </w:rPr>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 </w:t>
      </w:r>
      <w:r>
        <w:rPr>
          <w:spacing w:val="-2"/>
        </w:rPr>
        <w:t>本报告期，职工薪酬总额计入成本金额</w:t>
      </w:r>
      <w:r>
        <w:rPr>
          <w:rFonts w:ascii="宋体" w:hAnsi="宋体" w:cs="宋体" w:eastAsia="宋体" w:hint="default"/>
          <w:spacing w:val="-2"/>
        </w:rPr>
        <w:t>52,217.72</w:t>
      </w:r>
      <w:r>
        <w:rPr>
          <w:spacing w:val="-2"/>
        </w:rPr>
        <w:t>万元，占公司成本总额比</w:t>
      </w:r>
      <w:r>
        <w:rPr>
          <w:rFonts w:ascii="宋体" w:hAnsi="宋体" w:cs="宋体" w:eastAsia="宋体" w:hint="default"/>
          <w:spacing w:val="-2"/>
        </w:rPr>
        <w:t>20.20%</w:t>
      </w:r>
      <w:r>
        <w:rPr>
          <w:spacing w:val="-2"/>
        </w:rPr>
        <w:t>；核心技术人员</w:t>
      </w:r>
      <w:r>
        <w:rPr>
          <w:rFonts w:ascii="宋体" w:hAnsi="宋体" w:cs="宋体" w:eastAsia="宋体" w:hint="default"/>
          <w:spacing w:val="-2"/>
        </w:rPr>
        <w:t>4</w:t>
      </w:r>
      <w:r>
        <w:rPr>
          <w:spacing w:val="-2"/>
        </w:rPr>
        <w:t>人，占期末员工比</w:t>
      </w:r>
      <w:r>
        <w:rPr>
          <w:rFonts w:ascii="宋体" w:hAnsi="宋体" w:cs="宋体" w:eastAsia="宋体" w:hint="default"/>
          <w:spacing w:val="-2"/>
        </w:rPr>
        <w:t>0.04%</w:t>
      </w:r>
      <w:r>
        <w:rPr>
          <w:spacing w:val="-2"/>
        </w:rPr>
        <w:t>；</w:t>
      </w:r>
      <w:r>
        <w:rPr>
          <w:spacing w:val="-49"/>
        </w:rPr>
        <w:t> </w:t>
      </w:r>
      <w:r>
        <w:rPr/>
        <w:t>技术人员职工薪酬支出</w:t>
      </w:r>
      <w:r>
        <w:rPr>
          <w:rFonts w:ascii="宋体" w:hAnsi="宋体" w:cs="宋体" w:eastAsia="宋体" w:hint="default"/>
        </w:rPr>
        <w:t>146.84</w:t>
      </w:r>
      <w:r>
        <w:rPr/>
        <w:t>万元，占本报告期职工薪酬总额比</w:t>
      </w:r>
      <w:r>
        <w:rPr>
          <w:rFonts w:ascii="宋体" w:hAnsi="宋体" w:cs="宋体" w:eastAsia="宋体" w:hint="default"/>
        </w:rPr>
        <w:t>0.20%</w:t>
      </w:r>
      <w:r>
        <w:rPr/>
        <w:t>。</w:t>
      </w:r>
      <w:r>
        <w:rPr>
          <w:rFonts w:ascii="宋体" w:hAnsi="宋体" w:cs="宋体" w:eastAsia="宋体" w:hint="default"/>
          <w:spacing w:val="-2"/>
        </w:rPr>
        <w:t> </w:t>
      </w:r>
      <w:r>
        <w:rPr>
          <w:rFonts w:ascii="宋体" w:hAnsi="宋体" w:cs="宋体" w:eastAsia="宋体" w:hint="default"/>
        </w:rPr>
        <w:t> </w:t>
      </w:r>
    </w:p>
    <w:p>
      <w:pPr>
        <w:spacing w:line="240" w:lineRule="auto" w:before="12"/>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jc w:val="both"/>
        <w:rPr>
          <w:rFonts w:ascii="宋体" w:hAnsi="宋体" w:cs="宋体" w:eastAsia="宋体" w:hint="default"/>
        </w:rPr>
      </w:pPr>
      <w:r>
        <w:rPr/>
        <w:t>公司具有完善的培训体系，采用内训</w:t>
      </w:r>
      <w:r>
        <w:rPr>
          <w:rFonts w:ascii="宋体" w:hAnsi="宋体" w:cs="宋体" w:eastAsia="宋体" w:hint="default"/>
        </w:rPr>
        <w:t>+</w:t>
      </w:r>
      <w:r>
        <w:rPr/>
        <w:t>外训结合的模式，提升员工的综合素质和工作技能，以及管理者的管理能力。针对不 </w:t>
      </w:r>
      <w:r>
        <w:rPr>
          <w:spacing w:val="-2"/>
        </w:rPr>
        <w:t>同阶段的员工，公司开展不同的培训，有新员工入职培训，在职人员技能提升培训等。针对工程师，公司有完善的考试晋升</w:t>
      </w:r>
      <w:r>
        <w:rPr>
          <w:spacing w:val="-66"/>
        </w:rPr>
        <w:t> </w:t>
      </w:r>
      <w:r>
        <w:rPr>
          <w:spacing w:val="-66"/>
        </w:rPr>
      </w:r>
      <w:r>
        <w:rPr/>
        <w:t>制度，畅通的提升通道。</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bookmarkStart w:name="_bookmark7" w:id="8"/>
      <w:bookmarkEnd w:id="8"/>
      <w:r>
        <w:rPr/>
      </w:r>
      <w:r>
        <w:rPr/>
        <w:t>□ 适用 √</w:t>
      </w:r>
      <w:r>
        <w:rPr>
          <w:spacing w:val="3"/>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Heading1"/>
        <w:spacing w:line="240" w:lineRule="auto"/>
        <w:ind w:right="4083"/>
        <w:jc w:val="center"/>
        <w:rPr>
          <w:b w:val="0"/>
          <w:bCs w:val="0"/>
        </w:rPr>
      </w:pPr>
      <w:r>
        <w:rPr/>
        <w:t>第九节</w:t>
      </w:r>
      <w:r>
        <w:rPr>
          <w:spacing w:val="-2"/>
        </w:rPr>
        <w:t> </w:t>
      </w:r>
      <w:r>
        <w:rPr/>
        <w:t>公司治理</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034" w:firstLine="360"/>
        <w:jc w:val="left"/>
        <w:rPr>
          <w:rFonts w:ascii="宋体" w:hAnsi="宋体" w:cs="宋体" w:eastAsia="宋体" w:hint="default"/>
        </w:rPr>
      </w:pPr>
      <w:r>
        <w:rPr>
          <w:spacing w:val="-15"/>
        </w:rPr>
        <w:t>报告期内，公司严格按照《公司法》、《证劵法》、《上市公司治理准则》、《深圳证券交易所创业板股票上市规则》、《深圳</w:t>
      </w:r>
      <w:r>
        <w:rPr/>
        <w:t> </w:t>
      </w:r>
      <w:r>
        <w:rPr>
          <w:spacing w:val="-2"/>
        </w:rPr>
        <w:t>证券交易所创业板上市公司规范运作指引》等法律法规的要求，不断完善公司的法人治理结构，建立健全公司内部管理和控</w:t>
      </w:r>
      <w:r>
        <w:rPr>
          <w:spacing w:val="-63"/>
        </w:rPr>
        <w:t> </w:t>
      </w:r>
      <w:r>
        <w:rPr>
          <w:spacing w:val="-63"/>
        </w:rPr>
      </w:r>
      <w:r>
        <w:rPr/>
        <w:t>制制度，持续深入开展公司治理活动，促进了公司规范运作，提高了公司治理水平。 </w:t>
      </w:r>
      <w:r>
        <w:rPr>
          <w:rFonts w:ascii="宋体" w:hAnsi="宋体" w:cs="宋体" w:eastAsia="宋体" w:hint="default"/>
        </w:rPr>
      </w:r>
      <w:r>
        <w:rPr/>
        <w:t>报告期内，公司整体运作规范、独立</w:t>
      </w:r>
      <w:r>
        <w:rPr>
          <w:spacing w:val="-85"/>
        </w:rPr>
        <w:t> </w:t>
      </w:r>
      <w:r>
        <w:rPr>
          <w:spacing w:val="-85"/>
        </w:rPr>
      </w:r>
      <w:r>
        <w:rPr/>
        <w:t>性强、信息披露规范，公司治理的实际状况符合《上市公司治理准则》和《深圳证券交易所创业板上市公司规范运作指引》 的要求。</w:t>
      </w:r>
      <w:r>
        <w:rPr>
          <w:rFonts w:ascii="宋体" w:hAnsi="宋体" w:cs="宋体" w:eastAsia="宋体" w:hint="default"/>
        </w:rPr>
        <w:t> </w:t>
      </w:r>
    </w:p>
    <w:p>
      <w:pPr>
        <w:spacing w:after="0" w:line="319" w:lineRule="auto"/>
        <w:jc w:val="left"/>
        <w:rPr>
          <w:rFonts w:ascii="宋体" w:hAnsi="宋体" w:cs="宋体" w:eastAsia="宋体" w:hint="default"/>
        </w:rPr>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240" w:lineRule="auto" w:before="44"/>
        <w:ind w:right="977"/>
        <w:jc w:val="left"/>
        <w:rPr>
          <w:rFonts w:ascii="宋体" w:hAnsi="宋体" w:cs="宋体" w:eastAsia="宋体" w:hint="default"/>
        </w:rPr>
      </w:pPr>
      <w:r>
        <w:rPr/>
        <w:t>（一）关于股东与股东大会</w:t>
      </w:r>
      <w:r>
        <w:rPr>
          <w:rFonts w:ascii="宋体" w:hAnsi="宋体" w:cs="宋体" w:eastAsia="宋体" w:hint="default"/>
        </w:rPr>
        <w:t> </w:t>
      </w:r>
    </w:p>
    <w:p>
      <w:pPr>
        <w:pStyle w:val="BodyText"/>
        <w:spacing w:line="316" w:lineRule="auto" w:before="76"/>
        <w:ind w:right="1128" w:firstLine="360"/>
        <w:jc w:val="both"/>
        <w:rPr>
          <w:rFonts w:ascii="宋体" w:hAnsi="宋体" w:cs="宋体" w:eastAsia="宋体" w:hint="default"/>
        </w:rPr>
      </w:pPr>
      <w:r>
        <w:rPr>
          <w:spacing w:val="-6"/>
        </w:rPr>
        <w:t>公司严格按照《公司章程》、《股东大会议事规则》等规定和要求，规范股东大会召集、召开、表决程序，切实保证中小</w:t>
      </w:r>
      <w:r>
        <w:rPr/>
        <w:t> </w:t>
      </w:r>
      <w:r>
        <w:rPr>
          <w:spacing w:val="-2"/>
        </w:rPr>
        <w:t>股东的权益，平等对待所有投资者，使他们能够充分行使自己的权利。聘请律师列席股东大会并对股东大会的召开和表决程</w:t>
      </w:r>
      <w:r>
        <w:rPr>
          <w:spacing w:val="-64"/>
        </w:rPr>
        <w:t> </w:t>
      </w:r>
      <w:r>
        <w:rPr>
          <w:spacing w:val="-64"/>
        </w:rPr>
      </w:r>
      <w:r>
        <w:rPr/>
        <w:t>序出具法律意见书，充分尊重和维护全体股东的合法权益。</w:t>
      </w:r>
      <w:r>
        <w:rPr>
          <w:rFonts w:ascii="宋体" w:hAnsi="宋体" w:cs="宋体" w:eastAsia="宋体" w:hint="default"/>
        </w:rPr>
        <w:t> </w:t>
      </w:r>
    </w:p>
    <w:p>
      <w:pPr>
        <w:pStyle w:val="BodyText"/>
        <w:spacing w:line="316" w:lineRule="auto" w:before="19"/>
        <w:ind w:left="473" w:right="977" w:hanging="361"/>
        <w:jc w:val="left"/>
      </w:pPr>
      <w:r>
        <w:rPr/>
        <w:t>（二）关于公司与控股股东</w:t>
      </w:r>
      <w:r>
        <w:rPr>
          <w:rFonts w:ascii="宋体" w:hAnsi="宋体" w:cs="宋体" w:eastAsia="宋体" w:hint="default"/>
        </w:rPr>
        <w:t> </w:t>
      </w:r>
      <w:r>
        <w:rPr>
          <w:spacing w:val="-2"/>
        </w:rPr>
        <w:t>公司控股股东积极参加监管部门的培训，加强对有关控股股东行为规范的法律、法规的学习，严格规范自己的行为，未</w:t>
      </w:r>
    </w:p>
    <w:p>
      <w:pPr>
        <w:pStyle w:val="BodyText"/>
        <w:spacing w:line="316" w:lineRule="auto" w:before="19"/>
        <w:ind w:right="977"/>
        <w:jc w:val="left"/>
        <w:rPr>
          <w:rFonts w:ascii="宋体" w:hAnsi="宋体" w:cs="宋体" w:eastAsia="宋体" w:hint="default"/>
        </w:rPr>
      </w:pPr>
      <w:r>
        <w:rPr>
          <w:spacing w:val="-4"/>
        </w:rPr>
        <w:t>出现超越股东大会直接或间接干预公司的决策和经营活动。公司拥有独立完整的业务和自主经营能力，在业务、资产、人员、</w:t>
      </w:r>
      <w:r>
        <w:rPr>
          <w:spacing w:val="-44"/>
        </w:rPr>
        <w:t> </w:t>
      </w:r>
      <w:r>
        <w:rPr>
          <w:spacing w:val="-44"/>
        </w:rPr>
      </w:r>
      <w:r>
        <w:rPr/>
        <w:t>机构、财务上独立于控股股东，公司董事会、监事会和内部机构能够独立运作。</w:t>
      </w:r>
      <w:r>
        <w:rPr>
          <w:rFonts w:ascii="宋体" w:hAnsi="宋体" w:cs="宋体" w:eastAsia="宋体" w:hint="default"/>
        </w:rPr>
        <w:t> </w:t>
      </w:r>
    </w:p>
    <w:p>
      <w:pPr>
        <w:pStyle w:val="BodyText"/>
        <w:spacing w:line="316" w:lineRule="auto" w:before="19"/>
        <w:ind w:left="473" w:right="977" w:hanging="361"/>
        <w:jc w:val="left"/>
      </w:pPr>
      <w:r>
        <w:rPr/>
        <w:t>（三）关于董事和董事会</w:t>
      </w:r>
      <w:r>
        <w:rPr>
          <w:rFonts w:ascii="宋体" w:hAnsi="宋体" w:cs="宋体" w:eastAsia="宋体" w:hint="default"/>
        </w:rPr>
        <w:t> </w:t>
      </w:r>
      <w:r>
        <w:rPr>
          <w:spacing w:val="-6"/>
        </w:rPr>
        <w:t>公司严格按照《公司法》、《公司章程》的规定，严格董事的选聘程序，确保公司董事选聘公开、公平、公正、独立。各</w:t>
      </w:r>
    </w:p>
    <w:p>
      <w:pPr>
        <w:pStyle w:val="BodyText"/>
        <w:spacing w:line="319" w:lineRule="auto" w:before="19"/>
        <w:ind w:right="977"/>
        <w:jc w:val="left"/>
        <w:rPr>
          <w:rFonts w:ascii="宋体" w:hAnsi="宋体" w:cs="宋体" w:eastAsia="宋体" w:hint="default"/>
        </w:rPr>
      </w:pPr>
      <w:r>
        <w:rPr>
          <w:spacing w:val="-7"/>
        </w:rPr>
        <w:t>位董事能够依据《董事会议事规则》、《独立董事工作制度》、《深圳证券交易所创业板上市公司规范运作指引》等开展工作，</w:t>
      </w:r>
      <w:r>
        <w:rPr>
          <w:spacing w:val="-61"/>
        </w:rPr>
        <w:t> </w:t>
      </w:r>
      <w:r>
        <w:rPr>
          <w:spacing w:val="-61"/>
        </w:rPr>
      </w:r>
      <w:r>
        <w:rPr>
          <w:spacing w:val="-2"/>
        </w:rPr>
        <w:t>出席董事会和股东大会，勤勉尽责地履行职责和义务，同时积极参加相关培训，熟悉相关法律法规。董事会下设的专门委员</w:t>
      </w:r>
      <w:r>
        <w:rPr>
          <w:spacing w:val="-64"/>
        </w:rPr>
        <w:t> </w:t>
      </w:r>
      <w:r>
        <w:rPr>
          <w:spacing w:val="-64"/>
        </w:rPr>
      </w:r>
      <w:r>
        <w:rPr/>
        <w:t>会，各尽其责，提高了董事会的办事效率。 </w:t>
      </w:r>
      <w:r>
        <w:rPr>
          <w:rFonts w:ascii="宋体" w:hAnsi="宋体" w:cs="宋体" w:eastAsia="宋体" w:hint="default"/>
        </w:rPr>
      </w:r>
      <w:r>
        <w:rPr/>
        <w:t>公司董事会由</w:t>
      </w:r>
      <w:r>
        <w:rPr>
          <w:rFonts w:ascii="宋体" w:hAnsi="宋体" w:cs="宋体" w:eastAsia="宋体" w:hint="default"/>
        </w:rPr>
        <w:t>9</w:t>
      </w:r>
      <w:r>
        <w:rPr/>
        <w:t>名董事组成，其中独立董事</w:t>
      </w:r>
      <w:r>
        <w:rPr>
          <w:rFonts w:ascii="宋体" w:hAnsi="宋体" w:cs="宋体" w:eastAsia="宋体" w:hint="default"/>
        </w:rPr>
        <w:t>3</w:t>
      </w:r>
      <w:r>
        <w:rPr/>
        <w:t>名，董事会的人数及构成符合相关</w:t>
      </w:r>
      <w:r>
        <w:rPr>
          <w:spacing w:val="-84"/>
        </w:rPr>
        <w:t> </w:t>
      </w:r>
      <w:r>
        <w:rPr>
          <w:spacing w:val="-84"/>
        </w:rPr>
      </w:r>
      <w:r>
        <w:rPr/>
        <w:t>法律、法规和《公司章程》的要求。独立董事中</w:t>
      </w:r>
      <w:r>
        <w:rPr>
          <w:rFonts w:ascii="宋体" w:hAnsi="宋体" w:cs="宋体" w:eastAsia="宋体" w:hint="default"/>
        </w:rPr>
        <w:t>1</w:t>
      </w:r>
      <w:r>
        <w:rPr/>
        <w:t>名为会计专业人士，符合中国证监会《关于在上市公司建立独立董事制度</w:t>
      </w:r>
      <w:r>
        <w:rPr>
          <w:spacing w:val="-83"/>
        </w:rPr>
        <w:t> </w:t>
      </w:r>
      <w:r>
        <w:rPr>
          <w:spacing w:val="-83"/>
        </w:rPr>
      </w:r>
      <w:r>
        <w:rPr/>
        <w:t>的指导意见》的要求。</w:t>
      </w:r>
      <w:r>
        <w:rPr>
          <w:rFonts w:ascii="宋体" w:hAnsi="宋体" w:cs="宋体" w:eastAsia="宋体" w:hint="default"/>
        </w:rPr>
        <w:t> </w:t>
      </w:r>
    </w:p>
    <w:p>
      <w:pPr>
        <w:pStyle w:val="BodyText"/>
        <w:spacing w:line="240" w:lineRule="auto" w:before="17"/>
        <w:ind w:right="977"/>
        <w:jc w:val="left"/>
        <w:rPr>
          <w:rFonts w:ascii="宋体" w:hAnsi="宋体" w:cs="宋体" w:eastAsia="宋体" w:hint="default"/>
        </w:rPr>
      </w:pPr>
      <w:r>
        <w:rPr/>
        <w:t>（四）关于监事和监事会</w:t>
      </w:r>
      <w:r>
        <w:rPr>
          <w:rFonts w:ascii="宋体" w:hAnsi="宋体" w:cs="宋体" w:eastAsia="宋体" w:hint="default"/>
        </w:rPr>
        <w:t> </w:t>
      </w:r>
    </w:p>
    <w:p>
      <w:pPr>
        <w:pStyle w:val="BodyText"/>
        <w:spacing w:line="316" w:lineRule="auto" w:before="76"/>
        <w:ind w:right="1131" w:firstLine="360"/>
        <w:jc w:val="both"/>
        <w:rPr>
          <w:rFonts w:ascii="宋体" w:hAnsi="宋体" w:cs="宋体" w:eastAsia="宋体" w:hint="default"/>
        </w:rPr>
      </w:pPr>
      <w:r>
        <w:rPr/>
        <w:t>公司监事会设监事</w:t>
      </w:r>
      <w:r>
        <w:rPr>
          <w:rFonts w:ascii="宋体" w:hAnsi="宋体" w:cs="宋体" w:eastAsia="宋体" w:hint="default"/>
        </w:rPr>
        <w:t>3</w:t>
      </w:r>
      <w:r>
        <w:rPr/>
        <w:t>名，其中职工监事</w:t>
      </w:r>
      <w:r>
        <w:rPr>
          <w:rFonts w:ascii="宋体" w:hAnsi="宋体" w:cs="宋体" w:eastAsia="宋体" w:hint="default"/>
        </w:rPr>
        <w:t>1</w:t>
      </w:r>
      <w:r>
        <w:rPr>
          <w:rFonts w:ascii="宋体" w:hAnsi="宋体" w:cs="宋体" w:eastAsia="宋体" w:hint="default"/>
          <w:spacing w:val="5"/>
        </w:rPr>
        <w:t> </w:t>
      </w:r>
      <w:r>
        <w:rPr/>
        <w:t>名，监事会的人数和构成符合法律、法规和《公司章程》的要求。各位监事能 </w:t>
      </w:r>
      <w:r>
        <w:rPr>
          <w:spacing w:val="-2"/>
        </w:rPr>
        <w:t>够按照《监事会议事规则》的要求，认真履行自己的职责，对公司重要事项、财务状况以及董事、高管人员、财务负责人履</w:t>
      </w:r>
      <w:r>
        <w:rPr>
          <w:spacing w:val="-71"/>
        </w:rPr>
        <w:t> </w:t>
      </w:r>
      <w:r>
        <w:rPr>
          <w:spacing w:val="-71"/>
        </w:rPr>
      </w:r>
      <w:r>
        <w:rPr/>
        <w:t>行职责的合法合规性进行监督。</w:t>
      </w:r>
      <w:r>
        <w:rPr>
          <w:rFonts w:ascii="宋体" w:hAnsi="宋体" w:cs="宋体" w:eastAsia="宋体" w:hint="default"/>
        </w:rPr>
        <w:t> </w:t>
      </w:r>
    </w:p>
    <w:p>
      <w:pPr>
        <w:pStyle w:val="BodyText"/>
        <w:spacing w:line="240" w:lineRule="auto" w:before="19"/>
        <w:ind w:right="977"/>
        <w:jc w:val="left"/>
        <w:rPr>
          <w:rFonts w:ascii="宋体" w:hAnsi="宋体" w:cs="宋体" w:eastAsia="宋体" w:hint="default"/>
        </w:rPr>
      </w:pPr>
      <w:r>
        <w:rPr>
          <w:rFonts w:ascii="宋体" w:hAnsi="宋体" w:cs="宋体" w:eastAsia="宋体" w:hint="default"/>
        </w:rPr>
        <w:t>(</w:t>
      </w:r>
      <w:r>
        <w:rPr/>
        <w:t>五</w:t>
      </w:r>
      <w:r>
        <w:rPr>
          <w:rFonts w:ascii="宋体" w:hAnsi="宋体" w:cs="宋体" w:eastAsia="宋体" w:hint="default"/>
        </w:rPr>
        <w:t>)</w:t>
      </w:r>
      <w:r>
        <w:rPr/>
        <w:t>关于绩效评价与激励约束</w:t>
      </w:r>
      <w:r>
        <w:rPr>
          <w:rFonts w:ascii="宋体" w:hAnsi="宋体" w:cs="宋体" w:eastAsia="宋体" w:hint="default"/>
        </w:rPr>
        <w:t> </w:t>
      </w:r>
    </w:p>
    <w:p>
      <w:pPr>
        <w:pStyle w:val="BodyText"/>
        <w:spacing w:line="319" w:lineRule="auto" w:before="76"/>
        <w:ind w:right="977" w:firstLine="360"/>
        <w:jc w:val="left"/>
        <w:rPr>
          <w:rFonts w:ascii="宋体" w:hAnsi="宋体" w:cs="宋体" w:eastAsia="宋体" w:hint="default"/>
        </w:rPr>
      </w:pPr>
      <w:r>
        <w:rPr>
          <w:spacing w:val="-4"/>
        </w:rPr>
        <w:t>公司正逐步完善和建立公正、透明的董事、监事和经理人员的绩效评价标准和激励约束机制，公司经理人员的聘任公开、</w:t>
      </w:r>
      <w:r>
        <w:rPr/>
        <w:t> </w:t>
      </w:r>
      <w:r>
        <w:rPr>
          <w:spacing w:val="-2"/>
        </w:rPr>
        <w:t>透明，符合法律法规的规定。经营者的收入与企业经营业绩挂钩，报告期内，高级管理人员均认真履行了工作职责，较好地</w:t>
      </w:r>
      <w:r>
        <w:rPr>
          <w:spacing w:val="-68"/>
        </w:rPr>
        <w:t> </w:t>
      </w:r>
      <w:r>
        <w:rPr>
          <w:spacing w:val="-68"/>
        </w:rPr>
      </w:r>
      <w:r>
        <w:rPr/>
        <w:t>完成了经营管理任务。</w:t>
      </w:r>
      <w:r>
        <w:rPr>
          <w:rFonts w:ascii="宋体" w:hAnsi="宋体" w:cs="宋体" w:eastAsia="宋体" w:hint="default"/>
        </w:rPr>
        <w:t> </w:t>
      </w:r>
    </w:p>
    <w:p>
      <w:pPr>
        <w:pStyle w:val="BodyText"/>
        <w:spacing w:line="316" w:lineRule="auto" w:before="17"/>
        <w:ind w:left="473" w:right="977" w:hanging="361"/>
        <w:jc w:val="left"/>
      </w:pPr>
      <w:r>
        <w:rPr/>
        <w:t>（六）关于相关利益者</w:t>
      </w:r>
      <w:r>
        <w:rPr>
          <w:rFonts w:ascii="宋体" w:hAnsi="宋体" w:cs="宋体" w:eastAsia="宋体" w:hint="default"/>
        </w:rPr>
        <w:t> </w:t>
      </w:r>
      <w:r>
        <w:rPr>
          <w:spacing w:val="-2"/>
        </w:rPr>
        <w:t>公司充分尊重和维护相关利益者的合法权益，积极与相关利益者合作，加强与各方的沟通和交流，实现股东、员工、社</w:t>
      </w:r>
    </w:p>
    <w:p>
      <w:pPr>
        <w:pStyle w:val="BodyText"/>
        <w:spacing w:line="240" w:lineRule="auto" w:before="19"/>
        <w:ind w:right="977"/>
        <w:jc w:val="left"/>
        <w:rPr>
          <w:rFonts w:ascii="宋体" w:hAnsi="宋体" w:cs="宋体" w:eastAsia="宋体" w:hint="default"/>
        </w:rPr>
      </w:pPr>
      <w:r>
        <w:rPr/>
        <w:t>会等各方利益的协调平衡，共同推动公司持续、健康的发展。</w:t>
      </w:r>
      <w:r>
        <w:rPr>
          <w:rFonts w:ascii="宋体" w:hAnsi="宋体" w:cs="宋体" w:eastAsia="宋体" w:hint="default"/>
        </w:rPr>
        <w:t> </w:t>
      </w:r>
    </w:p>
    <w:p>
      <w:pPr>
        <w:pStyle w:val="BodyText"/>
        <w:spacing w:line="316" w:lineRule="auto" w:before="76"/>
        <w:ind w:left="473" w:right="1118" w:hanging="361"/>
        <w:jc w:val="left"/>
      </w:pPr>
      <w:r>
        <w:rPr/>
        <w:t>（七）关于信息披露与透明度</w:t>
      </w:r>
      <w:r>
        <w:rPr>
          <w:rFonts w:ascii="宋体" w:hAnsi="宋体" w:cs="宋体" w:eastAsia="宋体" w:hint="default"/>
        </w:rPr>
        <w:t> </w:t>
      </w:r>
      <w:r>
        <w:rPr>
          <w:spacing w:val="-5"/>
        </w:rPr>
        <w:t>公司严格按照有关法律法规以及《公司章程》、《信息披露制度》等的要求，真实、准确、及时、公平、完整地披露有关</w:t>
      </w:r>
    </w:p>
    <w:p>
      <w:pPr>
        <w:pStyle w:val="BodyText"/>
        <w:spacing w:line="338" w:lineRule="auto" w:before="19"/>
        <w:ind w:right="977"/>
        <w:jc w:val="left"/>
      </w:pPr>
      <w:r>
        <w:rPr>
          <w:spacing w:val="-2"/>
        </w:rPr>
        <w:t>信息；公司董事会秘书负责信息披露工作，并指定《证券时报》和中国证监会指定创业板信息披露网站为公司信息披露的指</w:t>
      </w:r>
      <w:r>
        <w:rPr>
          <w:spacing w:val="-63"/>
        </w:rPr>
        <w:t> </w:t>
      </w:r>
      <w:r>
        <w:rPr>
          <w:spacing w:val="-63"/>
        </w:rPr>
      </w:r>
      <w:r>
        <w:rPr/>
        <w:t>定报纸和网站，确保公司所有股东能够以平等的机会获得信息。</w:t>
      </w:r>
      <w:r>
        <w:rPr>
          <w:rFonts w:ascii="宋体" w:hAnsi="宋体" w:cs="宋体" w:eastAsia="宋体" w:hint="default"/>
        </w:rPr>
        <w:t> </w:t>
      </w:r>
      <w:r>
        <w:rPr/>
        <w:t>公司治理的实际状况与中国证监会发布的有关上市公司治理的规范性文件是否存在重大差异</w:t>
      </w:r>
    </w:p>
    <w:p>
      <w:pPr>
        <w:pStyle w:val="BodyText"/>
        <w:spacing w:line="360" w:lineRule="auto" w:before="41"/>
        <w:ind w:right="3554"/>
        <w:jc w:val="left"/>
      </w:pPr>
      <w:r>
        <w:rPr/>
        <w:t>□ 是 √</w:t>
      </w:r>
      <w:r>
        <w:rPr>
          <w:spacing w:val="3"/>
        </w:rPr>
        <w:t> </w:t>
      </w:r>
      <w:r>
        <w:rPr/>
        <w:t>否</w:t>
      </w:r>
      <w:r>
        <w:rPr/>
        <w:t> 公司治理的实际状况与中国证监会发布的有关上市公司治理的规范性文件不存在重大差异。</w:t>
      </w:r>
    </w:p>
    <w:p>
      <w:pPr>
        <w:spacing w:line="240" w:lineRule="auto" w:before="5"/>
        <w:rPr>
          <w:rFonts w:ascii="宋体" w:hAnsi="宋体" w:cs="宋体" w:eastAsia="宋体" w:hint="default"/>
          <w:sz w:val="18"/>
          <w:szCs w:val="18"/>
        </w:rPr>
      </w:pPr>
    </w:p>
    <w:p>
      <w:pPr>
        <w:pStyle w:val="Heading2"/>
        <w:spacing w:line="240" w:lineRule="auto"/>
        <w:ind w:right="977"/>
        <w:jc w:val="left"/>
        <w:rPr>
          <w:b w:val="0"/>
          <w:bCs w:val="0"/>
        </w:rPr>
      </w:pPr>
      <w:r>
        <w:rPr/>
        <w:t>二、公司相对于控股股东在业务、人员、资产、机构、财务等方面的独立情况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413" w:right="977" w:hanging="301"/>
        <w:jc w:val="left"/>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公司在业务、人员、资产、机构、财务等方面与控股股东相互独立，公司具有独立完整的业务及自主经营能力。</w:t>
      </w:r>
      <w:r>
        <w:rPr>
          <w:rFonts w:ascii="宋体" w:hAnsi="宋体" w:cs="宋体" w:eastAsia="宋体" w:hint="default"/>
        </w:rPr>
        <w:t> 1</w:t>
      </w:r>
      <w:r>
        <w:rPr/>
        <w:t>、业务</w:t>
      </w:r>
      <w:r>
        <w:rPr>
          <w:rFonts w:ascii="宋体" w:hAnsi="宋体" w:cs="宋体" w:eastAsia="宋体" w:hint="default"/>
        </w:rPr>
        <w:t> </w:t>
      </w:r>
      <w:r>
        <w:rPr>
          <w:spacing w:val="-2"/>
        </w:rPr>
        <w:t>公司拥有独立开展经营活动的资产、人员、资质和能力，具有面向市场独立自主持续经营的能力。不以依法行使股东权</w:t>
      </w:r>
    </w:p>
    <w:p>
      <w:pPr>
        <w:pStyle w:val="BodyText"/>
        <w:spacing w:line="316" w:lineRule="auto" w:before="19"/>
        <w:ind w:right="977"/>
        <w:jc w:val="left"/>
        <w:rPr>
          <w:rFonts w:ascii="宋体" w:hAnsi="宋体" w:cs="宋体" w:eastAsia="宋体" w:hint="default"/>
        </w:rPr>
      </w:pPr>
      <w:r>
        <w:rPr>
          <w:spacing w:val="-2"/>
        </w:rPr>
        <w:t>利以外的任何方式干预上市公司的重大决策事项。公司业务独立于控股股东，拥有独立完整的经营管理部、研发部门、技术</w:t>
      </w:r>
      <w:r>
        <w:rPr>
          <w:spacing w:val="-64"/>
        </w:rPr>
        <w:t> </w:t>
      </w:r>
      <w:r>
        <w:rPr>
          <w:spacing w:val="-64"/>
        </w:rPr>
      </w:r>
      <w:r>
        <w:rPr>
          <w:spacing w:val="-2"/>
        </w:rPr>
        <w:t>部门、财务核算等部门，独立开展业务，与实际控制人控制的其他单位之间无同业竞争，不依赖于股东或其它任何关联方。</w:t>
      </w:r>
      <w:r>
        <w:rPr>
          <w:rFonts w:ascii="宋体" w:hAnsi="宋体" w:cs="宋体" w:eastAsia="宋体" w:hint="default"/>
        </w:rPr>
        <w:t> </w:t>
      </w:r>
    </w:p>
    <w:p>
      <w:pPr>
        <w:pStyle w:val="BodyText"/>
        <w:spacing w:line="240" w:lineRule="auto" w:before="19"/>
        <w:ind w:left="473" w:right="977"/>
        <w:jc w:val="left"/>
        <w:rPr>
          <w:rFonts w:ascii="宋体" w:hAnsi="宋体" w:cs="宋体" w:eastAsia="宋体" w:hint="default"/>
        </w:rPr>
      </w:pPr>
      <w:r>
        <w:rPr>
          <w:rFonts w:ascii="宋体" w:hAnsi="宋体" w:cs="宋体" w:eastAsia="宋体" w:hint="default"/>
        </w:rPr>
        <w:t>2</w:t>
      </w:r>
      <w:r>
        <w:rPr/>
        <w:t>、人员</w:t>
      </w:r>
      <w:r>
        <w:rPr>
          <w:rFonts w:ascii="宋体" w:hAnsi="宋体" w:cs="宋体" w:eastAsia="宋体" w:hint="default"/>
        </w:rPr>
        <w:t> </w:t>
      </w:r>
    </w:p>
    <w:p>
      <w:pPr>
        <w:pStyle w:val="BodyText"/>
        <w:spacing w:line="319" w:lineRule="auto" w:before="76"/>
        <w:ind w:right="1131" w:firstLine="360"/>
        <w:jc w:val="both"/>
      </w:pPr>
      <w:r>
        <w:rPr>
          <w:spacing w:val="-6"/>
        </w:rPr>
        <w:t>公司根据《公司法》、《公司章程》的有关规定选举产生公司董事、监事并聘用高级管理人员，公司在劳动、人事及工资</w:t>
      </w:r>
      <w:r>
        <w:rPr/>
        <w:t> </w:t>
      </w:r>
      <w:r>
        <w:rPr>
          <w:spacing w:val="-2"/>
        </w:rPr>
        <w:t>管理等方面完全独立于控股股东及关联方。公司总经理、副总经理、董事会秘书、财务负责人等高级管理人员没有在控股股</w:t>
      </w:r>
    </w:p>
    <w:p>
      <w:pPr>
        <w:spacing w:after="0" w:line="319" w:lineRule="auto"/>
        <w:jc w:val="both"/>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316" w:lineRule="auto" w:before="44"/>
        <w:ind w:right="977"/>
        <w:jc w:val="left"/>
        <w:rPr>
          <w:rFonts w:ascii="宋体" w:hAnsi="宋体" w:cs="宋体" w:eastAsia="宋体" w:hint="default"/>
        </w:rPr>
      </w:pPr>
      <w:r>
        <w:rPr>
          <w:spacing w:val="-2"/>
        </w:rPr>
        <w:t>东控制的其他企业及其关联方中担任除董事、监事以外的其它职务。不存在控股股东及关联方干预上市公司董事会和股东大</w:t>
      </w:r>
      <w:r>
        <w:rPr>
          <w:spacing w:val="-64"/>
        </w:rPr>
        <w:t> </w:t>
      </w:r>
      <w:r>
        <w:rPr>
          <w:spacing w:val="-64"/>
        </w:rPr>
      </w:r>
      <w:r>
        <w:rPr/>
        <w:t>会已经作出的人事任免决定的情形。</w:t>
      </w:r>
      <w:r>
        <w:rPr>
          <w:rFonts w:ascii="宋体" w:hAnsi="宋体" w:cs="宋体" w:eastAsia="宋体" w:hint="default"/>
        </w:rPr>
        <w:t> </w:t>
      </w:r>
    </w:p>
    <w:p>
      <w:pPr>
        <w:pStyle w:val="BodyText"/>
        <w:spacing w:line="240" w:lineRule="auto" w:before="19"/>
        <w:ind w:left="473" w:right="977"/>
        <w:jc w:val="left"/>
        <w:rPr>
          <w:rFonts w:ascii="宋体" w:hAnsi="宋体" w:cs="宋体" w:eastAsia="宋体" w:hint="default"/>
        </w:rPr>
      </w:pPr>
      <w:r>
        <w:rPr>
          <w:rFonts w:ascii="宋体" w:hAnsi="宋体" w:cs="宋体" w:eastAsia="宋体" w:hint="default"/>
        </w:rPr>
        <w:t>3</w:t>
      </w:r>
      <w:r>
        <w:rPr/>
        <w:t>、资产</w:t>
      </w:r>
      <w:r>
        <w:rPr>
          <w:rFonts w:ascii="宋体" w:hAnsi="宋体" w:cs="宋体" w:eastAsia="宋体" w:hint="default"/>
        </w:rPr>
        <w:t> </w:t>
      </w:r>
    </w:p>
    <w:p>
      <w:pPr>
        <w:pStyle w:val="BodyText"/>
        <w:spacing w:line="316" w:lineRule="auto" w:before="76"/>
        <w:ind w:right="977" w:firstLine="360"/>
        <w:jc w:val="left"/>
        <w:rPr>
          <w:rFonts w:ascii="宋体" w:hAnsi="宋体" w:cs="宋体" w:eastAsia="宋体" w:hint="default"/>
        </w:rPr>
      </w:pPr>
      <w:r>
        <w:rPr>
          <w:spacing w:val="-2"/>
        </w:rPr>
        <w:t>公司现有资产产权明晰，拥有经营所需的技术、专利、商标、设备和房产，拥有独立完整的资产结构。公司对所属资产</w:t>
      </w:r>
      <w:r>
        <w:rPr/>
        <w:t> 拥有完整的所有权，不存在股东或其关联方占用公司资金、资产之情形。</w:t>
      </w:r>
      <w:r>
        <w:rPr>
          <w:rFonts w:ascii="宋体" w:hAnsi="宋体" w:cs="宋体" w:eastAsia="宋体" w:hint="default"/>
        </w:rPr>
        <w:t> </w:t>
      </w:r>
    </w:p>
    <w:p>
      <w:pPr>
        <w:pStyle w:val="BodyText"/>
        <w:spacing w:line="240" w:lineRule="auto" w:before="19"/>
        <w:ind w:left="473" w:right="977"/>
        <w:jc w:val="left"/>
        <w:rPr>
          <w:rFonts w:ascii="宋体" w:hAnsi="宋体" w:cs="宋体" w:eastAsia="宋体" w:hint="default"/>
        </w:rPr>
      </w:pPr>
      <w:r>
        <w:rPr>
          <w:rFonts w:ascii="宋体" w:hAnsi="宋体" w:cs="宋体" w:eastAsia="宋体" w:hint="default"/>
        </w:rPr>
        <w:t>4</w:t>
      </w:r>
      <w:r>
        <w:rPr/>
        <w:t>、机构</w:t>
      </w:r>
      <w:r>
        <w:rPr>
          <w:rFonts w:ascii="宋体" w:hAnsi="宋体" w:cs="宋体" w:eastAsia="宋体" w:hint="default"/>
        </w:rPr>
        <w:t> </w:t>
      </w:r>
    </w:p>
    <w:p>
      <w:pPr>
        <w:pStyle w:val="BodyText"/>
        <w:spacing w:line="316" w:lineRule="auto" w:before="76"/>
        <w:ind w:right="1128" w:firstLine="360"/>
        <w:jc w:val="both"/>
        <w:rPr>
          <w:rFonts w:ascii="宋体" w:hAnsi="宋体" w:cs="宋体" w:eastAsia="宋体" w:hint="default"/>
        </w:rPr>
      </w:pPr>
      <w:r>
        <w:rPr>
          <w:spacing w:val="-6"/>
        </w:rPr>
        <w:t>根据《公司法》、《公司章程》等规定，公司设立了股东大会、董事会、独立董事、监事会等机构，形成了有效的法人治</w:t>
      </w:r>
      <w:r>
        <w:rPr/>
        <w:t> </w:t>
      </w:r>
      <w:r>
        <w:rPr>
          <w:spacing w:val="-2"/>
        </w:rPr>
        <w:t>理结构，并依照法律、法规和公司章程独立行使职权。在内部机构设置上，公司建立了适合自身发展的独立和完整的组织机</w:t>
      </w:r>
      <w:r>
        <w:rPr>
          <w:spacing w:val="-63"/>
        </w:rPr>
        <w:t> </w:t>
      </w:r>
      <w:r>
        <w:rPr>
          <w:spacing w:val="-63"/>
        </w:rPr>
      </w:r>
      <w:r>
        <w:rPr/>
        <w:t>构，明确了各职能部门的职责，各部门独立运作，不存在混合经营、相互干预的情况。</w:t>
      </w:r>
      <w:r>
        <w:rPr>
          <w:rFonts w:ascii="宋体" w:hAnsi="宋体" w:cs="宋体" w:eastAsia="宋体" w:hint="default"/>
        </w:rPr>
        <w:t> </w:t>
      </w:r>
    </w:p>
    <w:p>
      <w:pPr>
        <w:pStyle w:val="BodyText"/>
        <w:spacing w:line="240" w:lineRule="auto" w:before="19"/>
        <w:ind w:left="473" w:right="977"/>
        <w:jc w:val="left"/>
        <w:rPr>
          <w:rFonts w:ascii="宋体" w:hAnsi="宋体" w:cs="宋体" w:eastAsia="宋体" w:hint="default"/>
        </w:rPr>
      </w:pPr>
      <w:r>
        <w:rPr>
          <w:rFonts w:ascii="宋体" w:hAnsi="宋体" w:cs="宋体" w:eastAsia="宋体" w:hint="default"/>
        </w:rPr>
        <w:t>5</w:t>
      </w:r>
      <w:r>
        <w:rPr/>
        <w:t>、财务</w:t>
      </w:r>
      <w:r>
        <w:rPr>
          <w:rFonts w:ascii="宋体" w:hAnsi="宋体" w:cs="宋体" w:eastAsia="宋体" w:hint="default"/>
        </w:rPr>
        <w:t> </w:t>
      </w:r>
    </w:p>
    <w:p>
      <w:pPr>
        <w:pStyle w:val="BodyText"/>
        <w:spacing w:line="319" w:lineRule="auto" w:before="76"/>
        <w:ind w:right="977" w:firstLine="360"/>
        <w:jc w:val="left"/>
        <w:rPr>
          <w:rFonts w:ascii="宋体" w:hAnsi="宋体" w:cs="宋体" w:eastAsia="宋体" w:hint="default"/>
        </w:rPr>
      </w:pPr>
      <w:r>
        <w:rPr>
          <w:spacing w:val="-2"/>
        </w:rPr>
        <w:t>公司设立了独立的财务会计部门，并配备了专职的财务人员，根据《企业会计制度》建立了规范、独立的财务管理制度</w:t>
      </w:r>
      <w:r>
        <w:rPr/>
        <w:t> </w:t>
      </w:r>
      <w:r>
        <w:rPr>
          <w:spacing w:val="-4"/>
        </w:rPr>
        <w:t>和对分、子公司的财务管理制度。独立进行财务决策。公司独立开设银行账户，未与控股股东及其关联方共用一个银行账户。</w:t>
      </w:r>
      <w:r>
        <w:rPr>
          <w:spacing w:val="-47"/>
        </w:rPr>
        <w:t> </w:t>
      </w:r>
      <w:r>
        <w:rPr>
          <w:spacing w:val="-47"/>
        </w:rPr>
      </w:r>
      <w:r>
        <w:rPr/>
        <w:t>公司独立纳税。财务人员不在控股股东控制的其他企业及其关联方处兼职和领取报酬。</w:t>
      </w:r>
      <w:r>
        <w:rPr>
          <w:rFonts w:ascii="宋体" w:hAnsi="宋体" w:cs="宋体" w:eastAsia="宋体" w:hint="default"/>
        </w:rPr>
        <w:t> </w:t>
      </w:r>
    </w:p>
    <w:p>
      <w:pPr>
        <w:spacing w:line="240" w:lineRule="auto" w:before="9"/>
        <w:rPr>
          <w:rFonts w:ascii="宋体" w:hAnsi="宋体" w:cs="宋体" w:eastAsia="宋体" w:hint="default"/>
          <w:sz w:val="20"/>
          <w:szCs w:val="20"/>
        </w:rPr>
      </w:pPr>
    </w:p>
    <w:p>
      <w:pPr>
        <w:pStyle w:val="Heading2"/>
        <w:spacing w:line="240" w:lineRule="auto"/>
        <w:ind w:right="977"/>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977"/>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77"/>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702"/>
        <w:gridCol w:w="1419"/>
        <w:gridCol w:w="1558"/>
        <w:gridCol w:w="1702"/>
        <w:gridCol w:w="1702"/>
        <w:gridCol w:w="1594"/>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3"/>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21"/>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68.02%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2"/>
                <w:sz w:val="18"/>
                <w:szCs w:val="18"/>
              </w:rPr>
              <w:t> </w:t>
            </w:r>
            <w:r>
              <w:rPr>
                <w:rFonts w:ascii="宋体" w:hAnsi="宋体" w:cs="宋体" w:eastAsia="宋体" w:hint="default"/>
                <w:sz w:val="18"/>
                <w:szCs w:val="18"/>
              </w:rPr>
              <w:t>公</w:t>
            </w:r>
            <w:r>
              <w:rPr>
                <w:rFonts w:ascii="宋体" w:hAnsi="宋体" w:cs="宋体" w:eastAsia="宋体" w:hint="default"/>
                <w:sz w:val="18"/>
                <w:szCs w:val="18"/>
              </w:rPr>
              <w:t> </w:t>
            </w:r>
            <w:r>
              <w:rPr>
                <w:rFonts w:ascii="宋体" w:hAnsi="宋体" w:cs="宋体" w:eastAsia="宋体" w:hint="default"/>
                <w:spacing w:val="-3"/>
                <w:sz w:val="18"/>
                <w:szCs w:val="18"/>
              </w:rPr>
              <w:t>告编号：</w:t>
            </w:r>
            <w:r>
              <w:rPr>
                <w:rFonts w:ascii="Times New Roman" w:hAnsi="Times New Roman" w:cs="Times New Roman" w:eastAsia="Times New Roman" w:hint="default"/>
                <w:spacing w:val="-3"/>
                <w:sz w:val="18"/>
                <w:szCs w:val="18"/>
              </w:rPr>
              <w:t>2018-030</w:t>
            </w:r>
            <w:r>
              <w:rPr>
                <w:rFonts w:ascii="Times New Roman" w:hAnsi="Times New Roman" w:cs="Times New Roman" w:eastAsia="Times New Roman" w:hint="default"/>
                <w:sz w:val="18"/>
                <w:szCs w:val="18"/>
              </w:rPr>
              <w:t> 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 会决议公告</w:t>
            </w:r>
          </w:p>
        </w:tc>
      </w:tr>
    </w:tbl>
    <w:p>
      <w:pPr>
        <w:spacing w:line="240" w:lineRule="auto" w:before="3"/>
        <w:rPr>
          <w:rFonts w:ascii="宋体" w:hAnsi="宋体" w:cs="宋体" w:eastAsia="宋体" w:hint="default"/>
          <w:b/>
          <w:bCs/>
          <w:sz w:val="19"/>
          <w:szCs w:val="19"/>
        </w:rPr>
      </w:pPr>
    </w:p>
    <w:p>
      <w:pPr>
        <w:pStyle w:val="Heading3"/>
        <w:spacing w:line="240" w:lineRule="auto" w:before="36"/>
        <w:ind w:right="977"/>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4"/>
        <w:rPr>
          <w:rFonts w:ascii="宋体" w:hAnsi="宋体" w:cs="宋体" w:eastAsia="宋体" w:hint="default"/>
          <w:sz w:val="25"/>
          <w:szCs w:val="25"/>
        </w:rPr>
      </w:pPr>
    </w:p>
    <w:p>
      <w:pPr>
        <w:pStyle w:val="Heading2"/>
        <w:spacing w:line="240" w:lineRule="auto"/>
        <w:ind w:right="977"/>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77"/>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8"/>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994"/>
        <w:gridCol w:w="1164"/>
        <w:gridCol w:w="1165"/>
        <w:gridCol w:w="1162"/>
        <w:gridCol w:w="1164"/>
        <w:gridCol w:w="1164"/>
        <w:gridCol w:w="1412"/>
        <w:gridCol w:w="1169"/>
      </w:tblGrid>
      <w:tr>
        <w:trPr>
          <w:trHeight w:val="402" w:hRule="exact"/>
        </w:trPr>
        <w:tc>
          <w:tcPr>
            <w:tcW w:w="939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12" w:right="129" w:hanging="180"/>
              <w:jc w:val="left"/>
              <w:rPr>
                <w:rFonts w:ascii="宋体" w:hAnsi="宋体" w:cs="宋体" w:eastAsia="宋体" w:hint="default"/>
                <w:sz w:val="18"/>
                <w:szCs w:val="18"/>
              </w:rPr>
            </w:pPr>
            <w:r>
              <w:rPr>
                <w:rFonts w:ascii="宋体" w:hAnsi="宋体" w:cs="宋体" w:eastAsia="宋体" w:hint="default"/>
                <w:sz w:val="18"/>
                <w:szCs w:val="18"/>
              </w:rPr>
              <w:t>独立董事 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7"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5" w:right="125" w:hanging="89"/>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7" w:right="122"/>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8" w:right="123" w:hanging="89"/>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125" w:hanging="269"/>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0" w:right="158" w:hanging="1"/>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9" w:right="127"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李胜兰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马英华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万海斌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1020" w:right="0"/>
        </w:sectPr>
      </w:pPr>
    </w:p>
    <w:p>
      <w:pPr>
        <w:spacing w:line="240" w:lineRule="auto" w:before="8"/>
        <w:rPr>
          <w:rFonts w:ascii="宋体" w:hAnsi="宋体" w:cs="宋体" w:eastAsia="宋体" w:hint="default"/>
          <w:b/>
          <w:bCs/>
          <w:sz w:val="22"/>
          <w:szCs w:val="22"/>
        </w:rPr>
      </w:pPr>
    </w:p>
    <w:p>
      <w:pPr>
        <w:pStyle w:val="BodyText"/>
        <w:spacing w:line="240" w:lineRule="auto" w:before="44"/>
        <w:ind w:right="0"/>
        <w:jc w:val="both"/>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60" w:lineRule="auto" w:before="115"/>
        <w:ind w:right="6974"/>
        <w:jc w:val="left"/>
      </w:pPr>
      <w:r>
        <w:rPr/>
        <w:t>□ 是 √</w:t>
      </w:r>
      <w:r>
        <w:rPr>
          <w:spacing w:val="3"/>
        </w:rPr>
        <w:t> </w:t>
      </w:r>
      <w:r>
        <w:rPr/>
        <w:t>否</w:t>
      </w:r>
      <w:r>
        <w:rPr/>
        <w:t> 报告期内独立董事对公司有关事项未提出异议。</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60" w:lineRule="auto" w:before="118"/>
        <w:ind w:right="6794"/>
        <w:jc w:val="left"/>
      </w:pPr>
      <w:r>
        <w:rPr/>
        <w:t>√ 是 □</w:t>
      </w:r>
      <w:r>
        <w:rPr>
          <w:spacing w:val="3"/>
        </w:rPr>
        <w:t> </w:t>
      </w:r>
      <w:r>
        <w:rPr/>
        <w:t>否</w:t>
      </w:r>
      <w:r>
        <w:rPr/>
        <w:t> 独立董事对公司有关建议被采纳或未被采纳的说明</w:t>
      </w:r>
    </w:p>
    <w:p>
      <w:pPr>
        <w:pStyle w:val="BodyText"/>
        <w:spacing w:line="316" w:lineRule="auto" w:before="25"/>
        <w:ind w:right="1131"/>
        <w:jc w:val="both"/>
        <w:rPr>
          <w:rFonts w:ascii="宋体" w:hAnsi="宋体" w:cs="宋体" w:eastAsia="宋体" w:hint="default"/>
        </w:rPr>
      </w:pPr>
      <w:r>
        <w:rPr>
          <w:spacing w:val="-5"/>
        </w:rPr>
        <w:t>公司独立董事根据《公司法》《证券法》《公司章程》和公司《独立董事工作制度》等法律法规的规定，关注公司运作的规范</w:t>
      </w:r>
      <w:r>
        <w:rPr>
          <w:spacing w:val="-83"/>
        </w:rPr>
        <w:t> </w:t>
      </w:r>
      <w:r>
        <w:rPr>
          <w:spacing w:val="-83"/>
        </w:rPr>
      </w:r>
      <w:r>
        <w:rPr>
          <w:spacing w:val="-2"/>
        </w:rPr>
        <w:t>性，独立履行职责，对公司的制度完善和日常经营决策等方面提出了许多宝贵的专业性意见，对报告期内公司使用闲置募集</w:t>
      </w:r>
      <w:r>
        <w:rPr>
          <w:spacing w:val="-66"/>
        </w:rPr>
        <w:t> </w:t>
      </w:r>
      <w:r>
        <w:rPr>
          <w:spacing w:val="-66"/>
        </w:rPr>
      </w:r>
      <w:r>
        <w:rPr>
          <w:spacing w:val="-2"/>
        </w:rPr>
        <w:t>资金进行现金管理、内部控制自我评价报告、</w:t>
      </w:r>
      <w:r>
        <w:rPr>
          <w:rFonts w:ascii="宋体" w:hAnsi="宋体" w:cs="宋体" w:eastAsia="宋体" w:hint="default"/>
          <w:spacing w:val="-2"/>
        </w:rPr>
        <w:t>2017</w:t>
      </w:r>
      <w:r>
        <w:rPr>
          <w:spacing w:val="-2"/>
        </w:rPr>
        <w:t>年度利润分配预案、会计政策变更、募集资金存放与使用情况、调整部分</w:t>
      </w:r>
      <w:r>
        <w:rPr>
          <w:spacing w:val="-66"/>
        </w:rPr>
        <w:t> </w:t>
      </w:r>
      <w:r>
        <w:rPr>
          <w:spacing w:val="-66"/>
        </w:rPr>
      </w:r>
      <w:r>
        <w:rPr>
          <w:spacing w:val="-2"/>
        </w:rPr>
        <w:t>募集资金投资项目实施方案等需要独立董事发表意见的事项出具了独立、公正的独立董事意见，为完善公司监督机制，维护</w:t>
      </w:r>
      <w:r>
        <w:rPr>
          <w:spacing w:val="-65"/>
        </w:rPr>
        <w:t> </w:t>
      </w:r>
      <w:r>
        <w:rPr>
          <w:spacing w:val="-65"/>
        </w:rPr>
      </w:r>
      <w:r>
        <w:rPr/>
        <w:t>公司和全体股东的合法权益发挥了应有的作用。</w:t>
      </w:r>
      <w:r>
        <w:rPr>
          <w:rFonts w:ascii="宋体" w:hAnsi="宋体" w:cs="宋体" w:eastAsia="宋体" w:hint="default"/>
        </w:rPr>
        <w:t> </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3" w:right="977"/>
        <w:jc w:val="left"/>
        <w:rPr>
          <w:rFonts w:ascii="宋体" w:hAnsi="宋体" w:cs="宋体" w:eastAsia="宋体" w:hint="default"/>
        </w:rPr>
      </w:pPr>
      <w:r>
        <w:rPr>
          <w:rFonts w:ascii="宋体" w:hAnsi="宋体" w:cs="宋体" w:eastAsia="宋体" w:hint="default"/>
        </w:rPr>
        <w:t>1</w:t>
      </w:r>
      <w:r>
        <w:rPr/>
        <w:t>、战略与决策委员会</w:t>
      </w:r>
      <w:r>
        <w:rPr>
          <w:rFonts w:ascii="宋体" w:hAnsi="宋体" w:cs="宋体" w:eastAsia="宋体" w:hint="default"/>
        </w:rPr>
        <w:t> </w:t>
      </w:r>
    </w:p>
    <w:p>
      <w:pPr>
        <w:pStyle w:val="BodyText"/>
        <w:spacing w:line="316" w:lineRule="auto" w:before="76"/>
        <w:ind w:right="1128" w:firstLine="360"/>
        <w:jc w:val="both"/>
        <w:rPr>
          <w:rFonts w:ascii="宋体" w:hAnsi="宋体" w:cs="宋体" w:eastAsia="宋体" w:hint="default"/>
        </w:rPr>
      </w:pPr>
      <w:r>
        <w:rPr>
          <w:spacing w:val="-2"/>
        </w:rPr>
        <w:t>报告期内，战略与决策委员会严格按照《战略与决策委员会工作细则》开展工作。在报告期内，战略与决策委员会通过</w:t>
      </w:r>
      <w:r>
        <w:rPr/>
        <w:t> </w:t>
      </w:r>
      <w:r>
        <w:rPr>
          <w:spacing w:val="-2"/>
        </w:rPr>
        <w:t>召开会议，结合国内外经济形势和公司所处行业的特点，对公司经营现状、发展前景、公司目前所处的风险和机遇进行了深</w:t>
      </w:r>
      <w:r>
        <w:rPr>
          <w:spacing w:val="-63"/>
        </w:rPr>
        <w:t> </w:t>
      </w:r>
      <w:r>
        <w:rPr>
          <w:spacing w:val="-63"/>
        </w:rPr>
      </w:r>
      <w:r>
        <w:rPr>
          <w:spacing w:val="-2"/>
        </w:rPr>
        <w:t>入地分析，为公司发展战略的实施提出了宝贵的建议，保证了公司发展规划和战略决策的科学性，为公司的持续、稳健发展</w:t>
      </w:r>
      <w:r>
        <w:rPr>
          <w:spacing w:val="-63"/>
        </w:rPr>
        <w:t> </w:t>
      </w:r>
      <w:r>
        <w:rPr>
          <w:spacing w:val="-63"/>
        </w:rPr>
      </w:r>
      <w:r>
        <w:rPr/>
        <w:t>提供了战略层面的支持。第三届董事会战略与决策委员会成员为李建国、许文杰、万海斌，其中李建国为召集人。</w:t>
      </w:r>
      <w:r>
        <w:rPr>
          <w:rFonts w:ascii="宋体" w:hAnsi="宋体" w:cs="宋体" w:eastAsia="宋体" w:hint="default"/>
        </w:rPr>
        <w:t> </w:t>
      </w:r>
    </w:p>
    <w:p>
      <w:pPr>
        <w:pStyle w:val="BodyText"/>
        <w:spacing w:line="240" w:lineRule="auto" w:before="19"/>
        <w:ind w:left="473" w:right="977"/>
        <w:jc w:val="left"/>
        <w:rPr>
          <w:rFonts w:ascii="宋体" w:hAnsi="宋体" w:cs="宋体" w:eastAsia="宋体" w:hint="default"/>
        </w:rPr>
      </w:pPr>
      <w:r>
        <w:rPr>
          <w:rFonts w:ascii="宋体" w:hAnsi="宋体" w:cs="宋体" w:eastAsia="宋体" w:hint="default"/>
        </w:rPr>
        <w:t>2</w:t>
      </w:r>
      <w:r>
        <w:rPr/>
        <w:t>、提名委员会</w:t>
      </w:r>
      <w:r>
        <w:rPr>
          <w:rFonts w:ascii="宋体" w:hAnsi="宋体" w:cs="宋体" w:eastAsia="宋体" w:hint="default"/>
        </w:rPr>
        <w:t> </w:t>
      </w:r>
    </w:p>
    <w:p>
      <w:pPr>
        <w:pStyle w:val="BodyText"/>
        <w:spacing w:line="316" w:lineRule="auto" w:before="76"/>
        <w:ind w:right="977" w:firstLine="360"/>
        <w:jc w:val="left"/>
        <w:rPr>
          <w:rFonts w:ascii="宋体" w:hAnsi="宋体" w:cs="宋体" w:eastAsia="宋体" w:hint="default"/>
        </w:rPr>
      </w:pPr>
      <w:r>
        <w:rPr>
          <w:spacing w:val="-4"/>
        </w:rPr>
        <w:t>报告期内，提名委员会严格按照《提名委员会工作细则》开展工作，对董事、高级管理人员人选从其职业、学历、职称、</w:t>
      </w:r>
      <w:r>
        <w:rPr/>
        <w:t> </w:t>
      </w:r>
      <w:r>
        <w:rPr>
          <w:spacing w:val="-2"/>
        </w:rPr>
        <w:t>详细的工作经历、全部兼职等情况切实进行了审查。第三届董事会提名委员会成员为许文杰、李胜兰、马英华，其中李胜兰</w:t>
      </w:r>
      <w:r>
        <w:rPr>
          <w:spacing w:val="-66"/>
        </w:rPr>
        <w:t> </w:t>
      </w:r>
      <w:r>
        <w:rPr>
          <w:spacing w:val="-66"/>
        </w:rPr>
      </w:r>
      <w:r>
        <w:rPr/>
        <w:t>为召集人。</w:t>
      </w:r>
      <w:r>
        <w:rPr>
          <w:rFonts w:ascii="宋体" w:hAnsi="宋体" w:cs="宋体" w:eastAsia="宋体" w:hint="default"/>
        </w:rPr>
        <w:t> </w:t>
      </w:r>
    </w:p>
    <w:p>
      <w:pPr>
        <w:pStyle w:val="BodyText"/>
        <w:spacing w:line="240" w:lineRule="auto" w:before="19"/>
        <w:ind w:left="473" w:right="977"/>
        <w:jc w:val="left"/>
        <w:rPr>
          <w:rFonts w:ascii="宋体" w:hAnsi="宋体" w:cs="宋体" w:eastAsia="宋体" w:hint="default"/>
        </w:rPr>
      </w:pPr>
      <w:r>
        <w:rPr>
          <w:rFonts w:ascii="宋体" w:hAnsi="宋体" w:cs="宋体" w:eastAsia="宋体" w:hint="default"/>
        </w:rPr>
        <w:t>3</w:t>
      </w:r>
      <w:r>
        <w:rPr/>
        <w:t>、薪酬与考核委员会</w:t>
      </w:r>
      <w:r>
        <w:rPr>
          <w:rFonts w:ascii="宋体" w:hAnsi="宋体" w:cs="宋体" w:eastAsia="宋体" w:hint="default"/>
        </w:rPr>
        <w:t> </w:t>
      </w:r>
    </w:p>
    <w:p>
      <w:pPr>
        <w:pStyle w:val="BodyText"/>
        <w:spacing w:line="319" w:lineRule="auto" w:before="76"/>
        <w:ind w:right="977" w:firstLine="360"/>
        <w:jc w:val="left"/>
        <w:rPr>
          <w:rFonts w:ascii="宋体" w:hAnsi="宋体" w:cs="宋体" w:eastAsia="宋体" w:hint="default"/>
        </w:rPr>
      </w:pPr>
      <w:r>
        <w:rPr>
          <w:spacing w:val="-2"/>
        </w:rPr>
        <w:t>报告期内，薪酬与考核委员会依据《薪酬与考核委员会工作细则》等有关规定，对公司年度报告中董事和高管人员所披</w:t>
      </w:r>
      <w:r>
        <w:rPr/>
        <w:t> </w:t>
      </w:r>
      <w:r>
        <w:rPr>
          <w:spacing w:val="-2"/>
        </w:rPr>
        <w:t>露薪酬事项进行了审核，核查认为</w:t>
      </w:r>
      <w:r>
        <w:rPr>
          <w:rFonts w:ascii="宋体" w:hAnsi="宋体" w:cs="宋体" w:eastAsia="宋体" w:hint="default"/>
          <w:spacing w:val="-2"/>
        </w:rPr>
        <w:t>2018</w:t>
      </w:r>
      <w:r>
        <w:rPr>
          <w:spacing w:val="-2"/>
        </w:rPr>
        <w:t>年度公司董事、监事及高管人员披露的薪酬情况符合公司薪酬管理制度，未有违反公</w:t>
      </w:r>
      <w:r>
        <w:rPr>
          <w:spacing w:val="-61"/>
        </w:rPr>
        <w:t> </w:t>
      </w:r>
      <w:r>
        <w:rPr>
          <w:spacing w:val="-61"/>
        </w:rPr>
      </w:r>
      <w:r>
        <w:rPr>
          <w:spacing w:val="-4"/>
        </w:rPr>
        <w:t>司薪酬管理制度及与公司薪酬管理制度不一致的情形发生。第三届董事会薪酬与考核委员会成员为李建国、万海斌、李胜兰，</w:t>
      </w:r>
      <w:r>
        <w:rPr>
          <w:spacing w:val="-45"/>
        </w:rPr>
        <w:t> </w:t>
      </w:r>
      <w:r>
        <w:rPr>
          <w:spacing w:val="-45"/>
        </w:rPr>
      </w:r>
      <w:r>
        <w:rPr/>
        <w:t>其中万海斌为召集人。</w:t>
      </w:r>
      <w:r>
        <w:rPr>
          <w:rFonts w:ascii="宋体" w:hAnsi="宋体" w:cs="宋体" w:eastAsia="宋体" w:hint="default"/>
        </w:rPr>
        <w:t> </w:t>
      </w:r>
    </w:p>
    <w:p>
      <w:pPr>
        <w:pStyle w:val="BodyText"/>
        <w:spacing w:line="240" w:lineRule="auto" w:before="17"/>
        <w:ind w:left="473" w:right="977"/>
        <w:jc w:val="left"/>
        <w:rPr>
          <w:rFonts w:ascii="宋体" w:hAnsi="宋体" w:cs="宋体" w:eastAsia="宋体" w:hint="default"/>
        </w:rPr>
      </w:pPr>
      <w:r>
        <w:rPr>
          <w:rFonts w:ascii="宋体" w:hAnsi="宋体" w:cs="宋体" w:eastAsia="宋体" w:hint="default"/>
        </w:rPr>
        <w:t>4</w:t>
      </w:r>
      <w:r>
        <w:rPr/>
        <w:t>、审计委员会</w:t>
      </w:r>
      <w:r>
        <w:rPr>
          <w:rFonts w:ascii="宋体" w:hAnsi="宋体" w:cs="宋体" w:eastAsia="宋体" w:hint="default"/>
        </w:rPr>
        <w:t> </w:t>
      </w:r>
    </w:p>
    <w:p>
      <w:pPr>
        <w:pStyle w:val="BodyText"/>
        <w:spacing w:line="316" w:lineRule="auto" w:before="76"/>
        <w:ind w:right="1133" w:firstLine="360"/>
        <w:jc w:val="both"/>
        <w:rPr>
          <w:rFonts w:ascii="宋体" w:hAnsi="宋体" w:cs="宋体" w:eastAsia="宋体" w:hint="default"/>
        </w:rPr>
      </w:pPr>
      <w:r>
        <w:rPr>
          <w:spacing w:val="-6"/>
        </w:rPr>
        <w:t>审计委员会根据《上市公司治理准则》和《公司章程》、《审计委员会工作细则》的相关规定，认真审议了公司编制的定</w:t>
      </w:r>
      <w:r>
        <w:rPr/>
        <w:t> </w:t>
      </w:r>
      <w:r>
        <w:rPr>
          <w:spacing w:val="-2"/>
        </w:rPr>
        <w:t>期报告和其他重大事项，促进了公司内部控制的有效运行。公司第三届董事会审计委员会委员为梁姬、马英华、李胜兰，其</w:t>
      </w:r>
      <w:r>
        <w:rPr>
          <w:spacing w:val="-69"/>
        </w:rPr>
        <w:t> </w:t>
      </w:r>
      <w:r>
        <w:rPr>
          <w:spacing w:val="-69"/>
        </w:rPr>
      </w:r>
      <w:r>
        <w:rPr/>
        <w:t>中马英华为召集人。</w:t>
      </w:r>
      <w:r>
        <w:rPr>
          <w:rFonts w:ascii="宋体" w:hAnsi="宋体" w:cs="宋体" w:eastAsia="宋体" w:hint="default"/>
        </w:rPr>
        <w:t> </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240" w:lineRule="auto" w:before="117"/>
        <w:ind w:right="0"/>
        <w:jc w:val="both"/>
      </w:pPr>
      <w:r>
        <w:rPr/>
        <w:t>□ 是 √</w:t>
      </w:r>
      <w:r>
        <w:rPr>
          <w:spacing w:val="3"/>
        </w:rPr>
        <w:t> </w:t>
      </w:r>
      <w:r>
        <w:rPr/>
        <w:t>否</w:t>
      </w:r>
    </w:p>
    <w:p>
      <w:pPr>
        <w:spacing w:after="0" w:line="240" w:lineRule="auto"/>
        <w:jc w:val="both"/>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240" w:lineRule="auto" w:before="44"/>
        <w:ind w:right="977"/>
        <w:jc w:val="left"/>
      </w:pPr>
      <w:r>
        <w:rPr/>
        <w:t>监事会对报告期内的监督事项无异议。</w:t>
      </w:r>
    </w:p>
    <w:p>
      <w:pPr>
        <w:spacing w:line="240" w:lineRule="auto" w:before="3"/>
        <w:rPr>
          <w:rFonts w:ascii="宋体" w:hAnsi="宋体" w:cs="宋体" w:eastAsia="宋体" w:hint="default"/>
          <w:sz w:val="25"/>
          <w:szCs w:val="25"/>
        </w:rPr>
      </w:pPr>
    </w:p>
    <w:p>
      <w:pPr>
        <w:pStyle w:val="Heading2"/>
        <w:spacing w:line="240" w:lineRule="auto"/>
        <w:ind w:right="977"/>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rPr>
          <w:rFonts w:ascii="宋体" w:hAnsi="宋体" w:cs="宋体" w:eastAsia="宋体" w:hint="default"/>
        </w:rPr>
      </w:pPr>
      <w:r>
        <w:rPr>
          <w:spacing w:val="-2"/>
        </w:rPr>
        <w:t>公司建立了完善的绩效考评体系，公司制订《高级管理人员薪酬及考核管理制度》。公司董事会按年度对公司高级管理</w:t>
      </w:r>
      <w:r>
        <w:rPr/>
        <w:t> </w:t>
      </w:r>
      <w:r>
        <w:rPr>
          <w:spacing w:val="-2"/>
        </w:rPr>
        <w:t>人员的业绩和履职情况进行考评，高级管理人员的工作绩效与其收入直接挂钩。公司不断研究改进高级管理人员的绩效评价</w:t>
      </w:r>
      <w:r>
        <w:rPr>
          <w:spacing w:val="-64"/>
        </w:rPr>
        <w:t> </w:t>
      </w:r>
      <w:r>
        <w:rPr>
          <w:spacing w:val="-64"/>
        </w:rPr>
      </w:r>
      <w:r>
        <w:rPr>
          <w:spacing w:val="-5"/>
        </w:rPr>
        <w:t>标准、程序和相关激励与约束机制，董事会提名、薪酬与考核委员会按照《提名、薪酬与考核委员会工作细则》、《高级管理</w:t>
      </w:r>
      <w:r>
        <w:rPr>
          <w:spacing w:val="-83"/>
        </w:rPr>
        <w:t> </w:t>
      </w:r>
      <w:r>
        <w:rPr>
          <w:spacing w:val="-83"/>
        </w:rPr>
      </w:r>
      <w:r>
        <w:rPr>
          <w:spacing w:val="-2"/>
        </w:rPr>
        <w:t>人员薪酬及考核管理制度》，对高级管理人员的工作能力、履职情况、责任目标完成情况进行考评，制定薪酬方案报公司董</w:t>
      </w:r>
      <w:r>
        <w:rPr>
          <w:spacing w:val="-65"/>
        </w:rPr>
        <w:t> </w:t>
      </w:r>
      <w:r>
        <w:rPr>
          <w:spacing w:val="-65"/>
        </w:rPr>
      </w:r>
      <w:r>
        <w:rPr/>
        <w:t>事会审批，使公司高级管理人员的考评和激励标准化、程序化、合理化。</w:t>
      </w:r>
      <w:r>
        <w:rPr>
          <w:rFonts w:ascii="宋体" w:hAnsi="宋体" w:cs="宋体" w:eastAsia="宋体" w:hint="default"/>
        </w:rPr>
        <w:t> </w:t>
      </w:r>
    </w:p>
    <w:p>
      <w:pPr>
        <w:spacing w:line="240" w:lineRule="auto" w:before="11"/>
        <w:rPr>
          <w:rFonts w:ascii="宋体" w:hAnsi="宋体" w:cs="宋体" w:eastAsia="宋体" w:hint="default"/>
          <w:sz w:val="20"/>
          <w:szCs w:val="20"/>
        </w:rPr>
      </w:pPr>
    </w:p>
    <w:p>
      <w:pPr>
        <w:pStyle w:val="Heading2"/>
        <w:spacing w:line="240" w:lineRule="auto"/>
        <w:ind w:right="977"/>
        <w:jc w:val="left"/>
        <w:rPr>
          <w:b w:val="0"/>
          <w:bCs w:val="0"/>
        </w:rPr>
      </w:pP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77"/>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 是 √</w:t>
      </w:r>
      <w:r>
        <w:rPr>
          <w:spacing w:val="3"/>
        </w:rPr>
        <w:t> </w:t>
      </w:r>
      <w:r>
        <w:rPr/>
        <w:t>否</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95"/>
        <w:gridCol w:w="3322"/>
        <w:gridCol w:w="3053"/>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年度内部控制自我评价报告于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日刊登在巨潮资讯网</w:t>
            </w:r>
          </w:p>
          <w:p>
            <w:pPr>
              <w:pStyle w:val="TableParagraph"/>
              <w:spacing w:line="240" w:lineRule="auto" w:before="60"/>
              <w:ind w:left="103" w:right="0"/>
              <w:jc w:val="left"/>
              <w:rPr>
                <w:rFonts w:ascii="宋体" w:hAnsi="宋体" w:cs="宋体" w:eastAsia="宋体" w:hint="default"/>
                <w:sz w:val="18"/>
                <w:szCs w:val="18"/>
              </w:rPr>
            </w:pP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6"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900"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6"/>
              <w:jc w:val="left"/>
              <w:rPr>
                <w:rFonts w:ascii="宋体" w:hAnsi="宋体" w:cs="宋体" w:eastAsia="宋体" w:hint="default"/>
                <w:sz w:val="18"/>
                <w:szCs w:val="18"/>
              </w:rPr>
            </w:pPr>
            <w:r>
              <w:rPr>
                <w:rFonts w:ascii="宋体" w:hAnsi="宋体" w:cs="宋体" w:eastAsia="宋体" w:hint="default"/>
                <w:sz w:val="18"/>
                <w:szCs w:val="18"/>
              </w:rPr>
              <w:t>财务报告重大缺陷的迹象包括：不采取 任何行动导致潜在错报或造成经济损 失、经营目标无法实现的可能性。财务 报告重要缺陷的迹象包括：不采取任何 行动导致潜在错报或造成经济损失、经 营目标无法实现的可能性不大。一般缺 陷是指除上述重大缺陷、重要缺陷之外 的其他控制缺陷。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56"/>
              <w:jc w:val="left"/>
              <w:rPr>
                <w:rFonts w:ascii="宋体" w:hAnsi="宋体" w:cs="宋体" w:eastAsia="宋体" w:hint="default"/>
                <w:sz w:val="18"/>
                <w:szCs w:val="18"/>
              </w:rPr>
            </w:pPr>
            <w:r>
              <w:rPr>
                <w:rFonts w:ascii="宋体" w:hAnsi="宋体" w:cs="宋体" w:eastAsia="宋体" w:hint="default"/>
                <w:spacing w:val="-6"/>
                <w:sz w:val="18"/>
                <w:szCs w:val="18"/>
              </w:rPr>
              <w:t>非财务报告重大缺陷的迹象包括：不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采取任何行动导致潜在错报或造成</w:t>
            </w:r>
            <w:r>
              <w:rPr>
                <w:rFonts w:ascii="宋体" w:hAnsi="宋体" w:cs="宋体" w:eastAsia="宋体" w:hint="default"/>
                <w:sz w:val="18"/>
                <w:szCs w:val="18"/>
              </w:rPr>
              <w:t> </w:t>
            </w:r>
            <w:r>
              <w:rPr>
                <w:rFonts w:ascii="宋体" w:hAnsi="宋体" w:cs="宋体" w:eastAsia="宋体" w:hint="default"/>
                <w:spacing w:val="-3"/>
                <w:sz w:val="18"/>
                <w:szCs w:val="18"/>
              </w:rPr>
              <w:t>经济损失、经营目标无法实现的可能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性。财务报告重要缺陷的迹象包括： 不采取任何行动导致潜在错报或造 </w:t>
            </w:r>
            <w:r>
              <w:rPr>
                <w:rFonts w:ascii="宋体" w:hAnsi="宋体" w:cs="宋体" w:eastAsia="宋体" w:hint="default"/>
                <w:spacing w:val="-3"/>
                <w:sz w:val="18"/>
                <w:szCs w:val="18"/>
              </w:rPr>
              <w:t>成经济损失、经营目标无法实现的可</w:t>
            </w:r>
            <w:r>
              <w:rPr>
                <w:rFonts w:ascii="宋体" w:hAnsi="宋体" w:cs="宋体" w:eastAsia="宋体" w:hint="default"/>
                <w:sz w:val="18"/>
                <w:szCs w:val="18"/>
              </w:rPr>
              <w:t> </w:t>
            </w:r>
            <w:r>
              <w:rPr>
                <w:rFonts w:ascii="宋体" w:hAnsi="宋体" w:cs="宋体" w:eastAsia="宋体" w:hint="default"/>
                <w:spacing w:val="-3"/>
                <w:sz w:val="18"/>
                <w:szCs w:val="18"/>
              </w:rPr>
              <w:t>能性不大。一般缺陷是指除上述重大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缺陷、重要缺陷之外的其他控制缺 陷。</w:t>
            </w:r>
          </w:p>
        </w:tc>
      </w:tr>
      <w:tr>
        <w:trPr>
          <w:trHeight w:val="192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7"/>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 量指标。①如果该缺陷单独或连同其他 缺陷可能导致的财务报告错报金额小于 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0.5%</w:t>
            </w:r>
            <w:r>
              <w:rPr>
                <w:rFonts w:ascii="宋体" w:hAnsi="宋体" w:cs="宋体" w:eastAsia="宋体" w:hint="default"/>
                <w:spacing w:val="-7"/>
                <w:sz w:val="18"/>
                <w:szCs w:val="18"/>
              </w:rPr>
              <w:t>，小于总资产的</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0.25%</w:t>
            </w:r>
            <w:r>
              <w:rPr>
                <w:rFonts w:ascii="宋体" w:hAnsi="宋体" w:cs="宋体" w:eastAsia="宋体" w:hint="default"/>
                <w:spacing w:val="-1"/>
                <w:sz w:val="18"/>
                <w:szCs w:val="18"/>
              </w:rPr>
              <w:t>，</w:t>
            </w:r>
            <w:r>
              <w:rPr>
                <w:rFonts w:ascii="宋体" w:hAnsi="宋体" w:cs="宋体" w:eastAsia="宋体" w:hint="default"/>
                <w:sz w:val="18"/>
                <w:szCs w:val="18"/>
              </w:rPr>
              <w:t> 则认定为一般缺陷；②如果超过营业收 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，超过总资产的</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5" w:right="84"/>
              <w:jc w:val="left"/>
              <w:rPr>
                <w:rFonts w:ascii="宋体" w:hAnsi="宋体" w:cs="宋体" w:eastAsia="宋体" w:hint="default"/>
                <w:sz w:val="18"/>
                <w:szCs w:val="18"/>
              </w:rPr>
            </w:pPr>
            <w:r>
              <w:rPr>
                <w:rFonts w:ascii="宋体" w:hAnsi="宋体" w:cs="宋体" w:eastAsia="宋体" w:hint="default"/>
                <w:spacing w:val="-3"/>
                <w:sz w:val="18"/>
                <w:szCs w:val="18"/>
              </w:rPr>
              <w:t>定量标准以营业收入、资产总额作为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衡量指标。①如果该缺陷单独或连同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其他缺陷可能导致的财务报告错报 金额小于营业收入的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，小于总 资产的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，则认定为一般缺陷；</w:t>
            </w:r>
          </w:p>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②如果超过营业收入的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p>
        </w:tc>
      </w:tr>
    </w:tbl>
    <w:p>
      <w:pPr>
        <w:spacing w:after="0" w:line="240" w:lineRule="auto"/>
        <w:jc w:val="left"/>
        <w:rPr>
          <w:rFonts w:ascii="宋体" w:hAnsi="宋体" w:cs="宋体" w:eastAsia="宋体" w:hint="default"/>
          <w:sz w:val="18"/>
          <w:szCs w:val="18"/>
        </w:rPr>
        <w:sectPr>
          <w:pgSz w:w="11910" w:h="16840"/>
          <w:pgMar w:header="910" w:footer="1013" w:top="1100" w:bottom="1200" w:left="1020" w:right="0"/>
        </w:sectPr>
      </w:pPr>
    </w:p>
    <w:p>
      <w:pPr>
        <w:spacing w:line="240" w:lineRule="auto" w:before="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2"/>
        <w:gridCol w:w="3053"/>
      </w:tblGrid>
      <w:tr>
        <w:trPr>
          <w:trHeight w:val="129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w:t>
            </w:r>
          </w:p>
          <w:p>
            <w:pPr>
              <w:pStyle w:val="TableParagraph"/>
              <w:spacing w:line="300" w:lineRule="auto" w:before="63"/>
              <w:ind w:left="103" w:right="98"/>
              <w:jc w:val="left"/>
              <w:rPr>
                <w:rFonts w:ascii="宋体" w:hAnsi="宋体" w:cs="宋体" w:eastAsia="宋体" w:hint="default"/>
                <w:sz w:val="18"/>
                <w:szCs w:val="18"/>
              </w:rPr>
            </w:pPr>
            <w:r>
              <w:rPr>
                <w:rFonts w:ascii="宋体" w:hAnsi="宋体" w:cs="宋体" w:eastAsia="宋体" w:hint="default"/>
                <w:sz w:val="18"/>
                <w:szCs w:val="18"/>
              </w:rPr>
              <w:t>③如果超过营业收入的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，超过总资 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，超过总资产的</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但小于</w:t>
            </w:r>
          </w:p>
          <w:p>
            <w:pPr>
              <w:pStyle w:val="TableParagraph"/>
              <w:spacing w:line="300" w:lineRule="auto" w:before="63"/>
              <w:ind w:left="105" w:right="17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，则认定为重要缺陷；③如果超 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，超过总资产的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b/>
          <w:bCs/>
          <w:sz w:val="18"/>
          <w:szCs w:val="18"/>
        </w:rPr>
      </w:pPr>
    </w:p>
    <w:p>
      <w:pPr>
        <w:pStyle w:val="Heading2"/>
        <w:spacing w:line="240" w:lineRule="auto" w:before="26"/>
        <w:ind w:right="977"/>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不适用</w:t>
      </w:r>
    </w:p>
    <w:p>
      <w:pPr>
        <w:spacing w:after="0" w:line="240" w:lineRule="auto"/>
        <w:jc w:val="left"/>
        <w:sectPr>
          <w:pgSz w:w="11910" w:h="16840"/>
          <w:pgMar w:header="910" w:footer="1013"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right="4089"/>
        <w:jc w:val="center"/>
        <w:rPr>
          <w:b w:val="0"/>
          <w:bCs w:val="0"/>
        </w:rPr>
      </w:pPr>
      <w:bookmarkStart w:name="_bookmark8" w:id="9"/>
      <w:bookmarkEnd w:id="9"/>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Heading1"/>
        <w:spacing w:line="240" w:lineRule="auto"/>
        <w:ind w:right="4088"/>
        <w:jc w:val="center"/>
        <w:rPr>
          <w:b w:val="0"/>
          <w:bCs w:val="0"/>
        </w:rPr>
      </w:pPr>
      <w:bookmarkStart w:name="_bookmark9" w:id="10"/>
      <w:bookmarkEnd w:id="10"/>
      <w:r>
        <w:rPr>
          <w:b w:val="0"/>
          <w:bCs w:val="0"/>
        </w:rPr>
      </w:r>
      <w:r>
        <w:rPr/>
        <w:t>第十一节</w:t>
      </w:r>
      <w:r>
        <w:rPr>
          <w:spacing w:val="-5"/>
        </w:rPr>
        <w:t> </w:t>
      </w:r>
      <w:r>
        <w:rPr/>
        <w:t>财务报告</w:t>
      </w:r>
      <w:r>
        <w:rPr>
          <w:b w:val="0"/>
          <w:bCs w:val="0"/>
        </w:rPr>
      </w:r>
    </w:p>
    <w:p>
      <w:pPr>
        <w:spacing w:line="240" w:lineRule="auto" w:before="0"/>
        <w:rPr>
          <w:rFonts w:ascii="宋体" w:hAnsi="宋体" w:cs="宋体" w:eastAsia="宋体" w:hint="default"/>
          <w:b/>
          <w:bCs/>
          <w:sz w:val="39"/>
          <w:szCs w:val="39"/>
        </w:rPr>
      </w:pPr>
    </w:p>
    <w:p>
      <w:pPr>
        <w:pStyle w:val="Heading2"/>
        <w:spacing w:line="240" w:lineRule="auto"/>
        <w:ind w:right="977"/>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会审字</w:t>
            </w:r>
            <w:r>
              <w:rPr>
                <w:rFonts w:ascii="Times New Roman" w:hAnsi="Times New Roman" w:cs="Times New Roman" w:eastAsia="Times New Roman" w:hint="default"/>
                <w:sz w:val="18"/>
                <w:szCs w:val="18"/>
              </w:rPr>
              <w:t>[2019]1346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纪玉红、崔勇趁、时静</w:t>
            </w:r>
          </w:p>
        </w:tc>
      </w:tr>
    </w:tbl>
    <w:p>
      <w:pPr>
        <w:pStyle w:val="BodyText"/>
        <w:spacing w:line="240" w:lineRule="auto" w:before="51"/>
        <w:ind w:left="3068" w:right="4086"/>
        <w:jc w:val="center"/>
      </w:pPr>
      <w:r>
        <w:rPr/>
        <w:t>审计报告正文</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44"/>
        <w:ind w:left="0" w:right="1128"/>
        <w:jc w:val="right"/>
      </w:pPr>
      <w:r>
        <w:rPr/>
        <w:t>会审字</w:t>
      </w:r>
      <w:r>
        <w:rPr>
          <w:rFonts w:ascii="Times New Roman" w:hAnsi="Times New Roman" w:cs="Times New Roman" w:eastAsia="Times New Roman" w:hint="default"/>
        </w:rPr>
        <w:t>[2019]1346</w:t>
      </w:r>
      <w:r>
        <w:rPr/>
        <w:t>号</w:t>
      </w:r>
    </w:p>
    <w:p>
      <w:pPr>
        <w:spacing w:line="240" w:lineRule="auto" w:before="13"/>
        <w:rPr>
          <w:rFonts w:ascii="宋体" w:hAnsi="宋体" w:cs="宋体" w:eastAsia="宋体" w:hint="default"/>
          <w:sz w:val="22"/>
          <w:szCs w:val="22"/>
        </w:rPr>
      </w:pPr>
    </w:p>
    <w:p>
      <w:pPr>
        <w:pStyle w:val="Heading2"/>
        <w:spacing w:line="240" w:lineRule="auto" w:before="26"/>
        <w:ind w:left="3068" w:right="4086"/>
        <w:jc w:val="center"/>
        <w:rPr>
          <w:b w:val="0"/>
          <w:bCs w:val="0"/>
        </w:rPr>
      </w:pPr>
      <w:r>
        <w:rPr/>
        <w:t>审 计 报</w:t>
      </w:r>
      <w:r>
        <w:rPr>
          <w:spacing w:val="-56"/>
        </w:rPr>
        <w:t> </w:t>
      </w:r>
      <w:r>
        <w:rPr/>
        <w:t>告</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right="977"/>
        <w:jc w:val="left"/>
        <w:rPr>
          <w:rFonts w:ascii="宋体" w:hAnsi="宋体" w:cs="宋体" w:eastAsia="宋体" w:hint="default"/>
        </w:rPr>
      </w:pPr>
      <w:r>
        <w:rPr/>
        <w:t>润建股份有限公司全体股东：</w:t>
      </w:r>
      <w:r>
        <w:rPr>
          <w:rFonts w:ascii="宋体" w:hAnsi="宋体" w:cs="宋体" w:eastAsia="宋体" w:hint="default"/>
        </w:rPr>
        <w:t> </w:t>
      </w:r>
    </w:p>
    <w:p>
      <w:pPr>
        <w:pStyle w:val="BodyText"/>
        <w:spacing w:line="477" w:lineRule="auto" w:before="155"/>
        <w:ind w:left="473" w:right="977" w:hanging="284"/>
        <w:jc w:val="left"/>
        <w:rPr>
          <w:rFonts w:ascii="Times New Roman" w:hAnsi="Times New Roman" w:cs="Times New Roman" w:eastAsia="Times New Roman" w:hint="default"/>
        </w:rPr>
      </w:pPr>
      <w:r>
        <w:rPr>
          <w:rFonts w:ascii="宋体" w:hAnsi="宋体" w:cs="宋体" w:eastAsia="宋体" w:hint="default"/>
          <w:b/>
          <w:bCs/>
          <w:spacing w:val="1"/>
          <w:w w:val="99"/>
        </w:rPr>
        <w:t>   </w:t>
      </w:r>
      <w:r>
        <w:rPr>
          <w:rFonts w:ascii="宋体" w:hAnsi="宋体" w:cs="宋体" w:eastAsia="宋体" w:hint="default"/>
          <w:b/>
          <w:bCs/>
        </w:rPr>
        <w:t>一、审计意见</w:t>
      </w:r>
      <w:r>
        <w:rPr>
          <w:rFonts w:ascii="宋体" w:hAnsi="宋体" w:cs="宋体" w:eastAsia="宋体" w:hint="default"/>
          <w:b/>
          <w:bCs/>
          <w:w w:val="99"/>
        </w:rPr>
        <w:t> </w:t>
      </w:r>
      <w:r>
        <w:rPr>
          <w:spacing w:val="-2"/>
        </w:rPr>
        <w:t>我们审计了润建股份有限公司（以下简称润建公司）财务报表，包括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日的合并及母公司资产负债表，</w:t>
      </w:r>
      <w:r>
        <w:rPr>
          <w:rFonts w:ascii="Times New Roman" w:hAnsi="Times New Roman" w:cs="Times New Roman" w:eastAsia="Times New Roman" w:hint="default"/>
          <w:spacing w:val="-2"/>
        </w:rPr>
        <w:t>2018</w:t>
      </w:r>
      <w:r>
        <w:rPr>
          <w:rFonts w:ascii="Times New Roman" w:hAnsi="Times New Roman" w:cs="Times New Roman" w:eastAsia="Times New Roman" w:hint="default"/>
        </w:rPr>
      </w:r>
    </w:p>
    <w:p>
      <w:pPr>
        <w:pStyle w:val="BodyText"/>
        <w:spacing w:line="477" w:lineRule="auto" w:before="21"/>
        <w:ind w:left="473" w:right="977" w:hanging="361"/>
        <w:jc w:val="left"/>
      </w:pPr>
      <w:r>
        <w:rPr/>
        <w:t>年度的合并及母公司利润表、合并及母公司现金流量表、合并及母公司所有者权益变动表以及相关财务报表附注。 </w:t>
      </w:r>
      <w:r>
        <w:rPr>
          <w:spacing w:val="-2"/>
        </w:rPr>
        <w:t>我们认为，后附的财务报表在所有重大方面按照企业会计准则的规定编制，公允反映了润建公司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p>
    <w:p>
      <w:pPr>
        <w:spacing w:line="451" w:lineRule="auto" w:before="21"/>
        <w:ind w:left="112" w:right="5174" w:firstLine="0"/>
        <w:jc w:val="left"/>
        <w:rPr>
          <w:rFonts w:ascii="宋体" w:hAnsi="宋体" w:cs="宋体" w:eastAsia="宋体" w:hint="default"/>
          <w:sz w:val="18"/>
          <w:szCs w:val="18"/>
        </w:rPr>
      </w:pPr>
      <w:r>
        <w:rPr>
          <w:rFonts w:ascii="宋体" w:hAnsi="宋体" w:cs="宋体" w:eastAsia="宋体" w:hint="default"/>
          <w:sz w:val="18"/>
          <w:szCs w:val="18"/>
        </w:rPr>
        <w:t>及母公司财务状况以及</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年度的合并及母公司经营成果和现金流量。 </w:t>
      </w:r>
      <w:r>
        <w:rPr>
          <w:rFonts w:ascii="宋体" w:hAnsi="宋体" w:cs="宋体" w:eastAsia="宋体" w:hint="default"/>
          <w:b/>
          <w:bCs/>
          <w:sz w:val="18"/>
          <w:szCs w:val="18"/>
        </w:rPr>
        <w:t>二、形成审计意见的基础</w:t>
      </w:r>
      <w:r>
        <w:rPr>
          <w:rFonts w:ascii="宋体" w:hAnsi="宋体" w:cs="宋体" w:eastAsia="宋体" w:hint="default"/>
          <w:sz w:val="18"/>
          <w:szCs w:val="18"/>
        </w:rPr>
      </w:r>
    </w:p>
    <w:p>
      <w:pPr>
        <w:pStyle w:val="BodyText"/>
        <w:spacing w:line="477" w:lineRule="auto" w:before="74"/>
        <w:ind w:right="1128" w:firstLine="360"/>
        <w:jc w:val="both"/>
        <w:rPr>
          <w:rFonts w:ascii="宋体" w:hAnsi="宋体" w:cs="宋体" w:eastAsia="宋体" w:hint="default"/>
        </w:rPr>
      </w:pPr>
      <w:r>
        <w:rPr>
          <w:spacing w:val="-2"/>
        </w:rPr>
        <w:t>我们按照中国注册会计师审计准则的规定执行了审计工作。审计报告的“注册会计师对财务报表审计的责任”部分进一</w:t>
      </w:r>
      <w:r>
        <w:rPr/>
        <w:t> </w:t>
      </w:r>
      <w:r>
        <w:rPr>
          <w:spacing w:val="-2"/>
        </w:rPr>
        <w:t>步阐述了我们在这些准则下的责任。按照中国注册会计师职业道德守则，我们独立于润建公司，并履行了职业道德方面的其</w:t>
      </w:r>
      <w:r>
        <w:rPr>
          <w:spacing w:val="-62"/>
        </w:rPr>
        <w:t> </w:t>
      </w:r>
      <w:r>
        <w:rPr>
          <w:spacing w:val="-62"/>
        </w:rPr>
      </w:r>
      <w:r>
        <w:rPr/>
        <w:t>他责任。我们相信，我们获取的审计证据是充分、适当的，为发表审计意见提供了基础。</w:t>
      </w:r>
      <w:r>
        <w:rPr>
          <w:rFonts w:ascii="宋体" w:hAnsi="宋体" w:cs="宋体" w:eastAsia="宋体" w:hint="default"/>
        </w:rPr>
        <w:t> </w:t>
      </w:r>
    </w:p>
    <w:p>
      <w:pPr>
        <w:pStyle w:val="BodyText"/>
        <w:spacing w:line="477" w:lineRule="auto" w:before="54"/>
        <w:ind w:left="473" w:right="977" w:hanging="361"/>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spacing w:after="0" w:line="477" w:lineRule="auto"/>
        <w:jc w:val="left"/>
        <w:sectPr>
          <w:pgSz w:w="11910" w:h="16840"/>
          <w:pgMar w:header="910" w:footer="1013" w:top="1100" w:bottom="1200" w:left="1020" w:right="0"/>
        </w:sectPr>
      </w:pPr>
    </w:p>
    <w:p>
      <w:pPr>
        <w:spacing w:line="240" w:lineRule="auto" w:before="9"/>
        <w:rPr>
          <w:rFonts w:ascii="宋体" w:hAnsi="宋体" w:cs="宋体" w:eastAsia="宋体" w:hint="default"/>
          <w:sz w:val="28"/>
          <w:szCs w:val="28"/>
        </w:rPr>
      </w:pPr>
    </w:p>
    <w:p>
      <w:pPr>
        <w:pStyle w:val="BodyText"/>
        <w:spacing w:line="477" w:lineRule="auto" w:before="44"/>
        <w:ind w:left="473" w:right="977" w:hanging="361"/>
        <w:jc w:val="left"/>
        <w:rPr>
          <w:rFonts w:ascii="宋体" w:hAnsi="宋体" w:cs="宋体" w:eastAsia="宋体" w:hint="default"/>
        </w:rPr>
      </w:pPr>
      <w:r>
        <w:rPr/>
        <w:t>审计并形成审计意见为背景，我们不对这些事项单独发表意见。</w:t>
      </w:r>
      <w:r>
        <w:rPr>
          <w:rFonts w:ascii="宋体" w:hAnsi="宋体" w:cs="宋体" w:eastAsia="宋体" w:hint="default"/>
        </w:rPr>
        <w:t> </w:t>
      </w:r>
      <w:r>
        <w:rPr/>
        <w:t>我们确定下列事项是需要在审计报告中沟通的关键审计事项。</w:t>
      </w:r>
      <w:r>
        <w:rPr>
          <w:rFonts w:ascii="宋体" w:hAnsi="宋体" w:cs="宋体" w:eastAsia="宋体" w:hint="default"/>
        </w:rPr>
        <w:t> </w:t>
      </w:r>
    </w:p>
    <w:p>
      <w:pPr>
        <w:pStyle w:val="Heading4"/>
        <w:spacing w:line="240" w:lineRule="auto" w:before="54"/>
        <w:ind w:right="977"/>
        <w:jc w:val="left"/>
        <w:rPr>
          <w:b w:val="0"/>
          <w:bCs w:val="0"/>
        </w:rPr>
      </w:pPr>
      <w:r>
        <w:rPr/>
        <w:t>（一）完工百分比法确认通信网络建设服务收入</w:t>
      </w:r>
      <w:r>
        <w:rPr>
          <w:b w:val="0"/>
          <w:bCs w:val="0"/>
        </w:rPr>
      </w:r>
    </w:p>
    <w:p>
      <w:pPr>
        <w:spacing w:line="240" w:lineRule="auto" w:before="10"/>
        <w:rPr>
          <w:rFonts w:ascii="宋体" w:hAnsi="宋体" w:cs="宋体" w:eastAsia="宋体" w:hint="default"/>
          <w:b/>
          <w:bCs/>
          <w:sz w:val="17"/>
          <w:szCs w:val="17"/>
        </w:rPr>
      </w:pPr>
    </w:p>
    <w:p>
      <w:pPr>
        <w:pStyle w:val="BodyText"/>
        <w:spacing w:line="240" w:lineRule="auto"/>
        <w:ind w:right="977"/>
        <w:jc w:val="left"/>
      </w:pPr>
      <w:r>
        <w:rPr>
          <w:rFonts w:ascii="Times New Roman" w:hAnsi="Times New Roman" w:cs="Times New Roman" w:eastAsia="Times New Roman" w:hint="default"/>
        </w:rPr>
        <w:t>1.</w:t>
      </w:r>
      <w:r>
        <w:rPr/>
        <w:t>事项描述</w:t>
      </w:r>
    </w:p>
    <w:p>
      <w:pPr>
        <w:spacing w:line="240" w:lineRule="auto" w:before="9"/>
        <w:rPr>
          <w:rFonts w:ascii="宋体" w:hAnsi="宋体" w:cs="宋体" w:eastAsia="宋体" w:hint="default"/>
          <w:sz w:val="16"/>
          <w:szCs w:val="16"/>
        </w:rPr>
      </w:pPr>
    </w:p>
    <w:p>
      <w:pPr>
        <w:pStyle w:val="BodyText"/>
        <w:spacing w:line="477" w:lineRule="auto"/>
        <w:ind w:left="473" w:right="977"/>
        <w:jc w:val="left"/>
      </w:pPr>
      <w:r>
        <w:rPr/>
        <w:t>参见财务报表附注三、</w:t>
      </w:r>
      <w:r>
        <w:rPr>
          <w:rFonts w:ascii="宋体" w:hAnsi="宋体" w:cs="宋体" w:eastAsia="宋体" w:hint="default"/>
        </w:rPr>
        <w:t>25</w:t>
      </w:r>
      <w:r>
        <w:rPr/>
        <w:t>收入确认原则和计量方法和附注五、</w:t>
      </w:r>
      <w:r>
        <w:rPr>
          <w:rFonts w:ascii="宋体" w:hAnsi="宋体" w:cs="宋体" w:eastAsia="宋体" w:hint="default"/>
        </w:rPr>
        <w:t>29</w:t>
      </w:r>
      <w:r>
        <w:rPr/>
        <w:t>营业收入及营业成本。</w:t>
      </w:r>
      <w:r>
        <w:rPr>
          <w:rFonts w:ascii="宋体" w:hAnsi="宋体" w:cs="宋体" w:eastAsia="宋体" w:hint="default"/>
        </w:rPr>
        <w:t> </w:t>
      </w:r>
      <w:r>
        <w:rPr>
          <w:rFonts w:ascii="宋体" w:hAnsi="宋体" w:cs="宋体" w:eastAsia="宋体" w:hint="default"/>
          <w:spacing w:val="4"/>
        </w:rPr>
        <w:t>2018</w:t>
      </w:r>
      <w:r>
        <w:rPr>
          <w:spacing w:val="4"/>
        </w:rPr>
        <w:t>年度，润建公司采用完工百分比法确认的通信网络建设服务收入为</w:t>
      </w:r>
      <w:r>
        <w:rPr>
          <w:rFonts w:ascii="宋体" w:hAnsi="宋体" w:cs="宋体" w:eastAsia="宋体" w:hint="default"/>
          <w:spacing w:val="4"/>
        </w:rPr>
        <w:t>176,570.69</w:t>
      </w:r>
      <w:r>
        <w:rPr>
          <w:spacing w:val="4"/>
        </w:rPr>
        <w:t>万元，占当期营业收入的比重为</w:t>
      </w:r>
    </w:p>
    <w:p>
      <w:pPr>
        <w:pStyle w:val="BodyText"/>
        <w:spacing w:line="240" w:lineRule="auto" w:before="54"/>
        <w:ind w:right="977"/>
        <w:jc w:val="left"/>
        <w:rPr>
          <w:rFonts w:ascii="宋体" w:hAnsi="宋体" w:cs="宋体" w:eastAsia="宋体" w:hint="default"/>
        </w:rPr>
      </w:pPr>
      <w:r>
        <w:rPr>
          <w:rFonts w:ascii="宋体" w:hAnsi="宋体" w:cs="宋体" w:eastAsia="宋体" w:hint="default"/>
        </w:rPr>
        <w:t>54.64%</w:t>
      </w:r>
      <w:r>
        <w:rPr/>
        <w:t>。</w:t>
      </w:r>
      <w:r>
        <w:rPr>
          <w:rFonts w:ascii="宋体" w:hAnsi="宋体" w:cs="宋体" w:eastAsia="宋体" w:hint="default"/>
        </w:rPr>
        <w:t> </w:t>
      </w:r>
    </w:p>
    <w:p>
      <w:pPr>
        <w:spacing w:line="240" w:lineRule="auto" w:before="11"/>
        <w:rPr>
          <w:rFonts w:ascii="宋体" w:hAnsi="宋体" w:cs="宋体" w:eastAsia="宋体" w:hint="default"/>
          <w:sz w:val="17"/>
          <w:szCs w:val="17"/>
        </w:rPr>
      </w:pPr>
    </w:p>
    <w:p>
      <w:pPr>
        <w:pStyle w:val="BodyText"/>
        <w:spacing w:line="477" w:lineRule="auto"/>
        <w:ind w:right="977" w:firstLine="360"/>
        <w:jc w:val="left"/>
        <w:rPr>
          <w:rFonts w:ascii="宋体" w:hAnsi="宋体" w:cs="宋体" w:eastAsia="宋体" w:hint="default"/>
        </w:rPr>
      </w:pPr>
      <w:r>
        <w:rPr>
          <w:spacing w:val="-2"/>
        </w:rPr>
        <w:t>由于润建公司通信网络建设服务收入金额重大，且通信网络建设服务收入的确认及与之相关的完工百分比涉及管理层的</w:t>
      </w:r>
      <w:r>
        <w:rPr/>
        <w:t> 重大会计估计，因此我们将完工百分比法确认通信网络建设服务收入作为关键审计事项。</w:t>
      </w:r>
      <w:r>
        <w:rPr>
          <w:rFonts w:ascii="宋体" w:hAnsi="宋体" w:cs="宋体" w:eastAsia="宋体" w:hint="default"/>
        </w:rPr>
        <w:t> </w:t>
      </w:r>
    </w:p>
    <w:p>
      <w:pPr>
        <w:pStyle w:val="BodyText"/>
        <w:spacing w:line="240" w:lineRule="auto" w:before="54"/>
        <w:ind w:right="977"/>
        <w:jc w:val="left"/>
      </w:pPr>
      <w:r>
        <w:rPr>
          <w:rFonts w:ascii="Times New Roman" w:hAnsi="Times New Roman" w:cs="Times New Roman" w:eastAsia="Times New Roman" w:hint="default"/>
        </w:rPr>
        <w:t>2.</w:t>
      </w:r>
      <w:r>
        <w:rPr/>
        <w:t>审计应对</w:t>
      </w:r>
    </w:p>
    <w:p>
      <w:pPr>
        <w:spacing w:line="240" w:lineRule="auto" w:before="9"/>
        <w:rPr>
          <w:rFonts w:ascii="宋体" w:hAnsi="宋体" w:cs="宋体" w:eastAsia="宋体" w:hint="default"/>
          <w:sz w:val="16"/>
          <w:szCs w:val="16"/>
        </w:rPr>
      </w:pPr>
    </w:p>
    <w:p>
      <w:pPr>
        <w:pStyle w:val="BodyText"/>
        <w:spacing w:line="240" w:lineRule="auto"/>
        <w:ind w:left="473" w:right="977"/>
        <w:jc w:val="left"/>
        <w:rPr>
          <w:rFonts w:ascii="宋体" w:hAnsi="宋体" w:cs="宋体" w:eastAsia="宋体" w:hint="default"/>
        </w:rPr>
      </w:pPr>
      <w:r>
        <w:rPr/>
        <w:t>我们对通信网络建设服务收入确认实施的相关程序包括：</w:t>
      </w:r>
      <w:r>
        <w:rPr>
          <w:rFonts w:ascii="宋体" w:hAnsi="宋体" w:cs="宋体" w:eastAsia="宋体" w:hint="default"/>
        </w:rPr>
        <w:t> </w:t>
      </w:r>
    </w:p>
    <w:p>
      <w:pPr>
        <w:spacing w:line="240" w:lineRule="auto" w:before="10"/>
        <w:rPr>
          <w:rFonts w:ascii="宋体" w:hAnsi="宋体" w:cs="宋体" w:eastAsia="宋体" w:hint="default"/>
          <w:sz w:val="17"/>
          <w:szCs w:val="17"/>
        </w:rPr>
      </w:pPr>
    </w:p>
    <w:p>
      <w:pPr>
        <w:pStyle w:val="BodyText"/>
        <w:spacing w:line="240" w:lineRule="auto"/>
        <w:ind w:right="977"/>
        <w:jc w:val="left"/>
      </w:pPr>
      <w:r>
        <w:rPr/>
        <w:t>（</w:t>
      </w:r>
      <w:r>
        <w:rPr>
          <w:rFonts w:ascii="Times New Roman" w:hAnsi="Times New Roman" w:cs="Times New Roman" w:eastAsia="Times New Roman" w:hint="default"/>
        </w:rPr>
        <w:t>1</w:t>
      </w:r>
      <w:r>
        <w:rPr/>
        <w:t>）测试与通信网络建设服务预算编制和收入确认相关的内部控制。</w:t>
      </w:r>
    </w:p>
    <w:p>
      <w:pPr>
        <w:spacing w:line="240" w:lineRule="auto" w:before="9"/>
        <w:rPr>
          <w:rFonts w:ascii="宋体" w:hAnsi="宋体" w:cs="宋体" w:eastAsia="宋体" w:hint="default"/>
          <w:sz w:val="16"/>
          <w:szCs w:val="16"/>
        </w:rPr>
      </w:pPr>
    </w:p>
    <w:p>
      <w:pPr>
        <w:pStyle w:val="BodyText"/>
        <w:spacing w:line="451" w:lineRule="auto"/>
        <w:ind w:right="1124"/>
        <w:jc w:val="left"/>
      </w:pPr>
      <w:r>
        <w:rPr/>
        <w:t>（</w:t>
      </w:r>
      <w:r>
        <w:rPr>
          <w:rFonts w:ascii="Times New Roman" w:hAnsi="Times New Roman" w:cs="Times New Roman" w:eastAsia="Times New Roman" w:hint="default"/>
        </w:rPr>
        <w:t>2</w:t>
      </w:r>
      <w:r>
        <w:rPr/>
        <w:t>）获取通信网络建设服务台账，重新计算通信网络建设服务合同完工百分比的准确性，并抽样检查重大通信网络建设服</w:t>
      </w:r>
      <w:r>
        <w:rPr>
          <w:spacing w:val="-83"/>
        </w:rPr>
        <w:t> </w:t>
      </w:r>
      <w:r>
        <w:rPr>
          <w:spacing w:val="-83"/>
        </w:rPr>
      </w:r>
      <w:r>
        <w:rPr/>
        <w:t>务合同外部确认的工作量确认单，复核关键合同条款。</w:t>
      </w:r>
    </w:p>
    <w:p>
      <w:pPr>
        <w:pStyle w:val="BodyText"/>
        <w:spacing w:line="451" w:lineRule="auto" w:before="74"/>
        <w:ind w:right="1124"/>
        <w:jc w:val="left"/>
      </w:pPr>
      <w:r>
        <w:rPr/>
        <w:t>（</w:t>
      </w:r>
      <w:r>
        <w:rPr>
          <w:rFonts w:ascii="Times New Roman" w:hAnsi="Times New Roman" w:cs="Times New Roman" w:eastAsia="Times New Roman" w:hint="default"/>
        </w:rPr>
        <w:t>3</w:t>
      </w:r>
      <w:r>
        <w:rPr/>
        <w:t>）选取通信网络建设服务合同样本，检查预计总收入、预计总成本所依据的合同和成本预算资料，评价公司管理层对预</w:t>
      </w:r>
      <w:r>
        <w:rPr>
          <w:spacing w:val="-84"/>
        </w:rPr>
        <w:t> </w:t>
      </w:r>
      <w:r>
        <w:rPr>
          <w:spacing w:val="-84"/>
        </w:rPr>
      </w:r>
      <w:r>
        <w:rPr/>
        <w:t>计总收入和预计总成本的估计是否充分。</w:t>
      </w:r>
    </w:p>
    <w:p>
      <w:pPr>
        <w:pStyle w:val="BodyText"/>
        <w:spacing w:line="451" w:lineRule="auto" w:before="74"/>
        <w:ind w:right="1124"/>
        <w:jc w:val="left"/>
      </w:pPr>
      <w:r>
        <w:rPr/>
        <w:t>（</w:t>
      </w:r>
      <w:r>
        <w:rPr>
          <w:rFonts w:ascii="Times New Roman" w:hAnsi="Times New Roman" w:cs="Times New Roman" w:eastAsia="Times New Roman" w:hint="default"/>
        </w:rPr>
        <w:t>4</w:t>
      </w:r>
      <w:r>
        <w:rPr/>
        <w:t>）选取样本对本年度发生的项目成本进行测试，包括获取通信网络建设服务项目采购支出台账，检查采购合同、采购发</w:t>
      </w:r>
      <w:r>
        <w:rPr>
          <w:spacing w:val="-82"/>
        </w:rPr>
        <w:t> </w:t>
      </w:r>
      <w:r>
        <w:rPr>
          <w:spacing w:val="-82"/>
        </w:rPr>
      </w:r>
      <w:r>
        <w:rPr/>
        <w:t>票、工程结算记录，测试实际发生总成本的真实性及准确性，并与预算总成本对比，确定项目成本是否完整。</w:t>
      </w:r>
    </w:p>
    <w:p>
      <w:pPr>
        <w:pStyle w:val="BodyText"/>
        <w:spacing w:line="240" w:lineRule="auto" w:before="74"/>
        <w:ind w:right="977"/>
        <w:jc w:val="left"/>
      </w:pPr>
      <w:r>
        <w:rPr/>
        <w:t>（</w:t>
      </w:r>
      <w:r>
        <w:rPr>
          <w:rFonts w:ascii="Times New Roman" w:hAnsi="Times New Roman" w:cs="Times New Roman" w:eastAsia="Times New Roman" w:hint="default"/>
        </w:rPr>
        <w:t>5</w:t>
      </w:r>
      <w:r>
        <w:rPr/>
        <w:t>）执行截止性测试程序，检查相关项目收入、项目成本是否被记录在恰当的会计期间。</w:t>
      </w:r>
    </w:p>
    <w:p>
      <w:pPr>
        <w:spacing w:line="240" w:lineRule="auto" w:before="9"/>
        <w:rPr>
          <w:rFonts w:ascii="宋体" w:hAnsi="宋体" w:cs="宋体" w:eastAsia="宋体" w:hint="default"/>
          <w:sz w:val="16"/>
          <w:szCs w:val="16"/>
        </w:rPr>
      </w:pPr>
    </w:p>
    <w:p>
      <w:pPr>
        <w:pStyle w:val="BodyText"/>
        <w:spacing w:line="451" w:lineRule="auto"/>
        <w:ind w:right="1124"/>
        <w:jc w:val="left"/>
      </w:pPr>
      <w:r>
        <w:rPr/>
        <w:t>（</w:t>
      </w:r>
      <w:r>
        <w:rPr>
          <w:rFonts w:ascii="Times New Roman" w:hAnsi="Times New Roman" w:cs="Times New Roman" w:eastAsia="Times New Roman" w:hint="default"/>
        </w:rPr>
        <w:t>6</w:t>
      </w:r>
      <w:r>
        <w:rPr/>
        <w:t>）选取通信网络建设服务项目样本，对工程形象进度进行现场查看，与工程管理部门讨论确认工程的完工程度，并与外</w:t>
      </w:r>
      <w:r>
        <w:rPr>
          <w:spacing w:val="-82"/>
        </w:rPr>
        <w:t> </w:t>
      </w:r>
      <w:r>
        <w:rPr>
          <w:spacing w:val="-82"/>
        </w:rPr>
      </w:r>
      <w:r>
        <w:rPr/>
        <w:t>部验收确认的进度及账面记录进行比较，对异常偏差执行进一步的检查程序。</w:t>
      </w:r>
    </w:p>
    <w:p>
      <w:pPr>
        <w:pStyle w:val="BodyText"/>
        <w:spacing w:line="451" w:lineRule="auto" w:before="74"/>
        <w:ind w:left="473" w:right="977" w:hanging="361"/>
        <w:jc w:val="left"/>
        <w:rPr>
          <w:rFonts w:ascii="宋体" w:hAnsi="宋体" w:cs="宋体" w:eastAsia="宋体" w:hint="default"/>
        </w:rPr>
      </w:pPr>
      <w:r>
        <w:rPr/>
        <w:t>（</w:t>
      </w:r>
      <w:r>
        <w:rPr>
          <w:rFonts w:ascii="Times New Roman" w:hAnsi="Times New Roman" w:cs="Times New Roman" w:eastAsia="Times New Roman" w:hint="default"/>
        </w:rPr>
        <w:t>7</w:t>
      </w:r>
      <w:r>
        <w:rPr/>
        <w:t>）对本期主要执行项目的合同信息、工作量确认单信息、项目进度列式清单向客户函证。 基于上述工作结果，我们认为相关证据能够支持润建公司管理层对于通信网络建设服务收入确认做出的会计估计。</w:t>
      </w:r>
      <w:r>
        <w:rPr>
          <w:rFonts w:ascii="宋体" w:hAnsi="宋体" w:cs="宋体" w:eastAsia="宋体" w:hint="default"/>
        </w:rPr>
        <w:t> </w:t>
      </w:r>
    </w:p>
    <w:p>
      <w:pPr>
        <w:pStyle w:val="Heading4"/>
        <w:spacing w:line="240" w:lineRule="auto" w:before="74"/>
        <w:ind w:right="977"/>
        <w:jc w:val="left"/>
        <w:rPr>
          <w:b w:val="0"/>
          <w:bCs w:val="0"/>
        </w:rPr>
      </w:pPr>
      <w:r>
        <w:rPr/>
        <w:t>（二）应收款项的坏账准备</w:t>
      </w:r>
      <w:r>
        <w:rPr>
          <w:b w:val="0"/>
          <w:bCs w:val="0"/>
        </w:rPr>
      </w:r>
    </w:p>
    <w:p>
      <w:pPr>
        <w:spacing w:line="240" w:lineRule="auto" w:before="10"/>
        <w:rPr>
          <w:rFonts w:ascii="宋体" w:hAnsi="宋体" w:cs="宋体" w:eastAsia="宋体" w:hint="default"/>
          <w:b/>
          <w:bCs/>
          <w:sz w:val="17"/>
          <w:szCs w:val="17"/>
        </w:rPr>
      </w:pPr>
    </w:p>
    <w:p>
      <w:pPr>
        <w:pStyle w:val="BodyText"/>
        <w:spacing w:line="240" w:lineRule="auto"/>
        <w:ind w:right="977"/>
        <w:jc w:val="left"/>
      </w:pPr>
      <w:r>
        <w:rPr>
          <w:rFonts w:ascii="Times New Roman" w:hAnsi="Times New Roman" w:cs="Times New Roman" w:eastAsia="Times New Roman" w:hint="default"/>
        </w:rPr>
        <w:t>1.</w:t>
      </w:r>
      <w:r>
        <w:rPr/>
        <w:t>事项描述</w:t>
      </w:r>
    </w:p>
    <w:p>
      <w:pPr>
        <w:spacing w:line="240" w:lineRule="auto" w:before="9"/>
        <w:rPr>
          <w:rFonts w:ascii="宋体" w:hAnsi="宋体" w:cs="宋体" w:eastAsia="宋体" w:hint="default"/>
          <w:sz w:val="16"/>
          <w:szCs w:val="16"/>
        </w:rPr>
      </w:pPr>
    </w:p>
    <w:p>
      <w:pPr>
        <w:pStyle w:val="BodyText"/>
        <w:spacing w:line="477" w:lineRule="auto"/>
        <w:ind w:right="1122" w:firstLine="360"/>
        <w:jc w:val="left"/>
        <w:rPr>
          <w:rFonts w:ascii="宋体" w:hAnsi="宋体" w:cs="宋体" w:eastAsia="宋体" w:hint="default"/>
        </w:rPr>
      </w:pPr>
      <w:r>
        <w:rPr>
          <w:spacing w:val="-2"/>
        </w:rPr>
        <w:t>参见财务报表附注三、</w:t>
      </w:r>
      <w:r>
        <w:rPr>
          <w:rFonts w:ascii="宋体" w:hAnsi="宋体" w:cs="宋体" w:eastAsia="宋体" w:hint="default"/>
          <w:spacing w:val="-2"/>
        </w:rPr>
        <w:t>10</w:t>
      </w:r>
      <w:r>
        <w:rPr>
          <w:rFonts w:ascii="宋体" w:hAnsi="宋体" w:cs="宋体" w:eastAsia="宋体" w:hint="default"/>
          <w:spacing w:val="20"/>
        </w:rPr>
        <w:t> </w:t>
      </w:r>
      <w:r>
        <w:rPr>
          <w:spacing w:val="-2"/>
        </w:rPr>
        <w:t>金融工具，附注三、</w:t>
      </w:r>
      <w:r>
        <w:rPr>
          <w:rFonts w:ascii="宋体" w:hAnsi="宋体" w:cs="宋体" w:eastAsia="宋体" w:hint="default"/>
          <w:spacing w:val="-2"/>
        </w:rPr>
        <w:t>11</w:t>
      </w:r>
      <w:r>
        <w:rPr>
          <w:spacing w:val="-2"/>
        </w:rPr>
        <w:t>应收款项的减值测试方法及减值准备计提方法，以及附注五、</w:t>
      </w:r>
      <w:r>
        <w:rPr>
          <w:rFonts w:ascii="宋体" w:hAnsi="宋体" w:cs="宋体" w:eastAsia="宋体" w:hint="default"/>
          <w:spacing w:val="-2"/>
        </w:rPr>
        <w:t>2</w:t>
      </w:r>
      <w:r>
        <w:rPr>
          <w:spacing w:val="-2"/>
        </w:rPr>
        <w:t>应收票</w:t>
      </w:r>
      <w:r>
        <w:rPr/>
        <w:t> 据及应收账款和附注五、</w:t>
      </w:r>
      <w:r>
        <w:rPr>
          <w:rFonts w:ascii="宋体" w:hAnsi="宋体" w:cs="宋体" w:eastAsia="宋体" w:hint="default"/>
        </w:rPr>
        <w:t>4</w:t>
      </w:r>
      <w:r>
        <w:rPr/>
        <w:t>其他应收款（以下合称“应收款项”）。</w:t>
      </w:r>
      <w:r>
        <w:rPr>
          <w:rFonts w:ascii="宋体" w:hAnsi="宋体" w:cs="宋体" w:eastAsia="宋体" w:hint="default"/>
        </w:rPr>
        <w:t> </w:t>
      </w:r>
    </w:p>
    <w:p>
      <w:pPr>
        <w:pStyle w:val="BodyText"/>
        <w:spacing w:line="240" w:lineRule="auto" w:before="54"/>
        <w:ind w:left="473" w:right="977"/>
        <w:jc w:val="left"/>
      </w:pPr>
      <w:r>
        <w:rPr>
          <w:spacing w:val="5"/>
        </w:rPr>
        <w:t>截至</w:t>
      </w:r>
      <w:r>
        <w:rPr>
          <w:rFonts w:ascii="宋体" w:hAnsi="宋体" w:cs="宋体" w:eastAsia="宋体" w:hint="default"/>
          <w:spacing w:val="5"/>
        </w:rPr>
        <w:t>2018</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日，润建公司的应收款项原值为</w:t>
      </w:r>
      <w:r>
        <w:rPr>
          <w:rFonts w:ascii="宋体" w:hAnsi="宋体" w:cs="宋体" w:eastAsia="宋体" w:hint="default"/>
          <w:spacing w:val="5"/>
        </w:rPr>
        <w:t>170,703.88</w:t>
      </w:r>
      <w:r>
        <w:rPr>
          <w:spacing w:val="5"/>
        </w:rPr>
        <w:t>万元，已计提坏账准备</w:t>
      </w:r>
      <w:r>
        <w:rPr>
          <w:rFonts w:ascii="宋体" w:hAnsi="宋体" w:cs="宋体" w:eastAsia="宋体" w:hint="default"/>
          <w:spacing w:val="5"/>
        </w:rPr>
        <w:t>13,778.38</w:t>
      </w:r>
      <w:r>
        <w:rPr>
          <w:spacing w:val="5"/>
        </w:rPr>
        <w:t>万元，账面价值为</w:t>
      </w:r>
    </w:p>
    <w:p>
      <w:pPr>
        <w:spacing w:line="240" w:lineRule="auto" w:before="10"/>
        <w:rPr>
          <w:rFonts w:ascii="宋体" w:hAnsi="宋体" w:cs="宋体" w:eastAsia="宋体" w:hint="default"/>
          <w:sz w:val="17"/>
          <w:szCs w:val="17"/>
        </w:rPr>
      </w:pPr>
    </w:p>
    <w:p>
      <w:pPr>
        <w:pStyle w:val="BodyText"/>
        <w:spacing w:line="240" w:lineRule="auto"/>
        <w:ind w:right="977"/>
        <w:jc w:val="left"/>
        <w:rPr>
          <w:rFonts w:ascii="宋体" w:hAnsi="宋体" w:cs="宋体" w:eastAsia="宋体" w:hint="default"/>
        </w:rPr>
      </w:pPr>
      <w:r>
        <w:rPr>
          <w:rFonts w:ascii="宋体" w:hAnsi="宋体" w:cs="宋体" w:eastAsia="宋体" w:hint="default"/>
        </w:rPr>
        <w:t>156,925.50</w:t>
      </w:r>
      <w:r>
        <w:rPr/>
        <w:t>万元，占期末资产总额的</w:t>
      </w:r>
      <w:r>
        <w:rPr>
          <w:rFonts w:ascii="宋体" w:hAnsi="宋体" w:cs="宋体" w:eastAsia="宋体" w:hint="default"/>
        </w:rPr>
        <w:t>40.10%</w:t>
      </w:r>
      <w:r>
        <w:rPr/>
        <w:t>。</w:t>
      </w:r>
      <w:r>
        <w:rPr>
          <w:rFonts w:ascii="宋体" w:hAnsi="宋体" w:cs="宋体" w:eastAsia="宋体" w:hint="default"/>
        </w:rPr>
        <w:t> </w:t>
      </w:r>
    </w:p>
    <w:p>
      <w:pPr>
        <w:spacing w:line="240" w:lineRule="auto" w:before="10"/>
        <w:rPr>
          <w:rFonts w:ascii="宋体" w:hAnsi="宋体" w:cs="宋体" w:eastAsia="宋体" w:hint="default"/>
          <w:sz w:val="17"/>
          <w:szCs w:val="17"/>
        </w:rPr>
      </w:pPr>
    </w:p>
    <w:p>
      <w:pPr>
        <w:pStyle w:val="BodyText"/>
        <w:spacing w:line="240" w:lineRule="auto"/>
        <w:ind w:left="473" w:right="977"/>
        <w:jc w:val="left"/>
      </w:pPr>
      <w:r>
        <w:rPr/>
        <w:t>润建公司管理层需要在每个资产负债表日对应收款项的收回风险进行评估</w:t>
      </w:r>
      <w:r>
        <w:rPr>
          <w:spacing w:val="-82"/>
        </w:rPr>
        <w:t>，</w:t>
      </w:r>
      <w:r>
        <w:rPr/>
        <w:t>确定是否需要计提减值准备并确定减值准备</w:t>
      </w:r>
    </w:p>
    <w:p>
      <w:pPr>
        <w:spacing w:after="0" w:line="240" w:lineRule="auto"/>
        <w:jc w:val="left"/>
        <w:sectPr>
          <w:pgSz w:w="11910" w:h="16840"/>
          <w:pgMar w:header="910" w:footer="1013" w:top="1100" w:bottom="1200" w:left="1020" w:right="0"/>
        </w:sectPr>
      </w:pPr>
    </w:p>
    <w:p>
      <w:pPr>
        <w:spacing w:line="240" w:lineRule="auto" w:before="9"/>
        <w:rPr>
          <w:rFonts w:ascii="宋体" w:hAnsi="宋体" w:cs="宋体" w:eastAsia="宋体" w:hint="default"/>
          <w:sz w:val="28"/>
          <w:szCs w:val="28"/>
        </w:rPr>
      </w:pPr>
    </w:p>
    <w:p>
      <w:pPr>
        <w:pStyle w:val="BodyText"/>
        <w:spacing w:line="477" w:lineRule="auto" w:before="44"/>
        <w:ind w:right="977"/>
        <w:jc w:val="left"/>
      </w:pPr>
      <w:r>
        <w:rPr>
          <w:spacing w:val="-2"/>
        </w:rPr>
        <w:t>的计提方法。由于应收款项金额重大且减值评估及预计损失计提比例涉及重大管理层判断，需要考虑应收款项账龄、是否存</w:t>
      </w:r>
      <w:r>
        <w:rPr>
          <w:spacing w:val="-65"/>
        </w:rPr>
        <w:t> </w:t>
      </w:r>
      <w:r>
        <w:rPr>
          <w:spacing w:val="-65"/>
        </w:rPr>
      </w:r>
      <w:r>
        <w:rPr/>
        <w:t>在争议、近期历史付款模式及有关客户信誉等其他可取得资料，因此我们将应收款项的坏账准备确定为关键审计事项。</w:t>
      </w:r>
      <w:r>
        <w:rPr>
          <w:rFonts w:ascii="宋体" w:hAnsi="宋体" w:cs="宋体" w:eastAsia="宋体" w:hint="default"/>
        </w:rPr>
        <w:t> </w:t>
      </w:r>
      <w:r>
        <w:rPr>
          <w:rFonts w:ascii="Times New Roman" w:hAnsi="Times New Roman" w:cs="Times New Roman" w:eastAsia="Times New Roman" w:hint="default"/>
        </w:rPr>
        <w:t>2.</w:t>
      </w:r>
      <w:r>
        <w:rPr/>
        <w:t>审计应对</w:t>
      </w:r>
    </w:p>
    <w:p>
      <w:pPr>
        <w:pStyle w:val="BodyText"/>
        <w:spacing w:line="240" w:lineRule="auto" w:before="21"/>
        <w:ind w:left="473" w:right="977"/>
        <w:jc w:val="left"/>
        <w:rPr>
          <w:rFonts w:ascii="宋体" w:hAnsi="宋体" w:cs="宋体" w:eastAsia="宋体" w:hint="default"/>
        </w:rPr>
      </w:pPr>
      <w:r>
        <w:rPr/>
        <w:t>我们对应收款项坏账准备实施的相关程序包括：</w:t>
      </w:r>
      <w:r>
        <w:rPr>
          <w:rFonts w:ascii="宋体" w:hAnsi="宋体" w:cs="宋体" w:eastAsia="宋体" w:hint="default"/>
        </w:rPr>
        <w:t> </w:t>
      </w:r>
    </w:p>
    <w:p>
      <w:pPr>
        <w:spacing w:line="240" w:lineRule="auto" w:before="10"/>
        <w:rPr>
          <w:rFonts w:ascii="宋体" w:hAnsi="宋体" w:cs="宋体" w:eastAsia="宋体" w:hint="default"/>
          <w:sz w:val="17"/>
          <w:szCs w:val="17"/>
        </w:rPr>
      </w:pPr>
    </w:p>
    <w:p>
      <w:pPr>
        <w:pStyle w:val="BodyText"/>
        <w:spacing w:line="240" w:lineRule="auto"/>
        <w:ind w:right="977"/>
        <w:jc w:val="left"/>
      </w:pPr>
      <w:r>
        <w:rPr/>
        <w:t>（</w:t>
      </w:r>
      <w:r>
        <w:rPr>
          <w:rFonts w:ascii="Times New Roman" w:hAnsi="Times New Roman" w:cs="Times New Roman" w:eastAsia="Times New Roman" w:hint="default"/>
        </w:rPr>
        <w:t>1</w:t>
      </w:r>
      <w:r>
        <w:rPr/>
        <w:t>）评价和测试对应收款项可回收性进行评估相关的内部控制。</w:t>
      </w:r>
    </w:p>
    <w:p>
      <w:pPr>
        <w:spacing w:line="240" w:lineRule="auto" w:before="9"/>
        <w:rPr>
          <w:rFonts w:ascii="宋体" w:hAnsi="宋体" w:cs="宋体" w:eastAsia="宋体" w:hint="default"/>
          <w:sz w:val="16"/>
          <w:szCs w:val="16"/>
        </w:rPr>
      </w:pPr>
    </w:p>
    <w:p>
      <w:pPr>
        <w:pStyle w:val="BodyText"/>
        <w:spacing w:line="451" w:lineRule="auto"/>
        <w:ind w:right="1124"/>
        <w:jc w:val="left"/>
      </w:pPr>
      <w:r>
        <w:rPr/>
        <w:t>（</w:t>
      </w:r>
      <w:r>
        <w:rPr>
          <w:rFonts w:ascii="Times New Roman" w:hAnsi="Times New Roman" w:cs="Times New Roman" w:eastAsia="Times New Roman" w:hint="default"/>
        </w:rPr>
        <w:t>2</w:t>
      </w:r>
      <w:r>
        <w:rPr/>
        <w:t>）评估管理层本年坏账政策是否与上年保持一致，并评估管理层计算应收款项坏账准备时所采用的方法、输入数据和假</w:t>
      </w:r>
      <w:r>
        <w:rPr>
          <w:spacing w:val="-84"/>
        </w:rPr>
        <w:t> </w:t>
      </w:r>
      <w:r>
        <w:rPr>
          <w:spacing w:val="-84"/>
        </w:rPr>
      </w:r>
      <w:r>
        <w:rPr/>
        <w:t>设的准确性，并复核其坏账准备计提是否充分。</w:t>
      </w:r>
    </w:p>
    <w:p>
      <w:pPr>
        <w:pStyle w:val="BodyText"/>
        <w:spacing w:line="240" w:lineRule="auto" w:before="74"/>
        <w:ind w:right="0"/>
        <w:jc w:val="left"/>
      </w:pPr>
      <w:r>
        <w:rPr/>
        <w:t>（</w:t>
      </w:r>
      <w:r>
        <w:rPr>
          <w:rFonts w:ascii="Times New Roman" w:hAnsi="Times New Roman" w:cs="Times New Roman" w:eastAsia="Times New Roman" w:hint="default"/>
        </w:rPr>
        <w:t>3</w:t>
      </w:r>
      <w:r>
        <w:rPr/>
        <w:t>）取得润建公司应收款项发生实际坏账损失的历史数据，评价管理层制定的坏账准备计提比例等的估计和假设的合理性。</w:t>
      </w:r>
    </w:p>
    <w:p>
      <w:pPr>
        <w:spacing w:line="240" w:lineRule="auto" w:before="9"/>
        <w:rPr>
          <w:rFonts w:ascii="宋体" w:hAnsi="宋体" w:cs="宋体" w:eastAsia="宋体" w:hint="default"/>
          <w:sz w:val="16"/>
          <w:szCs w:val="16"/>
        </w:rPr>
      </w:pPr>
    </w:p>
    <w:p>
      <w:pPr>
        <w:pStyle w:val="BodyText"/>
        <w:spacing w:line="451" w:lineRule="auto"/>
        <w:ind w:right="1124"/>
        <w:jc w:val="left"/>
      </w:pPr>
      <w:r>
        <w:rPr/>
        <w:t>（</w:t>
      </w:r>
      <w:r>
        <w:rPr>
          <w:rFonts w:ascii="Times New Roman" w:hAnsi="Times New Roman" w:cs="Times New Roman" w:eastAsia="Times New Roman" w:hint="default"/>
        </w:rPr>
        <w:t>4</w:t>
      </w:r>
      <w:r>
        <w:rPr/>
        <w:t>）选取样本，检查与应收款项余额相关的销售合同、销售发票、结算审定记录，评价按账龄组合计提坏账准备的应收款</w:t>
      </w:r>
      <w:r>
        <w:rPr>
          <w:spacing w:val="-83"/>
        </w:rPr>
        <w:t> </w:t>
      </w:r>
      <w:r>
        <w:rPr>
          <w:spacing w:val="-83"/>
        </w:rPr>
      </w:r>
      <w:r>
        <w:rPr/>
        <w:t>项的账龄区间划分是否恰当。</w:t>
      </w:r>
    </w:p>
    <w:p>
      <w:pPr>
        <w:pStyle w:val="BodyText"/>
        <w:spacing w:line="451" w:lineRule="auto" w:before="74"/>
        <w:ind w:right="1124"/>
        <w:jc w:val="left"/>
      </w:pPr>
      <w:r>
        <w:rPr/>
        <w:t>（</w:t>
      </w:r>
      <w:r>
        <w:rPr>
          <w:rFonts w:ascii="Times New Roman" w:hAnsi="Times New Roman" w:cs="Times New Roman" w:eastAsia="Times New Roman" w:hint="default"/>
        </w:rPr>
        <w:t>5</w:t>
      </w:r>
      <w:r>
        <w:rPr/>
        <w:t>）选取样本，复核管理层针对个别认定应收款项所预计的未来现金流量现值的恰当性，包括检查开具的销售发票、客户</w:t>
      </w:r>
      <w:r>
        <w:rPr>
          <w:spacing w:val="-84"/>
        </w:rPr>
        <w:t> </w:t>
      </w:r>
      <w:r>
        <w:rPr>
          <w:spacing w:val="-84"/>
        </w:rPr>
      </w:r>
      <w:r>
        <w:rPr/>
        <w:t>的期后回款记录等资料。</w:t>
      </w:r>
    </w:p>
    <w:p>
      <w:pPr>
        <w:pStyle w:val="BodyText"/>
        <w:spacing w:line="240" w:lineRule="auto" w:before="74"/>
        <w:ind w:right="977"/>
        <w:jc w:val="left"/>
      </w:pPr>
      <w:r>
        <w:rPr/>
        <w:t>（</w:t>
      </w:r>
      <w:r>
        <w:rPr>
          <w:rFonts w:ascii="Times New Roman" w:hAnsi="Times New Roman" w:cs="Times New Roman" w:eastAsia="Times New Roman" w:hint="default"/>
        </w:rPr>
        <w:t>6</w:t>
      </w:r>
      <w:r>
        <w:rPr/>
        <w:t>）获取应收款项坏账准备计提表，分析检查管理层坏账计提金额的准确性。</w:t>
      </w:r>
    </w:p>
    <w:p>
      <w:pPr>
        <w:spacing w:line="240" w:lineRule="auto" w:before="9"/>
        <w:rPr>
          <w:rFonts w:ascii="宋体" w:hAnsi="宋体" w:cs="宋体" w:eastAsia="宋体" w:hint="default"/>
          <w:sz w:val="16"/>
          <w:szCs w:val="16"/>
        </w:rPr>
      </w:pPr>
    </w:p>
    <w:p>
      <w:pPr>
        <w:pStyle w:val="BodyText"/>
        <w:spacing w:line="451" w:lineRule="auto"/>
        <w:ind w:left="473" w:right="977" w:hanging="361"/>
        <w:jc w:val="left"/>
        <w:rPr>
          <w:rFonts w:ascii="宋体" w:hAnsi="宋体" w:cs="宋体" w:eastAsia="宋体" w:hint="default"/>
        </w:rPr>
      </w:pPr>
      <w:r>
        <w:rPr/>
        <w:t>（</w:t>
      </w:r>
      <w:r>
        <w:rPr>
          <w:rFonts w:ascii="Times New Roman" w:hAnsi="Times New Roman" w:cs="Times New Roman" w:eastAsia="Times New Roman" w:hint="default"/>
        </w:rPr>
        <w:t>7</w:t>
      </w:r>
      <w:r>
        <w:rPr/>
        <w:t>）选取样本对金额重大、账龄长的应收款项余额实施了函证程序。 基于上述工作结果，我们认为相关证据能够支持润建公司管理层对于应收款项坏账准备作出的判断和估计。</w:t>
      </w:r>
      <w:r>
        <w:rPr>
          <w:rFonts w:ascii="宋体" w:hAnsi="宋体" w:cs="宋体" w:eastAsia="宋体" w:hint="default"/>
        </w:rPr>
        <w:t> </w:t>
      </w:r>
    </w:p>
    <w:p>
      <w:pPr>
        <w:pStyle w:val="Heading4"/>
        <w:spacing w:line="240" w:lineRule="auto" w:before="74"/>
        <w:ind w:right="977"/>
        <w:jc w:val="left"/>
        <w:rPr>
          <w:b w:val="0"/>
          <w:bCs w:val="0"/>
        </w:rPr>
      </w:pPr>
      <w:r>
        <w:rPr/>
        <w:t>四、其他信息</w:t>
      </w:r>
      <w:r>
        <w:rPr>
          <w:b w:val="0"/>
          <w:bCs w:val="0"/>
        </w:rPr>
      </w:r>
    </w:p>
    <w:p>
      <w:pPr>
        <w:spacing w:line="240" w:lineRule="auto" w:before="10"/>
        <w:rPr>
          <w:rFonts w:ascii="宋体" w:hAnsi="宋体" w:cs="宋体" w:eastAsia="宋体" w:hint="default"/>
          <w:b/>
          <w:bCs/>
          <w:sz w:val="17"/>
          <w:szCs w:val="17"/>
        </w:rPr>
      </w:pPr>
    </w:p>
    <w:p>
      <w:pPr>
        <w:pStyle w:val="BodyText"/>
        <w:spacing w:line="477" w:lineRule="auto"/>
        <w:ind w:right="977" w:firstLine="360"/>
        <w:jc w:val="left"/>
        <w:rPr>
          <w:rFonts w:ascii="宋体" w:hAnsi="宋体" w:cs="宋体" w:eastAsia="宋体" w:hint="default"/>
        </w:rPr>
      </w:pPr>
      <w:r>
        <w:rPr>
          <w:spacing w:val="-2"/>
        </w:rPr>
        <w:t>润建公司管理层（以下简称管理层）对其他信息负责。其他信息包括润建公司</w:t>
      </w:r>
      <w:r>
        <w:rPr>
          <w:rFonts w:ascii="宋体" w:hAnsi="宋体" w:cs="宋体" w:eastAsia="宋体" w:hint="default"/>
          <w:spacing w:val="-2"/>
        </w:rPr>
        <w:t>2018</w:t>
      </w:r>
      <w:r>
        <w:rPr>
          <w:spacing w:val="-2"/>
        </w:rPr>
        <w:t>年度报告中涵盖的信息，但不包括财</w:t>
      </w:r>
      <w:r>
        <w:rPr/>
        <w:t> 务报表和我们的审计报告。</w:t>
      </w:r>
      <w:r>
        <w:rPr>
          <w:rFonts w:ascii="宋体" w:hAnsi="宋体" w:cs="宋体" w:eastAsia="宋体" w:hint="default"/>
        </w:rPr>
        <w:t> </w:t>
      </w:r>
    </w:p>
    <w:p>
      <w:pPr>
        <w:pStyle w:val="BodyText"/>
        <w:spacing w:line="477" w:lineRule="auto" w:before="54"/>
        <w:ind w:left="473" w:right="977"/>
        <w:jc w:val="left"/>
      </w:pPr>
      <w:r>
        <w:rPr/>
        <w:t>我们对财务报表发表的审计意见不涵盖其他信息，我们也不对其他信息发表任何形式的鉴证结论。</w:t>
      </w:r>
      <w:r>
        <w:rPr>
          <w:rFonts w:ascii="宋体" w:hAnsi="宋体" w:cs="宋体" w:eastAsia="宋体" w:hint="default"/>
        </w:rPr>
        <w:t> </w:t>
      </w:r>
      <w:r>
        <w:rPr>
          <w:spacing w:val="-2"/>
        </w:rPr>
        <w:t>结合我们对财务报表的审计，我们的责任是阅读其他信息，在此过程中，考虑其他信息是否与财务报表或我们在审计过</w:t>
      </w:r>
    </w:p>
    <w:p>
      <w:pPr>
        <w:pStyle w:val="BodyText"/>
        <w:spacing w:line="477" w:lineRule="auto" w:before="54"/>
        <w:ind w:left="473" w:right="977" w:hanging="361"/>
        <w:jc w:val="left"/>
      </w:pPr>
      <w:r>
        <w:rPr/>
        <w:t>程中了解到的情况存在重大不一致或者似乎存在重大错报。</w:t>
      </w:r>
      <w:r>
        <w:rPr>
          <w:rFonts w:ascii="宋体" w:hAnsi="宋体" w:cs="宋体" w:eastAsia="宋体" w:hint="default"/>
        </w:rPr>
        <w:t> </w:t>
      </w:r>
      <w:r>
        <w:rPr>
          <w:spacing w:val="-2"/>
        </w:rPr>
        <w:t>基于我们已执行的工作，如果我们确定其他信息存在重大错报，我们应当报告该事实。在这方面，我们无任何事项需要</w:t>
      </w:r>
    </w:p>
    <w:p>
      <w:pPr>
        <w:pStyle w:val="Heading4"/>
        <w:spacing w:line="477" w:lineRule="auto" w:before="55"/>
        <w:ind w:right="7682"/>
        <w:jc w:val="left"/>
        <w:rPr>
          <w:b w:val="0"/>
          <w:bCs w:val="0"/>
        </w:rPr>
      </w:pPr>
      <w:r>
        <w:rPr>
          <w:rFonts w:ascii="宋体" w:hAnsi="宋体" w:cs="宋体" w:eastAsia="宋体" w:hint="default"/>
          <w:b w:val="0"/>
          <w:bCs w:val="0"/>
        </w:rPr>
        <w:t>报告。</w:t>
      </w:r>
      <w:r>
        <w:rPr>
          <w:rFonts w:ascii="宋体" w:hAnsi="宋体" w:cs="宋体" w:eastAsia="宋体" w:hint="default"/>
          <w:b w:val="0"/>
          <w:bCs w:val="0"/>
        </w:rPr>
        <w:t> </w:t>
      </w:r>
      <w:r>
        <w:rPr/>
        <w:t>五、管理层和治理层对财务报表的责任</w:t>
      </w:r>
      <w:r>
        <w:rPr>
          <w:b w:val="0"/>
          <w:bCs w:val="0"/>
        </w:rPr>
      </w:r>
    </w:p>
    <w:p>
      <w:pPr>
        <w:pStyle w:val="BodyText"/>
        <w:spacing w:line="477" w:lineRule="auto" w:before="54"/>
        <w:ind w:right="977" w:firstLine="360"/>
        <w:jc w:val="left"/>
        <w:rPr>
          <w:rFonts w:ascii="宋体" w:hAnsi="宋体" w:cs="宋体" w:eastAsia="宋体" w:hint="default"/>
        </w:rPr>
      </w:pPr>
      <w:r>
        <w:rPr>
          <w:spacing w:val="-4"/>
        </w:rPr>
        <w:t>润建公司管理层负责按照企业会计准则的规定编制财务报表，使其实现公允反映，并设计、执行和维护必要的内部控制，</w:t>
      </w:r>
      <w:r>
        <w:rPr/>
        <w:t> 以使财务报表不存在由于舞弊或错误导致的重大错报。</w:t>
      </w:r>
      <w:r>
        <w:rPr>
          <w:rFonts w:ascii="宋体" w:hAnsi="宋体" w:cs="宋体" w:eastAsia="宋体" w:hint="default"/>
        </w:rPr>
        <w:t> </w:t>
      </w:r>
    </w:p>
    <w:p>
      <w:pPr>
        <w:pStyle w:val="BodyText"/>
        <w:spacing w:line="477" w:lineRule="auto" w:before="54"/>
        <w:ind w:right="977" w:firstLine="360"/>
        <w:jc w:val="left"/>
        <w:rPr>
          <w:rFonts w:ascii="宋体" w:hAnsi="宋体" w:cs="宋体" w:eastAsia="宋体" w:hint="default"/>
        </w:rPr>
      </w:pPr>
      <w:r>
        <w:rPr>
          <w:spacing w:val="-2"/>
        </w:rPr>
        <w:t>在编制财务报表时，管理层负责评估润建公司的持续经营能力，披露与持续经营相关的事项，并运用持续经营假设，除</w:t>
      </w:r>
      <w:r>
        <w:rPr/>
        <w:t> 非管理层计划清算润建公司、终止运营或别无其他现实的选择。</w:t>
      </w:r>
      <w:r>
        <w:rPr>
          <w:rFonts w:ascii="宋体" w:hAnsi="宋体" w:cs="宋体" w:eastAsia="宋体" w:hint="default"/>
        </w:rPr>
        <w:t> </w:t>
      </w:r>
    </w:p>
    <w:p>
      <w:pPr>
        <w:spacing w:line="477" w:lineRule="auto" w:before="54"/>
        <w:ind w:left="112" w:right="6794" w:firstLine="360"/>
        <w:jc w:val="left"/>
        <w:rPr>
          <w:rFonts w:ascii="宋体" w:hAnsi="宋体" w:cs="宋体" w:eastAsia="宋体" w:hint="default"/>
          <w:sz w:val="18"/>
          <w:szCs w:val="18"/>
        </w:rPr>
      </w:pPr>
      <w:r>
        <w:rPr>
          <w:rFonts w:ascii="宋体" w:hAnsi="宋体" w:cs="宋体" w:eastAsia="宋体" w:hint="default"/>
          <w:sz w:val="18"/>
          <w:szCs w:val="18"/>
        </w:rPr>
        <w:t>治理层负责监督润建公司的财务报告过程。</w:t>
      </w:r>
      <w:r>
        <w:rPr>
          <w:rFonts w:ascii="宋体" w:hAnsi="宋体" w:cs="宋体" w:eastAsia="宋体" w:hint="default"/>
          <w:sz w:val="18"/>
          <w:szCs w:val="18"/>
        </w:rPr>
        <w:t>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spacing w:after="0" w:line="477" w:lineRule="auto"/>
        <w:jc w:val="left"/>
        <w:rPr>
          <w:rFonts w:ascii="宋体" w:hAnsi="宋体" w:cs="宋体" w:eastAsia="宋体" w:hint="default"/>
          <w:sz w:val="18"/>
          <w:szCs w:val="18"/>
        </w:rPr>
        <w:sectPr>
          <w:pgSz w:w="11910" w:h="16840"/>
          <w:pgMar w:header="910" w:footer="1013" w:top="1100" w:bottom="1200" w:left="1020" w:right="0"/>
        </w:sectPr>
      </w:pPr>
    </w:p>
    <w:p>
      <w:pPr>
        <w:spacing w:line="240" w:lineRule="auto" w:before="9"/>
        <w:rPr>
          <w:rFonts w:ascii="宋体" w:hAnsi="宋体" w:cs="宋体" w:eastAsia="宋体" w:hint="default"/>
          <w:b/>
          <w:bCs/>
          <w:sz w:val="28"/>
          <w:szCs w:val="28"/>
        </w:rPr>
      </w:pPr>
    </w:p>
    <w:p>
      <w:pPr>
        <w:pStyle w:val="BodyText"/>
        <w:spacing w:line="477" w:lineRule="auto" w:before="44"/>
        <w:ind w:right="1129" w:firstLine="360"/>
        <w:jc w:val="both"/>
        <w:rPr>
          <w:rFonts w:ascii="宋体" w:hAnsi="宋体" w:cs="宋体" w:eastAsia="宋体" w:hint="default"/>
        </w:rPr>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2"/>
        </w:rPr>
        <w:t> </w:t>
      </w:r>
      <w:r>
        <w:rPr>
          <w:spacing w:val="-62"/>
        </w:rPr>
      </w:r>
      <w:r>
        <w:rPr>
          <w:spacing w:val="-2"/>
        </w:rPr>
        <w:t>或错误导致，如果合理预期错报单独或汇总起来可能影响财务报表使用者依据财务报表作出的经济决策，则通常认为错报是</w:t>
      </w:r>
      <w:r>
        <w:rPr>
          <w:spacing w:val="-63"/>
        </w:rPr>
        <w:t> </w:t>
      </w:r>
      <w:r>
        <w:rPr>
          <w:spacing w:val="-63"/>
        </w:rPr>
      </w:r>
      <w:r>
        <w:rPr/>
        <w:t>重大的。</w:t>
      </w:r>
      <w:r>
        <w:rPr>
          <w:rFonts w:ascii="宋体" w:hAnsi="宋体" w:cs="宋体" w:eastAsia="宋体" w:hint="default"/>
        </w:rPr>
        <w:t> </w:t>
      </w:r>
    </w:p>
    <w:p>
      <w:pPr>
        <w:pStyle w:val="BodyText"/>
        <w:spacing w:line="240" w:lineRule="auto" w:before="54"/>
        <w:ind w:left="473" w:right="977"/>
        <w:jc w:val="left"/>
        <w:rPr>
          <w:rFonts w:ascii="宋体" w:hAnsi="宋体" w:cs="宋体" w:eastAsia="宋体" w:hint="default"/>
        </w:rPr>
      </w:pPr>
      <w:r>
        <w:rPr/>
        <w:t>在按照审计准则执行审计工作的过程中，我们运用职业判断，并保持职业怀疑。同时，我们也执行以下工作：</w:t>
      </w:r>
      <w:r>
        <w:rPr>
          <w:rFonts w:ascii="宋体" w:hAnsi="宋体" w:cs="宋体" w:eastAsia="宋体" w:hint="default"/>
        </w:rPr>
        <w:t> </w:t>
      </w:r>
    </w:p>
    <w:p>
      <w:pPr>
        <w:spacing w:line="240" w:lineRule="auto" w:before="10"/>
        <w:rPr>
          <w:rFonts w:ascii="宋体" w:hAnsi="宋体" w:cs="宋体" w:eastAsia="宋体" w:hint="default"/>
          <w:sz w:val="17"/>
          <w:szCs w:val="17"/>
        </w:rPr>
      </w:pPr>
    </w:p>
    <w:p>
      <w:pPr>
        <w:pStyle w:val="BodyText"/>
        <w:spacing w:line="463" w:lineRule="auto"/>
        <w:ind w:right="1131"/>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）识别和评估由于舞弊或错误导致的财务报表重大错报风险，设计和实施审计程序以应对这些风险，并获取充分、适当</w:t>
      </w:r>
      <w:r>
        <w:rPr>
          <w:spacing w:val="-84"/>
        </w:rPr>
        <w:t> </w:t>
      </w:r>
      <w:r>
        <w:rPr>
          <w:spacing w:val="-84"/>
        </w:rPr>
      </w:r>
      <w:r>
        <w:rPr>
          <w:spacing w:val="-2"/>
        </w:rPr>
        <w:t>的审计证据，作为发表审计意见的基础。由于舞弊可能涉及串通、伪造、故意遗漏、虚假陈述或凌驾于内部控制之上，未能</w:t>
      </w:r>
      <w:r>
        <w:rPr>
          <w:spacing w:val="-70"/>
        </w:rPr>
        <w:t> </w:t>
      </w:r>
      <w:r>
        <w:rPr>
          <w:spacing w:val="-70"/>
        </w:rPr>
      </w:r>
      <w:r>
        <w:rPr/>
        <w:t>发现由于舞弊导致的重大错报的风险高于未能发现由于错误导致的重大错报的风险。</w:t>
      </w:r>
    </w:p>
    <w:p>
      <w:pPr>
        <w:pStyle w:val="BodyText"/>
        <w:spacing w:line="240" w:lineRule="auto" w:before="65"/>
        <w:ind w:right="0"/>
        <w:jc w:val="both"/>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spacing w:line="240" w:lineRule="auto" w:before="9"/>
        <w:rPr>
          <w:rFonts w:ascii="宋体" w:hAnsi="宋体" w:cs="宋体" w:eastAsia="宋体" w:hint="default"/>
          <w:sz w:val="16"/>
          <w:szCs w:val="16"/>
        </w:rPr>
      </w:pPr>
    </w:p>
    <w:p>
      <w:pPr>
        <w:pStyle w:val="BodyText"/>
        <w:spacing w:line="240" w:lineRule="auto"/>
        <w:ind w:right="0"/>
        <w:jc w:val="both"/>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9"/>
        <w:rPr>
          <w:rFonts w:ascii="宋体" w:hAnsi="宋体" w:cs="宋体" w:eastAsia="宋体" w:hint="default"/>
          <w:sz w:val="16"/>
          <w:szCs w:val="16"/>
        </w:rPr>
      </w:pPr>
    </w:p>
    <w:p>
      <w:pPr>
        <w:pStyle w:val="BodyText"/>
        <w:spacing w:line="468" w:lineRule="auto"/>
        <w:ind w:right="1128"/>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）对管理层使用持续经营假设的恰当性得出结论。同时，根据获取的审计证据，就可能导致对润建公司持续经营能力产</w:t>
      </w:r>
      <w:r>
        <w:rPr>
          <w:spacing w:val="-82"/>
        </w:rPr>
        <w:t> </w:t>
      </w:r>
      <w:r>
        <w:rPr>
          <w:spacing w:val="-82"/>
        </w:rPr>
      </w:r>
      <w:r>
        <w:rPr>
          <w:spacing w:val="-2"/>
        </w:rPr>
        <w:t>生重大疑虑的事项或情况是否存在重大不确定性得出结论。如果我们得出结论认为存在重大不确定性，审计准则要求我们在</w:t>
      </w:r>
      <w:r>
        <w:rPr>
          <w:spacing w:val="-64"/>
        </w:rPr>
        <w:t> </w:t>
      </w:r>
      <w:r>
        <w:rPr>
          <w:spacing w:val="-64"/>
        </w:rPr>
      </w:r>
      <w:r>
        <w:rPr>
          <w:spacing w:val="-2"/>
        </w:rPr>
        <w:t>审计报告中提请报表使用者注意财务报表中的相关披露；如果披露不充分，我们应当发表非无保留意见。我们的结论基于截</w:t>
      </w:r>
      <w:r>
        <w:rPr>
          <w:spacing w:val="-61"/>
        </w:rPr>
        <w:t> </w:t>
      </w:r>
      <w:r>
        <w:rPr>
          <w:spacing w:val="-61"/>
        </w:rPr>
      </w:r>
      <w:r>
        <w:rPr/>
        <w:t>至审计报告日可获得的信息。然而，未来的事项或情况可能导致润建公司不能持续经营。</w:t>
      </w:r>
    </w:p>
    <w:p>
      <w:pPr>
        <w:pStyle w:val="BodyText"/>
        <w:spacing w:line="240" w:lineRule="auto" w:before="62"/>
        <w:ind w:right="0"/>
        <w:jc w:val="both"/>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spacing w:line="240" w:lineRule="auto" w:before="9"/>
        <w:rPr>
          <w:rFonts w:ascii="宋体" w:hAnsi="宋体" w:cs="宋体" w:eastAsia="宋体" w:hint="default"/>
          <w:sz w:val="16"/>
          <w:szCs w:val="16"/>
        </w:rPr>
      </w:pPr>
    </w:p>
    <w:p>
      <w:pPr>
        <w:pStyle w:val="BodyText"/>
        <w:spacing w:line="451" w:lineRule="auto"/>
        <w:ind w:right="1128"/>
        <w:jc w:val="both"/>
      </w:pPr>
      <w:r>
        <w:rPr/>
        <w:t>（</w:t>
      </w:r>
      <w:r>
        <w:rPr>
          <w:rFonts w:ascii="Times New Roman" w:hAnsi="Times New Roman" w:cs="Times New Roman" w:eastAsia="Times New Roman" w:hint="default"/>
        </w:rPr>
        <w:t>6</w:t>
      </w:r>
      <w:r>
        <w:rPr/>
        <w:t>）就润建公司中实体或业务活动的财务信息获取充分、适当的审计证据，以对财务报表发表审计意见。我们负责指导、</w:t>
      </w:r>
      <w:r>
        <w:rPr>
          <w:spacing w:val="-82"/>
        </w:rPr>
        <w:t> </w:t>
      </w:r>
      <w:r>
        <w:rPr>
          <w:spacing w:val="-82"/>
        </w:rPr>
      </w:r>
      <w:r>
        <w:rPr/>
        <w:t>监督和执行集团审计，并对审计意见承担全部责任。</w:t>
      </w:r>
    </w:p>
    <w:p>
      <w:pPr>
        <w:pStyle w:val="BodyText"/>
        <w:spacing w:line="477" w:lineRule="auto" w:before="74"/>
        <w:ind w:right="1131" w:firstLine="360"/>
        <w:jc w:val="both"/>
        <w:rPr>
          <w:rFonts w:ascii="宋体" w:hAnsi="宋体" w:cs="宋体" w:eastAsia="宋体" w:hint="default"/>
        </w:rPr>
      </w:pPr>
      <w:r>
        <w:rPr>
          <w:spacing w:val="-2"/>
        </w:rPr>
        <w:t>我们与治理层就计划的审计范围、时间安排和重大审计发现等事项进行沟通，包括沟通我们在审计中识别出的值得关注</w:t>
      </w:r>
      <w:r>
        <w:rPr/>
        <w:t> 的内部控制缺陷。</w:t>
      </w:r>
      <w:r>
        <w:rPr>
          <w:rFonts w:ascii="宋体" w:hAnsi="宋体" w:cs="宋体" w:eastAsia="宋体" w:hint="default"/>
        </w:rPr>
        <w:t> </w:t>
      </w:r>
    </w:p>
    <w:p>
      <w:pPr>
        <w:pStyle w:val="BodyText"/>
        <w:spacing w:line="477" w:lineRule="auto" w:before="54"/>
        <w:ind w:right="1131" w:firstLine="360"/>
        <w:jc w:val="both"/>
        <w:rPr>
          <w:rFonts w:ascii="宋体" w:hAnsi="宋体" w:cs="宋体" w:eastAsia="宋体" w:hint="default"/>
        </w:rPr>
      </w:pPr>
      <w:r>
        <w:rPr>
          <w:spacing w:val="-2"/>
        </w:rPr>
        <w:t>我们还就已遵守与独立性相关的职业道德要求向治理层提供声明，并与治理层沟通可能被合理认为影响我们独立性的所</w:t>
      </w:r>
      <w:r>
        <w:rPr/>
        <w:t> 有关系和其他事项，以及相关的防范措施。</w:t>
      </w:r>
      <w:r>
        <w:rPr>
          <w:rFonts w:ascii="宋体" w:hAnsi="宋体" w:cs="宋体" w:eastAsia="宋体" w:hint="default"/>
        </w:rPr>
        <w:t> </w:t>
      </w:r>
    </w:p>
    <w:p>
      <w:pPr>
        <w:pStyle w:val="BodyText"/>
        <w:spacing w:line="477" w:lineRule="auto" w:before="54"/>
        <w:ind w:right="1128" w:firstLine="360"/>
        <w:jc w:val="both"/>
        <w:rPr>
          <w:rFonts w:ascii="宋体" w:hAnsi="宋体" w:cs="宋体" w:eastAsia="宋体" w:hint="default"/>
        </w:rPr>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2"/>
        </w:rPr>
        <w:t> </w:t>
      </w:r>
      <w:r>
        <w:rPr>
          <w:spacing w:val="-62"/>
        </w:rPr>
      </w:r>
      <w:r>
        <w:rPr/>
        <w:t>的负面后果超过在公众利益方面产生的益处，我们确定不应在审计报告中沟通该事项。</w:t>
      </w:r>
      <w:r>
        <w:rPr>
          <w:rFonts w:ascii="宋体" w:hAnsi="宋体" w:cs="宋体" w:eastAsia="宋体" w:hint="default"/>
        </w:rPr>
        <w:t> </w:t>
      </w:r>
    </w:p>
    <w:p>
      <w:pPr>
        <w:spacing w:line="240" w:lineRule="auto" w:before="12"/>
        <w:rPr>
          <w:rFonts w:ascii="宋体" w:hAnsi="宋体" w:cs="宋体" w:eastAsia="宋体" w:hint="default"/>
          <w:sz w:val="21"/>
          <w:szCs w:val="21"/>
        </w:rPr>
      </w:pPr>
    </w:p>
    <w:p>
      <w:pPr>
        <w:pStyle w:val="BodyText"/>
        <w:tabs>
          <w:tab w:pos="2998" w:val="left" w:leader="none"/>
        </w:tabs>
        <w:spacing w:line="240" w:lineRule="auto"/>
        <w:ind w:right="0"/>
        <w:jc w:val="both"/>
      </w:pPr>
      <w:r>
        <w:rPr/>
        <w:t>华普天健会计师事务所</w:t>
        <w:tab/>
        <w:t>中国注册会计师（项目合伙人）：</w:t>
      </w:r>
    </w:p>
    <w:p>
      <w:pPr>
        <w:pStyle w:val="BodyText"/>
        <w:spacing w:line="240" w:lineRule="auto" w:before="76"/>
        <w:ind w:right="0"/>
        <w:jc w:val="both"/>
      </w:pPr>
      <w:r>
        <w:rPr/>
        <w:t>（特殊普通合伙）</w:t>
      </w:r>
    </w:p>
    <w:p>
      <w:pPr>
        <w:pStyle w:val="BodyText"/>
        <w:spacing w:line="240" w:lineRule="auto" w:before="76"/>
        <w:ind w:left="2993" w:right="977"/>
        <w:jc w:val="left"/>
      </w:pPr>
      <w:r>
        <w:rPr/>
        <w:t>中国注册会计师：</w:t>
      </w:r>
    </w:p>
    <w:p>
      <w:pPr>
        <w:spacing w:line="240" w:lineRule="auto" w:before="0"/>
        <w:rPr>
          <w:rFonts w:ascii="宋体" w:hAnsi="宋体" w:cs="宋体" w:eastAsia="宋体" w:hint="default"/>
          <w:sz w:val="18"/>
          <w:szCs w:val="18"/>
        </w:rPr>
      </w:pPr>
    </w:p>
    <w:p>
      <w:pPr>
        <w:pStyle w:val="BodyText"/>
        <w:tabs>
          <w:tab w:pos="2969" w:val="left" w:leader="none"/>
        </w:tabs>
        <w:spacing w:line="240" w:lineRule="auto" w:before="153"/>
        <w:ind w:right="977"/>
        <w:jc w:val="left"/>
      </w:pPr>
      <w:r>
        <w:rPr>
          <w:spacing w:val="-1"/>
        </w:rPr>
        <w:t>中国</w:t>
      </w:r>
      <w:r>
        <w:rPr>
          <w:rFonts w:ascii="Times New Roman" w:hAnsi="Times New Roman" w:cs="Times New Roman" w:eastAsia="Times New Roman" w:hint="default"/>
          <w:spacing w:val="-1"/>
        </w:rPr>
        <w:t>·</w:t>
      </w:r>
      <w:r>
        <w:rPr>
          <w:spacing w:val="-1"/>
        </w:rPr>
        <w:t>北京</w:t>
        <w:tab/>
      </w:r>
      <w:r>
        <w:rPr/>
        <w:t>中国注册会计师：</w:t>
      </w:r>
    </w:p>
    <w:p>
      <w:pPr>
        <w:spacing w:line="240" w:lineRule="auto" w:before="0"/>
        <w:rPr>
          <w:rFonts w:ascii="宋体" w:hAnsi="宋体" w:cs="宋体" w:eastAsia="宋体" w:hint="default"/>
          <w:sz w:val="18"/>
          <w:szCs w:val="18"/>
        </w:rPr>
      </w:pPr>
    </w:p>
    <w:p>
      <w:pPr>
        <w:pStyle w:val="BodyText"/>
        <w:spacing w:line="240" w:lineRule="auto" w:before="139"/>
        <w:ind w:left="2993" w:right="977"/>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04</w:t>
      </w:r>
      <w:r>
        <w:rPr/>
        <w:t>月</w:t>
      </w:r>
      <w:r>
        <w:rPr>
          <w:rFonts w:ascii="Times New Roman" w:hAnsi="Times New Roman" w:cs="Times New Roman" w:eastAsia="Times New Roman" w:hint="default"/>
        </w:rPr>
        <w:t>26</w:t>
      </w:r>
      <w:r>
        <w:rPr/>
        <w:t>日</w:t>
      </w:r>
    </w:p>
    <w:p>
      <w:pPr>
        <w:spacing w:after="0" w:line="240" w:lineRule="auto"/>
        <w:jc w:val="left"/>
        <w:sectPr>
          <w:pgSz w:w="11910" w:h="16840"/>
          <w:pgMar w:header="910" w:footer="1013"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Heading2"/>
        <w:spacing w:line="240" w:lineRule="auto" w:before="26"/>
        <w:ind w:left="132" w:right="1032"/>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1032"/>
        <w:jc w:val="left"/>
      </w:pPr>
      <w:r>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left="132" w:right="1032"/>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0" w:footer="1013" w:top="1100" w:bottom="1200" w:left="1000" w:right="0"/>
        </w:sectPr>
      </w:pPr>
    </w:p>
    <w:p>
      <w:pPr>
        <w:pStyle w:val="BodyText"/>
        <w:spacing w:line="240" w:lineRule="auto" w:before="44"/>
        <w:ind w:left="132" w:right="-19"/>
        <w:jc w:val="left"/>
      </w:pPr>
      <w:r>
        <w:rPr/>
        <w:t>编制单位：润建股份有限公司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132" w:right="-13"/>
        <w:jc w:val="left"/>
      </w:pPr>
      <w:r>
        <w:rPr>
          <w:rFonts w:ascii="Times New Roman" w:hAnsi="Times New Roman" w:cs="Times New Roman" w:eastAsia="Times New Roman" w:hint="default"/>
        </w:rPr>
        <w:t>2018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32" w:right="0"/>
        <w:jc w:val="left"/>
      </w:pPr>
      <w:r>
        <w:rPr/>
        <w:t>单位：元</w:t>
      </w:r>
    </w:p>
    <w:p>
      <w:pPr>
        <w:spacing w:after="0" w:line="240" w:lineRule="auto"/>
        <w:jc w:val="left"/>
        <w:sectPr>
          <w:type w:val="continuous"/>
          <w:pgSz w:w="11910" w:h="16840"/>
          <w:pgMar w:top="1100" w:bottom="1200" w:left="1000" w:right="0"/>
          <w:cols w:num="3" w:equalWidth="0">
            <w:col w:w="2474" w:space="1602"/>
            <w:col w:w="1622" w:space="3222"/>
            <w:col w:w="1990"/>
          </w:cols>
        </w:sectPr>
      </w:pP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3237"/>
        <w:gridCol w:w="3452"/>
        <w:gridCol w:w="3008"/>
      </w:tblGrid>
      <w:tr>
        <w:trPr>
          <w:trHeight w:val="404"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1,374,119,862.21</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232,904,630.32</w:t>
            </w:r>
          </w:p>
        </w:tc>
      </w:tr>
      <w:tr>
        <w:trPr>
          <w:trHeight w:val="401"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拆出资金</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4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 损益的金融资产</w:t>
            </w:r>
          </w:p>
        </w:tc>
        <w:tc>
          <w:tcPr>
            <w:tcW w:w="3452" w:type="dxa"/>
            <w:tcBorders>
              <w:top w:val="single" w:sz="4" w:space="0" w:color="000000"/>
              <w:left w:val="single" w:sz="10" w:space="0" w:color="D2D2D2"/>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1,472,515,874.10</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1,291,677,503.25</w:t>
            </w:r>
          </w:p>
        </w:tc>
      </w:tr>
      <w:tr>
        <w:trPr>
          <w:trHeight w:val="403"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3,665,356.99</w:t>
            </w: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1,468,850,517.11</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1,291,677,503.25</w:t>
            </w:r>
          </w:p>
        </w:tc>
      </w:tr>
      <w:tr>
        <w:trPr>
          <w:trHeight w:val="403"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15,394,479.17</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19,322,698.81</w:t>
            </w:r>
          </w:p>
        </w:tc>
      </w:tr>
      <w:tr>
        <w:trPr>
          <w:trHeight w:val="401"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100,404,456.02</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106,701,861.52</w:t>
            </w:r>
          </w:p>
        </w:tc>
      </w:tr>
      <w:tr>
        <w:trPr>
          <w:trHeight w:val="401"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633,160,199.86</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594,744,945.31</w:t>
            </w:r>
          </w:p>
        </w:tc>
      </w:tr>
      <w:tr>
        <w:trPr>
          <w:trHeight w:val="401"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180,632,202.77</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26,247,060.20</w:t>
            </w:r>
            <w:r>
              <w:rPr>
                <w:rFonts w:ascii="Times New Roman"/>
                <w:sz w:val="18"/>
              </w:rPr>
            </w:r>
          </w:p>
        </w:tc>
      </w:tr>
      <w:tr>
        <w:trPr>
          <w:trHeight w:val="403"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3,776,227,074.13</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2,271,598,699.41</w:t>
            </w:r>
          </w:p>
        </w:tc>
      </w:tr>
      <w:tr>
        <w:trPr>
          <w:trHeight w:val="401"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100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3239"/>
        <w:gridCol w:w="3452"/>
        <w:gridCol w:w="3008"/>
      </w:tblGrid>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1,410,103.86</w:t>
            </w: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63,840,044.46</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62,077,360.08</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2,705,988.77</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2,188,673.21</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10,212,316.57</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10,212,316.57</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917,988.05</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1,298,583.29</w:t>
            </w: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38,356,869.85</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38,807,814.02</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656,341.88</w:t>
            </w: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137,443,311.56</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115,241,089.05</w:t>
            </w:r>
          </w:p>
        </w:tc>
      </w:tr>
      <w:tr>
        <w:trPr>
          <w:trHeight w:val="40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3,913,670,385.69</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2,386,839,788.46</w:t>
            </w: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152,300,000.00</w:t>
            </w: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4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 损益的金融负债</w:t>
            </w:r>
          </w:p>
        </w:tc>
        <w:tc>
          <w:tcPr>
            <w:tcW w:w="3452" w:type="dxa"/>
            <w:tcBorders>
              <w:top w:val="single" w:sz="4" w:space="0" w:color="000000"/>
              <w:left w:val="single" w:sz="10" w:space="0" w:color="D2D2D2"/>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823,392,685.27</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559,854,990.24</w:t>
            </w: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164,142,973.30</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129,715,472.97</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167,928,240.19</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250,463,279.84</w:t>
            </w: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应交税费</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107,048,979.59</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85,924,242.15</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20,847,536.84</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5,395,814.05</w:t>
            </w:r>
          </w:p>
        </w:tc>
      </w:tr>
      <w:tr>
        <w:trPr>
          <w:trHeight w:val="40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122,564.10</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98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3239"/>
        <w:gridCol w:w="3452"/>
        <w:gridCol w:w="3008"/>
      </w:tblGrid>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应付股利</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1,508,247.22</w:t>
            </w: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108,521.85</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1,283,360,415.19</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1,185,270,568.32</w:t>
            </w: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12,029,483.06</w:t>
            </w: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递延收益</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12,029,483.06</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1,283,360,415.19</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1,197,300,051.38</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220,746,347.00</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165,559,747.00</w:t>
            </w:r>
            <w:r>
              <w:rPr>
                <w:rFonts w:ascii="Times New Roman"/>
                <w:sz w:val="18"/>
              </w:rPr>
            </w:r>
          </w:p>
        </w:tc>
      </w:tr>
      <w:tr>
        <w:trPr>
          <w:trHeight w:val="40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1,406,305,871.38</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205,531,891.95</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38,930,772.35</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33,509,270.36</w:t>
            </w: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104,811,789.16</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84,268,329.48</w:t>
            </w:r>
            <w:r>
              <w:rPr>
                <w:rFonts w:ascii="Times New Roman"/>
                <w:sz w:val="18"/>
              </w:rPr>
            </w:r>
          </w:p>
        </w:tc>
      </w:tr>
      <w:tr>
        <w:trPr>
          <w:trHeight w:val="40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0" w:footer="1013" w:top="1100" w:bottom="1200" w:left="98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3239"/>
        <w:gridCol w:w="3452"/>
        <w:gridCol w:w="3008"/>
      </w:tblGrid>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859,515,190.61</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700,670,498.29</w:t>
            </w: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2,630,309,970.50</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1,189,539,737.08</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452"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2,630,309,970.50</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1,189,539,737.08</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3,913,670,385.69</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2,386,839,788.46</w:t>
            </w:r>
          </w:p>
        </w:tc>
      </w:tr>
    </w:tbl>
    <w:p>
      <w:pPr>
        <w:spacing w:line="240" w:lineRule="auto" w:before="2"/>
        <w:rPr>
          <w:rFonts w:ascii="Times New Roman" w:hAnsi="Times New Roman" w:cs="Times New Roman" w:eastAsia="Times New Roman" w:hint="default"/>
          <w:sz w:val="23"/>
          <w:szCs w:val="23"/>
        </w:rPr>
      </w:pPr>
    </w:p>
    <w:p>
      <w:pPr>
        <w:pStyle w:val="BodyText"/>
        <w:tabs>
          <w:tab w:pos="3938" w:val="left" w:leader="none"/>
          <w:tab w:pos="7721" w:val="left" w:leader="none"/>
        </w:tabs>
        <w:spacing w:line="240" w:lineRule="auto" w:before="44"/>
        <w:ind w:left="152" w:right="0"/>
        <w:jc w:val="left"/>
      </w:pPr>
      <w:r>
        <w:rPr/>
        <w:t>法定代表人：许文杰</w:t>
        <w:tab/>
      </w:r>
      <w:r>
        <w:rPr>
          <w:spacing w:val="-1"/>
        </w:rPr>
        <w:t>主管会计工作负责人：梁姬</w:t>
        <w:tab/>
      </w:r>
      <w:r>
        <w:rPr/>
        <w:t>会计机构负责人：黄宇</w:t>
      </w:r>
    </w:p>
    <w:p>
      <w:pPr>
        <w:spacing w:after="0" w:line="240" w:lineRule="auto"/>
        <w:jc w:val="left"/>
        <w:sectPr>
          <w:pgSz w:w="11910" w:h="16840"/>
          <w:pgMar w:header="910" w:footer="1013" w:top="1100" w:bottom="120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3"/>
        <w:spacing w:line="240" w:lineRule="auto" w:before="36"/>
        <w:ind w:right="977"/>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00"/>
        <w:gridCol w:w="3303"/>
        <w:gridCol w:w="2967"/>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1,329,349,662.34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185,227,371.24</w:t>
            </w:r>
          </w:p>
        </w:tc>
      </w:tr>
      <w:tr>
        <w:trPr>
          <w:trHeight w:val="715"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 益的金融资产</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1,472,515,874.10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1,291,677,503.25</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3,665,356.99</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1,468,850,517.11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1,291,677,503.25</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15,392,479.17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19,307,698.81</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101,149,828.45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106,305,902.16</w:t>
            </w:r>
            <w:r>
              <w:rPr>
                <w:rFonts w:ascii="Times New Roman"/>
                <w:sz w:val="18"/>
              </w:rPr>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628,810,889.69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591,126,303.24</w:t>
            </w:r>
          </w:p>
        </w:tc>
      </w:tr>
      <w:tr>
        <w:trPr>
          <w:trHeight w:val="404"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179,870,586.69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25,468,461.92</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3,727,089,320.44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2,219,113,240.62</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41,293,253.03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39,883,149.17</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63,835,888.96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62,076,880.82</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2,705,988.77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2,188,673.21</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开发支出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10,212,316.57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10,212,316.57</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102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917,988.05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1,298,583.29</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37,753,001.91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37,999,953.50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656,341.88</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176,718,437.29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154,315,898.44</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3,903,807,757.73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2,373,429,139.06</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152,300,000.00</w:t>
            </w:r>
          </w:p>
        </w:tc>
      </w:tr>
      <w:tr>
        <w:trPr>
          <w:trHeight w:val="71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 益的金融负债</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820,743,343.71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554,713,176.60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160,046,575.92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127,250,149.79</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165,955,799.71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245,780,298.80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106,974,534.74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85,685,736.10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20,847,536.84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5,140,675.45</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122,564.10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1,508,247.22</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108,521.85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1,274,567,790.92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1,172,486,805.81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12,029,483.06</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12,029,483.06</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102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1,274,567,790.92</w:t>
            </w:r>
            <w:r>
              <w:rPr>
                <w:rFonts w:ascii="Times New Roman"/>
                <w:sz w:val="18"/>
              </w:rPr>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1,184,516,288.87</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220,746,347.00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165,559,747.00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1,404,452,245.18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203,678,265.75</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38,930,772.35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33,509,270.36</w:t>
            </w:r>
            <w:r>
              <w:rPr>
                <w:rFonts w:ascii="Times New Roman"/>
                <w:sz w:val="18"/>
              </w:rPr>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104,811,789.16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84,268,329.48</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860,298,813.12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701,897,237.60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2,629,239,966.81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1,188,912,850.19</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3,903,807,757.73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2,373,429,139.06</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1020" w:right="0"/>
        </w:sectPr>
      </w:pPr>
    </w:p>
    <w:p>
      <w:pPr>
        <w:spacing w:line="240" w:lineRule="auto" w:before="5"/>
        <w:rPr>
          <w:rFonts w:ascii="Times New Roman" w:hAnsi="Times New Roman" w:cs="Times New Roman" w:eastAsia="Times New Roman" w:hint="default"/>
          <w:sz w:val="24"/>
          <w:szCs w:val="24"/>
        </w:rPr>
      </w:pPr>
    </w:p>
    <w:p>
      <w:pPr>
        <w:pStyle w:val="Heading3"/>
        <w:spacing w:line="240" w:lineRule="auto" w:before="36"/>
        <w:ind w:right="977"/>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3,231,680,137.02</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2,778,394,660.03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3,231,680,137.02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2,778,394,660.03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3,022,275,542.10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2,504,207,212.16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2,585,299,525.16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2,074,977,730.03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12,949,842.22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12,930,083.28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104,539,228.27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98,536,585.68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158,403,064.96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173,795,414.88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110,388,843.38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88,030,736.13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9,657,659.68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17,582,387.15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11,531,247.63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16,527,966.09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3,988,261.48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942,737.86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41,037,378.43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38,354,275.01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13,125,604.83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11,682,588.36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投资收益（损失以“－”号 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14,645,329.23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1,553.42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-89,896.14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 “－”号填列）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z w:val="18"/>
                <w:szCs w:val="18"/>
              </w:rPr>
              <w:t> 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399,206.59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-719,221.49</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1020" w:right="0"/>
        </w:sectPr>
      </w:pPr>
    </w:p>
    <w:p>
      <w:pPr>
        <w:spacing w:line="240" w:lineRule="auto" w:before="8"/>
        <w:rPr>
          <w:rFonts w:ascii="Times New Roman" w:hAnsi="Times New Roman" w:cs="Times New Roman" w:eastAsia="Times New Roman" w:hint="default"/>
          <w:sz w:val="28"/>
          <w:szCs w:val="28"/>
        </w:rPr>
      </w:pPr>
      <w:r>
        <w:rPr/>
        <w:pict>
          <v:shape style="position:absolute;margin-left:172.083008pt;margin-top:110.659981pt;width:197.85pt;height:19.7pt;mso-position-horizontal-relative:page;mso-position-vertical-relative:page;z-index:-742744" type="#_x0000_t202" filled="false" stroked="false">
            <v:textbox inset="0,0,0,0">
              <w:txbxContent>
                <w:p>
                  <w:pPr>
                    <w:pStyle w:val="BodyText"/>
                    <w:spacing w:line="240" w:lineRule="auto" w:before="51"/>
                    <w:ind w:left="0" w:right="0"/>
                    <w:jc w:val="left"/>
                  </w:pPr>
                  <w:r>
                    <w:rPr/>
                    <w:t>号填列）</w:t>
                  </w:r>
                </w:p>
              </w:txbxContent>
            </v:textbox>
            <w10:wrap type="none"/>
          </v:shape>
        </w:pict>
      </w:r>
      <w:r>
        <w:rPr/>
        <w:pict>
          <v:shape style="position:absolute;margin-left:172.100006pt;margin-top:226.819977pt;width:197.85pt;height:19.6pt;mso-position-horizontal-relative:page;mso-position-vertical-relative:page;z-index:-742720" type="#_x0000_t202" filled="false" stroked="false">
            <v:textbox inset="0,0,0,0">
              <w:txbxContent>
                <w:p>
                  <w:pPr>
                    <w:pStyle w:val="BodyText"/>
                    <w:spacing w:line="240" w:lineRule="auto" w:before="51"/>
                    <w:ind w:left="0" w:right="0"/>
                    <w:jc w:val="left"/>
                  </w:pPr>
                  <w:r>
                    <w:rPr/>
                    <w:t>号填列）</w:t>
                  </w:r>
                </w:p>
              </w:txbxContent>
            </v:textbox>
            <w10:wrap type="none"/>
          </v:shape>
        </w:pict>
      </w:r>
    </w:p>
    <w:tbl>
      <w:tblPr>
        <w:tblW w:w="0" w:type="auto"/>
        <w:jc w:val="left"/>
        <w:tblInd w:w="108" w:type="dxa"/>
        <w:tblLayout w:type="fixed"/>
        <w:tblCellMar>
          <w:top w:w="0" w:type="dxa"/>
          <w:left w:w="0" w:type="dxa"/>
          <w:bottom w:w="0" w:type="dxa"/>
          <w:right w:w="0" w:type="dxa"/>
        </w:tblCellMar>
        <w:tblLook w:val="01E0"/>
      </w:tblPr>
      <w:tblGrid>
        <w:gridCol w:w="2967"/>
        <w:gridCol w:w="1105"/>
        <w:gridCol w:w="2195"/>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三、营业利润（亏损以“－”</w:t>
            </w:r>
          </w:p>
        </w:tc>
        <w:tc>
          <w:tcPr>
            <w:tcW w:w="1105" w:type="dxa"/>
            <w:tcBorders>
              <w:top w:val="single" w:sz="4" w:space="0" w:color="000000"/>
              <w:left w:val="single" w:sz="13" w:space="0" w:color="FFFFFF"/>
              <w:bottom w:val="single" w:sz="4" w:space="0" w:color="000000"/>
              <w:right w:val="nil" w:sz="6" w:space="0" w:color="auto"/>
            </w:tcBorders>
          </w:tcPr>
          <w:p>
            <w:pPr/>
          </w:p>
        </w:tc>
        <w:tc>
          <w:tcPr>
            <w:tcW w:w="2195" w:type="dxa"/>
            <w:tcBorders>
              <w:top w:val="single" w:sz="4" w:space="0" w:color="000000"/>
              <w:left w:val="nil" w:sz="6" w:space="0" w:color="auto"/>
              <w:bottom w:val="single" w:sz="4" w:space="0" w:color="000000"/>
              <w:right w:val="single" w:sz="10" w:space="0" w:color="FFFFFF"/>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237,574,735.57</w:t>
            </w:r>
          </w:p>
        </w:tc>
        <w:tc>
          <w:tcPr>
            <w:tcW w:w="330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285,152,368.16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6,203,996.36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169,736.91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1,808,299.60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59,751.50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四、利润总额（亏损总额以“－”号 填列）</w:t>
            </w:r>
          </w:p>
        </w:tc>
        <w:tc>
          <w:tcPr>
            <w:tcW w:w="330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36" w:right="0"/>
              <w:jc w:val="left"/>
              <w:rPr>
                <w:rFonts w:ascii="Times New Roman" w:hAnsi="Times New Roman" w:cs="Times New Roman" w:eastAsia="Times New Roman" w:hint="default"/>
                <w:sz w:val="18"/>
                <w:szCs w:val="18"/>
              </w:rPr>
            </w:pPr>
            <w:r>
              <w:rPr>
                <w:rFonts w:ascii="Times New Roman"/>
                <w:sz w:val="18"/>
              </w:rPr>
              <w:t>241,970,432.33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285,262,353.57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36,092,718.69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45,862,322.89</w:t>
            </w:r>
          </w:p>
        </w:tc>
      </w:tr>
      <w:tr>
        <w:trPr>
          <w:trHeight w:val="401"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五、净利润（净亏损以“－”</w:t>
            </w:r>
          </w:p>
        </w:tc>
        <w:tc>
          <w:tcPr>
            <w:tcW w:w="1105" w:type="dxa"/>
            <w:tcBorders>
              <w:top w:val="single" w:sz="4" w:space="0" w:color="000000"/>
              <w:left w:val="single" w:sz="13" w:space="0" w:color="FFFFFF"/>
              <w:bottom w:val="single" w:sz="4" w:space="0" w:color="000000"/>
              <w:right w:val="nil" w:sz="6" w:space="0" w:color="auto"/>
            </w:tcBorders>
          </w:tcPr>
          <w:p>
            <w:pPr/>
          </w:p>
        </w:tc>
        <w:tc>
          <w:tcPr>
            <w:tcW w:w="2195" w:type="dxa"/>
            <w:tcBorders>
              <w:top w:val="single" w:sz="4" w:space="0" w:color="000000"/>
              <w:left w:val="nil" w:sz="6" w:space="0" w:color="auto"/>
              <w:bottom w:val="single" w:sz="4" w:space="0" w:color="000000"/>
              <w:right w:val="single" w:sz="10" w:space="0" w:color="FFFFFF"/>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205,877,713.64</w:t>
            </w:r>
          </w:p>
        </w:tc>
        <w:tc>
          <w:tcPr>
            <w:tcW w:w="330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239,400,030.68</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以“－”号填列）</w:t>
            </w:r>
          </w:p>
        </w:tc>
        <w:tc>
          <w:tcPr>
            <w:tcW w:w="330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136" w:right="0"/>
              <w:jc w:val="left"/>
              <w:rPr>
                <w:rFonts w:ascii="Times New Roman" w:hAnsi="Times New Roman" w:cs="Times New Roman" w:eastAsia="Times New Roman" w:hint="default"/>
                <w:sz w:val="18"/>
                <w:szCs w:val="18"/>
              </w:rPr>
            </w:pPr>
            <w:r>
              <w:rPr>
                <w:rFonts w:ascii="Times New Roman"/>
                <w:sz w:val="18"/>
              </w:rPr>
              <w:t>205,877,713.64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239,400,030.68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以“－”号填列）</w:t>
            </w:r>
          </w:p>
        </w:tc>
        <w:tc>
          <w:tcPr>
            <w:tcW w:w="3300"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205,877,713.64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239,400,030.68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300"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00"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0"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00"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00"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0" w:footer="1013" w:top="1100" w:bottom="1200" w:left="102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205,877,713.64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239,400,030.68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205,877,713.64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239,400,030.68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0.97</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0.97</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1.45</w:t>
            </w:r>
          </w:p>
        </w:tc>
      </w:tr>
    </w:tbl>
    <w:p>
      <w:pPr>
        <w:pStyle w:val="BodyText"/>
        <w:tabs>
          <w:tab w:pos="3718" w:val="left" w:leader="none"/>
          <w:tab w:pos="7861" w:val="left" w:leader="none"/>
        </w:tabs>
        <w:spacing w:line="592" w:lineRule="auto" w:before="52"/>
        <w:ind w:right="1222"/>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法定代表人：许文杰</w:t>
        <w:tab/>
      </w:r>
      <w:r>
        <w:rPr>
          <w:spacing w:val="-1"/>
        </w:rPr>
        <w:t>主管会计工作负责人：梁姬</w:t>
        <w:tab/>
      </w:r>
      <w:r>
        <w:rPr/>
        <w:t>会计机构负责人：黄宇</w:t>
      </w:r>
    </w:p>
    <w:p>
      <w:pPr>
        <w:spacing w:after="0" w:line="592" w:lineRule="auto"/>
        <w:jc w:val="left"/>
        <w:sectPr>
          <w:pgSz w:w="11910" w:h="16840"/>
          <w:pgMar w:header="910" w:footer="1013" w:top="1100" w:bottom="1200" w:left="1020" w:right="0"/>
        </w:sectPr>
      </w:pPr>
    </w:p>
    <w:p>
      <w:pPr>
        <w:spacing w:line="240" w:lineRule="auto" w:before="7"/>
        <w:rPr>
          <w:rFonts w:ascii="宋体" w:hAnsi="宋体" w:cs="宋体" w:eastAsia="宋体" w:hint="default"/>
          <w:sz w:val="21"/>
          <w:szCs w:val="21"/>
        </w:rPr>
      </w:pPr>
      <w:r>
        <w:rPr/>
        <w:pict>
          <v:shape style="position:absolute;margin-left:172.102997pt;margin-top:504.789978pt;width:197.85pt;height:19.7pt;mso-position-horizontal-relative:page;mso-position-vertical-relative:page;z-index:-742696" type="#_x0000_t202" filled="false" stroked="false">
            <v:textbox inset="0,0,0,0">
              <w:txbxContent>
                <w:p>
                  <w:pPr>
                    <w:pStyle w:val="BodyText"/>
                    <w:spacing w:line="240" w:lineRule="auto" w:before="51"/>
                    <w:ind w:left="0" w:right="0"/>
                    <w:jc w:val="left"/>
                  </w:pPr>
                  <w:r>
                    <w:rPr/>
                    <w:t>号填列）</w:t>
                  </w:r>
                </w:p>
              </w:txbxContent>
            </v:textbox>
            <w10:wrap type="none"/>
          </v:shape>
        </w:pict>
      </w:r>
      <w:r>
        <w:rPr/>
        <w:pict>
          <v:shape style="position:absolute;margin-left:172.083008pt;margin-top:620.979980pt;width:197.85pt;height:19.6pt;mso-position-horizontal-relative:page;mso-position-vertical-relative:page;z-index:-742672" type="#_x0000_t202" filled="false" stroked="false">
            <v:textbox inset="0,0,0,0">
              <w:txbxContent>
                <w:p>
                  <w:pPr>
                    <w:pStyle w:val="BodyText"/>
                    <w:spacing w:line="240" w:lineRule="auto" w:before="51"/>
                    <w:ind w:left="0" w:right="0"/>
                    <w:jc w:val="left"/>
                  </w:pPr>
                  <w:r>
                    <w:rPr/>
                    <w:t>号填列）</w:t>
                  </w:r>
                </w:p>
              </w:txbxContent>
            </v:textbox>
            <w10:wrap type="none"/>
          </v:shape>
        </w:pict>
      </w:r>
    </w:p>
    <w:p>
      <w:pPr>
        <w:pStyle w:val="Heading3"/>
        <w:spacing w:line="240" w:lineRule="auto" w:before="36"/>
        <w:ind w:right="977"/>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7"/>
        <w:gridCol w:w="1105"/>
        <w:gridCol w:w="2195"/>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09" w:right="0"/>
              <w:jc w:val="left"/>
              <w:rPr>
                <w:rFonts w:ascii="Times New Roman" w:hAnsi="Times New Roman" w:cs="Times New Roman" w:eastAsia="Times New Roman" w:hint="default"/>
                <w:sz w:val="18"/>
                <w:szCs w:val="18"/>
              </w:rPr>
            </w:pPr>
            <w:r>
              <w:rPr>
                <w:rFonts w:ascii="Times New Roman"/>
                <w:sz w:val="18"/>
              </w:rPr>
              <w:t>3,222,666,057.89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2,734,383,089.66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09" w:right="0"/>
              <w:jc w:val="left"/>
              <w:rPr>
                <w:rFonts w:ascii="Times New Roman" w:hAnsi="Times New Roman" w:cs="Times New Roman" w:eastAsia="Times New Roman" w:hint="default"/>
                <w:sz w:val="18"/>
                <w:szCs w:val="18"/>
              </w:rPr>
            </w:pPr>
            <w:r>
              <w:rPr>
                <w:rFonts w:ascii="Times New Roman"/>
                <w:sz w:val="18"/>
              </w:rPr>
              <w:t>2,578,222,492.31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2,044,562,906.52</w:t>
            </w:r>
            <w:r>
              <w:rPr>
                <w:rFonts w:ascii="Times New Roman"/>
                <w:sz w:val="18"/>
              </w:rPr>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12,876,406.25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12,636,193.03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104,539,228.27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97,255,502.64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157,177,180.15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167,670,580.67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50" w:right="0"/>
              <w:jc w:val="left"/>
              <w:rPr>
                <w:rFonts w:ascii="Times New Roman" w:hAnsi="Times New Roman" w:cs="Times New Roman" w:eastAsia="Times New Roman" w:hint="default"/>
                <w:sz w:val="18"/>
                <w:szCs w:val="18"/>
              </w:rPr>
            </w:pPr>
            <w:r>
              <w:rPr>
                <w:rFonts w:ascii="Times New Roman"/>
                <w:sz w:val="18"/>
              </w:rPr>
              <w:t>110,388,843.38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87,480,556.40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9,639,494.71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17,484,004.46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11,531,247.63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16,418,611.93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3,979,012.97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908,373.55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41,047,837.87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39,256,710.21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13,108,486.83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11,460,188.36</w:t>
            </w:r>
            <w:r>
              <w:rPr>
                <w:rFonts w:ascii="Times New Roman"/>
                <w:sz w:val="18"/>
              </w:rPr>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投资收益（损失以“－”号 填列）</w:t>
            </w:r>
          </w:p>
        </w:tc>
        <w:tc>
          <w:tcPr>
            <w:tcW w:w="330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14,645,329.23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1,553.42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-89,896.14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 “－”号填列）</w:t>
            </w:r>
          </w:p>
        </w:tc>
        <w:tc>
          <w:tcPr>
            <w:tcW w:w="3300" w:type="dxa"/>
            <w:gridSpan w:val="2"/>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330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399,235.18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-430,408.32</w:t>
            </w:r>
          </w:p>
        </w:tc>
      </w:tr>
      <w:tr>
        <w:trPr>
          <w:trHeight w:val="403"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w:t>
            </w:r>
          </w:p>
        </w:tc>
        <w:tc>
          <w:tcPr>
            <w:tcW w:w="1105" w:type="dxa"/>
            <w:tcBorders>
              <w:top w:val="single" w:sz="4" w:space="0" w:color="000000"/>
              <w:left w:val="single" w:sz="13" w:space="0" w:color="FFFFFF"/>
              <w:bottom w:val="single" w:sz="4" w:space="0" w:color="000000"/>
              <w:right w:val="nil" w:sz="6" w:space="0" w:color="auto"/>
            </w:tcBorders>
          </w:tcPr>
          <w:p>
            <w:pPr/>
          </w:p>
        </w:tc>
        <w:tc>
          <w:tcPr>
            <w:tcW w:w="2195" w:type="dxa"/>
            <w:tcBorders>
              <w:top w:val="single" w:sz="4" w:space="0" w:color="000000"/>
              <w:left w:val="nil" w:sz="6" w:space="0" w:color="auto"/>
              <w:bottom w:val="single" w:sz="4" w:space="0" w:color="000000"/>
              <w:right w:val="single" w:sz="10" w:space="0" w:color="FFFFFF"/>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236,927,626.19</w:t>
            </w:r>
          </w:p>
        </w:tc>
        <w:tc>
          <w:tcPr>
            <w:tcW w:w="330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279,067,969.19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6,203,996.36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129,756.01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1,808,299.60</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35,774.11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0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37" w:right="0"/>
              <w:jc w:val="left"/>
              <w:rPr>
                <w:rFonts w:ascii="Times New Roman" w:hAnsi="Times New Roman" w:cs="Times New Roman" w:eastAsia="Times New Roman" w:hint="default"/>
                <w:sz w:val="18"/>
                <w:szCs w:val="18"/>
              </w:rPr>
            </w:pPr>
            <w:r>
              <w:rPr>
                <w:rFonts w:ascii="Times New Roman"/>
                <w:sz w:val="18"/>
              </w:rPr>
              <w:t>241,323,322.95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279,161,951.09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35,888,726.11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44,684,649.48</w:t>
            </w:r>
          </w:p>
        </w:tc>
      </w:tr>
      <w:tr>
        <w:trPr>
          <w:trHeight w:val="401"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w:t>
            </w:r>
          </w:p>
        </w:tc>
        <w:tc>
          <w:tcPr>
            <w:tcW w:w="1105" w:type="dxa"/>
            <w:tcBorders>
              <w:top w:val="single" w:sz="4" w:space="0" w:color="000000"/>
              <w:left w:val="single" w:sz="13" w:space="0" w:color="FFFFFF"/>
              <w:bottom w:val="single" w:sz="4" w:space="0" w:color="000000"/>
              <w:right w:val="nil" w:sz="6" w:space="0" w:color="auto"/>
            </w:tcBorders>
          </w:tcPr>
          <w:p>
            <w:pPr/>
          </w:p>
        </w:tc>
        <w:tc>
          <w:tcPr>
            <w:tcW w:w="2195" w:type="dxa"/>
            <w:tcBorders>
              <w:top w:val="single" w:sz="4" w:space="0" w:color="000000"/>
              <w:left w:val="nil" w:sz="6" w:space="0" w:color="auto"/>
              <w:bottom w:val="single" w:sz="4" w:space="0" w:color="000000"/>
              <w:right w:val="single" w:sz="10" w:space="0" w:color="FFFFFF"/>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205,434,596.84</w:t>
            </w:r>
          </w:p>
        </w:tc>
        <w:tc>
          <w:tcPr>
            <w:tcW w:w="330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234,477,301.61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以“－”号填列）</w:t>
            </w:r>
          </w:p>
        </w:tc>
        <w:tc>
          <w:tcPr>
            <w:tcW w:w="330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37" w:right="0"/>
              <w:jc w:val="left"/>
              <w:rPr>
                <w:rFonts w:ascii="Times New Roman" w:hAnsi="Times New Roman" w:cs="Times New Roman" w:eastAsia="Times New Roman" w:hint="default"/>
                <w:sz w:val="18"/>
                <w:szCs w:val="18"/>
              </w:rPr>
            </w:pPr>
            <w:r>
              <w:rPr>
                <w:rFonts w:ascii="Times New Roman"/>
                <w:sz w:val="18"/>
              </w:rPr>
              <w:t>205,434,596.84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234,477,301.61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以“－”号填列）</w:t>
            </w:r>
          </w:p>
        </w:tc>
        <w:tc>
          <w:tcPr>
            <w:tcW w:w="3300" w:type="dxa"/>
            <w:gridSpan w:val="2"/>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00" w:type="dxa"/>
            <w:gridSpan w:val="2"/>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0" w:footer="1013" w:top="1100" w:bottom="1200" w:left="102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205,434,596.84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234,477,301.61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0" w:footer="1013" w:top="1100" w:bottom="1200" w:left="1020" w:right="0"/>
        </w:sectPr>
      </w:pPr>
    </w:p>
    <w:p>
      <w:pPr>
        <w:spacing w:line="240" w:lineRule="auto" w:before="5"/>
        <w:rPr>
          <w:rFonts w:ascii="Times New Roman" w:hAnsi="Times New Roman" w:cs="Times New Roman" w:eastAsia="Times New Roman" w:hint="default"/>
          <w:sz w:val="24"/>
          <w:szCs w:val="24"/>
        </w:rPr>
      </w:pPr>
    </w:p>
    <w:p>
      <w:pPr>
        <w:pStyle w:val="Heading3"/>
        <w:spacing w:line="240" w:lineRule="auto" w:before="36"/>
        <w:ind w:right="977"/>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3,310,690,699.01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2,386,478,231.27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163,327,629.45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108,447,977.92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3,474,018,328.46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2,494,926,209.19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1,943,041,287.15</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1,505,869,989.55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861,060,515.58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703,893,176.38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139,750,942.77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138,533,523.41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359,235,329.18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334,707,599.13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3,303,088,074.68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2,683,004,288.47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170,930,253.78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-188,078,079.28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10" w:footer="1013" w:top="1100" w:bottom="1200" w:left="102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14,735,225.37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1,553.42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2,301,179.79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1,713,798.56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17,036,405.16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1,715,351.98</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20,636,277.76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22,502,408.02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169,600,000.00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191,736,277.76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22,502,408.02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-174,699,872.60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-20,787,056.04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1,275,839,070.00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1,035,000,000.00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558,300,000.00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2,310,839,070.00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558,300,000.00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1,200,837,730.28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507,133,827.98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38,143,373.37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16,592,717.46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31,509,161.03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1,270,490,264.68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523,726,545.44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1,040,348,805.32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34,573,454.56</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0" w:footer="1013" w:top="1100" w:bottom="1200" w:left="102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1,036,579,186.50</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-174,291,680.76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160,895,553.20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335,187,233.96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1,197,474,739.70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160,895,553.20</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1020" w:right="0"/>
        </w:sectPr>
      </w:pPr>
    </w:p>
    <w:p>
      <w:pPr>
        <w:spacing w:line="240" w:lineRule="auto" w:before="5"/>
        <w:rPr>
          <w:rFonts w:ascii="Times New Roman" w:hAnsi="Times New Roman" w:cs="Times New Roman" w:eastAsia="Times New Roman" w:hint="default"/>
          <w:sz w:val="24"/>
          <w:szCs w:val="24"/>
        </w:rPr>
      </w:pPr>
    </w:p>
    <w:p>
      <w:pPr>
        <w:pStyle w:val="Heading3"/>
        <w:spacing w:line="240" w:lineRule="auto" w:before="36"/>
        <w:ind w:right="977"/>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3,299,504,700.92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2,348,676,169.72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163,247,862.94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116,852,016.28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3,462,752,563.86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2,465,528,186.00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1,938,953,220.57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1,492,687,820.29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851,840,886.45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681,057,110.44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139,019,744.75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134,589,021.05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359,100,499.10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382,744,438.75</w:t>
            </w:r>
            <w:r>
              <w:rPr>
                <w:rFonts w:ascii="Times New Roman"/>
                <w:sz w:val="18"/>
              </w:rPr>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3,288,914,350.87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2,691,078,390.53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173,838,212.99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-225,550,204.53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113,687.23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14,735,225.37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1,553.42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2,295,619.79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1,713,798.56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1,730,335.85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17,030,845.16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3,559,375.06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20,631,617.76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22,370,674.32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169,600,000.00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191,731,617.76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22,370,674.32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-174,700,772.60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-18,811,299.26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1,275,839,070.00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1,035,000,000.00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554,300,000.00</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102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2,310,839,070.00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554,300,000.00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1,200,837,730.28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501,133,827.98</w:t>
            </w:r>
            <w:r>
              <w:rPr>
                <w:rFonts w:ascii="Times New Roman"/>
                <w:sz w:val="18"/>
              </w:rPr>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38,143,373.37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16,483,363.30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31,509,161.03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1,270,490,264.68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517,617,191.28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1,040,348,805.32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36,682,808.72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1,039,486,245.71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-207,678,695.07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113,218,294.12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320,896,989.19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1,152,704,539.83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113,218,294.12</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1020" w:right="0"/>
        </w:sectPr>
      </w:pPr>
    </w:p>
    <w:p>
      <w:pPr>
        <w:pStyle w:val="Heading3"/>
        <w:spacing w:line="240" w:lineRule="auto" w:before="41"/>
        <w:ind w:left="420" w:right="0"/>
        <w:jc w:val="left"/>
        <w:rPr>
          <w:b w:val="0"/>
          <w:bCs w:val="0"/>
        </w:rPr>
      </w:pPr>
      <w:r>
        <w:rPr/>
        <w:pict>
          <v:shape style="position:absolute;margin-left:133.074005pt;margin-top:356.830017pt;width:91.75pt;height:35.3pt;mso-position-horizontal-relative:page;mso-position-vertical-relative:page;z-index:-742648"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号填列）</w:t>
                  </w:r>
                </w:p>
              </w:txbxContent>
            </v:textbox>
            <w10:wrap type="none"/>
          </v:shape>
        </w:pict>
      </w:r>
      <w:r>
        <w:rPr/>
        <w:pict>
          <v:group style="position:absolute;margin-left:166.220001pt;margin-top:356.830017pt;width:58.6pt;height:35.3pt;mso-position-horizontal-relative:page;mso-position-vertical-relative:page;z-index:-742624" coordorigin="3324,7137" coordsize="1172,706">
            <v:group style="position:absolute;left:3324;top:7137;width:1172;height:706" coordorigin="3324,7137" coordsize="1172,706">
              <v:shape style="position:absolute;left:3324;top:7137;width:1172;height:706" coordorigin="3324,7137" coordsize="1172,706" path="m3324,7842l4496,7842,4496,7137,3324,7137,3324,7842xe" filled="true" fillcolor="#ffffff" stroked="false">
                <v:path arrowok="t"/>
                <v:fill type="solid"/>
              </v:shape>
            </v:group>
            <v:group style="position:absolute;left:3348;top:7293;width:1126;height:394" coordorigin="3348,7293" coordsize="1126,394">
              <v:shape style="position:absolute;left:3348;top:7293;width:1126;height:394" coordorigin="3348,7293" coordsize="1126,394" path="m3348,7686l4474,7686,4474,7293,3348,7293,3348,7686xe" filled="true" fillcolor="#ffffff" stroked="false">
                <v:path arrowok="t"/>
                <v:fill type="solid"/>
              </v:shape>
            </v:group>
            <w10:wrap type="none"/>
          </v:group>
        </w:pict>
      </w:r>
      <w:r>
        <w:rPr/>
        <w:pict>
          <v:shape style="position:absolute;margin-left:589.234558pt;margin-top:570.43042pt;width:42.067787pt;height:18.946561pt;mso-position-horizontal-relative:page;mso-position-vertical-relative:page;z-index:1216" type="#_x0000_t75" stroked="false">
            <v:imagedata r:id="rId18" o:title=""/>
          </v:shape>
        </w:pict>
      </w: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420" w:right="0"/>
        <w:jc w:val="left"/>
      </w:pPr>
      <w:r>
        <w:rPr/>
        <w:t>本期金额</w:t>
      </w:r>
    </w:p>
    <w:p>
      <w:pPr>
        <w:pStyle w:val="BodyText"/>
        <w:spacing w:line="240" w:lineRule="auto" w:before="115"/>
        <w:ind w:left="0" w:right="157"/>
        <w:jc w:val="right"/>
      </w:pPr>
      <w:r>
        <w:rPr/>
        <w:t>单位：元</w:t>
      </w:r>
    </w:p>
    <w:p>
      <w:pPr>
        <w:spacing w:line="240" w:lineRule="auto" w:before="2"/>
        <w:rPr>
          <w:rFonts w:ascii="宋体" w:hAnsi="宋体" w:cs="宋体" w:eastAsia="宋体" w:hint="default"/>
          <w:sz w:val="8"/>
          <w:szCs w:val="8"/>
        </w:rPr>
      </w:pPr>
    </w:p>
    <w:tbl>
      <w:tblPr>
        <w:tblW w:w="0" w:type="auto"/>
        <w:jc w:val="left"/>
        <w:tblInd w:w="386" w:type="dxa"/>
        <w:tblLayout w:type="fixed"/>
        <w:tblCellMar>
          <w:top w:w="0" w:type="dxa"/>
          <w:left w:w="0" w:type="dxa"/>
          <w:bottom w:w="0" w:type="dxa"/>
          <w:right w:w="0" w:type="dxa"/>
        </w:tblCellMar>
        <w:tblLook w:val="01E0"/>
      </w:tblPr>
      <w:tblGrid>
        <w:gridCol w:w="1908"/>
        <w:gridCol w:w="91"/>
        <w:gridCol w:w="1090"/>
        <w:gridCol w:w="581"/>
        <w:gridCol w:w="578"/>
        <w:gridCol w:w="581"/>
        <w:gridCol w:w="1318"/>
        <w:gridCol w:w="776"/>
        <w:gridCol w:w="775"/>
        <w:gridCol w:w="1092"/>
        <w:gridCol w:w="1176"/>
        <w:gridCol w:w="776"/>
        <w:gridCol w:w="1181"/>
        <w:gridCol w:w="778"/>
        <w:gridCol w:w="1318"/>
      </w:tblGrid>
      <w:tr>
        <w:trPr>
          <w:trHeight w:val="403" w:hRule="exact"/>
        </w:trPr>
        <w:tc>
          <w:tcPr>
            <w:tcW w:w="19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1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908" w:type="dxa"/>
            <w:vMerge/>
            <w:tcBorders>
              <w:left w:val="single" w:sz="4" w:space="0" w:color="000000"/>
              <w:right w:val="single" w:sz="4" w:space="0" w:color="000000"/>
            </w:tcBorders>
            <w:shd w:val="clear" w:color="auto" w:fill="D2D2D2"/>
          </w:tcPr>
          <w:p>
            <w:pPr/>
          </w:p>
        </w:tc>
        <w:tc>
          <w:tcPr>
            <w:tcW w:w="1001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9"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4" w:hRule="exact"/>
        </w:trPr>
        <w:tc>
          <w:tcPr>
            <w:tcW w:w="1908" w:type="dxa"/>
            <w:vMerge/>
            <w:tcBorders>
              <w:left w:val="single" w:sz="4" w:space="0" w:color="000000"/>
              <w:right w:val="single" w:sz="4" w:space="0" w:color="000000"/>
            </w:tcBorders>
            <w:shd w:val="clear" w:color="auto" w:fill="D2D2D2"/>
          </w:tcPr>
          <w:p>
            <w:pPr/>
          </w:p>
        </w:tc>
        <w:tc>
          <w:tcPr>
            <w:tcW w:w="11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4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90" w:right="22"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04" w:right="1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01" w:right="22"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78"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713" w:hRule="exact"/>
        </w:trPr>
        <w:tc>
          <w:tcPr>
            <w:tcW w:w="1908" w:type="dxa"/>
            <w:vMerge/>
            <w:tcBorders>
              <w:left w:val="single" w:sz="4" w:space="0" w:color="000000"/>
              <w:bottom w:val="single" w:sz="4" w:space="0" w:color="000000"/>
              <w:right w:val="single" w:sz="4" w:space="0" w:color="000000"/>
            </w:tcBorders>
            <w:shd w:val="clear" w:color="auto" w:fill="D2D2D2"/>
          </w:tcPr>
          <w:p>
            <w:pPr/>
          </w:p>
        </w:tc>
        <w:tc>
          <w:tcPr>
            <w:tcW w:w="1181" w:type="dxa"/>
            <w:gridSpan w:val="2"/>
            <w:vMerge/>
            <w:tcBorders>
              <w:left w:val="single" w:sz="4" w:space="0" w:color="000000"/>
              <w:bottom w:val="single" w:sz="4" w:space="0" w:color="000000"/>
              <w:right w:val="single" w:sz="4" w:space="0" w:color="000000"/>
            </w:tcBorders>
            <w:shd w:val="clear" w:color="auto" w:fill="D2D2D2"/>
          </w:tcPr>
          <w:p>
            <w:pP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94" w:right="104"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92" w:right="103"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8" w:type="dxa"/>
            <w:vMerge/>
            <w:tcBorders>
              <w:left w:val="single" w:sz="4" w:space="0" w:color="000000"/>
              <w:bottom w:val="single" w:sz="4" w:space="0" w:color="000000"/>
              <w:right w:val="single" w:sz="4" w:space="0" w:color="000000"/>
            </w:tcBorders>
            <w:shd w:val="clear" w:color="auto" w:fill="D2D2D2"/>
          </w:tcPr>
          <w:p>
            <w:pPr/>
          </w:p>
        </w:tc>
        <w:tc>
          <w:tcPr>
            <w:tcW w:w="776"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776"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165,559,747.00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205,531,891.95</w:t>
            </w:r>
            <w:r>
              <w:rPr>
                <w:rFonts w:ascii="Times New Roman"/>
                <w:sz w:val="18"/>
              </w:rPr>
            </w: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33,509,270.36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84,268,329.48</w:t>
            </w: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700,670,498.29</w:t>
            </w: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1,189,539,737.08</w:t>
            </w: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加：会计政策变更</w:t>
            </w:r>
          </w:p>
        </w:tc>
        <w:tc>
          <w:tcPr>
            <w:tcW w:w="1181" w:type="dxa"/>
            <w:gridSpan w:val="2"/>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前期差错更正</w:t>
            </w:r>
          </w:p>
        </w:tc>
        <w:tc>
          <w:tcPr>
            <w:tcW w:w="1181" w:type="dxa"/>
            <w:gridSpan w:val="2"/>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同一控制下企 业合并</w:t>
            </w:r>
          </w:p>
        </w:tc>
        <w:tc>
          <w:tcPr>
            <w:tcW w:w="1181" w:type="dxa"/>
            <w:gridSpan w:val="2"/>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1181" w:type="dxa"/>
            <w:gridSpan w:val="2"/>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165,559,747.00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205,531,891.95</w:t>
            </w: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33,509,270.36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84,268,329.48</w:t>
            </w: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700,670,498.29</w:t>
            </w: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1,189,539,737.08</w:t>
            </w:r>
          </w:p>
        </w:tc>
      </w:tr>
      <w:tr>
        <w:trPr>
          <w:trHeight w:val="715"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3"/>
                <w:sz w:val="18"/>
                <w:szCs w:val="18"/>
              </w:rPr>
              <w:t>（减少以“－”</w:t>
            </w:r>
          </w:p>
        </w:tc>
        <w:tc>
          <w:tcPr>
            <w:tcW w:w="91" w:type="dxa"/>
            <w:tcBorders>
              <w:top w:val="single" w:sz="4" w:space="0" w:color="000000"/>
              <w:left w:val="single" w:sz="4" w:space="0" w:color="000000"/>
              <w:bottom w:val="single" w:sz="4" w:space="0" w:color="000000"/>
              <w:right w:val="nil" w:sz="6" w:space="0" w:color="auto"/>
            </w:tcBorders>
          </w:tcPr>
          <w:p>
            <w:pPr/>
          </w:p>
        </w:tc>
        <w:tc>
          <w:tcPr>
            <w:tcW w:w="1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55,186,600.00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1,200,773,979.43</w:t>
            </w: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5,421,501.99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20,543,459.68</w:t>
            </w: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158,844,692.32</w:t>
            </w: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1,440,770,233.42</w:t>
            </w: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gridSpan w:val="2"/>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205,877,713.64</w:t>
            </w: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205,877,713.64</w:t>
            </w:r>
          </w:p>
        </w:tc>
      </w:tr>
      <w:tr>
        <w:trPr>
          <w:trHeight w:val="716"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72"/>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55,186,600.00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1,200,773,979.43</w:t>
            </w: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1,255,960,579.43</w:t>
            </w: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．所有者投入的普通股</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 w:right="0"/>
              <w:jc w:val="left"/>
              <w:rPr>
                <w:rFonts w:ascii="Times New Roman" w:hAnsi="Times New Roman" w:cs="Times New Roman" w:eastAsia="Times New Roman" w:hint="default"/>
                <w:sz w:val="18"/>
                <w:szCs w:val="18"/>
              </w:rPr>
            </w:pPr>
            <w:r>
              <w:rPr>
                <w:rFonts w:ascii="Times New Roman"/>
                <w:sz w:val="18"/>
              </w:rPr>
              <w:t>55,186,600.00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1,200,773,979.43</w:t>
            </w: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1,255,960,579.43</w:t>
            </w:r>
          </w:p>
        </w:tc>
      </w:tr>
      <w:tr>
        <w:trPr>
          <w:trHeight w:val="715"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．其他权益工具持有者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投入资本</w:t>
            </w:r>
          </w:p>
        </w:tc>
        <w:tc>
          <w:tcPr>
            <w:tcW w:w="1181" w:type="dxa"/>
            <w:gridSpan w:val="2"/>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．股份支付计入所有者</w:t>
            </w:r>
          </w:p>
        </w:tc>
        <w:tc>
          <w:tcPr>
            <w:tcW w:w="1181" w:type="dxa"/>
            <w:gridSpan w:val="2"/>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6"/>
          <w:footerReference w:type="default" r:id="rId17"/>
          <w:pgSz w:w="16840" w:h="11910" w:orient="landscape"/>
          <w:pgMar w:header="910" w:footer="1013" w:top="1100" w:bottom="1200" w:left="1020" w:right="1280"/>
        </w:sectPr>
      </w:pPr>
    </w:p>
    <w:p>
      <w:pPr>
        <w:spacing w:line="240" w:lineRule="auto" w:before="8"/>
        <w:rPr>
          <w:rFonts w:ascii="Times New Roman" w:hAnsi="Times New Roman" w:cs="Times New Roman" w:eastAsia="Times New Roman"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908"/>
        <w:gridCol w:w="1181"/>
        <w:gridCol w:w="581"/>
        <w:gridCol w:w="578"/>
        <w:gridCol w:w="581"/>
        <w:gridCol w:w="1318"/>
        <w:gridCol w:w="776"/>
        <w:gridCol w:w="775"/>
        <w:gridCol w:w="1092"/>
        <w:gridCol w:w="1176"/>
        <w:gridCol w:w="776"/>
        <w:gridCol w:w="1181"/>
        <w:gridCol w:w="778"/>
        <w:gridCol w:w="1318"/>
      </w:tblGrid>
      <w:tr>
        <w:trPr>
          <w:trHeight w:val="404" w:hRule="exact"/>
        </w:trPr>
        <w:tc>
          <w:tcPr>
            <w:tcW w:w="19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1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908" w:type="dxa"/>
            <w:vMerge/>
            <w:tcBorders>
              <w:left w:val="single" w:sz="4" w:space="0" w:color="000000"/>
              <w:right w:val="single" w:sz="4" w:space="0" w:color="000000"/>
            </w:tcBorders>
            <w:shd w:val="clear" w:color="auto" w:fill="D2D2D2"/>
          </w:tcPr>
          <w:p>
            <w:pPr/>
          </w:p>
        </w:tc>
        <w:tc>
          <w:tcPr>
            <w:tcW w:w="1001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3" w:hRule="exact"/>
        </w:trPr>
        <w:tc>
          <w:tcPr>
            <w:tcW w:w="1908" w:type="dxa"/>
            <w:vMerge/>
            <w:tcBorders>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4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90" w:right="22"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04" w:right="1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01" w:right="22"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78"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713" w:hRule="exact"/>
        </w:trPr>
        <w:tc>
          <w:tcPr>
            <w:tcW w:w="1908"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4" w:right="104"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2" w:right="103"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8" w:type="dxa"/>
            <w:vMerge/>
            <w:tcBorders>
              <w:left w:val="single" w:sz="4" w:space="0" w:color="000000"/>
              <w:bottom w:val="single" w:sz="4" w:space="0" w:color="000000"/>
              <w:right w:val="single" w:sz="4" w:space="0" w:color="000000"/>
            </w:tcBorders>
            <w:shd w:val="clear" w:color="auto" w:fill="D2D2D2"/>
          </w:tcPr>
          <w:p>
            <w:pPr/>
          </w:p>
        </w:tc>
        <w:tc>
          <w:tcPr>
            <w:tcW w:w="776"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776"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362"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20,543,459.68</w:t>
            </w: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-47,033,021.32</w:t>
            </w: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-26,489,561.64</w:t>
            </w: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20,543,459.68</w:t>
            </w: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-20,543,459.68</w:t>
            </w: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-26,489,561.64</w:t>
            </w: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-26,489,561.64</w:t>
            </w: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．设定受益计划变动额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5,421,501.99</w:t>
            </w: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5,421,501.99</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6840" w:h="11910" w:orient="landscape"/>
          <w:pgMar w:footer="1013" w:header="910" w:top="1100" w:bottom="1200" w:left="1300" w:right="1280"/>
          <w:pgNumType w:start="84"/>
        </w:sectPr>
      </w:pPr>
    </w:p>
    <w:p>
      <w:pPr>
        <w:spacing w:line="240" w:lineRule="auto" w:before="8"/>
        <w:rPr>
          <w:rFonts w:ascii="Times New Roman" w:hAnsi="Times New Roman" w:cs="Times New Roman" w:eastAsia="Times New Roman"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908"/>
        <w:gridCol w:w="1181"/>
        <w:gridCol w:w="581"/>
        <w:gridCol w:w="578"/>
        <w:gridCol w:w="581"/>
        <w:gridCol w:w="1318"/>
        <w:gridCol w:w="776"/>
        <w:gridCol w:w="775"/>
        <w:gridCol w:w="1092"/>
        <w:gridCol w:w="1176"/>
        <w:gridCol w:w="776"/>
        <w:gridCol w:w="1181"/>
        <w:gridCol w:w="778"/>
        <w:gridCol w:w="1318"/>
      </w:tblGrid>
      <w:tr>
        <w:trPr>
          <w:trHeight w:val="404" w:hRule="exact"/>
        </w:trPr>
        <w:tc>
          <w:tcPr>
            <w:tcW w:w="19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1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908" w:type="dxa"/>
            <w:vMerge/>
            <w:tcBorders>
              <w:left w:val="single" w:sz="4" w:space="0" w:color="000000"/>
              <w:right w:val="single" w:sz="4" w:space="0" w:color="000000"/>
            </w:tcBorders>
            <w:shd w:val="clear" w:color="auto" w:fill="D2D2D2"/>
          </w:tcPr>
          <w:p>
            <w:pPr/>
          </w:p>
        </w:tc>
        <w:tc>
          <w:tcPr>
            <w:tcW w:w="1001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3" w:hRule="exact"/>
        </w:trPr>
        <w:tc>
          <w:tcPr>
            <w:tcW w:w="1908" w:type="dxa"/>
            <w:vMerge/>
            <w:tcBorders>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4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90" w:right="22"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04" w:right="1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01" w:right="22"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78"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713" w:hRule="exact"/>
        </w:trPr>
        <w:tc>
          <w:tcPr>
            <w:tcW w:w="1908"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4" w:right="104"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2" w:right="103"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8" w:type="dxa"/>
            <w:vMerge/>
            <w:tcBorders>
              <w:left w:val="single" w:sz="4" w:space="0" w:color="000000"/>
              <w:bottom w:val="single" w:sz="4" w:space="0" w:color="000000"/>
              <w:right w:val="single" w:sz="4" w:space="0" w:color="000000"/>
            </w:tcBorders>
            <w:shd w:val="clear" w:color="auto" w:fill="D2D2D2"/>
          </w:tcPr>
          <w:p>
            <w:pPr/>
          </w:p>
        </w:tc>
        <w:tc>
          <w:tcPr>
            <w:tcW w:w="776"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776"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25,705,586.00</w:t>
            </w: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25,705,586.00</w:t>
            </w: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20,284,084.01</w:t>
            </w: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20,284,084.01</w:t>
            </w: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220,746,347.00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1,406,305,871.38</w:t>
            </w: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38,930,772.35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104,811,789.16</w:t>
            </w: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859,515,190.61</w:t>
            </w:r>
          </w:p>
        </w:tc>
        <w:tc>
          <w:tcPr>
            <w:tcW w:w="7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2,630,309,970.50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10" w:footer="1013" w:top="1100" w:bottom="1200" w:left="1300" w:right="1280"/>
        </w:sectPr>
      </w:pPr>
    </w:p>
    <w:p>
      <w:pPr>
        <w:pStyle w:val="BodyText"/>
        <w:spacing w:line="240" w:lineRule="auto" w:before="64"/>
        <w:ind w:left="140" w:right="0"/>
        <w:jc w:val="left"/>
      </w:pPr>
      <w:r>
        <w:rPr/>
        <w:pict>
          <v:shape style="position:absolute;margin-left:134.514008pt;margin-top:310.630005pt;width:91.75pt;height:35.2pt;mso-position-horizontal-relative:page;mso-position-vertical-relative:page;z-index:-74255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t>号填列）</w:t>
                  </w:r>
                </w:p>
              </w:txbxContent>
            </v:textbox>
            <w10:wrap type="none"/>
          </v:shape>
        </w:pict>
      </w:r>
      <w:r>
        <w:rPr/>
        <w:t>上期金额</w:t>
      </w:r>
    </w:p>
    <w:p>
      <w:pPr>
        <w:pStyle w:val="BodyText"/>
        <w:spacing w:line="240" w:lineRule="auto" w:before="117"/>
        <w:ind w:left="0" w:right="157"/>
        <w:jc w:val="right"/>
      </w:pPr>
      <w:r>
        <w:rPr/>
        <w:t>单位：元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937"/>
        <w:gridCol w:w="1183"/>
        <w:gridCol w:w="608"/>
        <w:gridCol w:w="610"/>
        <w:gridCol w:w="612"/>
        <w:gridCol w:w="1181"/>
        <w:gridCol w:w="807"/>
        <w:gridCol w:w="804"/>
        <w:gridCol w:w="1092"/>
        <w:gridCol w:w="1092"/>
        <w:gridCol w:w="805"/>
        <w:gridCol w:w="1181"/>
        <w:gridCol w:w="790"/>
        <w:gridCol w:w="1318"/>
      </w:tblGrid>
      <w:tr>
        <w:trPr>
          <w:trHeight w:val="401" w:hRule="exact"/>
        </w:trPr>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937" w:type="dxa"/>
            <w:vMerge/>
            <w:tcBorders>
              <w:left w:val="single" w:sz="4" w:space="0" w:color="000000"/>
              <w:right w:val="single" w:sz="4" w:space="0" w:color="000000"/>
            </w:tcBorders>
            <w:shd w:val="clear" w:color="auto" w:fill="D2D2D2"/>
          </w:tcPr>
          <w:p>
            <w:pPr/>
          </w:p>
        </w:tc>
        <w:tc>
          <w:tcPr>
            <w:tcW w:w="997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4"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1" w:hRule="exact"/>
        </w:trPr>
        <w:tc>
          <w:tcPr>
            <w:tcW w:w="1937" w:type="dxa"/>
            <w:vMerge/>
            <w:tcBorders>
              <w:left w:val="single" w:sz="4" w:space="0" w:color="000000"/>
              <w:right w:val="single" w:sz="4" w:space="0" w:color="000000"/>
            </w:tcBorders>
            <w:shd w:val="clear" w:color="auto" w:fill="D2D2D2"/>
          </w:tcPr>
          <w:p>
            <w:pP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07" w:right="39"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16" w:right="36"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15" w:right="36"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403" w:hRule="exact"/>
        </w:trPr>
        <w:tc>
          <w:tcPr>
            <w:tcW w:w="1937"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807" w:type="dxa"/>
            <w:vMerge/>
            <w:tcBorders>
              <w:left w:val="single" w:sz="4" w:space="0" w:color="000000"/>
              <w:bottom w:val="single" w:sz="4" w:space="0" w:color="000000"/>
              <w:right w:val="single" w:sz="4" w:space="0" w:color="000000"/>
            </w:tcBorders>
            <w:shd w:val="clear" w:color="auto" w:fill="D2D2D2"/>
          </w:tcPr>
          <w:p>
            <w:pPr/>
          </w:p>
        </w:tc>
        <w:tc>
          <w:tcPr>
            <w:tcW w:w="804"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805"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165,559,747.00</w:t>
            </w: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205,531,891.95</w:t>
            </w: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29,364,028.46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60,820,599.32</w:t>
            </w: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484,718,197.77</w:t>
            </w: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945,994,464.50</w:t>
            </w: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加：会计政策变更</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前期差错更正</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0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同一控制下企 业合并</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165,559,747.00</w:t>
            </w: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205,531,891.95</w:t>
            </w: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29,364,028.46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60,820,599.32</w:t>
            </w: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484,718,197.77</w:t>
            </w: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945,994,464.50</w:t>
            </w:r>
          </w:p>
        </w:tc>
      </w:tr>
      <w:tr>
        <w:trPr>
          <w:trHeight w:val="71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（减少以“－”</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703" w:lineRule="exact"/>
              <w:ind w:right="-49"/>
              <w:jc w:val="left"/>
              <w:rPr>
                <w:rFonts w:ascii="宋体" w:hAnsi="宋体" w:cs="宋体" w:eastAsia="宋体" w:hint="default"/>
                <w:sz w:val="20"/>
                <w:szCs w:val="20"/>
              </w:rPr>
            </w:pPr>
            <w:r>
              <w:rPr>
                <w:rFonts w:ascii="宋体" w:hAnsi="宋体" w:cs="宋体" w:eastAsia="宋体" w:hint="default"/>
                <w:position w:val="-13"/>
                <w:sz w:val="20"/>
                <w:szCs w:val="20"/>
              </w:rPr>
              <w:pict>
                <v:group style="width:58.6pt;height:35.2pt;mso-position-horizontal-relative:char;mso-position-vertical-relative:line" coordorigin="0,0" coordsize="1172,704">
                  <v:group style="position:absolute;left:0;top:0;width:1172;height:704" coordorigin="0,0" coordsize="1172,704">
                    <v:shape style="position:absolute;left:0;top:0;width:1172;height:704" coordorigin="0,0" coordsize="1172,704" path="m0,703l1171,703,1171,0,0,0,0,703xe" filled="true" fillcolor="#ffffff" stroked="false">
                      <v:path arrowok="t"/>
                      <v:fill type="solid"/>
                    </v:shape>
                  </v:group>
                  <v:group style="position:absolute;left:24;top:156;width:1126;height:392" coordorigin="24,156" coordsize="1126,392">
                    <v:shape style="position:absolute;left:24;top:156;width:1126;height:392" coordorigin="24,156" coordsize="1126,392" path="m24,547l1150,547,1150,156,24,156,24,547xe" filled="true" fillcolor="#ffffff" stroked="false">
                      <v:path arrowok="t"/>
                      <v:fill type="solid"/>
                    </v:shape>
                  </v:group>
                </v:group>
              </w:pict>
            </w:r>
            <w:r>
              <w:rPr>
                <w:rFonts w:ascii="宋体" w:hAnsi="宋体" w:cs="宋体" w:eastAsia="宋体" w:hint="default"/>
                <w:position w:val="-13"/>
                <w:sz w:val="20"/>
                <w:szCs w:val="20"/>
              </w:rPr>
            </w: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4,145,241.90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23,447,730.16</w:t>
            </w: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215,952,300.52</w:t>
            </w: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243,545,272.58</w:t>
            </w: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239,400,030.68</w:t>
            </w: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239,400,030.68</w:t>
            </w:r>
          </w:p>
        </w:tc>
      </w:tr>
      <w:tr>
        <w:trPr>
          <w:trHeight w:val="715"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3" w:right="101"/>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910" w:footer="1013" w:top="1100" w:bottom="1200" w:left="1300" w:right="1280"/>
        </w:sectPr>
      </w:pPr>
    </w:p>
    <w:p>
      <w:pPr>
        <w:spacing w:line="240" w:lineRule="auto" w:before="8"/>
        <w:rPr>
          <w:rFonts w:ascii="Times New Roman" w:hAnsi="Times New Roman" w:cs="Times New Roman" w:eastAsia="Times New Roman"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937"/>
        <w:gridCol w:w="1183"/>
        <w:gridCol w:w="608"/>
        <w:gridCol w:w="610"/>
        <w:gridCol w:w="612"/>
        <w:gridCol w:w="1181"/>
        <w:gridCol w:w="807"/>
        <w:gridCol w:w="804"/>
        <w:gridCol w:w="1092"/>
        <w:gridCol w:w="1092"/>
        <w:gridCol w:w="805"/>
        <w:gridCol w:w="1181"/>
        <w:gridCol w:w="790"/>
        <w:gridCol w:w="1318"/>
      </w:tblGrid>
      <w:tr>
        <w:trPr>
          <w:trHeight w:val="404" w:hRule="exact"/>
        </w:trPr>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937" w:type="dxa"/>
            <w:vMerge/>
            <w:tcBorders>
              <w:left w:val="single" w:sz="4" w:space="0" w:color="000000"/>
              <w:right w:val="single" w:sz="4" w:space="0" w:color="000000"/>
            </w:tcBorders>
            <w:shd w:val="clear" w:color="auto" w:fill="D2D2D2"/>
          </w:tcPr>
          <w:p>
            <w:pPr/>
          </w:p>
        </w:tc>
        <w:tc>
          <w:tcPr>
            <w:tcW w:w="997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3" w:hRule="exact"/>
        </w:trPr>
        <w:tc>
          <w:tcPr>
            <w:tcW w:w="1937" w:type="dxa"/>
            <w:vMerge/>
            <w:tcBorders>
              <w:left w:val="single" w:sz="4" w:space="0" w:color="000000"/>
              <w:right w:val="single" w:sz="4" w:space="0" w:color="000000"/>
            </w:tcBorders>
            <w:shd w:val="clear" w:color="auto" w:fill="D2D2D2"/>
          </w:tcPr>
          <w:p>
            <w:pP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7" w:right="39"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6" w:right="36"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5" w:right="36"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401" w:hRule="exact"/>
        </w:trPr>
        <w:tc>
          <w:tcPr>
            <w:tcW w:w="1937"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807" w:type="dxa"/>
            <w:vMerge/>
            <w:tcBorders>
              <w:left w:val="single" w:sz="4" w:space="0" w:color="000000"/>
              <w:bottom w:val="single" w:sz="4" w:space="0" w:color="000000"/>
              <w:right w:val="single" w:sz="4" w:space="0" w:color="000000"/>
            </w:tcBorders>
            <w:shd w:val="clear" w:color="auto" w:fill="D2D2D2"/>
          </w:tcPr>
          <w:p>
            <w:pPr/>
          </w:p>
        </w:tc>
        <w:tc>
          <w:tcPr>
            <w:tcW w:w="804"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805"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23,447,730.16</w:t>
            </w: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-23,447,730.16</w:t>
            </w: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23,447,730.16</w:t>
            </w: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-23,447,730.16</w:t>
            </w: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 结转留存收益</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4,145,241.90</w:t>
            </w: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4,145,241.90</w:t>
            </w: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21,863,109.68</w:t>
            </w: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21,863,109.68</w:t>
            </w: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17,717,867.78</w:t>
            </w: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17,717,867.78</w:t>
            </w: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910" w:footer="1013" w:top="1100" w:bottom="1200" w:left="1300" w:right="1280"/>
        </w:sectPr>
      </w:pPr>
    </w:p>
    <w:p>
      <w:pPr>
        <w:spacing w:line="240" w:lineRule="auto" w:before="8"/>
        <w:rPr>
          <w:rFonts w:ascii="Times New Roman" w:hAnsi="Times New Roman" w:cs="Times New Roman" w:eastAsia="Times New Roman"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937"/>
        <w:gridCol w:w="1182"/>
        <w:gridCol w:w="609"/>
        <w:gridCol w:w="610"/>
        <w:gridCol w:w="612"/>
        <w:gridCol w:w="1181"/>
        <w:gridCol w:w="807"/>
        <w:gridCol w:w="804"/>
        <w:gridCol w:w="1092"/>
        <w:gridCol w:w="1092"/>
        <w:gridCol w:w="805"/>
        <w:gridCol w:w="1182"/>
        <w:gridCol w:w="788"/>
        <w:gridCol w:w="1318"/>
      </w:tblGrid>
      <w:tr>
        <w:trPr>
          <w:trHeight w:val="404" w:hRule="exact"/>
        </w:trPr>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937" w:type="dxa"/>
            <w:vMerge/>
            <w:tcBorders>
              <w:left w:val="single" w:sz="4" w:space="0" w:color="000000"/>
              <w:right w:val="single" w:sz="4" w:space="0" w:color="000000"/>
            </w:tcBorders>
            <w:shd w:val="clear" w:color="auto" w:fill="D2D2D2"/>
          </w:tcPr>
          <w:p>
            <w:pPr/>
          </w:p>
        </w:tc>
        <w:tc>
          <w:tcPr>
            <w:tcW w:w="997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07" w:right="29"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3" w:hRule="exact"/>
        </w:trPr>
        <w:tc>
          <w:tcPr>
            <w:tcW w:w="1937" w:type="dxa"/>
            <w:vMerge/>
            <w:tcBorders>
              <w:left w:val="single" w:sz="4" w:space="0" w:color="000000"/>
              <w:right w:val="single" w:sz="4" w:space="0" w:color="000000"/>
            </w:tcBorders>
            <w:shd w:val="clear" w:color="auto" w:fill="D2D2D2"/>
          </w:tcPr>
          <w:p>
            <w:pPr/>
          </w:p>
        </w:tc>
        <w:tc>
          <w:tcPr>
            <w:tcW w:w="11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83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7" w:right="39"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6" w:right="36"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5" w:right="36"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88"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401" w:hRule="exact"/>
        </w:trPr>
        <w:tc>
          <w:tcPr>
            <w:tcW w:w="1937" w:type="dxa"/>
            <w:vMerge/>
            <w:tcBorders>
              <w:left w:val="single" w:sz="4" w:space="0" w:color="000000"/>
              <w:bottom w:val="single" w:sz="4" w:space="0" w:color="000000"/>
              <w:right w:val="single" w:sz="4" w:space="0" w:color="000000"/>
            </w:tcBorders>
            <w:shd w:val="clear" w:color="auto" w:fill="D2D2D2"/>
          </w:tcPr>
          <w:p>
            <w:pPr/>
          </w:p>
        </w:tc>
        <w:tc>
          <w:tcPr>
            <w:tcW w:w="1182" w:type="dxa"/>
            <w:vMerge/>
            <w:tcBorders>
              <w:left w:val="single" w:sz="4" w:space="0" w:color="000000"/>
              <w:bottom w:val="single" w:sz="4" w:space="0" w:color="000000"/>
              <w:right w:val="single" w:sz="4" w:space="0" w:color="000000"/>
            </w:tcBorders>
            <w:shd w:val="clear" w:color="auto" w:fill="D2D2D2"/>
          </w:tcPr>
          <w:p>
            <w:pP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807" w:type="dxa"/>
            <w:vMerge/>
            <w:tcBorders>
              <w:left w:val="single" w:sz="4" w:space="0" w:color="000000"/>
              <w:bottom w:val="single" w:sz="4" w:space="0" w:color="000000"/>
              <w:right w:val="single" w:sz="4" w:space="0" w:color="000000"/>
            </w:tcBorders>
            <w:shd w:val="clear" w:color="auto" w:fill="D2D2D2"/>
          </w:tcPr>
          <w:p>
            <w:pPr/>
          </w:p>
        </w:tc>
        <w:tc>
          <w:tcPr>
            <w:tcW w:w="804"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805" w:type="dxa"/>
            <w:vMerge/>
            <w:tcBorders>
              <w:left w:val="single" w:sz="4" w:space="0" w:color="000000"/>
              <w:bottom w:val="single" w:sz="4" w:space="0" w:color="000000"/>
              <w:right w:val="single" w:sz="4" w:space="0" w:color="000000"/>
            </w:tcBorders>
            <w:shd w:val="clear" w:color="auto" w:fill="D2D2D2"/>
          </w:tcPr>
          <w:p>
            <w:pPr/>
          </w:p>
        </w:tc>
        <w:tc>
          <w:tcPr>
            <w:tcW w:w="1182"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165,559,747.00</w:t>
            </w:r>
          </w:p>
        </w:tc>
        <w:tc>
          <w:tcPr>
            <w:tcW w:w="609"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205,531,891.95</w:t>
            </w:r>
          </w:p>
        </w:tc>
        <w:tc>
          <w:tcPr>
            <w:tcW w:w="80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33,509,270.36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84,268,329.48</w:t>
            </w:r>
          </w:p>
        </w:tc>
        <w:tc>
          <w:tcPr>
            <w:tcW w:w="80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700,670,498.29</w:t>
            </w:r>
          </w:p>
        </w:tc>
        <w:tc>
          <w:tcPr>
            <w:tcW w:w="78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1,189,539,737.08</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910" w:footer="1013" w:top="1100" w:bottom="1200" w:left="1300" w:right="1280"/>
        </w:sectPr>
      </w:pPr>
    </w:p>
    <w:p>
      <w:pPr>
        <w:pStyle w:val="Heading3"/>
        <w:spacing w:line="240" w:lineRule="auto" w:before="41"/>
        <w:ind w:left="140"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40" w:right="0"/>
        <w:jc w:val="left"/>
      </w:pPr>
      <w:r>
        <w:rPr/>
        <w:t>本期金额</w:t>
      </w:r>
    </w:p>
    <w:p>
      <w:pPr>
        <w:pStyle w:val="BodyText"/>
        <w:spacing w:line="240" w:lineRule="auto" w:before="115"/>
        <w:ind w:left="0" w:right="157"/>
        <w:jc w:val="right"/>
      </w:pPr>
      <w:r>
        <w:rPr/>
        <w:t>单位：元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009"/>
        <w:gridCol w:w="1181"/>
        <w:gridCol w:w="872"/>
        <w:gridCol w:w="871"/>
        <w:gridCol w:w="871"/>
        <w:gridCol w:w="1318"/>
        <w:gridCol w:w="1066"/>
        <w:gridCol w:w="1066"/>
        <w:gridCol w:w="1093"/>
        <w:gridCol w:w="1174"/>
        <w:gridCol w:w="1181"/>
        <w:gridCol w:w="1318"/>
      </w:tblGrid>
      <w:tr>
        <w:trPr>
          <w:trHeight w:val="403" w:hRule="exact"/>
        </w:trPr>
        <w:tc>
          <w:tcPr>
            <w:tcW w:w="2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00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2009" w:type="dxa"/>
            <w:vMerge/>
            <w:tcBorders>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61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36" w:right="7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4" w:hRule="exact"/>
        </w:trPr>
        <w:tc>
          <w:tcPr>
            <w:tcW w:w="2009"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8"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165,559,747.00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203,678,265.75</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33,509,270.36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center"/>
              <w:rPr>
                <w:rFonts w:ascii="Times New Roman" w:hAnsi="Times New Roman" w:cs="Times New Roman" w:eastAsia="Times New Roman" w:hint="default"/>
                <w:sz w:val="18"/>
                <w:szCs w:val="18"/>
              </w:rPr>
            </w:pPr>
            <w:r>
              <w:rPr>
                <w:rFonts w:ascii="Times New Roman"/>
                <w:sz w:val="18"/>
              </w:rPr>
              <w:t>84,268,329.48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701,897,237.60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1,188,912,850.19</w:t>
            </w:r>
            <w:r>
              <w:rPr>
                <w:rFonts w:ascii="Times New Roman"/>
                <w:sz w:val="18"/>
              </w:rPr>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165,559,747.00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203,678,265.75</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33,509,270.36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center"/>
              <w:rPr>
                <w:rFonts w:ascii="Times New Roman" w:hAnsi="Times New Roman" w:cs="Times New Roman" w:eastAsia="Times New Roman" w:hint="default"/>
                <w:sz w:val="18"/>
                <w:szCs w:val="18"/>
              </w:rPr>
            </w:pPr>
            <w:r>
              <w:rPr>
                <w:rFonts w:ascii="Times New Roman"/>
                <w:sz w:val="18"/>
              </w:rPr>
              <w:t>84,268,329.48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701,897,237.60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1,188,912,850.19</w:t>
            </w:r>
            <w:r>
              <w:rPr>
                <w:rFonts w:ascii="Times New Roman"/>
                <w:sz w:val="18"/>
              </w:rPr>
            </w:r>
          </w:p>
        </w:tc>
      </w:tr>
      <w:tr>
        <w:trPr>
          <w:trHeight w:val="716"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7"/>
              <w:ind w:left="23" w:right="-5"/>
              <w:jc w:val="left"/>
              <w:rPr>
                <w:rFonts w:ascii="宋体" w:hAnsi="宋体" w:cs="宋体" w:eastAsia="宋体" w:hint="default"/>
                <w:sz w:val="18"/>
                <w:szCs w:val="18"/>
              </w:rPr>
            </w:pPr>
            <w:r>
              <w:rPr>
                <w:rFonts w:ascii="宋体" w:hAnsi="宋体" w:cs="宋体" w:eastAsia="宋体" w:hint="default"/>
                <w:sz w:val="18"/>
                <w:szCs w:val="18"/>
              </w:rPr>
              <w:t>（减少以“－”号填列）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55,186,600.00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1,200,773,979.43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5,421,501.99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20,543,459.68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158,401,575.52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1,440,327,116.62</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205,434,596.84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205,434,596.84</w:t>
            </w:r>
          </w:p>
        </w:tc>
      </w:tr>
      <w:tr>
        <w:trPr>
          <w:trHeight w:val="715"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3"/>
                <w:sz w:val="18"/>
                <w:szCs w:val="18"/>
              </w:rPr>
              <w:t>（二）所有者投入和减少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55,186,600.00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1,200,773,979.43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1,255,960,579.43</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55,186,600.00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1,200,773,979.43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1,255,960,579.43</w:t>
            </w:r>
          </w:p>
        </w:tc>
      </w:tr>
      <w:tr>
        <w:trPr>
          <w:trHeight w:val="716"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center"/>
              <w:rPr>
                <w:rFonts w:ascii="Times New Roman" w:hAnsi="Times New Roman" w:cs="Times New Roman" w:eastAsia="Times New Roman" w:hint="default"/>
                <w:sz w:val="18"/>
                <w:szCs w:val="18"/>
              </w:rPr>
            </w:pPr>
            <w:r>
              <w:rPr>
                <w:rFonts w:ascii="Times New Roman"/>
                <w:sz w:val="18"/>
              </w:rPr>
              <w:t>20,543,459.68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-47,033,021.32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-26,489,561.64</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 w:right="0"/>
              <w:jc w:val="center"/>
              <w:rPr>
                <w:rFonts w:ascii="Times New Roman" w:hAnsi="Times New Roman" w:cs="Times New Roman" w:eastAsia="Times New Roman" w:hint="default"/>
                <w:sz w:val="18"/>
                <w:szCs w:val="18"/>
              </w:rPr>
            </w:pPr>
            <w:r>
              <w:rPr>
                <w:rFonts w:ascii="Times New Roman"/>
                <w:sz w:val="18"/>
              </w:rPr>
              <w:t>20,543,459.68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-20,543,459.68</w:t>
            </w: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910" w:footer="1013" w:top="1100" w:bottom="1200" w:left="1300" w:right="1280"/>
        </w:sectPr>
      </w:pPr>
    </w:p>
    <w:p>
      <w:pPr>
        <w:spacing w:line="240" w:lineRule="auto" w:before="8"/>
        <w:rPr>
          <w:rFonts w:ascii="Times New Roman" w:hAnsi="Times New Roman" w:cs="Times New Roman" w:eastAsia="Times New Roman"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009"/>
        <w:gridCol w:w="1181"/>
        <w:gridCol w:w="872"/>
        <w:gridCol w:w="871"/>
        <w:gridCol w:w="871"/>
        <w:gridCol w:w="1318"/>
        <w:gridCol w:w="1066"/>
        <w:gridCol w:w="1066"/>
        <w:gridCol w:w="1093"/>
        <w:gridCol w:w="1174"/>
        <w:gridCol w:w="1181"/>
        <w:gridCol w:w="1318"/>
      </w:tblGrid>
      <w:tr>
        <w:trPr>
          <w:trHeight w:val="404" w:hRule="exact"/>
        </w:trPr>
        <w:tc>
          <w:tcPr>
            <w:tcW w:w="2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00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2009" w:type="dxa"/>
            <w:vMerge/>
            <w:tcBorders>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61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436" w:right="7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3" w:hRule="exact"/>
        </w:trPr>
        <w:tc>
          <w:tcPr>
            <w:tcW w:w="2009"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8"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-26,489,561.64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-26,489,561.64</w:t>
            </w:r>
            <w:r>
              <w:rPr>
                <w:rFonts w:ascii="Times New Roman"/>
                <w:sz w:val="18"/>
              </w:rPr>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23"/>
              <w:jc w:val="left"/>
              <w:rPr>
                <w:rFonts w:ascii="宋体" w:hAnsi="宋体" w:cs="宋体" w:eastAsia="宋体" w:hint="default"/>
                <w:sz w:val="18"/>
                <w:szCs w:val="18"/>
              </w:rPr>
            </w:pPr>
            <w:r>
              <w:rPr>
                <w:rFonts w:ascii="宋体" w:hAnsi="宋体" w:cs="宋体" w:eastAsia="宋体" w:hint="default"/>
                <w:spacing w:val="-3"/>
                <w:sz w:val="18"/>
                <w:szCs w:val="18"/>
              </w:rPr>
              <w:t>（四）所有者权益内部结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．资本公积转增资本（或</w:t>
            </w:r>
            <w:r>
              <w:rPr>
                <w:rFonts w:ascii="宋体" w:hAnsi="宋体" w:cs="宋体" w:eastAsia="宋体" w:hint="default"/>
                <w:sz w:val="18"/>
                <w:szCs w:val="18"/>
              </w:rPr>
              <w:t> 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22"/>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．盈余公积转增资本（或</w:t>
            </w:r>
            <w:r>
              <w:rPr>
                <w:rFonts w:ascii="宋体" w:hAnsi="宋体" w:cs="宋体" w:eastAsia="宋体" w:hint="default"/>
                <w:sz w:val="18"/>
                <w:szCs w:val="18"/>
              </w:rPr>
              <w:t> 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 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5,421,501.99</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5,421,501.99</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25,705,586.00</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25,705,586.00</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20,284,084.01</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20,284,084.01</w:t>
            </w:r>
          </w:p>
        </w:tc>
      </w:tr>
      <w:tr>
        <w:trPr>
          <w:trHeight w:val="404"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220,746,347.00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1,404,452,245.18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38,930,772.35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104,811,789.16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860,298,813.12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2,629,239,966.81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10" w:footer="1013" w:top="1100" w:bottom="1200" w:left="1300" w:right="1280"/>
        </w:sectPr>
      </w:pPr>
    </w:p>
    <w:p>
      <w:pPr>
        <w:pStyle w:val="BodyText"/>
        <w:spacing w:line="240" w:lineRule="auto" w:before="64"/>
        <w:ind w:left="140" w:right="0"/>
        <w:jc w:val="left"/>
      </w:pPr>
      <w:r>
        <w:rPr/>
        <w:t>上期金额</w:t>
      </w:r>
    </w:p>
    <w:p>
      <w:pPr>
        <w:pStyle w:val="BodyText"/>
        <w:spacing w:line="240" w:lineRule="auto" w:before="117"/>
        <w:ind w:left="0" w:right="155"/>
        <w:jc w:val="right"/>
      </w:pPr>
      <w:r>
        <w:rPr/>
        <w:t>单位：元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043"/>
        <w:gridCol w:w="1181"/>
        <w:gridCol w:w="905"/>
        <w:gridCol w:w="905"/>
        <w:gridCol w:w="907"/>
        <w:gridCol w:w="1181"/>
        <w:gridCol w:w="1099"/>
        <w:gridCol w:w="1099"/>
        <w:gridCol w:w="1102"/>
        <w:gridCol w:w="1097"/>
        <w:gridCol w:w="1181"/>
        <w:gridCol w:w="1318"/>
      </w:tblGrid>
      <w:tr>
        <w:trPr>
          <w:trHeight w:val="401" w:hRule="exact"/>
        </w:trPr>
        <w:tc>
          <w:tcPr>
            <w:tcW w:w="20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7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2043" w:type="dxa"/>
            <w:vMerge/>
            <w:tcBorders>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53" w:right="95"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1" w:hRule="exact"/>
        </w:trPr>
        <w:tc>
          <w:tcPr>
            <w:tcW w:w="2043"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9" w:type="dxa"/>
            <w:vMerge/>
            <w:tcBorders>
              <w:left w:val="single" w:sz="4" w:space="0" w:color="000000"/>
              <w:bottom w:val="single" w:sz="4" w:space="0" w:color="000000"/>
              <w:right w:val="single" w:sz="4" w:space="0" w:color="000000"/>
            </w:tcBorders>
            <w:shd w:val="clear" w:color="auto" w:fill="D2D2D2"/>
          </w:tcPr>
          <w:p>
            <w:pPr/>
          </w:p>
        </w:tc>
        <w:tc>
          <w:tcPr>
            <w:tcW w:w="1099" w:type="dxa"/>
            <w:vMerge/>
            <w:tcBorders>
              <w:left w:val="single" w:sz="4" w:space="0" w:color="000000"/>
              <w:bottom w:val="single" w:sz="4" w:space="0" w:color="000000"/>
              <w:right w:val="single" w:sz="4" w:space="0" w:color="000000"/>
            </w:tcBorders>
            <w:shd w:val="clear" w:color="auto" w:fill="D2D2D2"/>
          </w:tcPr>
          <w:p>
            <w:pPr/>
          </w:p>
        </w:tc>
        <w:tc>
          <w:tcPr>
            <w:tcW w:w="1102"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165,559,747.00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203,678,265.75</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29,364,028.46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60,820,599.32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481,922,924.26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941,345,564.79</w:t>
            </w: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165,559,747.00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203,678,265.75</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29,364,028.46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60,820,599.32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481,922,924.26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941,345,564.79</w:t>
            </w:r>
            <w:r>
              <w:rPr>
                <w:rFonts w:ascii="Times New Roman"/>
                <w:sz w:val="18"/>
              </w:rPr>
            </w:r>
          </w:p>
        </w:tc>
      </w:tr>
      <w:tr>
        <w:trPr>
          <w:trHeight w:val="71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15"/>
                <w:sz w:val="18"/>
                <w:szCs w:val="18"/>
              </w:rPr>
              <w:t>三、本期增减变动金额（减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少以“－”号填列）</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4,145,241.90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23,447,730.16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219,974,313.34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247,567,285.40</w:t>
            </w:r>
          </w:p>
        </w:tc>
      </w:tr>
      <w:tr>
        <w:trPr>
          <w:trHeight w:val="404"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234,477,301.61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234,477,301.61</w:t>
            </w:r>
          </w:p>
        </w:tc>
      </w:tr>
      <w:tr>
        <w:trPr>
          <w:trHeight w:val="71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7"/>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3" w:right="1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．其他权益工具持有者投</w:t>
            </w:r>
            <w:r>
              <w:rPr>
                <w:rFonts w:ascii="宋体" w:hAnsi="宋体" w:cs="宋体" w:eastAsia="宋体" w:hint="default"/>
                <w:sz w:val="18"/>
                <w:szCs w:val="18"/>
              </w:rPr>
              <w:t> 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．股份支付计入所有者权</w:t>
            </w:r>
            <w:r>
              <w:rPr>
                <w:rFonts w:ascii="宋体" w:hAnsi="宋体" w:cs="宋体" w:eastAsia="宋体" w:hint="default"/>
                <w:sz w:val="18"/>
                <w:szCs w:val="18"/>
              </w:rPr>
              <w:t> 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23,447,730.16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-23,447,730.16</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23,447,730.16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-23,447,730.16</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．对所有者（或股东）的</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910" w:footer="1013" w:top="1100" w:bottom="1200" w:left="1300" w:right="1280"/>
        </w:sectPr>
      </w:pPr>
    </w:p>
    <w:p>
      <w:pPr>
        <w:spacing w:line="240" w:lineRule="auto" w:before="8"/>
        <w:rPr>
          <w:rFonts w:ascii="Times New Roman" w:hAnsi="Times New Roman" w:cs="Times New Roman" w:eastAsia="Times New Roman"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043"/>
        <w:gridCol w:w="1181"/>
        <w:gridCol w:w="905"/>
        <w:gridCol w:w="905"/>
        <w:gridCol w:w="907"/>
        <w:gridCol w:w="1181"/>
        <w:gridCol w:w="1099"/>
        <w:gridCol w:w="1099"/>
        <w:gridCol w:w="1102"/>
        <w:gridCol w:w="1097"/>
        <w:gridCol w:w="1181"/>
        <w:gridCol w:w="1318"/>
      </w:tblGrid>
      <w:tr>
        <w:trPr>
          <w:trHeight w:val="404" w:hRule="exact"/>
        </w:trPr>
        <w:tc>
          <w:tcPr>
            <w:tcW w:w="20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7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2043" w:type="dxa"/>
            <w:vMerge/>
            <w:tcBorders>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9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453" w:right="95"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3" w:hRule="exact"/>
        </w:trPr>
        <w:tc>
          <w:tcPr>
            <w:tcW w:w="2043"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9" w:type="dxa"/>
            <w:vMerge/>
            <w:tcBorders>
              <w:left w:val="single" w:sz="4" w:space="0" w:color="000000"/>
              <w:bottom w:val="single" w:sz="4" w:space="0" w:color="000000"/>
              <w:right w:val="single" w:sz="4" w:space="0" w:color="000000"/>
            </w:tcBorders>
            <w:shd w:val="clear" w:color="auto" w:fill="D2D2D2"/>
          </w:tcPr>
          <w:p>
            <w:pPr/>
          </w:p>
        </w:tc>
        <w:tc>
          <w:tcPr>
            <w:tcW w:w="1099" w:type="dxa"/>
            <w:vMerge/>
            <w:tcBorders>
              <w:left w:val="single" w:sz="4" w:space="0" w:color="000000"/>
              <w:bottom w:val="single" w:sz="4" w:space="0" w:color="000000"/>
              <w:right w:val="single" w:sz="4" w:space="0" w:color="000000"/>
            </w:tcBorders>
            <w:shd w:val="clear" w:color="auto" w:fill="D2D2D2"/>
          </w:tcPr>
          <w:p>
            <w:pPr/>
          </w:p>
        </w:tc>
        <w:tc>
          <w:tcPr>
            <w:tcW w:w="1102"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362"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7"/>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8,944,741.89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8,944,741.89</w:t>
            </w:r>
          </w:p>
        </w:tc>
      </w:tr>
      <w:tr>
        <w:trPr>
          <w:trHeight w:val="71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2"/>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23"/>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．设定受益计划变动额结</w:t>
            </w:r>
            <w:r>
              <w:rPr>
                <w:rFonts w:ascii="宋体" w:hAnsi="宋体" w:cs="宋体" w:eastAsia="宋体" w:hint="default"/>
                <w:sz w:val="18"/>
                <w:szCs w:val="18"/>
              </w:rPr>
              <w:t> 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8,944,741.89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8,944,741.89</w:t>
            </w: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4,145,241.90</w:t>
            </w: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4,145,241.90</w:t>
            </w: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21,863,109.68</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21,863,109.68</w:t>
            </w: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17,717,867.78</w:t>
            </w: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17,717,867.78</w:t>
            </w: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165,559,747.00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 w:right="0"/>
              <w:jc w:val="left"/>
              <w:rPr>
                <w:rFonts w:ascii="Times New Roman" w:hAnsi="Times New Roman" w:cs="Times New Roman" w:eastAsia="Times New Roman" w:hint="default"/>
                <w:sz w:val="18"/>
                <w:szCs w:val="18"/>
              </w:rPr>
            </w:pPr>
            <w:r>
              <w:rPr>
                <w:rFonts w:ascii="Times New Roman"/>
                <w:sz w:val="18"/>
              </w:rPr>
              <w:t>203,678,265.75</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spacing w:val="-1"/>
                <w:sz w:val="18"/>
              </w:rPr>
              <w:t>33,509,270.36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Times New Roman" w:hAnsi="Times New Roman" w:cs="Times New Roman" w:eastAsia="Times New Roman" w:hint="default"/>
                <w:sz w:val="18"/>
                <w:szCs w:val="18"/>
              </w:rPr>
            </w:pPr>
            <w:r>
              <w:rPr>
                <w:rFonts w:ascii="Times New Roman"/>
                <w:sz w:val="18"/>
              </w:rPr>
              <w:t>84,268,329.48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701,897,237.60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1,188,912,850.19</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10" w:footer="1013" w:top="1100" w:bottom="1200" w:left="1300" w:right="1280"/>
        </w:sectPr>
      </w:pPr>
    </w:p>
    <w:p>
      <w:pPr>
        <w:spacing w:line="240" w:lineRule="auto" w:before="3"/>
        <w:rPr>
          <w:rFonts w:ascii="Times New Roman" w:hAnsi="Times New Roman" w:cs="Times New Roman" w:eastAsia="Times New Roman" w:hint="default"/>
          <w:sz w:val="26"/>
          <w:szCs w:val="26"/>
        </w:rPr>
      </w:pPr>
      <w:r>
        <w:rPr/>
        <w:pict>
          <v:shape style="position:absolute;margin-left:535.634705pt;margin-top:806.72052pt;width:59.493346pt;height:26.794713pt;mso-position-horizontal-relative:page;mso-position-vertical-relative:page;z-index:1288" type="#_x0000_t75" stroked="false">
            <v:imagedata r:id="rId18" o:title=""/>
          </v:shape>
        </w:pict>
      </w:r>
    </w:p>
    <w:p>
      <w:pPr>
        <w:pStyle w:val="BodyText"/>
        <w:spacing w:line="316" w:lineRule="auto" w:before="44"/>
        <w:ind w:right="1130" w:firstLine="360"/>
        <w:jc w:val="both"/>
        <w:rPr>
          <w:rFonts w:ascii="宋体" w:hAnsi="宋体" w:cs="宋体" w:eastAsia="宋体" w:hint="default"/>
        </w:rPr>
      </w:pP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2</w:t>
      </w:r>
      <w:r>
        <w:rPr/>
        <w:t>日，经中国证券监督管理委员会证监许可</w:t>
      </w:r>
      <w:r>
        <w:rPr>
          <w:rFonts w:ascii="宋体" w:hAnsi="宋体" w:cs="宋体" w:eastAsia="宋体" w:hint="default"/>
        </w:rPr>
        <w:t>[2018]262</w:t>
      </w:r>
      <w:r>
        <w:rPr/>
        <w:t>号《关于核准润建通信股份有限公司首次公开发行股份 </w:t>
      </w:r>
      <w:r>
        <w:rPr>
          <w:spacing w:val="-2"/>
        </w:rPr>
        <w:t>的批复》核准，本公司首次向社会公开发行人民币普通股（</w:t>
      </w:r>
      <w:r>
        <w:rPr>
          <w:rFonts w:ascii="宋体" w:hAnsi="宋体" w:cs="宋体" w:eastAsia="宋体" w:hint="default"/>
          <w:spacing w:val="-2"/>
        </w:rPr>
        <w:t>A</w:t>
      </w:r>
      <w:r>
        <w:rPr>
          <w:spacing w:val="-2"/>
        </w:rPr>
        <w:t>股）股票</w:t>
      </w:r>
      <w:r>
        <w:rPr>
          <w:rFonts w:ascii="宋体" w:hAnsi="宋体" w:cs="宋体" w:eastAsia="宋体" w:hint="default"/>
          <w:spacing w:val="-2"/>
        </w:rPr>
        <w:t>55,186,600.00</w:t>
      </w:r>
      <w:r>
        <w:rPr>
          <w:spacing w:val="-2"/>
        </w:rPr>
        <w:t>股。本公司股票于</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w:t>
      </w:r>
      <w:r>
        <w:rPr>
          <w:spacing w:val="-2"/>
        </w:rPr>
        <w:t>日在深圳</w:t>
      </w:r>
      <w:r>
        <w:rPr>
          <w:spacing w:val="-56"/>
        </w:rPr>
        <w:t> </w:t>
      </w:r>
      <w:r>
        <w:rPr>
          <w:spacing w:val="-56"/>
        </w:rPr>
      </w:r>
      <w:r>
        <w:rPr/>
        <w:t>证券交易所中小版挂牌交易。首次公开发行股票后，本公司股本总额由</w:t>
      </w:r>
      <w:r>
        <w:rPr>
          <w:rFonts w:ascii="宋体" w:hAnsi="宋体" w:cs="宋体" w:eastAsia="宋体" w:hint="default"/>
        </w:rPr>
        <w:t>165,559,747.00</w:t>
      </w:r>
      <w:r>
        <w:rPr/>
        <w:t>股变更为</w:t>
      </w:r>
      <w:r>
        <w:rPr>
          <w:rFonts w:ascii="宋体" w:hAnsi="宋体" w:cs="宋体" w:eastAsia="宋体" w:hint="default"/>
        </w:rPr>
        <w:t>220,746,347.00</w:t>
      </w:r>
      <w:r>
        <w:rPr/>
        <w:t>股。</w:t>
      </w:r>
      <w:r>
        <w:rPr>
          <w:rFonts w:ascii="宋体" w:hAnsi="宋体" w:cs="宋体" w:eastAsia="宋体" w:hint="default"/>
        </w:rPr>
        <w:t>2018</w:t>
      </w:r>
      <w:r>
        <w:rPr>
          <w:rFonts w:ascii="宋体" w:hAnsi="宋体" w:cs="宋体" w:eastAsia="宋体" w:hint="default"/>
          <w:spacing w:val="-14"/>
        </w:rPr>
        <w:t> </w:t>
      </w:r>
      <w:r>
        <w:rPr>
          <w:rFonts w:ascii="宋体" w:hAnsi="宋体" w:cs="宋体" w:eastAsia="宋体" w:hint="default"/>
          <w:spacing w:val="-14"/>
        </w:rPr>
      </w:r>
      <w:r>
        <w:rPr>
          <w:spacing w:val="-5"/>
        </w:rPr>
        <w:t>年</w:t>
      </w:r>
      <w:r>
        <w:rPr>
          <w:rFonts w:ascii="宋体" w:hAnsi="宋体" w:cs="宋体" w:eastAsia="宋体" w:hint="default"/>
          <w:spacing w:val="-5"/>
        </w:rPr>
        <w:t>3</w:t>
      </w:r>
      <w:r>
        <w:rPr>
          <w:spacing w:val="-5"/>
        </w:rPr>
        <w:t>月</w:t>
      </w:r>
      <w:r>
        <w:rPr>
          <w:rFonts w:ascii="宋体" w:hAnsi="宋体" w:cs="宋体" w:eastAsia="宋体" w:hint="default"/>
          <w:spacing w:val="-5"/>
        </w:rPr>
        <w:t>9</w:t>
      </w:r>
      <w:r>
        <w:rPr>
          <w:spacing w:val="-5"/>
        </w:rPr>
        <w:t>日本公司注册资本变更为人民币</w:t>
      </w:r>
      <w:r>
        <w:rPr>
          <w:rFonts w:ascii="宋体" w:hAnsi="宋体" w:cs="宋体" w:eastAsia="宋体" w:hint="default"/>
          <w:spacing w:val="-5"/>
        </w:rPr>
        <w:t>220,746,347.00</w:t>
      </w:r>
      <w:r>
        <w:rPr>
          <w:spacing w:val="-5"/>
        </w:rPr>
        <w:t>元，上述出资已经大华会计师事务所（特殊普通合伙）验证，并于</w:t>
      </w:r>
      <w:r>
        <w:rPr>
          <w:rFonts w:ascii="宋体" w:hAnsi="宋体" w:cs="宋体" w:eastAsia="宋体" w:hint="default"/>
          <w:spacing w:val="-5"/>
        </w:rPr>
        <w:t>2018</w:t>
      </w:r>
      <w:r>
        <w:rPr>
          <w:rFonts w:ascii="宋体" w:hAnsi="宋体" w:cs="宋体" w:eastAsia="宋体" w:hint="default"/>
          <w:spacing w:val="-35"/>
        </w:rPr>
        <w:t> </w:t>
      </w:r>
      <w:r>
        <w:rPr>
          <w:rFonts w:ascii="宋体" w:hAnsi="宋体" w:cs="宋体" w:eastAsia="宋体" w:hint="default"/>
          <w:spacing w:val="-35"/>
        </w:rPr>
      </w:r>
      <w:r>
        <w:rPr/>
        <w:t>年</w:t>
      </w:r>
      <w:r>
        <w:rPr>
          <w:rFonts w:ascii="宋体" w:hAnsi="宋体" w:cs="宋体" w:eastAsia="宋体" w:hint="default"/>
        </w:rPr>
        <w:t>2</w:t>
      </w:r>
      <w:r>
        <w:rPr/>
        <w:t>月</w:t>
      </w:r>
      <w:r>
        <w:rPr>
          <w:rFonts w:ascii="宋体" w:hAnsi="宋体" w:cs="宋体" w:eastAsia="宋体" w:hint="default"/>
        </w:rPr>
        <w:t>26</w:t>
      </w:r>
      <w:r>
        <w:rPr/>
        <w:t>日出具了大华验字</w:t>
      </w:r>
      <w:r>
        <w:rPr>
          <w:rFonts w:ascii="宋体" w:hAnsi="宋体" w:cs="宋体" w:eastAsia="宋体" w:hint="default"/>
        </w:rPr>
        <w:t>[2018]000095</w:t>
      </w:r>
      <w:r>
        <w:rPr/>
        <w:t>号《验资报告》。</w:t>
      </w:r>
      <w:r>
        <w:rPr>
          <w:rFonts w:ascii="宋体" w:hAnsi="宋体" w:cs="宋体" w:eastAsia="宋体" w:hint="default"/>
        </w:rPr>
        <w:t> </w:t>
      </w:r>
    </w:p>
    <w:p>
      <w:pPr>
        <w:pStyle w:val="BodyText"/>
        <w:spacing w:line="316" w:lineRule="auto" w:before="139"/>
        <w:ind w:right="977" w:firstLine="360"/>
        <w:jc w:val="left"/>
        <w:rPr>
          <w:rFonts w:ascii="宋体" w:hAnsi="宋体" w:cs="宋体" w:eastAsia="宋体" w:hint="default"/>
        </w:rPr>
      </w:pPr>
      <w:r>
        <w:rPr>
          <w:spacing w:val="5"/>
        </w:rPr>
        <w:t>截至</w:t>
      </w:r>
      <w:r>
        <w:rPr>
          <w:rFonts w:ascii="宋体" w:hAnsi="宋体" w:cs="宋体" w:eastAsia="宋体" w:hint="default"/>
          <w:spacing w:val="5"/>
        </w:rPr>
        <w:t>2018</w:t>
      </w:r>
      <w:r>
        <w:rPr>
          <w:rFonts w:ascii="宋体" w:hAnsi="宋体" w:cs="宋体" w:eastAsia="宋体" w:hint="default"/>
          <w:spacing w:val="-71"/>
        </w:rPr>
        <w:t> </w:t>
      </w:r>
      <w:r>
        <w:rPr/>
        <w:t>年</w:t>
      </w:r>
      <w:r>
        <w:rPr>
          <w:spacing w:val="-73"/>
        </w:rPr>
        <w:t> </w:t>
      </w:r>
      <w:r>
        <w:rPr>
          <w:rFonts w:ascii="宋体" w:hAnsi="宋体" w:cs="宋体" w:eastAsia="宋体" w:hint="default"/>
        </w:rPr>
        <w:t>12</w:t>
      </w:r>
      <w:r>
        <w:rPr>
          <w:rFonts w:ascii="宋体" w:hAnsi="宋体" w:cs="宋体" w:eastAsia="宋体" w:hint="default"/>
          <w:spacing w:val="-71"/>
        </w:rPr>
        <w:t> </w:t>
      </w:r>
      <w:r>
        <w:rPr/>
        <w:t>月</w:t>
      </w:r>
      <w:r>
        <w:rPr>
          <w:spacing w:val="-73"/>
        </w:rPr>
        <w:t> </w:t>
      </w:r>
      <w:r>
        <w:rPr>
          <w:rFonts w:ascii="宋体" w:hAnsi="宋体" w:cs="宋体" w:eastAsia="宋体" w:hint="default"/>
        </w:rPr>
        <w:t>31</w:t>
      </w:r>
      <w:r>
        <w:rPr>
          <w:rFonts w:ascii="宋体" w:hAnsi="宋体" w:cs="宋体" w:eastAsia="宋体" w:hint="default"/>
          <w:spacing w:val="-71"/>
        </w:rPr>
        <w:t> </w:t>
      </w:r>
      <w:r>
        <w:rPr>
          <w:spacing w:val="10"/>
        </w:rPr>
        <w:t>日止，</w:t>
      </w:r>
      <w:r>
        <w:rPr>
          <w:spacing w:val="-73"/>
        </w:rPr>
        <w:t> </w:t>
      </w:r>
      <w:r>
        <w:rPr>
          <w:spacing w:val="14"/>
        </w:rPr>
        <w:t>本公司持有统一社会信用代码为</w:t>
      </w:r>
      <w:r>
        <w:rPr>
          <w:spacing w:val="-72"/>
        </w:rPr>
        <w:t> </w:t>
      </w:r>
      <w:r>
        <w:rPr>
          <w:rFonts w:ascii="宋体" w:hAnsi="宋体" w:cs="宋体" w:eastAsia="宋体" w:hint="default"/>
          <w:spacing w:val="4"/>
        </w:rPr>
        <w:t>9145000074512688XN</w:t>
      </w:r>
      <w:r>
        <w:rPr>
          <w:spacing w:val="4"/>
        </w:rPr>
        <w:t>号的营业执照，</w:t>
      </w:r>
      <w:r>
        <w:rPr>
          <w:spacing w:val="-73"/>
        </w:rPr>
        <w:t> </w:t>
      </w:r>
      <w:r>
        <w:rPr>
          <w:spacing w:val="13"/>
        </w:rPr>
        <w:t>注册资本人民币</w:t>
      </w:r>
      <w:r>
        <w:rPr/>
        <w:t> </w:t>
      </w:r>
      <w:r>
        <w:rPr>
          <w:rFonts w:ascii="宋体" w:hAnsi="宋体" w:cs="宋体" w:eastAsia="宋体" w:hint="default"/>
          <w:spacing w:val="-2"/>
        </w:rPr>
        <w:t>220,746,347.00</w:t>
      </w:r>
      <w:r>
        <w:rPr>
          <w:spacing w:val="-2"/>
        </w:rPr>
        <w:t>元，股份总数为</w:t>
      </w:r>
      <w:r>
        <w:rPr>
          <w:rFonts w:ascii="宋体" w:hAnsi="宋体" w:cs="宋体" w:eastAsia="宋体" w:hint="default"/>
          <w:spacing w:val="-2"/>
        </w:rPr>
        <w:t>220,746,347.00</w:t>
      </w:r>
      <w:r>
        <w:rPr>
          <w:spacing w:val="-2"/>
        </w:rPr>
        <w:t>股（每股面值</w:t>
      </w:r>
      <w:r>
        <w:rPr>
          <w:rFonts w:ascii="宋体" w:hAnsi="宋体" w:cs="宋体" w:eastAsia="宋体" w:hint="default"/>
          <w:spacing w:val="-2"/>
        </w:rPr>
        <w:t>1</w:t>
      </w:r>
      <w:r>
        <w:rPr>
          <w:spacing w:val="-2"/>
        </w:rPr>
        <w:t>元），其中：有限售条件的流通股股份为</w:t>
      </w:r>
      <w:r>
        <w:rPr>
          <w:rFonts w:ascii="宋体" w:hAnsi="宋体" w:cs="宋体" w:eastAsia="宋体" w:hint="default"/>
          <w:spacing w:val="-2"/>
        </w:rPr>
        <w:t>165,559,747.00</w:t>
      </w:r>
      <w:r>
        <w:rPr>
          <w:spacing w:val="-2"/>
        </w:rPr>
        <w:t>股；</w:t>
      </w:r>
      <w:r>
        <w:rPr>
          <w:spacing w:val="-41"/>
        </w:rPr>
        <w:t> </w:t>
      </w:r>
      <w:r>
        <w:rPr/>
        <w:t>无限售条件的流通股股份为</w:t>
      </w:r>
      <w:r>
        <w:rPr>
          <w:rFonts w:ascii="宋体" w:hAnsi="宋体" w:cs="宋体" w:eastAsia="宋体" w:hint="default"/>
        </w:rPr>
        <w:t>55,186,600.00</w:t>
      </w:r>
      <w:r>
        <w:rPr/>
        <w:t>股。</w:t>
      </w:r>
      <w:r>
        <w:rPr>
          <w:rFonts w:ascii="宋体" w:hAnsi="宋体" w:cs="宋体" w:eastAsia="宋体" w:hint="default"/>
        </w:rPr>
        <w:t> </w:t>
      </w:r>
    </w:p>
    <w:p>
      <w:pPr>
        <w:pStyle w:val="BodyText"/>
        <w:spacing w:line="439" w:lineRule="auto" w:before="139"/>
        <w:ind w:left="473" w:right="4377"/>
        <w:jc w:val="left"/>
        <w:rPr>
          <w:rFonts w:ascii="宋体" w:hAnsi="宋体" w:cs="宋体" w:eastAsia="宋体" w:hint="default"/>
        </w:rPr>
      </w:pP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18</w:t>
      </w:r>
      <w:r>
        <w:rPr/>
        <w:t>日，本公司更名为润建股份有限公司，并已完成工商变更。</w:t>
      </w:r>
      <w:r>
        <w:rPr>
          <w:rFonts w:ascii="宋体" w:hAnsi="宋体" w:cs="宋体" w:eastAsia="宋体" w:hint="default"/>
        </w:rPr>
        <w:t> </w:t>
      </w:r>
      <w:r>
        <w:rPr/>
        <w:t>公司类型：上市公司；法定代表人：许文杰。</w:t>
      </w:r>
      <w:r>
        <w:rPr>
          <w:rFonts w:ascii="宋体" w:hAnsi="宋体" w:cs="宋体" w:eastAsia="宋体" w:hint="default"/>
        </w:rPr>
        <w:t> </w:t>
      </w:r>
      <w:r>
        <w:rPr/>
        <w:t>公司的经营地址：广西省南宁市青秀区民族大道</w:t>
      </w:r>
      <w:r>
        <w:rPr>
          <w:rFonts w:ascii="宋体" w:hAnsi="宋体" w:cs="宋体" w:eastAsia="宋体" w:hint="default"/>
        </w:rPr>
        <w:t>136-5</w:t>
      </w:r>
      <w:r>
        <w:rPr/>
        <w:t>号华润大厦</w:t>
      </w:r>
      <w:r>
        <w:rPr>
          <w:rFonts w:ascii="宋体" w:hAnsi="宋体" w:cs="宋体" w:eastAsia="宋体" w:hint="default"/>
        </w:rPr>
        <w:t>C</w:t>
      </w:r>
      <w:r>
        <w:rPr/>
        <w:t>座</w:t>
      </w:r>
      <w:r>
        <w:rPr>
          <w:rFonts w:ascii="宋体" w:hAnsi="宋体" w:cs="宋体" w:eastAsia="宋体" w:hint="default"/>
        </w:rPr>
        <w:t>32</w:t>
      </w:r>
      <w:r>
        <w:rPr/>
        <w:t>层。</w:t>
      </w:r>
      <w:r>
        <w:rPr>
          <w:rFonts w:ascii="宋体" w:hAnsi="宋体" w:cs="宋体" w:eastAsia="宋体" w:hint="default"/>
        </w:rPr>
        <w:t> </w:t>
      </w:r>
    </w:p>
    <w:p>
      <w:pPr>
        <w:pStyle w:val="BodyText"/>
        <w:spacing w:line="316" w:lineRule="auto" w:before="47"/>
        <w:ind w:right="1128" w:firstLine="360"/>
        <w:jc w:val="both"/>
        <w:rPr>
          <w:rFonts w:ascii="宋体" w:hAnsi="宋体" w:cs="宋体" w:eastAsia="宋体" w:hint="default"/>
        </w:rPr>
      </w:pPr>
      <w:r>
        <w:rPr>
          <w:spacing w:val="-2"/>
        </w:rPr>
        <w:t>公司经营范围：通信信息网络系统集成甲级</w:t>
      </w:r>
      <w:r>
        <w:rPr>
          <w:rFonts w:ascii="宋体" w:hAnsi="宋体" w:cs="宋体" w:eastAsia="宋体" w:hint="default"/>
          <w:spacing w:val="-2"/>
        </w:rPr>
        <w:t>;</w:t>
      </w:r>
      <w:r>
        <w:rPr>
          <w:spacing w:val="-2"/>
        </w:rPr>
        <w:t>建筑工程施工总承包</w:t>
      </w:r>
      <w:r>
        <w:rPr>
          <w:rFonts w:ascii="宋体" w:hAnsi="宋体" w:cs="宋体" w:eastAsia="宋体" w:hint="default"/>
          <w:spacing w:val="-2"/>
        </w:rPr>
        <w:t>;</w:t>
      </w:r>
      <w:r>
        <w:rPr>
          <w:spacing w:val="-2"/>
        </w:rPr>
        <w:t>通信工程施工总承包</w:t>
      </w:r>
      <w:r>
        <w:rPr>
          <w:rFonts w:ascii="宋体" w:hAnsi="宋体" w:cs="宋体" w:eastAsia="宋体" w:hint="default"/>
          <w:spacing w:val="-2"/>
        </w:rPr>
        <w:t>;</w:t>
      </w:r>
      <w:r>
        <w:rPr>
          <w:spacing w:val="-2"/>
        </w:rPr>
        <w:t>建筑智能化工程设计</w:t>
      </w:r>
      <w:r>
        <w:rPr>
          <w:rFonts w:ascii="宋体" w:hAnsi="宋体" w:cs="宋体" w:eastAsia="宋体" w:hint="default"/>
          <w:spacing w:val="-2"/>
        </w:rPr>
        <w:t>;</w:t>
      </w:r>
      <w:r>
        <w:rPr>
          <w:spacing w:val="-2"/>
        </w:rPr>
        <w:t>建筑智能</w:t>
      </w:r>
      <w:r>
        <w:rPr/>
        <w:t> 化工程专业承包</w:t>
      </w:r>
      <w:r>
        <w:rPr>
          <w:rFonts w:ascii="宋体" w:hAnsi="宋体" w:cs="宋体" w:eastAsia="宋体" w:hint="default"/>
        </w:rPr>
        <w:t>;</w:t>
      </w:r>
      <w:r>
        <w:rPr/>
        <w:t>通信用户管线建设</w:t>
      </w:r>
      <w:r>
        <w:rPr>
          <w:rFonts w:ascii="宋体" w:hAnsi="宋体" w:cs="宋体" w:eastAsia="宋体" w:hint="default"/>
        </w:rPr>
        <w:t>;</w:t>
      </w:r>
      <w:r>
        <w:rPr/>
        <w:t>计算机信息系统集成</w:t>
      </w:r>
      <w:r>
        <w:rPr>
          <w:rFonts w:ascii="宋体" w:hAnsi="宋体" w:cs="宋体" w:eastAsia="宋体" w:hint="default"/>
        </w:rPr>
        <w:t>;</w:t>
      </w:r>
      <w:r>
        <w:rPr/>
        <w:t>机电设备安装工程专业承包</w:t>
      </w:r>
      <w:r>
        <w:rPr>
          <w:rFonts w:ascii="宋体" w:hAnsi="宋体" w:cs="宋体" w:eastAsia="宋体" w:hint="default"/>
        </w:rPr>
        <w:t>;</w:t>
      </w:r>
      <w:r>
        <w:rPr/>
        <w:t>建筑装修装饰工程专业承包</w:t>
      </w:r>
      <w:r>
        <w:rPr>
          <w:rFonts w:ascii="宋体" w:hAnsi="宋体" w:cs="宋体" w:eastAsia="宋体" w:hint="default"/>
        </w:rPr>
        <w:t>;</w:t>
      </w:r>
      <w:r>
        <w:rPr/>
        <w:t>市政公</w:t>
      </w:r>
      <w:r>
        <w:rPr>
          <w:spacing w:val="-86"/>
        </w:rPr>
        <w:t> </w:t>
      </w:r>
      <w:r>
        <w:rPr/>
        <w:t>用工程施工总承包</w:t>
      </w:r>
      <w:r>
        <w:rPr>
          <w:rFonts w:ascii="宋体" w:hAnsi="宋体" w:cs="宋体" w:eastAsia="宋体" w:hint="default"/>
        </w:rPr>
        <w:t>;</w:t>
      </w:r>
      <w:r>
        <w:rPr/>
        <w:t>安防工程施工总承包</w:t>
      </w:r>
      <w:r>
        <w:rPr>
          <w:rFonts w:ascii="宋体" w:hAnsi="宋体" w:cs="宋体" w:eastAsia="宋体" w:hint="default"/>
        </w:rPr>
        <w:t>;</w:t>
      </w:r>
      <w:r>
        <w:rPr/>
        <w:t>钢结构工程专业承包</w:t>
      </w:r>
      <w:r>
        <w:rPr>
          <w:rFonts w:ascii="宋体" w:hAnsi="宋体" w:cs="宋体" w:eastAsia="宋体" w:hint="default"/>
        </w:rPr>
        <w:t>;</w:t>
      </w:r>
      <w:r>
        <w:rPr/>
        <w:t>城市及道路照明工程专业承包</w:t>
      </w:r>
      <w:r>
        <w:rPr>
          <w:rFonts w:ascii="宋体" w:hAnsi="宋体" w:cs="宋体" w:eastAsia="宋体" w:hint="default"/>
        </w:rPr>
        <w:t>;</w:t>
      </w:r>
      <w:r>
        <w:rPr/>
        <w:t>送变电工程专业承包</w:t>
      </w:r>
      <w:r>
        <w:rPr>
          <w:rFonts w:ascii="宋体" w:hAnsi="宋体" w:cs="宋体" w:eastAsia="宋体" w:hint="default"/>
        </w:rPr>
        <w:t>;</w:t>
      </w:r>
      <w:r>
        <w:rPr/>
        <w:t>防雷技</w:t>
      </w:r>
      <w:r>
        <w:rPr>
          <w:spacing w:val="-86"/>
        </w:rPr>
        <w:t> </w:t>
      </w:r>
      <w:r>
        <w:rPr/>
        <w:t>术及防雷工程专业承包</w:t>
      </w:r>
      <w:r>
        <w:rPr>
          <w:rFonts w:ascii="宋体" w:hAnsi="宋体" w:cs="宋体" w:eastAsia="宋体" w:hint="default"/>
        </w:rPr>
        <w:t>;</w:t>
      </w:r>
      <w:r>
        <w:rPr/>
        <w:t>消防设施工程专业承包</w:t>
      </w:r>
      <w:r>
        <w:rPr>
          <w:rFonts w:ascii="宋体" w:hAnsi="宋体" w:cs="宋体" w:eastAsia="宋体" w:hint="default"/>
        </w:rPr>
        <w:t>;</w:t>
      </w:r>
      <w:r>
        <w:rPr/>
        <w:t>地基与基础工程专业承包</w:t>
      </w:r>
      <w:r>
        <w:rPr>
          <w:rFonts w:ascii="宋体" w:hAnsi="宋体" w:cs="宋体" w:eastAsia="宋体" w:hint="default"/>
        </w:rPr>
        <w:t>;</w:t>
      </w:r>
      <w:r>
        <w:rPr/>
        <w:t>施工劳务分包</w:t>
      </w:r>
      <w:r>
        <w:rPr>
          <w:rFonts w:ascii="宋体" w:hAnsi="宋体" w:cs="宋体" w:eastAsia="宋体" w:hint="default"/>
        </w:rPr>
        <w:t>;</w:t>
      </w:r>
      <w:r>
        <w:rPr/>
        <w:t>电力设施承装</w:t>
      </w:r>
      <w:r>
        <w:rPr>
          <w:rFonts w:ascii="宋体" w:hAnsi="宋体" w:cs="宋体" w:eastAsia="宋体" w:hint="default"/>
        </w:rPr>
        <w:t>(</w:t>
      </w:r>
      <w:r>
        <w:rPr/>
        <w:t>修、试</w:t>
      </w:r>
      <w:r>
        <w:rPr>
          <w:rFonts w:ascii="宋体" w:hAnsi="宋体" w:cs="宋体" w:eastAsia="宋体" w:hint="default"/>
        </w:rPr>
        <w:t>);</w:t>
      </w:r>
      <w:r>
        <w:rPr/>
        <w:t>制冷空调</w:t>
      </w:r>
      <w:r>
        <w:rPr>
          <w:spacing w:val="-84"/>
        </w:rPr>
        <w:t> </w:t>
      </w:r>
      <w:r>
        <w:rPr>
          <w:spacing w:val="-3"/>
        </w:rPr>
        <w:t>设备安装与维修服务</w:t>
      </w:r>
      <w:r>
        <w:rPr>
          <w:rFonts w:ascii="宋体" w:hAnsi="宋体" w:cs="宋体" w:eastAsia="宋体" w:hint="default"/>
          <w:spacing w:val="-3"/>
        </w:rPr>
        <w:t>;</w:t>
      </w:r>
      <w:r>
        <w:rPr>
          <w:spacing w:val="-3"/>
        </w:rPr>
        <w:t>通信网络维护与优化</w:t>
      </w:r>
      <w:r>
        <w:rPr>
          <w:rFonts w:ascii="宋体" w:hAnsi="宋体" w:cs="宋体" w:eastAsia="宋体" w:hint="default"/>
          <w:spacing w:val="-3"/>
        </w:rPr>
        <w:t>;</w:t>
      </w:r>
      <w:r>
        <w:rPr>
          <w:spacing w:val="-3"/>
        </w:rPr>
        <w:t>通信铁塔维护</w:t>
      </w:r>
      <w:r>
        <w:rPr>
          <w:rFonts w:ascii="宋体" w:hAnsi="宋体" w:cs="宋体" w:eastAsia="宋体" w:hint="default"/>
          <w:spacing w:val="-3"/>
        </w:rPr>
        <w:t>;</w:t>
      </w:r>
      <w:r>
        <w:rPr>
          <w:spacing w:val="-3"/>
        </w:rPr>
        <w:t>网络托管业务</w:t>
      </w:r>
      <w:r>
        <w:rPr>
          <w:rFonts w:ascii="宋体" w:hAnsi="宋体" w:cs="宋体" w:eastAsia="宋体" w:hint="default"/>
          <w:spacing w:val="-3"/>
        </w:rPr>
        <w:t>;</w:t>
      </w:r>
      <w:r>
        <w:rPr>
          <w:spacing w:val="-3"/>
        </w:rPr>
        <w:t>通信技术和产品的技术咨询、技术服务、技术研发</w:t>
      </w:r>
      <w:r>
        <w:rPr>
          <w:rFonts w:ascii="宋体" w:hAnsi="宋体" w:cs="宋体" w:eastAsia="宋体" w:hint="default"/>
          <w:spacing w:val="-3"/>
        </w:rPr>
        <w:t>;</w:t>
      </w:r>
      <w:r>
        <w:rPr>
          <w:rFonts w:ascii="宋体" w:hAnsi="宋体" w:cs="宋体" w:eastAsia="宋体" w:hint="default"/>
        </w:rPr>
        <w:t> </w:t>
      </w:r>
      <w:r>
        <w:rPr/>
        <w:t>网络产品、通讯设备、通讯器材的开发、生产、销售及售后服务</w:t>
      </w:r>
      <w:r>
        <w:rPr>
          <w:rFonts w:ascii="宋体" w:hAnsi="宋体" w:cs="宋体" w:eastAsia="宋体" w:hint="default"/>
        </w:rPr>
        <w:t>;</w:t>
      </w:r>
      <w:r>
        <w:rPr/>
        <w:t>通信设施租赁</w:t>
      </w:r>
      <w:r>
        <w:rPr>
          <w:rFonts w:ascii="宋体" w:hAnsi="宋体" w:cs="宋体" w:eastAsia="宋体" w:hint="default"/>
        </w:rPr>
        <w:t>;</w:t>
      </w:r>
      <w:r>
        <w:rPr/>
        <w:t>信息系统的技术研发与销售</w:t>
      </w:r>
      <w:r>
        <w:rPr>
          <w:rFonts w:ascii="宋体" w:hAnsi="宋体" w:cs="宋体" w:eastAsia="宋体" w:hint="default"/>
        </w:rPr>
        <w:t>;</w:t>
      </w:r>
      <w:r>
        <w:rPr/>
        <w:t>教学设备、电</w:t>
      </w:r>
      <w:r>
        <w:rPr>
          <w:spacing w:val="-85"/>
        </w:rPr>
        <w:t> </w:t>
      </w:r>
      <w:r>
        <w:rPr/>
        <w:t>力销售</w:t>
      </w:r>
      <w:r>
        <w:rPr>
          <w:rFonts w:ascii="宋体" w:hAnsi="宋体" w:cs="宋体" w:eastAsia="宋体" w:hint="default"/>
        </w:rPr>
        <w:t>;</w:t>
      </w:r>
      <w:r>
        <w:rPr/>
        <w:t>教育咨询、信息技术咨询服务。</w:t>
      </w:r>
      <w:r>
        <w:rPr>
          <w:rFonts w:ascii="宋体" w:hAnsi="宋体" w:cs="宋体" w:eastAsia="宋体" w:hint="default"/>
        </w:rPr>
        <w:t> </w:t>
      </w:r>
    </w:p>
    <w:p>
      <w:pPr>
        <w:pStyle w:val="BodyText"/>
        <w:spacing w:line="439" w:lineRule="auto" w:before="139"/>
        <w:ind w:left="473" w:right="2654"/>
        <w:jc w:val="left"/>
        <w:rPr>
          <w:rFonts w:ascii="宋体" w:hAnsi="宋体" w:cs="宋体" w:eastAsia="宋体" w:hint="default"/>
        </w:rPr>
      </w:pPr>
      <w:r>
        <w:rPr/>
        <w:t>本公司的实际控制人为李建国、蒋鹂北。</w:t>
      </w:r>
      <w:r>
        <w:rPr>
          <w:rFonts w:ascii="宋体" w:hAnsi="宋体" w:cs="宋体" w:eastAsia="宋体" w:hint="default"/>
        </w:rPr>
        <w:t> </w:t>
      </w:r>
      <w:r>
        <w:rPr/>
        <w:t>本财务报表业经本公司董事会于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26</w:t>
      </w:r>
      <w:r>
        <w:rPr/>
        <w:t>日决议批准报出。</w:t>
      </w:r>
      <w:r>
        <w:rPr>
          <w:rFonts w:ascii="宋体" w:hAnsi="宋体" w:cs="宋体" w:eastAsia="宋体" w:hint="default"/>
        </w:rPr>
        <w:t> </w:t>
      </w:r>
    </w:p>
    <w:p>
      <w:pPr>
        <w:pStyle w:val="BodyText"/>
        <w:spacing w:line="240" w:lineRule="auto" w:before="47"/>
        <w:ind w:right="977"/>
        <w:jc w:val="left"/>
      </w:pPr>
      <w:r>
        <w:rPr/>
        <w:t>本报告期纳入合并财务报表范围的主体共</w:t>
      </w:r>
      <w:r>
        <w:rPr>
          <w:rFonts w:ascii="Times New Roman" w:hAnsi="Times New Roman" w:cs="Times New Roman" w:eastAsia="Times New Roman" w:hint="default"/>
        </w:rPr>
        <w:t>3</w:t>
      </w:r>
      <w:r>
        <w:rPr/>
        <w:t>户，具体包括：</w:t>
      </w:r>
    </w:p>
    <w:p>
      <w:pPr>
        <w:spacing w:line="240" w:lineRule="auto" w:before="2"/>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978"/>
        <w:gridCol w:w="1426"/>
        <w:gridCol w:w="821"/>
        <w:gridCol w:w="1719"/>
        <w:gridCol w:w="1716"/>
      </w:tblGrid>
      <w:tr>
        <w:trPr>
          <w:trHeight w:val="396"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4"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6"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广西诚本规划设计咨询有限公司</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98"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广西润联信息技术有限公司</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5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3" w:right="0"/>
              <w:jc w:val="center"/>
              <w:rPr>
                <w:rFonts w:ascii="Times New Roman" w:hAnsi="Times New Roman" w:cs="Times New Roman" w:eastAsia="Times New Roman" w:hint="default"/>
                <w:sz w:val="18"/>
                <w:szCs w:val="18"/>
              </w:rPr>
            </w:pPr>
            <w:r>
              <w:rPr>
                <w:rFonts w:ascii="Times New Roman"/>
                <w:sz w:val="18"/>
              </w:rPr>
              <w:t>2</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100.00</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96"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广州卓联科技有限公司</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4"/>
        <w:rPr>
          <w:rFonts w:ascii="宋体" w:hAnsi="宋体" w:cs="宋体" w:eastAsia="宋体" w:hint="default"/>
          <w:sz w:val="18"/>
          <w:szCs w:val="18"/>
        </w:rPr>
      </w:pPr>
    </w:p>
    <w:p>
      <w:pPr>
        <w:pStyle w:val="Heading2"/>
        <w:spacing w:line="240" w:lineRule="auto" w:before="26"/>
        <w:ind w:right="977"/>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77"/>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77" w:firstLine="360"/>
        <w:jc w:val="left"/>
      </w:pPr>
      <w:r>
        <w:rPr>
          <w:spacing w:val="-2"/>
        </w:rPr>
        <w:t>本公司以持续经营为基础，根据实际发生的交易和事项，按照企业会计准则及其应用指南和准则解释的规定进行确认和</w:t>
      </w:r>
      <w:r>
        <w:rPr/>
        <w:t> 计量，在此基础上编制财务报表。</w:t>
      </w:r>
    </w:p>
    <w:p>
      <w:pPr>
        <w:spacing w:line="240" w:lineRule="auto" w:before="8"/>
        <w:rPr>
          <w:rFonts w:ascii="宋体" w:hAnsi="宋体" w:cs="宋体" w:eastAsia="宋体" w:hint="default"/>
          <w:sz w:val="22"/>
          <w:szCs w:val="22"/>
        </w:rPr>
      </w:pPr>
    </w:p>
    <w:p>
      <w:pPr>
        <w:pStyle w:val="Heading3"/>
        <w:spacing w:line="240" w:lineRule="auto"/>
        <w:ind w:right="977"/>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77" w:firstLine="360"/>
        <w:jc w:val="left"/>
        <w:rPr>
          <w:rFonts w:ascii="宋体" w:hAnsi="宋体" w:cs="宋体" w:eastAsia="宋体" w:hint="default"/>
        </w:rPr>
      </w:pPr>
      <w:r>
        <w:rPr>
          <w:spacing w:val="-2"/>
        </w:rPr>
        <w:t>本公司对自报告期末起</w:t>
      </w:r>
      <w:r>
        <w:rPr>
          <w:rFonts w:ascii="宋体" w:hAnsi="宋体" w:cs="宋体" w:eastAsia="宋体" w:hint="default"/>
          <w:spacing w:val="-2"/>
        </w:rPr>
        <w:t>12</w:t>
      </w:r>
      <w:r>
        <w:rPr>
          <w:spacing w:val="-2"/>
        </w:rPr>
        <w:t>个月的持续经营能力进行了评估，未发现影响本公司持续经营能力的事项，本公司以持续经营</w:t>
      </w:r>
      <w:r>
        <w:rPr/>
        <w:t> 为基础编制财务报表是合理的。</w:t>
      </w:r>
      <w:r>
        <w:rPr>
          <w:rFonts w:ascii="宋体" w:hAnsi="宋体" w:cs="宋体" w:eastAsia="宋体" w:hint="default"/>
        </w:rPr>
        <w:t> </w:t>
      </w:r>
    </w:p>
    <w:p>
      <w:pPr>
        <w:spacing w:after="0" w:line="316" w:lineRule="auto"/>
        <w:jc w:val="left"/>
        <w:rPr>
          <w:rFonts w:ascii="宋体" w:hAnsi="宋体" w:cs="宋体" w:eastAsia="宋体" w:hint="default"/>
        </w:rPr>
        <w:sectPr>
          <w:headerReference w:type="default" r:id="rId20"/>
          <w:footerReference w:type="default" r:id="rId21"/>
          <w:pgSz w:w="11910" w:h="16840"/>
          <w:pgMar w:header="921" w:footer="1013" w:top="1700" w:bottom="1200" w:left="1020" w:right="0"/>
        </w:sectPr>
      </w:pPr>
    </w:p>
    <w:p>
      <w:pPr>
        <w:spacing w:line="240" w:lineRule="auto" w:before="1"/>
        <w:rPr>
          <w:rFonts w:ascii="宋体" w:hAnsi="宋体" w:cs="宋体" w:eastAsia="宋体" w:hint="default"/>
          <w:sz w:val="23"/>
          <w:szCs w:val="23"/>
        </w:rPr>
      </w:pPr>
    </w:p>
    <w:p>
      <w:pPr>
        <w:pStyle w:val="BodyText"/>
        <w:spacing w:line="357" w:lineRule="auto" w:before="44"/>
        <w:ind w:right="7694"/>
        <w:jc w:val="left"/>
      </w:pPr>
      <w:r>
        <w:rPr/>
        <w:t>公司是否需要遵守特殊行业的披露要求 是</w:t>
      </w:r>
    </w:p>
    <w:p>
      <w:pPr>
        <w:pStyle w:val="BodyText"/>
        <w:spacing w:line="441" w:lineRule="auto" w:before="29"/>
        <w:ind w:left="473" w:right="7694" w:hanging="361"/>
        <w:jc w:val="left"/>
        <w:rPr>
          <w:rFonts w:ascii="宋体" w:hAnsi="宋体" w:cs="宋体" w:eastAsia="宋体" w:hint="default"/>
        </w:rPr>
      </w:pPr>
      <w:r>
        <w:rPr/>
        <w:t>软件与信息技术服务业 具体会计政策和会计估计提示：</w:t>
      </w:r>
      <w:r>
        <w:rPr>
          <w:rFonts w:ascii="宋体" w:hAnsi="宋体" w:cs="宋体" w:eastAsia="宋体" w:hint="default"/>
        </w:rPr>
        <w:t> </w:t>
      </w:r>
    </w:p>
    <w:p>
      <w:pPr>
        <w:pStyle w:val="BodyText"/>
        <w:spacing w:line="240" w:lineRule="auto" w:before="43"/>
        <w:ind w:left="473" w:right="977"/>
        <w:jc w:val="left"/>
        <w:rPr>
          <w:rFonts w:ascii="宋体" w:hAnsi="宋体" w:cs="宋体" w:eastAsia="宋体" w:hint="default"/>
        </w:rPr>
      </w:pPr>
      <w:r>
        <w:rPr/>
        <w:t>本公司下列重要会计政策、会计估计根据企业会计准则制定。未提及的业务按企业会计准则中相关会计政策执行。</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977" w:firstLine="360"/>
        <w:jc w:val="left"/>
        <w:rPr>
          <w:rFonts w:ascii="宋体" w:hAnsi="宋体" w:cs="宋体" w:eastAsia="宋体" w:hint="default"/>
        </w:rPr>
      </w:pPr>
      <w:r>
        <w:rPr>
          <w:spacing w:val="-2"/>
        </w:rPr>
        <w:t>本公司所编制的财务报表符合企业会计准则的要求，真实、完整地反映了公司的财务状况、经营成果、所有者权益变动</w:t>
      </w:r>
      <w:r>
        <w:rPr/>
        <w:t> 和现金流量等有关信息。</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3" w:right="977"/>
        <w:jc w:val="left"/>
        <w:rPr>
          <w:rFonts w:ascii="宋体" w:hAnsi="宋体" w:cs="宋体" w:eastAsia="宋体" w:hint="default"/>
        </w:rPr>
      </w:pPr>
      <w:r>
        <w:rPr/>
        <w:t>本公司会计年度自公历</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3" w:right="977"/>
        <w:jc w:val="left"/>
        <w:rPr>
          <w:rFonts w:ascii="宋体" w:hAnsi="宋体" w:cs="宋体" w:eastAsia="宋体" w:hint="default"/>
        </w:rPr>
      </w:pPr>
      <w:r>
        <w:rPr/>
        <w:t>本公司正常营业周期为一年。</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3" w:right="977"/>
        <w:jc w:val="left"/>
        <w:rPr>
          <w:rFonts w:ascii="宋体" w:hAnsi="宋体" w:cs="宋体" w:eastAsia="宋体" w:hint="default"/>
        </w:rPr>
      </w:pPr>
      <w:r>
        <w:rPr/>
        <w:t>本公司的记账本位币为人民币。</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430" w:lineRule="atLeast" w:before="152"/>
        <w:ind w:left="473" w:right="977"/>
        <w:jc w:val="left"/>
      </w:pPr>
      <w:r>
        <w:rPr/>
        <w:t>（</w:t>
      </w:r>
      <w:r>
        <w:rPr>
          <w:rFonts w:ascii="宋体" w:hAnsi="宋体" w:cs="宋体" w:eastAsia="宋体" w:hint="default"/>
        </w:rPr>
        <w:t>1</w:t>
      </w:r>
      <w:r>
        <w:rPr/>
        <w:t>）同一控制下的企业合并</w:t>
      </w:r>
      <w:r>
        <w:rPr>
          <w:rFonts w:ascii="宋体" w:hAnsi="宋体" w:cs="宋体" w:eastAsia="宋体" w:hint="default"/>
        </w:rPr>
        <w:t> </w:t>
      </w:r>
      <w:r>
        <w:rPr>
          <w:spacing w:val="-4"/>
        </w:rPr>
        <w:t>本公司在企业合并中取得的资产和负债，在合并日按取得被合并方在最终控制方合并财务报表中的账面价值计量。其中，</w:t>
      </w:r>
    </w:p>
    <w:p>
      <w:pPr>
        <w:pStyle w:val="BodyText"/>
        <w:spacing w:line="319" w:lineRule="auto" w:before="76"/>
        <w:ind w:right="1131"/>
        <w:jc w:val="both"/>
        <w:rPr>
          <w:rFonts w:ascii="宋体" w:hAnsi="宋体" w:cs="宋体" w:eastAsia="宋体" w:hint="default"/>
        </w:rPr>
      </w:pPr>
      <w:r>
        <w:rPr>
          <w:spacing w:val="-2"/>
        </w:rPr>
        <w:t>对于被合并方与本公司在企业合并前采用的会计政策不同的，基于重要性原则统一会计政策，即按照本公司的会计政策对被</w:t>
      </w:r>
      <w:r>
        <w:rPr>
          <w:spacing w:val="-63"/>
        </w:rPr>
        <w:t> </w:t>
      </w:r>
      <w:r>
        <w:rPr>
          <w:spacing w:val="-63"/>
        </w:rPr>
      </w:r>
      <w:r>
        <w:rPr>
          <w:spacing w:val="-2"/>
        </w:rPr>
        <w:t>合并方资产、负债的账面价值进行调整。本公司在企业合并中取得的净资产账面价值与所支付对价的账面价值之间存在差额</w:t>
      </w:r>
      <w:r>
        <w:rPr>
          <w:spacing w:val="-63"/>
        </w:rPr>
        <w:t> </w:t>
      </w:r>
      <w:r>
        <w:rPr>
          <w:spacing w:val="-63"/>
        </w:rPr>
      </w:r>
      <w:r>
        <w:rPr>
          <w:spacing w:val="-2"/>
        </w:rPr>
        <w:t>的，首先调整资本公积（资本溢价或股本溢价），资本公积（资本溢价或股本溢价）的余额不足冲减的，依次冲减盈余公积</w:t>
      </w:r>
      <w:r>
        <w:rPr>
          <w:spacing w:val="-72"/>
        </w:rPr>
        <w:t> </w:t>
      </w:r>
      <w:r>
        <w:rPr>
          <w:spacing w:val="-72"/>
        </w:rPr>
      </w:r>
      <w:r>
        <w:rPr/>
        <w:t>和未分配利润。</w:t>
      </w:r>
      <w:r>
        <w:rPr>
          <w:rFonts w:ascii="宋体" w:hAnsi="宋体" w:cs="宋体" w:eastAsia="宋体" w:hint="default"/>
        </w:rPr>
        <w:t> </w:t>
      </w:r>
    </w:p>
    <w:p>
      <w:pPr>
        <w:pStyle w:val="BodyText"/>
        <w:spacing w:line="432" w:lineRule="exact" w:before="1"/>
        <w:ind w:left="473" w:right="977"/>
        <w:jc w:val="left"/>
      </w:pPr>
      <w:r>
        <w:rPr/>
        <w:t>（</w:t>
      </w:r>
      <w:r>
        <w:rPr>
          <w:rFonts w:ascii="宋体" w:hAnsi="宋体" w:cs="宋体" w:eastAsia="宋体" w:hint="default"/>
        </w:rPr>
        <w:t>2</w:t>
      </w:r>
      <w:r>
        <w:rPr/>
        <w:t>）非同一控制下的企业合并</w:t>
      </w:r>
      <w:r>
        <w:rPr>
          <w:rFonts w:ascii="宋体" w:hAnsi="宋体" w:cs="宋体" w:eastAsia="宋体" w:hint="default"/>
        </w:rPr>
        <w:t> </w:t>
      </w:r>
      <w:r>
        <w:rPr>
          <w:spacing w:val="-2"/>
        </w:rPr>
        <w:t>本公司在企业合并中取得的被购买方各项可辨认资产和负债，在购买日按其公允价值计量。其中，对于被购买方与本公</w:t>
      </w:r>
    </w:p>
    <w:p>
      <w:pPr>
        <w:pStyle w:val="BodyText"/>
        <w:spacing w:line="316" w:lineRule="auto" w:before="15"/>
        <w:ind w:right="1129"/>
        <w:jc w:val="both"/>
        <w:rPr>
          <w:rFonts w:ascii="宋体" w:hAnsi="宋体" w:cs="宋体" w:eastAsia="宋体" w:hint="default"/>
        </w:rPr>
      </w:pPr>
      <w:r>
        <w:rPr>
          <w:spacing w:val="-2"/>
        </w:rPr>
        <w:t>司在企业合并前采用的会计政策不同的，基于重要性原则统一会计政策，即按照本公司的会计政策对被购买方资产、负债的</w:t>
      </w:r>
      <w:r>
        <w:rPr>
          <w:spacing w:val="-62"/>
        </w:rPr>
        <w:t> </w:t>
      </w:r>
      <w:r>
        <w:rPr>
          <w:spacing w:val="-62"/>
        </w:rPr>
      </w:r>
      <w:r>
        <w:rPr>
          <w:spacing w:val="-2"/>
        </w:rPr>
        <w:t>账面价值进行调整。本公司在购买日的合并成本大于企业合并中取得的被购买方可辨认资产、负债公允价值的差额，确认为</w:t>
      </w:r>
      <w:r>
        <w:rPr>
          <w:spacing w:val="-66"/>
        </w:rPr>
        <w:t> </w:t>
      </w:r>
      <w:r>
        <w:rPr>
          <w:spacing w:val="-66"/>
        </w:rPr>
      </w:r>
      <w:r>
        <w:rPr>
          <w:spacing w:val="-2"/>
        </w:rPr>
        <w:t>商誉；如果合并成本小于企业合并中取得的被购买方可辨认资产、负债公允价值的差额，首先对合并成本以及在企业合并中</w:t>
      </w:r>
      <w:r>
        <w:rPr>
          <w:spacing w:val="-64"/>
        </w:rPr>
        <w:t> </w:t>
      </w:r>
      <w:r>
        <w:rPr>
          <w:spacing w:val="-64"/>
        </w:rPr>
      </w:r>
      <w:r>
        <w:rPr>
          <w:spacing w:val="-2"/>
        </w:rPr>
        <w:t>取得的被购买方可辨认资产、负债的公允价值进行复核，经复核后合并成本仍小于取得的被购买方可辨认资产、负债公允价</w:t>
      </w:r>
      <w:r>
        <w:rPr>
          <w:spacing w:val="-62"/>
        </w:rPr>
        <w:t> </w:t>
      </w:r>
      <w:r>
        <w:rPr>
          <w:spacing w:val="-62"/>
        </w:rPr>
      </w:r>
      <w:r>
        <w:rPr/>
        <w:t>值的，其差额确认为合并当期损益。</w:t>
      </w:r>
      <w:r>
        <w:rPr>
          <w:rFonts w:ascii="宋体" w:hAnsi="宋体" w:cs="宋体" w:eastAsia="宋体" w:hint="default"/>
        </w:rPr>
        <w:t> </w:t>
      </w:r>
    </w:p>
    <w:p>
      <w:pPr>
        <w:spacing w:after="0" w:line="316" w:lineRule="auto"/>
        <w:jc w:val="both"/>
        <w:rPr>
          <w:rFonts w:ascii="宋体" w:hAnsi="宋体" w:cs="宋体" w:eastAsia="宋体" w:hint="default"/>
        </w:rPr>
        <w:sectPr>
          <w:headerReference w:type="default" r:id="rId22"/>
          <w:footerReference w:type="default" r:id="rId23"/>
          <w:pgSz w:w="11910" w:h="16840"/>
          <w:pgMar w:header="921" w:footer="1013" w:top="1700" w:bottom="1200" w:left="1020" w:right="0"/>
          <w:pgNumType w:start="94"/>
        </w:sectPr>
      </w:pPr>
    </w:p>
    <w:p>
      <w:pPr>
        <w:spacing w:line="240" w:lineRule="auto" w:before="7"/>
        <w:rPr>
          <w:rFonts w:ascii="宋体" w:hAnsi="宋体" w:cs="宋体" w:eastAsia="宋体" w:hint="default"/>
          <w:sz w:val="21"/>
          <w:szCs w:val="21"/>
        </w:rPr>
      </w:pPr>
    </w:p>
    <w:p>
      <w:pPr>
        <w:pStyle w:val="Heading3"/>
        <w:spacing w:line="240" w:lineRule="auto" w:before="36"/>
        <w:ind w:right="977"/>
        <w:jc w:val="left"/>
        <w:rPr>
          <w:b w:val="0"/>
          <w:bCs w:val="0"/>
        </w:rPr>
      </w:pPr>
      <w:r>
        <w:rPr>
          <w:rFonts w:ascii="Times New Roman" w:hAnsi="Times New Roman" w:cs="Times New Roman" w:eastAsia="Times New Roman" w:hint="default"/>
        </w:rPr>
        <w:t>6</w:t>
      </w:r>
      <w:r>
        <w:rPr/>
        <w:t>、合并财务报表的编制方法</w:t>
      </w:r>
      <w:r>
        <w:rPr>
          <w:b w:val="0"/>
          <w:bCs w:val="0"/>
        </w:rPr>
      </w:r>
    </w:p>
    <w:p>
      <w:pPr>
        <w:pStyle w:val="BodyText"/>
        <w:spacing w:line="430" w:lineRule="atLeast" w:before="152"/>
        <w:ind w:left="473" w:right="1123"/>
        <w:jc w:val="left"/>
      </w:pPr>
      <w:r>
        <w:rPr/>
        <w:t>（</w:t>
      </w:r>
      <w:r>
        <w:rPr>
          <w:rFonts w:ascii="宋体" w:hAnsi="宋体" w:cs="宋体" w:eastAsia="宋体" w:hint="default"/>
        </w:rPr>
        <w:t>1</w:t>
      </w:r>
      <w:r>
        <w:rPr/>
        <w:t>）合并范围的确定</w:t>
      </w:r>
      <w:r>
        <w:rPr>
          <w:rFonts w:ascii="宋体" w:hAnsi="宋体" w:cs="宋体" w:eastAsia="宋体" w:hint="default"/>
        </w:rPr>
        <w:t> </w:t>
      </w:r>
      <w:r>
        <w:rPr/>
        <w:t>合并财务报表的合并范围以控制为基础予以确定</w:t>
      </w:r>
      <w:r>
        <w:rPr>
          <w:rFonts w:ascii="宋体" w:hAnsi="宋体" w:cs="宋体" w:eastAsia="宋体" w:hint="default"/>
        </w:rPr>
        <w:t>,</w:t>
      </w:r>
      <w:r>
        <w:rPr/>
        <w:t>不仅包括根据表决权（或类似表决权）本身或者结合其他安排确定的</w:t>
      </w:r>
    </w:p>
    <w:p>
      <w:pPr>
        <w:pStyle w:val="BodyText"/>
        <w:spacing w:line="240" w:lineRule="auto" w:before="76"/>
        <w:ind w:right="977"/>
        <w:jc w:val="left"/>
        <w:rPr>
          <w:rFonts w:ascii="宋体" w:hAnsi="宋体" w:cs="宋体" w:eastAsia="宋体" w:hint="default"/>
        </w:rPr>
      </w:pPr>
      <w:r>
        <w:rPr/>
        <w:t>子公司，也包括基于一项或多项合同安排决定的结构化主体。</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1" w:firstLine="360"/>
        <w:jc w:val="both"/>
        <w:rPr>
          <w:rFonts w:ascii="宋体" w:hAnsi="宋体" w:cs="宋体" w:eastAsia="宋体" w:hint="default"/>
        </w:rPr>
      </w:pPr>
      <w:r>
        <w:rPr>
          <w:spacing w:val="-2"/>
        </w:rPr>
        <w:t>控制是指本公司拥有对被投资方的权力，通过参与被投资方的相关活动而享有可变回报，并且有能力运用对被投资方的</w:t>
      </w:r>
      <w:r>
        <w:rPr/>
        <w:t> </w:t>
      </w:r>
      <w:r>
        <w:rPr>
          <w:spacing w:val="-2"/>
        </w:rPr>
        <w:t>权力影响其回报金额。子公司是指被本公司控制的主体（含企业、被投资单位中可分割的部分，以及企业所控制的结构化主</w:t>
      </w:r>
      <w:r>
        <w:rPr>
          <w:spacing w:val="-65"/>
        </w:rPr>
        <w:t> </w:t>
      </w:r>
      <w:r>
        <w:rPr>
          <w:spacing w:val="-65"/>
        </w:rPr>
      </w:r>
      <w:r>
        <w:rPr/>
        <w:t>体等），结构化主体是指在确定其控制方时没有将表决权或类似权利作为决定性因素而设计的主体。</w:t>
      </w:r>
      <w:r>
        <w:rPr>
          <w:rFonts w:ascii="宋体" w:hAnsi="宋体" w:cs="宋体" w:eastAsia="宋体" w:hint="default"/>
        </w:rPr>
        <w:t> </w:t>
      </w:r>
    </w:p>
    <w:p>
      <w:pPr>
        <w:pStyle w:val="BodyText"/>
        <w:spacing w:line="439" w:lineRule="auto" w:before="139"/>
        <w:ind w:left="473" w:right="1845"/>
        <w:jc w:val="left"/>
        <w:rPr>
          <w:rFonts w:ascii="宋体" w:hAnsi="宋体" w:cs="宋体" w:eastAsia="宋体" w:hint="default"/>
        </w:rPr>
      </w:pPr>
      <w:r>
        <w:rPr/>
        <w:t>（</w:t>
      </w:r>
      <w:r>
        <w:rPr>
          <w:rFonts w:ascii="宋体" w:hAnsi="宋体" w:cs="宋体" w:eastAsia="宋体" w:hint="default"/>
        </w:rPr>
        <w:t>2</w:t>
      </w:r>
      <w:r>
        <w:rPr/>
        <w:t>）合并财务报表的编制方法</w:t>
      </w:r>
      <w:r>
        <w:rPr>
          <w:rFonts w:ascii="宋体" w:hAnsi="宋体" w:cs="宋体" w:eastAsia="宋体" w:hint="default"/>
        </w:rPr>
        <w:t> </w:t>
      </w:r>
      <w:r>
        <w:rPr/>
        <w:t>本公司以自身和子公司的财务报表为基础，根据其他有关资料，编制合并财务报表。</w:t>
      </w:r>
      <w:r>
        <w:rPr>
          <w:rFonts w:ascii="宋体" w:hAnsi="宋体" w:cs="宋体" w:eastAsia="宋体" w:hint="default"/>
        </w:rPr>
        <w:t> </w:t>
      </w:r>
    </w:p>
    <w:p>
      <w:pPr>
        <w:pStyle w:val="BodyText"/>
        <w:spacing w:line="316" w:lineRule="auto" w:before="47"/>
        <w:ind w:right="977" w:firstLine="360"/>
        <w:jc w:val="left"/>
        <w:rPr>
          <w:rFonts w:ascii="宋体" w:hAnsi="宋体" w:cs="宋体" w:eastAsia="宋体" w:hint="default"/>
        </w:rPr>
      </w:pPr>
      <w:r>
        <w:rPr>
          <w:spacing w:val="-2"/>
        </w:rPr>
        <w:t>本公司编制合并财务报表，将整个企业集团视为一个会计主体，依据相关企业会计准则的确认、计量和列报要求，按照</w:t>
      </w:r>
      <w:r>
        <w:rPr/>
        <w:t> 统一的会计政策，反映企业集团整体财务状况、经营成果和现金流量。</w:t>
      </w:r>
      <w:r>
        <w:rPr>
          <w:rFonts w:ascii="宋体" w:hAnsi="宋体" w:cs="宋体" w:eastAsia="宋体" w:hint="default"/>
        </w:rPr>
        <w:t> </w:t>
      </w:r>
    </w:p>
    <w:p>
      <w:pPr>
        <w:pStyle w:val="BodyText"/>
        <w:spacing w:line="240" w:lineRule="auto" w:before="139"/>
        <w:ind w:left="473" w:right="977"/>
        <w:jc w:val="left"/>
        <w:rPr>
          <w:rFonts w:ascii="宋体" w:hAnsi="宋体" w:cs="宋体" w:eastAsia="宋体" w:hint="default"/>
        </w:rPr>
      </w:pPr>
      <w:r>
        <w:rPr/>
        <w:t>①合并母公司与子公司的资产、负债、所有者权益、收入、费用和现金流等项目。</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473" w:right="977"/>
        <w:jc w:val="left"/>
        <w:rPr>
          <w:rFonts w:ascii="宋体" w:hAnsi="宋体" w:cs="宋体" w:eastAsia="宋体" w:hint="default"/>
        </w:rPr>
      </w:pPr>
      <w:r>
        <w:rPr/>
        <w:t>②抵销母公司对子公司的长期股权投资与母公司在子公司所有者权益中所享有的份额。</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977" w:firstLine="360"/>
        <w:jc w:val="left"/>
        <w:rPr>
          <w:rFonts w:ascii="宋体" w:hAnsi="宋体" w:cs="宋体" w:eastAsia="宋体" w:hint="default"/>
        </w:rPr>
      </w:pPr>
      <w:r>
        <w:rPr>
          <w:spacing w:val="-2"/>
        </w:rPr>
        <w:t>③抵销母公司与子公司、子公司相互之间发生的内部交易的影响。内部交易表明相关资产发生减值损失的，应当全额确</w:t>
      </w:r>
      <w:r>
        <w:rPr/>
        <w:t> 认该部分损失。</w:t>
      </w:r>
      <w:r>
        <w:rPr>
          <w:rFonts w:ascii="宋体" w:hAnsi="宋体" w:cs="宋体" w:eastAsia="宋体" w:hint="default"/>
        </w:rPr>
        <w:t> </w:t>
      </w:r>
    </w:p>
    <w:p>
      <w:pPr>
        <w:pStyle w:val="BodyText"/>
        <w:spacing w:line="240" w:lineRule="auto" w:before="139"/>
        <w:ind w:left="473" w:right="977"/>
        <w:jc w:val="left"/>
        <w:rPr>
          <w:rFonts w:ascii="宋体" w:hAnsi="宋体" w:cs="宋体" w:eastAsia="宋体" w:hint="default"/>
        </w:rPr>
      </w:pPr>
      <w:r>
        <w:rPr/>
        <w:t>④站在企业集团角度对特殊交易事项予以调整。</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473" w:right="977"/>
        <w:jc w:val="left"/>
        <w:rPr>
          <w:rFonts w:ascii="宋体" w:hAnsi="宋体" w:cs="宋体" w:eastAsia="宋体" w:hint="default"/>
        </w:rPr>
      </w:pPr>
      <w:r>
        <w:rPr/>
        <w:t>（</w:t>
      </w:r>
      <w:r>
        <w:rPr>
          <w:rFonts w:ascii="宋体" w:hAnsi="宋体" w:cs="宋体" w:eastAsia="宋体" w:hint="default"/>
        </w:rPr>
        <w:t>3</w:t>
      </w:r>
      <w:r>
        <w:rPr/>
        <w:t>）报告期内增减子公司的处理</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439" w:lineRule="auto"/>
        <w:ind w:left="473" w:right="6794"/>
        <w:jc w:val="left"/>
        <w:rPr>
          <w:rFonts w:ascii="宋体" w:hAnsi="宋体" w:cs="宋体" w:eastAsia="宋体" w:hint="default"/>
        </w:rPr>
      </w:pPr>
      <w:r>
        <w:rPr/>
        <w:t>①增加子公司或业务</w:t>
      </w:r>
      <w:r>
        <w:rPr>
          <w:rFonts w:ascii="宋体" w:hAnsi="宋体" w:cs="宋体" w:eastAsia="宋体" w:hint="default"/>
        </w:rPr>
        <w:t> A.</w:t>
      </w:r>
      <w:r>
        <w:rPr/>
        <w:t>同一控制下企业合并增加的子公司或业务</w:t>
      </w:r>
      <w:r>
        <w:rPr>
          <w:rFonts w:ascii="宋体" w:hAnsi="宋体" w:cs="宋体" w:eastAsia="宋体" w:hint="default"/>
        </w:rPr>
        <w:t> </w:t>
      </w:r>
    </w:p>
    <w:p>
      <w:pPr>
        <w:pStyle w:val="BodyText"/>
        <w:spacing w:line="316" w:lineRule="auto" w:before="47"/>
        <w:ind w:right="1124" w:firstLine="360"/>
        <w:jc w:val="left"/>
        <w:rPr>
          <w:rFonts w:ascii="宋体" w:hAnsi="宋体" w:cs="宋体" w:eastAsia="宋体" w:hint="default"/>
        </w:rPr>
      </w:pPr>
      <w:r>
        <w:rPr/>
        <w:t>（</w:t>
      </w:r>
      <w:r>
        <w:rPr>
          <w:rFonts w:ascii="宋体" w:hAnsi="宋体" w:cs="宋体" w:eastAsia="宋体" w:hint="default"/>
        </w:rPr>
        <w:t>a</w:t>
      </w:r>
      <w:r>
        <w:rPr/>
        <w:t>）编制合并资产负债表时，调整合并资产负债表的期初数，同时对比较报表的相关项目进行调整，视同合并后的报 告主体自最终控制方开始控制时点起一直存在。</w:t>
      </w:r>
      <w:r>
        <w:rPr>
          <w:rFonts w:ascii="宋体" w:hAnsi="宋体" w:cs="宋体" w:eastAsia="宋体" w:hint="default"/>
        </w:rPr>
        <w:t> </w:t>
      </w:r>
    </w:p>
    <w:p>
      <w:pPr>
        <w:pStyle w:val="BodyText"/>
        <w:spacing w:line="316" w:lineRule="auto" w:before="139"/>
        <w:ind w:right="1124" w:firstLine="360"/>
        <w:jc w:val="left"/>
        <w:rPr>
          <w:rFonts w:ascii="宋体" w:hAnsi="宋体" w:cs="宋体" w:eastAsia="宋体" w:hint="default"/>
        </w:rPr>
      </w:pPr>
      <w:r>
        <w:rPr/>
        <w:t>（</w:t>
      </w:r>
      <w:r>
        <w:rPr>
          <w:rFonts w:ascii="宋体" w:hAnsi="宋体" w:cs="宋体" w:eastAsia="宋体" w:hint="default"/>
        </w:rPr>
        <w:t>b</w:t>
      </w:r>
      <w:r>
        <w:rPr/>
        <w:t>）编制合并利润表时，将该子公司以及业务合并当期期初至报告期末的收入、费用、利润纳入合并利润表，同时对 比较报表的相关项目进行调整，视同合并后的报告主体自最终控制方开始控制时点起一直存在。</w:t>
      </w:r>
      <w:r>
        <w:rPr>
          <w:rFonts w:ascii="宋体" w:hAnsi="宋体" w:cs="宋体" w:eastAsia="宋体" w:hint="default"/>
        </w:rPr>
        <w:t> </w:t>
      </w:r>
    </w:p>
    <w:p>
      <w:pPr>
        <w:pStyle w:val="BodyText"/>
        <w:spacing w:line="316" w:lineRule="auto" w:before="139"/>
        <w:ind w:right="1124" w:firstLine="360"/>
        <w:jc w:val="left"/>
        <w:rPr>
          <w:rFonts w:ascii="宋体" w:hAnsi="宋体" w:cs="宋体" w:eastAsia="宋体" w:hint="default"/>
        </w:rPr>
      </w:pPr>
      <w:r>
        <w:rPr/>
        <w:t>（</w:t>
      </w:r>
      <w:r>
        <w:rPr>
          <w:rFonts w:ascii="宋体" w:hAnsi="宋体" w:cs="宋体" w:eastAsia="宋体" w:hint="default"/>
        </w:rPr>
        <w:t>c</w:t>
      </w:r>
      <w:r>
        <w:rPr/>
        <w:t>）编制合并现金流量表时，将该子公司以及业务合并当期期初至报告期末的现金流量纳入合并现金流量表，同时对 比较报表的相关项目进行调整，视同合并后的报告主体自最终控制方开始控制时点起一直存在。</w:t>
      </w:r>
      <w:r>
        <w:rPr>
          <w:rFonts w:ascii="宋体" w:hAnsi="宋体" w:cs="宋体" w:eastAsia="宋体" w:hint="default"/>
        </w:rPr>
        <w:t> </w:t>
      </w:r>
    </w:p>
    <w:p>
      <w:pPr>
        <w:pStyle w:val="BodyText"/>
        <w:spacing w:line="240" w:lineRule="auto" w:before="139"/>
        <w:ind w:left="473" w:right="977"/>
        <w:jc w:val="left"/>
        <w:rPr>
          <w:rFonts w:ascii="宋体" w:hAnsi="宋体" w:cs="宋体" w:eastAsia="宋体" w:hint="default"/>
        </w:rPr>
      </w:pPr>
      <w:r>
        <w:rPr>
          <w:rFonts w:ascii="宋体" w:hAnsi="宋体" w:cs="宋体" w:eastAsia="宋体" w:hint="default"/>
        </w:rPr>
        <w:t>B.</w:t>
      </w:r>
      <w:r>
        <w:rPr/>
        <w:t>非同一控制下企业合并增加的子公司或业务</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473" w:right="977"/>
        <w:jc w:val="left"/>
        <w:rPr>
          <w:rFonts w:ascii="宋体" w:hAnsi="宋体" w:cs="宋体" w:eastAsia="宋体" w:hint="default"/>
        </w:rPr>
      </w:pPr>
      <w:r>
        <w:rPr/>
        <w:t>（</w:t>
      </w:r>
      <w:r>
        <w:rPr>
          <w:rFonts w:ascii="宋体" w:hAnsi="宋体" w:cs="宋体" w:eastAsia="宋体" w:hint="default"/>
        </w:rPr>
        <w:t>a</w:t>
      </w:r>
      <w:r>
        <w:rPr/>
        <w:t>）编制合并资产负债表时，不调整合并资产负债表的期初数。</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473" w:right="977"/>
        <w:jc w:val="left"/>
        <w:rPr>
          <w:rFonts w:ascii="宋体" w:hAnsi="宋体" w:cs="宋体" w:eastAsia="宋体" w:hint="default"/>
        </w:rPr>
      </w:pPr>
      <w:r>
        <w:rPr/>
        <w:t>（</w:t>
      </w:r>
      <w:r>
        <w:rPr>
          <w:rFonts w:ascii="宋体" w:hAnsi="宋体" w:cs="宋体" w:eastAsia="宋体" w:hint="default"/>
        </w:rPr>
        <w:t>b</w:t>
      </w:r>
      <w:r>
        <w:rPr/>
        <w:t>）编制合并利润表时，将该子公司以及业务购买日至报告期末的收入、费用、利润纳入合并利润表。</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473" w:right="977"/>
        <w:jc w:val="left"/>
        <w:rPr>
          <w:rFonts w:ascii="宋体" w:hAnsi="宋体" w:cs="宋体" w:eastAsia="宋体" w:hint="default"/>
        </w:rPr>
      </w:pPr>
      <w:r>
        <w:rPr/>
        <w:t>（</w:t>
      </w:r>
      <w:r>
        <w:rPr>
          <w:rFonts w:ascii="宋体" w:hAnsi="宋体" w:cs="宋体" w:eastAsia="宋体" w:hint="default"/>
        </w:rPr>
        <w:t>c</w:t>
      </w:r>
      <w:r>
        <w:rPr/>
        <w:t>）编制合并现金流量表时，将该子公司购买日至报告期末的现金流量纳入合并现金流量表。</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39" w:lineRule="auto"/>
        <w:ind w:left="473" w:right="4994"/>
        <w:jc w:val="left"/>
        <w:rPr>
          <w:rFonts w:ascii="宋体" w:hAnsi="宋体" w:cs="宋体" w:eastAsia="宋体" w:hint="default"/>
        </w:rPr>
      </w:pPr>
      <w:r>
        <w:rPr/>
        <w:t>②处置子公司或业务</w:t>
      </w:r>
      <w:r>
        <w:rPr>
          <w:rFonts w:ascii="宋体" w:hAnsi="宋体" w:cs="宋体" w:eastAsia="宋体" w:hint="default"/>
        </w:rPr>
        <w:t> A.</w:t>
      </w:r>
      <w:r>
        <w:rPr/>
        <w:t>编制合并资产负债表时，不调整合并资产负债表的期初数。</w:t>
      </w:r>
      <w:r>
        <w:rPr>
          <w:rFonts w:ascii="宋体" w:hAnsi="宋体" w:cs="宋体" w:eastAsia="宋体" w:hint="default"/>
        </w:rPr>
        <w:t> </w:t>
      </w:r>
    </w:p>
    <w:p>
      <w:pPr>
        <w:pStyle w:val="BodyText"/>
        <w:spacing w:line="439" w:lineRule="auto" w:before="47"/>
        <w:ind w:left="473" w:right="977"/>
        <w:jc w:val="left"/>
        <w:rPr>
          <w:rFonts w:ascii="宋体" w:hAnsi="宋体" w:cs="宋体" w:eastAsia="宋体" w:hint="default"/>
        </w:rPr>
      </w:pPr>
      <w:r>
        <w:rPr>
          <w:rFonts w:ascii="宋体" w:hAnsi="宋体" w:cs="宋体" w:eastAsia="宋体" w:hint="default"/>
        </w:rPr>
        <w:t>B.</w:t>
      </w:r>
      <w:r>
        <w:rPr/>
        <w:t>编制合并利润表时，将该子公司以及业务期初至处置日的收入、费用、利润纳入合并利润表。</w:t>
      </w:r>
      <w:r>
        <w:rPr>
          <w:rFonts w:ascii="宋体" w:hAnsi="宋体" w:cs="宋体" w:eastAsia="宋体" w:hint="default"/>
        </w:rPr>
        <w:t> C.</w:t>
      </w:r>
      <w:r>
        <w:rPr/>
        <w:t>编制合并现金流量表时将该子公司以及业务期初至处置日的现金流量纳入合并现金流量表。</w:t>
      </w:r>
      <w:r>
        <w:rPr>
          <w:rFonts w:ascii="宋体" w:hAnsi="宋体" w:cs="宋体" w:eastAsia="宋体" w:hint="default"/>
        </w:rPr>
        <w:t> </w:t>
      </w:r>
    </w:p>
    <w:p>
      <w:pPr>
        <w:pStyle w:val="BodyText"/>
        <w:spacing w:line="240" w:lineRule="auto" w:before="47"/>
        <w:ind w:left="473" w:right="977"/>
        <w:jc w:val="left"/>
        <w:rPr>
          <w:rFonts w:ascii="宋体" w:hAnsi="宋体" w:cs="宋体" w:eastAsia="宋体" w:hint="default"/>
        </w:rPr>
      </w:pPr>
      <w:r>
        <w:rPr/>
        <w:t>（</w:t>
      </w:r>
      <w:r>
        <w:rPr>
          <w:rFonts w:ascii="宋体" w:hAnsi="宋体" w:cs="宋体" w:eastAsia="宋体" w:hint="default"/>
        </w:rPr>
        <w:t>4</w:t>
      </w:r>
      <w:r>
        <w:rPr/>
        <w:t>）合并抵销中的特殊考虑</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24"/>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316" w:lineRule="auto" w:before="44"/>
        <w:ind w:right="977" w:firstLine="360"/>
        <w:jc w:val="left"/>
        <w:rPr>
          <w:rFonts w:ascii="宋体" w:hAnsi="宋体" w:cs="宋体" w:eastAsia="宋体" w:hint="default"/>
        </w:rPr>
      </w:pPr>
      <w:r>
        <w:rPr>
          <w:spacing w:val="-2"/>
        </w:rPr>
        <w:t>①子公司持有本公司的长期股权投资，应当视为本公司的库存股，作为所有者权益的减项，在合并资产负债表中所有者</w:t>
      </w:r>
      <w:r>
        <w:rPr/>
        <w:t> 权益项目下以“减：库存股”项目列示。</w:t>
      </w:r>
      <w:r>
        <w:rPr>
          <w:rFonts w:ascii="宋体" w:hAnsi="宋体" w:cs="宋体" w:eastAsia="宋体" w:hint="default"/>
        </w:rPr>
        <w:t> </w:t>
      </w:r>
    </w:p>
    <w:p>
      <w:pPr>
        <w:pStyle w:val="BodyText"/>
        <w:spacing w:line="316" w:lineRule="auto" w:before="139"/>
        <w:ind w:right="977" w:firstLine="360"/>
        <w:jc w:val="left"/>
        <w:rPr>
          <w:rFonts w:ascii="宋体" w:hAnsi="宋体" w:cs="宋体" w:eastAsia="宋体" w:hint="default"/>
        </w:rPr>
      </w:pPr>
      <w:r>
        <w:rPr>
          <w:spacing w:val="-2"/>
        </w:rPr>
        <w:t>子公司相互之间持有的长期股权投资，比照本公司对子公司的股权投资的抵销方法，将长期股权投资与其对应的子公司</w:t>
      </w:r>
      <w:r>
        <w:rPr/>
        <w:t> 所有者权益中所享有的份额相互抵销。</w:t>
      </w:r>
      <w:r>
        <w:rPr>
          <w:rFonts w:ascii="宋体" w:hAnsi="宋体" w:cs="宋体" w:eastAsia="宋体" w:hint="default"/>
        </w:rPr>
        <w:t> </w:t>
      </w:r>
    </w:p>
    <w:p>
      <w:pPr>
        <w:pStyle w:val="BodyText"/>
        <w:spacing w:line="316" w:lineRule="auto" w:before="139"/>
        <w:ind w:right="977" w:firstLine="360"/>
        <w:jc w:val="left"/>
        <w:rPr>
          <w:rFonts w:ascii="宋体" w:hAnsi="宋体" w:cs="宋体" w:eastAsia="宋体" w:hint="default"/>
        </w:rPr>
      </w:pPr>
      <w:r>
        <w:rPr>
          <w:spacing w:val="-2"/>
        </w:rPr>
        <w:t>②“专项储备”和“一般风险准备”项目由于既不属于实收资本（或股本）、资本公积，也与留存收益、未分配利润不</w:t>
      </w:r>
      <w:r>
        <w:rPr/>
        <w:t> 同，在长期股权投资与子公司所有者权益相互抵销后，按归属于母公司所有者的份额予以恢复。</w:t>
      </w:r>
      <w:r>
        <w:rPr>
          <w:rFonts w:ascii="宋体" w:hAnsi="宋体" w:cs="宋体" w:eastAsia="宋体" w:hint="default"/>
        </w:rPr>
        <w:t> </w:t>
      </w:r>
    </w:p>
    <w:p>
      <w:pPr>
        <w:pStyle w:val="BodyText"/>
        <w:spacing w:line="316" w:lineRule="auto" w:before="139"/>
        <w:ind w:right="1129" w:firstLine="360"/>
        <w:jc w:val="both"/>
        <w:rPr>
          <w:rFonts w:ascii="宋体" w:hAnsi="宋体" w:cs="宋体" w:eastAsia="宋体" w:hint="default"/>
        </w:rPr>
      </w:pPr>
      <w:r>
        <w:rPr>
          <w:spacing w:val="-2"/>
        </w:rPr>
        <w:t>③因抵销未实现内部销售损益导致合并资产负债表中资产、负债的账面价值与其在所属纳税主体的计税基础之间产生暂</w:t>
      </w:r>
      <w:r>
        <w:rPr/>
        <w:t> </w:t>
      </w:r>
      <w:r>
        <w:rPr>
          <w:spacing w:val="-2"/>
        </w:rPr>
        <w:t>时性差异的，在合并资产负债表中确认递延所得税资产或递延所得税负债，同时调整合并利润表中的所得税费用，但与直接</w:t>
      </w:r>
      <w:r>
        <w:rPr>
          <w:spacing w:val="-62"/>
        </w:rPr>
        <w:t> </w:t>
      </w:r>
      <w:r>
        <w:rPr>
          <w:spacing w:val="-62"/>
        </w:rPr>
      </w:r>
      <w:r>
        <w:rPr/>
        <w:t>计入所有者权益的交易或事项及企业合并相关的递延所得税除外。</w:t>
      </w:r>
      <w:r>
        <w:rPr>
          <w:rFonts w:ascii="宋体" w:hAnsi="宋体" w:cs="宋体" w:eastAsia="宋体" w:hint="default"/>
        </w:rPr>
        <w:t> </w:t>
      </w:r>
    </w:p>
    <w:p>
      <w:pPr>
        <w:pStyle w:val="BodyText"/>
        <w:spacing w:line="319" w:lineRule="auto" w:before="139"/>
        <w:ind w:right="1034" w:firstLine="360"/>
        <w:jc w:val="left"/>
        <w:rPr>
          <w:rFonts w:ascii="宋体" w:hAnsi="宋体" w:cs="宋体" w:eastAsia="宋体" w:hint="default"/>
        </w:rPr>
      </w:pPr>
      <w:r>
        <w:rPr>
          <w:spacing w:val="-2"/>
        </w:rPr>
        <w:t>④本公司向子公司出售资产所发生的未实现内部交易损益，应当全额抵销“归属于母公司所有者的净利润”。子公司向</w:t>
      </w:r>
      <w:r>
        <w:rPr/>
        <w:t> 本公司出售资产所发生的未实现内部交易损益，应当按照本公司对该子公司的分配比例在“归属于母公司所有者的净利润” </w:t>
      </w:r>
      <w:r>
        <w:rPr>
          <w:spacing w:val="-2"/>
        </w:rPr>
        <w:t>和“少数股东损益”之间分配抵销。子公司之间出售资产所发生的未实现内部交易损益，应当按照本公司对出售方子公司的</w:t>
      </w:r>
      <w:r>
        <w:rPr>
          <w:spacing w:val="-65"/>
        </w:rPr>
        <w:t> </w:t>
      </w:r>
      <w:r>
        <w:rPr>
          <w:spacing w:val="-65"/>
        </w:rPr>
      </w:r>
      <w:r>
        <w:rPr/>
        <w:t>分配比例在“归属于母公司所有者的净利润”和“少数股东损益”之间分配抵销。</w:t>
      </w:r>
      <w:r>
        <w:rPr>
          <w:rFonts w:ascii="宋体" w:hAnsi="宋体" w:cs="宋体" w:eastAsia="宋体" w:hint="default"/>
        </w:rPr>
        <w:t> </w:t>
      </w:r>
    </w:p>
    <w:p>
      <w:pPr>
        <w:pStyle w:val="BodyText"/>
        <w:spacing w:line="316" w:lineRule="auto" w:before="137"/>
        <w:ind w:right="977" w:firstLine="360"/>
        <w:jc w:val="left"/>
        <w:rPr>
          <w:rFonts w:ascii="宋体" w:hAnsi="宋体" w:cs="宋体" w:eastAsia="宋体" w:hint="default"/>
        </w:rPr>
      </w:pPr>
      <w:r>
        <w:rPr>
          <w:spacing w:val="-2"/>
        </w:rPr>
        <w:t>⑤子公司少数股东分担的当期亏损超过了少数股东在该子公司期初所有者权益中所享有的份额的，其余额仍应当冲减少</w:t>
      </w:r>
      <w:r>
        <w:rPr/>
        <w:t> 数股东权益。</w:t>
      </w:r>
      <w:r>
        <w:rPr>
          <w:rFonts w:ascii="宋体" w:hAnsi="宋体" w:cs="宋体" w:eastAsia="宋体" w:hint="default"/>
        </w:rPr>
        <w:t> </w:t>
      </w:r>
    </w:p>
    <w:p>
      <w:pPr>
        <w:pStyle w:val="BodyText"/>
        <w:spacing w:line="240" w:lineRule="auto" w:before="139"/>
        <w:ind w:left="473" w:right="977"/>
        <w:jc w:val="left"/>
        <w:rPr>
          <w:rFonts w:ascii="宋体" w:hAnsi="宋体" w:cs="宋体" w:eastAsia="宋体" w:hint="default"/>
        </w:rPr>
      </w:pPr>
      <w:r>
        <w:rPr/>
        <w:t>（</w:t>
      </w:r>
      <w:r>
        <w:rPr>
          <w:rFonts w:ascii="宋体" w:hAnsi="宋体" w:cs="宋体" w:eastAsia="宋体" w:hint="default"/>
        </w:rPr>
        <w:t>5</w:t>
      </w:r>
      <w:r>
        <w:rPr/>
        <w:t>）特殊交易的会计处理</w:t>
      </w:r>
      <w:r>
        <w:rPr>
          <w:rFonts w:ascii="宋体" w:hAnsi="宋体" w:cs="宋体" w:eastAsia="宋体" w:hint="default"/>
        </w:rPr>
        <w:t> </w:t>
      </w:r>
    </w:p>
    <w:p>
      <w:pPr>
        <w:pStyle w:val="BodyText"/>
        <w:spacing w:line="430" w:lineRule="atLeast" w:before="2"/>
        <w:ind w:left="473" w:right="977"/>
        <w:jc w:val="left"/>
      </w:pPr>
      <w:r>
        <w:rPr/>
        <w:t>①购买少数股东股权</w:t>
      </w:r>
      <w:r>
        <w:rPr>
          <w:rFonts w:ascii="宋体" w:hAnsi="宋体" w:cs="宋体" w:eastAsia="宋体" w:hint="default"/>
        </w:rPr>
        <w:t> </w:t>
      </w:r>
      <w:r>
        <w:rPr>
          <w:spacing w:val="-2"/>
        </w:rPr>
        <w:t>本公司购买子公司少数股东拥有的子公司股权，在个别财务报表中，购买少数股权新取得的长期股权投资的投资成本按</w:t>
      </w:r>
    </w:p>
    <w:p>
      <w:pPr>
        <w:pStyle w:val="BodyText"/>
        <w:spacing w:line="319" w:lineRule="auto" w:before="76"/>
        <w:ind w:right="1131"/>
        <w:jc w:val="both"/>
        <w:rPr>
          <w:rFonts w:ascii="宋体" w:hAnsi="宋体" w:cs="宋体" w:eastAsia="宋体" w:hint="default"/>
        </w:rPr>
      </w:pPr>
      <w:r>
        <w:rPr>
          <w:spacing w:val="-2"/>
        </w:rPr>
        <w:t>照所支付对价的公允价值计量。在合并财务报表中，因购买少数股权新取得的长期股权投资与按照新增持股比例计算应享有</w:t>
      </w:r>
      <w:r>
        <w:rPr>
          <w:spacing w:val="-64"/>
        </w:rPr>
        <w:t> </w:t>
      </w:r>
      <w:r>
        <w:rPr>
          <w:spacing w:val="-64"/>
        </w:rPr>
      </w:r>
      <w:r>
        <w:rPr>
          <w:spacing w:val="-2"/>
        </w:rPr>
        <w:t>子公司自购买日或合并日开始持续计算的净资产份额之间的差额，应当调整资本公积（资本溢价或股本溢价），资本公积不</w:t>
      </w:r>
      <w:r>
        <w:rPr>
          <w:spacing w:val="-67"/>
        </w:rPr>
        <w:t> </w:t>
      </w:r>
      <w:r>
        <w:rPr>
          <w:spacing w:val="-67"/>
        </w:rPr>
      </w:r>
      <w:r>
        <w:rPr/>
        <w:t>足冲减的，依次冲减盈余公积和未分配利润。</w:t>
      </w:r>
      <w:r>
        <w:rPr>
          <w:rFonts w:ascii="宋体" w:hAnsi="宋体" w:cs="宋体" w:eastAsia="宋体" w:hint="default"/>
        </w:rPr>
        <w:t> </w:t>
      </w:r>
    </w:p>
    <w:p>
      <w:pPr>
        <w:pStyle w:val="BodyText"/>
        <w:spacing w:line="439" w:lineRule="auto" w:before="137"/>
        <w:ind w:left="473" w:right="6614"/>
        <w:jc w:val="left"/>
        <w:rPr>
          <w:rFonts w:ascii="宋体" w:hAnsi="宋体" w:cs="宋体" w:eastAsia="宋体" w:hint="default"/>
        </w:rPr>
      </w:pPr>
      <w:r>
        <w:rPr/>
        <w:t>②通过多次交易分步取得子公司控制权的</w:t>
      </w:r>
      <w:r>
        <w:rPr>
          <w:rFonts w:ascii="宋体" w:hAnsi="宋体" w:cs="宋体" w:eastAsia="宋体" w:hint="default"/>
        </w:rPr>
        <w:t> A.</w:t>
      </w:r>
      <w:r>
        <w:rPr/>
        <w:t>通过多次交易分步实现同一控制下企业合并</w:t>
      </w:r>
      <w:r>
        <w:rPr>
          <w:rFonts w:ascii="宋体" w:hAnsi="宋体" w:cs="宋体" w:eastAsia="宋体" w:hint="default"/>
        </w:rPr>
        <w:t> </w:t>
      </w:r>
    </w:p>
    <w:p>
      <w:pPr>
        <w:pStyle w:val="BodyText"/>
        <w:spacing w:line="316" w:lineRule="auto" w:before="47"/>
        <w:ind w:right="1034" w:firstLine="360"/>
        <w:jc w:val="left"/>
        <w:rPr>
          <w:rFonts w:ascii="宋体" w:hAnsi="宋体" w:cs="宋体" w:eastAsia="宋体" w:hint="default"/>
        </w:rPr>
      </w:pPr>
      <w:r>
        <w:rPr>
          <w:spacing w:val="-2"/>
        </w:rPr>
        <w:t>属于“一揽子交易”的，本公司将各项交易作为一项取得子公司控制权的交易进行处理。在个别财务报表中，在合并日</w:t>
      </w:r>
      <w:r>
        <w:rPr/>
        <w:t> </w:t>
      </w:r>
      <w:r>
        <w:rPr>
          <w:spacing w:val="-2"/>
        </w:rPr>
        <w:t>之前的每次交易中，股权投资均确认为长期股权投资且其初始投资成本按照所对应的持股比例计算的对被合并方净资产在最</w:t>
      </w:r>
      <w:r>
        <w:rPr>
          <w:spacing w:val="-63"/>
        </w:rPr>
        <w:t> </w:t>
      </w:r>
      <w:r>
        <w:rPr>
          <w:spacing w:val="-63"/>
        </w:rPr>
      </w:r>
      <w:r>
        <w:rPr>
          <w:spacing w:val="-2"/>
        </w:rPr>
        <w:t>终控制方合并财务报表中的账面价值份额确定，长期股权投资的初始成本与支付对价的账面价值的差额调整资本公积（资本</w:t>
      </w:r>
      <w:r>
        <w:rPr>
          <w:spacing w:val="-64"/>
        </w:rPr>
        <w:t> </w:t>
      </w:r>
      <w:r>
        <w:rPr>
          <w:spacing w:val="-64"/>
        </w:rPr>
      </w:r>
      <w:r>
        <w:rPr>
          <w:spacing w:val="-2"/>
        </w:rPr>
        <w:t>溢价或股本溢价），资本公积（资本溢价或股本溢价）不足冲减的，依次冲减盈余公积和未分配利润。在后续计量时，长期</w:t>
      </w:r>
      <w:r>
        <w:rPr>
          <w:spacing w:val="-71"/>
        </w:rPr>
        <w:t> </w:t>
      </w:r>
      <w:r>
        <w:rPr>
          <w:spacing w:val="-71"/>
        </w:rPr>
      </w:r>
      <w:r>
        <w:rPr>
          <w:spacing w:val="-2"/>
        </w:rPr>
        <w:t>股权投资按照成本法核算，但不涉及合并财务报表编制问题。在合并日，本公司对子公司的长期股权投资初始成本按照对子</w:t>
      </w:r>
      <w:r>
        <w:rPr>
          <w:spacing w:val="-65"/>
        </w:rPr>
        <w:t> </w:t>
      </w:r>
      <w:r>
        <w:rPr>
          <w:spacing w:val="-65"/>
        </w:rPr>
      </w:r>
      <w:r>
        <w:rPr>
          <w:spacing w:val="-2"/>
        </w:rPr>
        <w:t>公司累计持股比例计算的对被合并方净资产在最终控制方合并财务报表中的账面价值份额确定，初始投资成本与达到合并前</w:t>
      </w:r>
      <w:r>
        <w:rPr>
          <w:spacing w:val="-64"/>
        </w:rPr>
        <w:t> </w:t>
      </w:r>
      <w:r>
        <w:rPr>
          <w:spacing w:val="-64"/>
        </w:rPr>
      </w:r>
      <w:r>
        <w:rPr>
          <w:spacing w:val="-2"/>
        </w:rPr>
        <w:t>的长期股权投资账面价值加上合并日取得进一步股份新支付对价的账面价值之和的差额，调整资本公积（资本溢价或股本溢</w:t>
      </w:r>
      <w:r>
        <w:rPr>
          <w:spacing w:val="-62"/>
        </w:rPr>
        <w:t> </w:t>
      </w:r>
      <w:r>
        <w:rPr>
          <w:spacing w:val="-62"/>
        </w:rPr>
      </w:r>
      <w:r>
        <w:rPr/>
        <w:t>价），资本公积（资本溢价或股本溢价）不足冲减的，依次冲减盈余公积和未分配利润。同时编制合并日的合并财务报表，</w:t>
      </w:r>
      <w:r>
        <w:rPr/>
        <w:t> 并且本公司在合并财务报表中，视同参与合并的各方在最终控制方开始控制时即以目前的状态存在进行调整。</w:t>
      </w:r>
      <w:r>
        <w:rPr>
          <w:rFonts w:ascii="宋体" w:hAnsi="宋体" w:cs="宋体" w:eastAsia="宋体" w:hint="default"/>
        </w:rPr>
        <w:t> </w:t>
      </w:r>
    </w:p>
    <w:p>
      <w:pPr>
        <w:pStyle w:val="BodyText"/>
        <w:spacing w:line="240" w:lineRule="auto" w:before="139"/>
        <w:ind w:left="473" w:right="977"/>
        <w:jc w:val="left"/>
        <w:rPr>
          <w:rFonts w:ascii="宋体" w:hAnsi="宋体" w:cs="宋体" w:eastAsia="宋体" w:hint="default"/>
        </w:rPr>
      </w:pPr>
      <w:r>
        <w:rPr/>
        <w:t>各项交易的条款、条件以及经济影响符合下列一种或多种情况的，通常将多次交易作为“一揽子交易”进行会计处理</w:t>
      </w:r>
      <w:r>
        <w:rPr>
          <w:spacing w:val="-82"/>
        </w:rPr>
        <w:t>：</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473" w:right="977"/>
        <w:jc w:val="left"/>
        <w:rPr>
          <w:rFonts w:ascii="宋体" w:hAnsi="宋体" w:cs="宋体" w:eastAsia="宋体" w:hint="default"/>
        </w:rPr>
      </w:pPr>
      <w:r>
        <w:rPr/>
        <w:t>（</w:t>
      </w:r>
      <w:r>
        <w:rPr>
          <w:rFonts w:ascii="宋体" w:hAnsi="宋体" w:cs="宋体" w:eastAsia="宋体" w:hint="default"/>
        </w:rPr>
        <w:t>a</w:t>
      </w:r>
      <w:r>
        <w:rPr/>
        <w:t>）这些交易是同时或者在考虑了彼此影响的情况下订立的。</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473" w:right="977"/>
        <w:jc w:val="left"/>
        <w:rPr>
          <w:rFonts w:ascii="宋体" w:hAnsi="宋体" w:cs="宋体" w:eastAsia="宋体" w:hint="default"/>
        </w:rPr>
      </w:pPr>
      <w:r>
        <w:rPr/>
        <w:t>（</w:t>
      </w:r>
      <w:r>
        <w:rPr>
          <w:rFonts w:ascii="宋体" w:hAnsi="宋体" w:cs="宋体" w:eastAsia="宋体" w:hint="default"/>
        </w:rPr>
        <w:t>b</w:t>
      </w:r>
      <w:r>
        <w:rPr/>
        <w:t>）这些交易整体才能达成一项完整的商业结果。</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473" w:right="977"/>
        <w:jc w:val="left"/>
        <w:rPr>
          <w:rFonts w:ascii="宋体" w:hAnsi="宋体" w:cs="宋体" w:eastAsia="宋体" w:hint="default"/>
        </w:rPr>
      </w:pPr>
      <w:r>
        <w:rPr/>
        <w:t>（</w:t>
      </w:r>
      <w:r>
        <w:rPr>
          <w:rFonts w:ascii="宋体" w:hAnsi="宋体" w:cs="宋体" w:eastAsia="宋体" w:hint="default"/>
        </w:rPr>
        <w:t>c</w:t>
      </w:r>
      <w:r>
        <w:rPr/>
        <w:t>）一项交易的发生取决于其他至少一项交易的发生。</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41" w:lineRule="auto"/>
        <w:ind w:left="473" w:right="977"/>
        <w:jc w:val="left"/>
      </w:pPr>
      <w:r>
        <w:rPr/>
        <w:t>（</w:t>
      </w:r>
      <w:r>
        <w:rPr>
          <w:rFonts w:ascii="宋体" w:hAnsi="宋体" w:cs="宋体" w:eastAsia="宋体" w:hint="default"/>
        </w:rPr>
        <w:t>d</w:t>
      </w:r>
      <w:r>
        <w:rPr/>
        <w:t>）一项交易单独考虑时是不经济的，但是和其他交易一并考虑时是经济的。</w:t>
      </w:r>
      <w:r>
        <w:rPr>
          <w:rFonts w:ascii="宋体" w:hAnsi="宋体" w:cs="宋体" w:eastAsia="宋体" w:hint="default"/>
        </w:rPr>
        <w:t> </w:t>
      </w:r>
      <w:r>
        <w:rPr>
          <w:spacing w:val="-2"/>
        </w:rPr>
        <w:t>不属于“一揽子交易”的，在合并日之前的每次交易中，本公司所发生的每次交易按照所支付对价的公允价值确认为金</w:t>
      </w:r>
    </w:p>
    <w:p>
      <w:pPr>
        <w:spacing w:after="0" w:line="441" w:lineRule="auto"/>
        <w:jc w:val="left"/>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316" w:lineRule="auto" w:before="44"/>
        <w:ind w:right="1128"/>
        <w:jc w:val="both"/>
        <w:rPr>
          <w:rFonts w:ascii="宋体" w:hAnsi="宋体" w:cs="宋体" w:eastAsia="宋体" w:hint="default"/>
        </w:rPr>
      </w:pPr>
      <w:r>
        <w:rPr>
          <w:spacing w:val="-2"/>
        </w:rPr>
        <w:t>融资产（以公允价值计量且其变动计入当期损益的金融资产或可供出售金融资产）或按照权益法核算的长期股权投资。在合</w:t>
      </w:r>
      <w:r>
        <w:rPr>
          <w:spacing w:val="-62"/>
        </w:rPr>
        <w:t> </w:t>
      </w:r>
      <w:r>
        <w:rPr>
          <w:spacing w:val="-62"/>
        </w:rPr>
      </w:r>
      <w:r>
        <w:rPr>
          <w:spacing w:val="-2"/>
        </w:rPr>
        <w:t>并日，本公司在个别财务报表中，根据合并后应享有的子公司净资产在最终控制方合并财务报表中的账面价值的份额，确定</w:t>
      </w:r>
      <w:r>
        <w:rPr>
          <w:spacing w:val="-62"/>
        </w:rPr>
        <w:t> </w:t>
      </w:r>
      <w:r>
        <w:rPr>
          <w:spacing w:val="-62"/>
        </w:rPr>
      </w:r>
      <w:r>
        <w:rPr>
          <w:spacing w:val="-2"/>
        </w:rPr>
        <w:t>长期股权投资的初始投资成本。合并日长期股权投资的初始投资成本，与达到合并前的长期股权投资账面价值加上合并日进</w:t>
      </w:r>
      <w:r>
        <w:rPr>
          <w:spacing w:val="-64"/>
        </w:rPr>
        <w:t> </w:t>
      </w:r>
      <w:r>
        <w:rPr>
          <w:spacing w:val="-64"/>
        </w:rPr>
      </w:r>
      <w:r>
        <w:rPr>
          <w:spacing w:val="-2"/>
        </w:rPr>
        <w:t>一步取得股份新支付对价的账面价值之和的差额，调整资本公积（资本溢价或股本溢价），资本公积不足冲减的，依次冲减</w:t>
      </w:r>
      <w:r>
        <w:rPr>
          <w:spacing w:val="-68"/>
        </w:rPr>
        <w:t> </w:t>
      </w:r>
      <w:r>
        <w:rPr>
          <w:spacing w:val="-68"/>
        </w:rPr>
      </w:r>
      <w:r>
        <w:rPr/>
        <w:t>盈余公积和未分配利润。</w:t>
      </w:r>
      <w:r>
        <w:rPr>
          <w:rFonts w:ascii="宋体" w:hAnsi="宋体" w:cs="宋体" w:eastAsia="宋体" w:hint="default"/>
        </w:rPr>
        <w:t> </w:t>
      </w:r>
    </w:p>
    <w:p>
      <w:pPr>
        <w:pStyle w:val="BodyText"/>
        <w:spacing w:line="316" w:lineRule="auto" w:before="139"/>
        <w:ind w:right="1128" w:firstLine="360"/>
        <w:jc w:val="both"/>
        <w:rPr>
          <w:rFonts w:ascii="宋体" w:hAnsi="宋体" w:cs="宋体" w:eastAsia="宋体" w:hint="default"/>
        </w:rPr>
      </w:pPr>
      <w:r>
        <w:rPr>
          <w:spacing w:val="-2"/>
        </w:rPr>
        <w:t>本公司在合并财务报表中，视同参与合并的各方在最终控制方开始控制时即以目前的状态存在进行调整，在编制合并财</w:t>
      </w:r>
      <w:r>
        <w:rPr/>
        <w:t> </w:t>
      </w:r>
      <w:r>
        <w:rPr>
          <w:spacing w:val="-2"/>
        </w:rPr>
        <w:t>务报表时，以不早于合并方和被合并方处于最终控制方的控制之下的时点为限，将被合并方的有关资产、负债并入合并方合</w:t>
      </w:r>
      <w:r>
        <w:rPr>
          <w:spacing w:val="-62"/>
        </w:rPr>
        <w:t> </w:t>
      </w:r>
      <w:r>
        <w:rPr>
          <w:spacing w:val="-62"/>
        </w:rPr>
      </w:r>
      <w:r>
        <w:rPr>
          <w:spacing w:val="-2"/>
        </w:rPr>
        <w:t>并财务报表的比较报表中，并将合并增加的净资产在比较报表中调整所有者权益项下的相关项目。因合并方的资本公积（资</w:t>
      </w:r>
      <w:r>
        <w:rPr>
          <w:spacing w:val="-62"/>
        </w:rPr>
        <w:t> </w:t>
      </w:r>
      <w:r>
        <w:rPr>
          <w:spacing w:val="-62"/>
        </w:rPr>
      </w:r>
      <w:r>
        <w:rPr>
          <w:spacing w:val="-2"/>
        </w:rPr>
        <w:t>本溢价或股本溢价）余额不足，被合并方在合并前实现的留存收益中归属于合并方的部分在合并财务报表中未予以全额恢复</w:t>
      </w:r>
      <w:r>
        <w:rPr>
          <w:spacing w:val="-63"/>
        </w:rPr>
        <w:t> </w:t>
      </w:r>
      <w:r>
        <w:rPr>
          <w:spacing w:val="-63"/>
        </w:rPr>
      </w:r>
      <w:r>
        <w:rPr>
          <w:spacing w:val="-2"/>
        </w:rPr>
        <w:t>的，本公司在报表附注中对这一情况进行说明，包括被合并方在合并前实现的留存收益金额、归属于本公司的金额及因资本</w:t>
      </w:r>
      <w:r>
        <w:rPr>
          <w:spacing w:val="-64"/>
        </w:rPr>
        <w:t> </w:t>
      </w:r>
      <w:r>
        <w:rPr>
          <w:spacing w:val="-64"/>
        </w:rPr>
      </w:r>
      <w:r>
        <w:rPr/>
        <w:t>公积余额不足在合并资产负债表中未转入留存收益的金额等。</w:t>
      </w:r>
      <w:r>
        <w:rPr>
          <w:rFonts w:ascii="宋体" w:hAnsi="宋体" w:cs="宋体" w:eastAsia="宋体" w:hint="default"/>
        </w:rPr>
        <w:t> </w:t>
      </w:r>
    </w:p>
    <w:p>
      <w:pPr>
        <w:pStyle w:val="BodyText"/>
        <w:spacing w:line="316" w:lineRule="auto" w:before="139"/>
        <w:ind w:right="1131" w:firstLine="360"/>
        <w:jc w:val="both"/>
        <w:rPr>
          <w:rFonts w:ascii="宋体" w:hAnsi="宋体" w:cs="宋体" w:eastAsia="宋体" w:hint="default"/>
        </w:rPr>
      </w:pPr>
      <w:r>
        <w:rPr>
          <w:spacing w:val="-2"/>
        </w:rPr>
        <w:t>合并方在取得被合并方控制权之前持有的股权投资且按权益法核算的，在取得原股权之日与合并方和被合并方同处于同</w:t>
      </w:r>
      <w:r>
        <w:rPr/>
        <w:t> </w:t>
      </w:r>
      <w:r>
        <w:rPr>
          <w:spacing w:val="-2"/>
        </w:rPr>
        <w:t>一方最终控制之日孰晚日起至合并日之间已确认有关损益、其他综合收益以及其他所有者权益变动，应分别冲减比较报表期</w:t>
      </w:r>
      <w:r>
        <w:rPr>
          <w:spacing w:val="-63"/>
        </w:rPr>
        <w:t> </w:t>
      </w:r>
      <w:r>
        <w:rPr>
          <w:spacing w:val="-63"/>
        </w:rPr>
      </w:r>
      <w:r>
        <w:rPr/>
        <w:t>间的期初留存收益。</w:t>
      </w:r>
      <w:r>
        <w:rPr>
          <w:rFonts w:ascii="宋体" w:hAnsi="宋体" w:cs="宋体" w:eastAsia="宋体" w:hint="default"/>
        </w:rPr>
        <w:t> </w:t>
      </w:r>
    </w:p>
    <w:p>
      <w:pPr>
        <w:pStyle w:val="BodyText"/>
        <w:spacing w:line="240" w:lineRule="auto" w:before="139"/>
        <w:ind w:left="473" w:right="977"/>
        <w:jc w:val="left"/>
        <w:rPr>
          <w:rFonts w:ascii="宋体" w:hAnsi="宋体" w:cs="宋体" w:eastAsia="宋体" w:hint="default"/>
        </w:rPr>
      </w:pPr>
      <w:r>
        <w:rPr>
          <w:rFonts w:ascii="宋体" w:hAnsi="宋体" w:cs="宋体" w:eastAsia="宋体" w:hint="default"/>
        </w:rPr>
        <w:t>B.</w:t>
      </w:r>
      <w:r>
        <w:rPr/>
        <w:t>通过多次交易分步实现非同一控制下企业合并</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034" w:firstLine="360"/>
        <w:jc w:val="left"/>
        <w:rPr>
          <w:rFonts w:ascii="宋体" w:hAnsi="宋体" w:cs="宋体" w:eastAsia="宋体" w:hint="default"/>
        </w:rPr>
      </w:pPr>
      <w:r>
        <w:rPr>
          <w:spacing w:val="-2"/>
        </w:rPr>
        <w:t>属于“一揽子交易”的，本公司将各项交易作为一项取得子公司控制权的交易进行处理。在个别财务报表中，在合并日</w:t>
      </w:r>
      <w:r>
        <w:rPr/>
        <w:t> </w:t>
      </w:r>
      <w:r>
        <w:rPr>
          <w:spacing w:val="-2"/>
        </w:rPr>
        <w:t>之前的每次交易中，股权投资均确认为长期股权投资且其初始投资成本按照所支付对价的公允价值确定。在后续计量时，长</w:t>
      </w:r>
      <w:r>
        <w:rPr>
          <w:spacing w:val="-63"/>
        </w:rPr>
        <w:t> </w:t>
      </w:r>
      <w:r>
        <w:rPr>
          <w:spacing w:val="-63"/>
        </w:rPr>
      </w:r>
      <w:r>
        <w:rPr>
          <w:spacing w:val="-2"/>
        </w:rPr>
        <w:t>期股权投资按照成本法核算，但不涉及合并财务报表编制问题。在合并日，在个别财务报表中，按照原持有的长期股权投资</w:t>
      </w:r>
      <w:r>
        <w:rPr>
          <w:spacing w:val="-63"/>
        </w:rPr>
        <w:t> </w:t>
      </w:r>
      <w:r>
        <w:rPr>
          <w:spacing w:val="-63"/>
        </w:rPr>
      </w:r>
      <w:r>
        <w:rPr/>
        <w:t>的账面价值加上新增投资成本（进一步取得股份所支付对价的公允价值）之和，作为合并日长期股权投资的初始投资成本。</w:t>
      </w:r>
      <w:r>
        <w:rPr/>
        <w:t> </w:t>
      </w:r>
      <w:r>
        <w:rPr>
          <w:spacing w:val="-2"/>
        </w:rPr>
        <w:t>在合并财务报表中，初始投资成本与对子公司可辨认净资产公允价值所享有的份额进行抵销，差额确认为商誉或计入合并当</w:t>
      </w:r>
      <w:r>
        <w:rPr>
          <w:spacing w:val="-62"/>
        </w:rPr>
        <w:t> </w:t>
      </w:r>
      <w:r>
        <w:rPr>
          <w:spacing w:val="-62"/>
        </w:rPr>
      </w:r>
      <w:r>
        <w:rPr/>
        <w:t>期损益。</w:t>
      </w:r>
      <w:r>
        <w:rPr>
          <w:rFonts w:ascii="宋体" w:hAnsi="宋体" w:cs="宋体" w:eastAsia="宋体" w:hint="default"/>
        </w:rPr>
        <w:t> </w:t>
      </w:r>
    </w:p>
    <w:p>
      <w:pPr>
        <w:pStyle w:val="BodyText"/>
        <w:spacing w:line="316" w:lineRule="auto" w:before="139"/>
        <w:ind w:right="1128" w:firstLine="360"/>
        <w:jc w:val="both"/>
        <w:rPr>
          <w:rFonts w:ascii="宋体" w:hAnsi="宋体" w:cs="宋体" w:eastAsia="宋体" w:hint="default"/>
        </w:rPr>
      </w:pPr>
      <w:r>
        <w:rPr>
          <w:spacing w:val="-2"/>
        </w:rPr>
        <w:t>不属于“一揽子交易”的，在合并日之前的每次交易中，投资方所发生的每次交易按照所支付对价的公允价值确认为金</w:t>
      </w:r>
      <w:r>
        <w:rPr/>
        <w:t> </w:t>
      </w:r>
      <w:r>
        <w:rPr>
          <w:spacing w:val="-2"/>
        </w:rPr>
        <w:t>融资产（以公允价值计量且其变动计入当期损益的金融资产或可供出售金融资产）或按照权益法核算的长期股权投资。在合</w:t>
      </w:r>
      <w:r>
        <w:rPr>
          <w:spacing w:val="-61"/>
        </w:rPr>
        <w:t> </w:t>
      </w:r>
      <w:r>
        <w:rPr>
          <w:spacing w:val="-61"/>
        </w:rPr>
      </w:r>
      <w:r>
        <w:rPr>
          <w:spacing w:val="-2"/>
        </w:rPr>
        <w:t>并日，在个别财务报表中，按照原持有的股权投资（金融资产或按照权益法核算的长期股权投资）的账面价值加上新增投资</w:t>
      </w:r>
      <w:r>
        <w:rPr>
          <w:spacing w:val="-62"/>
        </w:rPr>
        <w:t> </w:t>
      </w:r>
      <w:r>
        <w:rPr>
          <w:spacing w:val="-62"/>
        </w:rPr>
      </w:r>
      <w:r>
        <w:rPr>
          <w:spacing w:val="-2"/>
        </w:rPr>
        <w:t>成本之和，作为改按成本法核算长期股权投资的初始成本。在合并财务报表中，对于购买日之前持有的被购买方的股权，按</w:t>
      </w:r>
      <w:r>
        <w:rPr>
          <w:spacing w:val="-63"/>
        </w:rPr>
        <w:t> </w:t>
      </w:r>
      <w:r>
        <w:rPr>
          <w:spacing w:val="-63"/>
        </w:rPr>
      </w:r>
      <w:r>
        <w:rPr>
          <w:spacing w:val="-2"/>
        </w:rPr>
        <w:t>照该股权在购买日的公允价值进行重新计量，公允价值与其账面价值的差额计入当期投资收益；购买日之前持有的被购买方</w:t>
      </w:r>
      <w:r>
        <w:rPr>
          <w:spacing w:val="-64"/>
        </w:rPr>
        <w:t> </w:t>
      </w:r>
      <w:r>
        <w:rPr>
          <w:spacing w:val="-64"/>
        </w:rPr>
      </w:r>
      <w:r>
        <w:rPr>
          <w:spacing w:val="-2"/>
        </w:rPr>
        <w:t>的股权涉及权益法核算下的其他综合收益等的，与其相关的其他综合收益等转为购买日所属当期收益，但由于被合并方重新</w:t>
      </w:r>
      <w:r>
        <w:rPr>
          <w:spacing w:val="-65"/>
        </w:rPr>
        <w:t> </w:t>
      </w:r>
      <w:r>
        <w:rPr>
          <w:spacing w:val="-65"/>
        </w:rPr>
      </w:r>
      <w:r>
        <w:rPr>
          <w:spacing w:val="-2"/>
        </w:rPr>
        <w:t>计量设定受益计划净资产或净负债变动而产生的其他综合收益除外。本公司在附注中披露其在购买日之前持有的被购买方的</w:t>
      </w:r>
      <w:r>
        <w:rPr>
          <w:spacing w:val="-63"/>
        </w:rPr>
        <w:t> </w:t>
      </w:r>
      <w:r>
        <w:rPr>
          <w:spacing w:val="-63"/>
        </w:rPr>
      </w:r>
      <w:r>
        <w:rPr/>
        <w:t>股权在购买日的公允价值、按照公允价值重新计量产生的相关利得或损失的金额。</w:t>
      </w:r>
      <w:r>
        <w:rPr>
          <w:rFonts w:ascii="宋体" w:hAnsi="宋体" w:cs="宋体" w:eastAsia="宋体" w:hint="default"/>
        </w:rPr>
        <w:t> </w:t>
      </w:r>
    </w:p>
    <w:p>
      <w:pPr>
        <w:pStyle w:val="BodyText"/>
        <w:spacing w:line="432" w:lineRule="exact" w:before="3"/>
        <w:ind w:left="473" w:right="977"/>
        <w:jc w:val="left"/>
      </w:pPr>
      <w:r>
        <w:rPr/>
        <w:t>③本公司处置对子公司长期股权投资但未丧失控制权</w:t>
      </w:r>
      <w:r>
        <w:rPr>
          <w:rFonts w:ascii="宋体" w:hAnsi="宋体" w:cs="宋体" w:eastAsia="宋体" w:hint="default"/>
        </w:rPr>
        <w:t> </w:t>
      </w:r>
      <w:r>
        <w:rPr>
          <w:spacing w:val="-2"/>
        </w:rPr>
        <w:t>母公司在不丧失控制权的情况下部分处置对子公司的长期股权投资，在合并财务报表中，处置价款与处置长期股权投资</w:t>
      </w:r>
    </w:p>
    <w:p>
      <w:pPr>
        <w:pStyle w:val="BodyText"/>
        <w:spacing w:line="316" w:lineRule="auto" w:before="15"/>
        <w:ind w:right="1131"/>
        <w:jc w:val="both"/>
        <w:rPr>
          <w:rFonts w:ascii="宋体" w:hAnsi="宋体" w:cs="宋体" w:eastAsia="宋体" w:hint="default"/>
        </w:rPr>
      </w:pPr>
      <w:r>
        <w:rPr>
          <w:spacing w:val="-2"/>
        </w:rPr>
        <w:t>相对应享有子公司自购买日或合并日开始持续计算的净资产份额之间的差额，调整资本公积（资本溢价或股本溢价），资本</w:t>
      </w:r>
      <w:r>
        <w:rPr>
          <w:spacing w:val="-65"/>
        </w:rPr>
        <w:t> </w:t>
      </w:r>
      <w:r>
        <w:rPr>
          <w:spacing w:val="-65"/>
        </w:rPr>
      </w:r>
      <w:r>
        <w:rPr/>
        <w:t>公积不足冲减的，调整留存收益。</w:t>
      </w:r>
      <w:r>
        <w:rPr>
          <w:rFonts w:ascii="宋体" w:hAnsi="宋体" w:cs="宋体" w:eastAsia="宋体" w:hint="default"/>
        </w:rPr>
        <w:t> </w:t>
      </w:r>
    </w:p>
    <w:p>
      <w:pPr>
        <w:pStyle w:val="BodyText"/>
        <w:spacing w:line="439" w:lineRule="auto" w:before="139"/>
        <w:ind w:left="473" w:right="5714"/>
        <w:jc w:val="left"/>
        <w:rPr>
          <w:rFonts w:ascii="宋体" w:hAnsi="宋体" w:cs="宋体" w:eastAsia="宋体" w:hint="default"/>
        </w:rPr>
      </w:pPr>
      <w:r>
        <w:rPr/>
        <w:t>④本公司处置对子公司长期股权投资且丧失控制权</w:t>
      </w:r>
      <w:r>
        <w:rPr>
          <w:rFonts w:ascii="宋体" w:hAnsi="宋体" w:cs="宋体" w:eastAsia="宋体" w:hint="default"/>
        </w:rPr>
        <w:t> A.</w:t>
      </w:r>
      <w:r>
        <w:rPr/>
        <w:t>一次交易处置</w:t>
      </w:r>
      <w:r>
        <w:rPr>
          <w:rFonts w:ascii="宋体" w:hAnsi="宋体" w:cs="宋体" w:eastAsia="宋体" w:hint="default"/>
        </w:rPr>
        <w:t> </w:t>
      </w:r>
    </w:p>
    <w:p>
      <w:pPr>
        <w:pStyle w:val="BodyText"/>
        <w:spacing w:line="319" w:lineRule="auto" w:before="47"/>
        <w:ind w:right="1129" w:firstLine="360"/>
        <w:jc w:val="both"/>
        <w:rPr>
          <w:rFonts w:ascii="宋体" w:hAnsi="宋体" w:cs="宋体" w:eastAsia="宋体" w:hint="default"/>
        </w:rPr>
      </w:pPr>
      <w:r>
        <w:rPr>
          <w:spacing w:val="-2"/>
        </w:rPr>
        <w:t>本公司因处置部分股权投资等原因丧失了对被投资方的控制权的，在编制合并财务报表时，对于剩余股权，按照其在丧</w:t>
      </w:r>
      <w:r>
        <w:rPr/>
        <w:t> </w:t>
      </w:r>
      <w:r>
        <w:rPr>
          <w:spacing w:val="-2"/>
        </w:rPr>
        <w:t>失控制权日的公允价值进行重新计量。处置股权取得的对价与剩余股权公允价值之和，减去按原持股比例计算应享有原有子</w:t>
      </w:r>
      <w:r>
        <w:rPr>
          <w:spacing w:val="-62"/>
        </w:rPr>
        <w:t> </w:t>
      </w:r>
      <w:r>
        <w:rPr>
          <w:spacing w:val="-62"/>
        </w:rPr>
      </w:r>
      <w:r>
        <w:rPr>
          <w:spacing w:val="-2"/>
        </w:rPr>
        <w:t>公司自购买日或合并日开始持续计算的净资产的份额之间的差额，计入丧失控制权当期的投资收益，同时冲减商誉（注：如</w:t>
      </w:r>
      <w:r>
        <w:rPr>
          <w:spacing w:val="-65"/>
        </w:rPr>
        <w:t> </w:t>
      </w:r>
      <w:r>
        <w:rPr>
          <w:spacing w:val="-65"/>
        </w:rPr>
      </w:r>
      <w:r>
        <w:rPr>
          <w:spacing w:val="-2"/>
        </w:rPr>
        <w:t>果原企业合并为非同一控制下的且存在商誉的）。与原有子公司股权投资相关的其他综合收益等，在丧失控制权时转为当期</w:t>
      </w:r>
      <w:r>
        <w:rPr>
          <w:spacing w:val="-64"/>
        </w:rPr>
        <w:t> </w:t>
      </w:r>
      <w:r>
        <w:rPr>
          <w:spacing w:val="-64"/>
        </w:rPr>
      </w:r>
      <w:r>
        <w:rPr/>
        <w:t>投资收益。</w:t>
      </w:r>
      <w:r>
        <w:rPr>
          <w:rFonts w:ascii="宋体" w:hAnsi="宋体" w:cs="宋体" w:eastAsia="宋体" w:hint="default"/>
        </w:rPr>
        <w:t> </w:t>
      </w:r>
    </w:p>
    <w:p>
      <w:pPr>
        <w:spacing w:after="0" w:line="319" w:lineRule="auto"/>
        <w:jc w:val="both"/>
        <w:rPr>
          <w:rFonts w:ascii="宋体" w:hAnsi="宋体" w:cs="宋体" w:eastAsia="宋体" w:hint="default"/>
        </w:rPr>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316" w:lineRule="auto" w:before="44"/>
        <w:ind w:right="977" w:firstLine="360"/>
        <w:jc w:val="left"/>
        <w:rPr>
          <w:rFonts w:ascii="宋体" w:hAnsi="宋体" w:cs="宋体" w:eastAsia="宋体" w:hint="default"/>
        </w:rPr>
      </w:pPr>
      <w:r>
        <w:rPr>
          <w:spacing w:val="-2"/>
        </w:rPr>
        <w:t>此外，与原子公司的股权投资相关的其他综合收益、其他所有者权益变动，在丧失控制权时转入当期损益，由于被投资</w:t>
      </w:r>
      <w:r>
        <w:rPr/>
        <w:t> 方重新计量设定受益计划净负债或净资产变动而产生的其他综合收益除外。</w:t>
      </w:r>
      <w:r>
        <w:rPr>
          <w:rFonts w:ascii="宋体" w:hAnsi="宋体" w:cs="宋体" w:eastAsia="宋体" w:hint="default"/>
        </w:rPr>
        <w:t> </w:t>
      </w:r>
    </w:p>
    <w:p>
      <w:pPr>
        <w:pStyle w:val="BodyText"/>
        <w:spacing w:line="240" w:lineRule="auto" w:before="139"/>
        <w:ind w:left="473" w:right="977"/>
        <w:jc w:val="left"/>
        <w:rPr>
          <w:rFonts w:ascii="宋体" w:hAnsi="宋体" w:cs="宋体" w:eastAsia="宋体" w:hint="default"/>
        </w:rPr>
      </w:pPr>
      <w:r>
        <w:rPr>
          <w:rFonts w:ascii="宋体" w:hAnsi="宋体" w:cs="宋体" w:eastAsia="宋体" w:hint="default"/>
        </w:rPr>
        <w:t>B.</w:t>
      </w:r>
      <w:r>
        <w:rPr/>
        <w:t>多次交易分步处置</w:t>
      </w:r>
      <w:r>
        <w:rPr>
          <w:rFonts w:ascii="宋体" w:hAnsi="宋体" w:cs="宋体" w:eastAsia="宋体" w:hint="default"/>
        </w:rPr>
        <w:t> </w:t>
      </w:r>
    </w:p>
    <w:p>
      <w:pPr>
        <w:pStyle w:val="BodyText"/>
        <w:spacing w:line="430" w:lineRule="atLeast" w:before="2"/>
        <w:ind w:left="473" w:right="977"/>
        <w:jc w:val="left"/>
      </w:pPr>
      <w:r>
        <w:rPr/>
        <w:t>在合并财务报表中，应首先判断分步交易是否属于“一揽子交易”。</w:t>
      </w:r>
      <w:r>
        <w:rPr>
          <w:rFonts w:ascii="宋体" w:hAnsi="宋体" w:cs="宋体" w:eastAsia="宋体" w:hint="default"/>
        </w:rPr>
        <w:t> </w:t>
      </w:r>
      <w:r>
        <w:rPr>
          <w:spacing w:val="-2"/>
        </w:rPr>
        <w:t>如果分步交易不属于“一揽子交易”的，则在丧失对子公司控制权之前的各项交易，应按照“母公司处置对子公司长期</w:t>
      </w:r>
    </w:p>
    <w:p>
      <w:pPr>
        <w:pStyle w:val="BodyText"/>
        <w:spacing w:line="240" w:lineRule="auto" w:before="76"/>
        <w:ind w:right="977"/>
        <w:jc w:val="left"/>
        <w:rPr>
          <w:rFonts w:ascii="宋体" w:hAnsi="宋体" w:cs="宋体" w:eastAsia="宋体" w:hint="default"/>
        </w:rPr>
      </w:pPr>
      <w:r>
        <w:rPr/>
        <w:t>股权投资但未丧失控制权”的有关规定处理。</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034" w:firstLine="360"/>
        <w:jc w:val="left"/>
        <w:rPr>
          <w:rFonts w:ascii="宋体" w:hAnsi="宋体" w:cs="宋体" w:eastAsia="宋体" w:hint="default"/>
        </w:rPr>
      </w:pPr>
      <w:r>
        <w:rPr/>
        <w:t>如果分步交易属于“一揽子交易”的，应当将各项交易作为一项处置子公司并丧失控制权的交易进行会计处理；其中， </w:t>
      </w:r>
      <w:r>
        <w:rPr>
          <w:spacing w:val="-2"/>
        </w:rPr>
        <w:t>对于丧失控制权之前每一次交易，处置价款与处置投资对应的享有该子公司净资产份额的差额，在合并财务报表中应当确认</w:t>
      </w:r>
      <w:r>
        <w:rPr>
          <w:spacing w:val="-65"/>
        </w:rPr>
        <w:t> </w:t>
      </w:r>
      <w:r>
        <w:rPr>
          <w:spacing w:val="-65"/>
        </w:rPr>
      </w:r>
      <w:r>
        <w:rPr/>
        <w:t>为其他综合收益，在丧失控制权时一并转入丧失控制权当期的损益。</w:t>
      </w:r>
      <w:r>
        <w:rPr>
          <w:rFonts w:ascii="宋体" w:hAnsi="宋体" w:cs="宋体" w:eastAsia="宋体" w:hint="default"/>
        </w:rPr>
        <w:t> </w:t>
      </w:r>
    </w:p>
    <w:p>
      <w:pPr>
        <w:pStyle w:val="BodyText"/>
        <w:spacing w:line="432" w:lineRule="exact" w:before="4"/>
        <w:ind w:left="473" w:right="977"/>
        <w:jc w:val="left"/>
      </w:pPr>
      <w:r>
        <w:rPr/>
        <w:t>⑤因子公司的少数股东增资而稀释母公司拥有的股权比例</w:t>
      </w:r>
      <w:r>
        <w:rPr>
          <w:rFonts w:ascii="宋体" w:hAnsi="宋体" w:cs="宋体" w:eastAsia="宋体" w:hint="default"/>
        </w:rPr>
        <w:t> </w:t>
      </w:r>
      <w:r>
        <w:rPr>
          <w:spacing w:val="-2"/>
        </w:rPr>
        <w:t>子公司的其他股东（少数股东）对子公司进行增资，由此稀释了母公司对子公司的股权比例。在合并财务报表中，按照</w:t>
      </w:r>
    </w:p>
    <w:p>
      <w:pPr>
        <w:pStyle w:val="BodyText"/>
        <w:spacing w:line="316" w:lineRule="auto" w:before="15"/>
        <w:ind w:right="1034"/>
        <w:jc w:val="left"/>
      </w:pPr>
      <w:r>
        <w:rPr>
          <w:spacing w:val="-2"/>
        </w:rPr>
        <w:t>增资前的母公司股权比例计算其在增资前子公司账面净资产中的份额，该份额与增资后按照母公司持股比例计算的在增资后</w:t>
      </w:r>
      <w:r>
        <w:rPr>
          <w:spacing w:val="-63"/>
        </w:rPr>
        <w:t> </w:t>
      </w:r>
      <w:r>
        <w:rPr>
          <w:spacing w:val="-63"/>
        </w:rPr>
      </w:r>
      <w:r>
        <w:rPr/>
        <w:t>子公司账面净资产份额之间的差额调整资本公积（资本溢价或股本溢价），资本公积（资本溢价或股本溢价）不足冲减的，</w:t>
      </w:r>
      <w:r>
        <w:rPr/>
        <w:t> 调整留存收益。</w:t>
      </w:r>
    </w:p>
    <w:p>
      <w:pPr>
        <w:spacing w:line="240" w:lineRule="auto" w:before="8"/>
        <w:rPr>
          <w:rFonts w:ascii="宋体" w:hAnsi="宋体" w:cs="宋体" w:eastAsia="宋体" w:hint="default"/>
          <w:sz w:val="22"/>
          <w:szCs w:val="22"/>
        </w:rPr>
      </w:pPr>
    </w:p>
    <w:p>
      <w:pPr>
        <w:pStyle w:val="Heading3"/>
        <w:spacing w:line="240" w:lineRule="auto"/>
        <w:ind w:right="977"/>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3" w:right="977"/>
        <w:jc w:val="left"/>
        <w:rPr>
          <w:rFonts w:ascii="宋体" w:hAnsi="宋体" w:cs="宋体" w:eastAsia="宋体" w:hint="default"/>
        </w:rPr>
      </w:pPr>
      <w:r>
        <w:rPr/>
        <w:t>合营安排，是指一项由两个或两个以上的参与方共同控制的安排。本公司合营安排分为共同经营和合营企业。</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41" w:lineRule="auto"/>
        <w:ind w:left="473" w:right="3554"/>
        <w:jc w:val="left"/>
        <w:rPr>
          <w:rFonts w:ascii="宋体" w:hAnsi="宋体" w:cs="宋体" w:eastAsia="宋体" w:hint="default"/>
        </w:rPr>
      </w:pPr>
      <w:r>
        <w:rPr/>
        <w:t>（</w:t>
      </w:r>
      <w:r>
        <w:rPr>
          <w:rFonts w:ascii="宋体" w:hAnsi="宋体" w:cs="宋体" w:eastAsia="宋体" w:hint="default"/>
        </w:rPr>
        <w:t>1</w:t>
      </w:r>
      <w:r>
        <w:rPr/>
        <w:t>）共同经营</w:t>
      </w:r>
      <w:r>
        <w:rPr>
          <w:rFonts w:ascii="宋体" w:hAnsi="宋体" w:cs="宋体" w:eastAsia="宋体" w:hint="default"/>
        </w:rPr>
        <w:t> </w:t>
      </w:r>
      <w:r>
        <w:rPr/>
        <w:t>共同经营是指本公司享有该安排相关资产且承担该安排相关负债的合营安排。</w:t>
      </w:r>
      <w:r>
        <w:rPr>
          <w:rFonts w:ascii="宋体" w:hAnsi="宋体" w:cs="宋体" w:eastAsia="宋体" w:hint="default"/>
        </w:rPr>
        <w:t> </w:t>
      </w:r>
    </w:p>
    <w:p>
      <w:pPr>
        <w:pStyle w:val="BodyText"/>
        <w:spacing w:line="240" w:lineRule="auto" w:before="45"/>
        <w:ind w:left="473" w:right="977"/>
        <w:jc w:val="left"/>
        <w:rPr>
          <w:rFonts w:ascii="宋体" w:hAnsi="宋体" w:cs="宋体" w:eastAsia="宋体" w:hint="default"/>
        </w:rPr>
      </w:pPr>
      <w:r>
        <w:rPr/>
        <w:t>本公司确认其与共同经营中利益份额相关的下列项目，并按照相关企业会计准则的规定进行会计处理：</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473" w:right="977"/>
        <w:jc w:val="left"/>
        <w:rPr>
          <w:rFonts w:ascii="宋体" w:hAnsi="宋体" w:cs="宋体" w:eastAsia="宋体" w:hint="default"/>
        </w:rPr>
      </w:pPr>
      <w:r>
        <w:rPr/>
        <w:t>①确认单独所持有的资产，以及按其份额确认共同持有的资产；</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473" w:right="977"/>
        <w:jc w:val="left"/>
        <w:rPr>
          <w:rFonts w:ascii="宋体" w:hAnsi="宋体" w:cs="宋体" w:eastAsia="宋体" w:hint="default"/>
        </w:rPr>
      </w:pPr>
      <w:r>
        <w:rPr/>
        <w:t>②确认单独所承担的负债，以及按其份额确认共同承担的负债；</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473" w:right="977"/>
        <w:jc w:val="left"/>
        <w:rPr>
          <w:rFonts w:ascii="宋体" w:hAnsi="宋体" w:cs="宋体" w:eastAsia="宋体" w:hint="default"/>
        </w:rPr>
      </w:pPr>
      <w:r>
        <w:rPr/>
        <w:t>③确认出售其享有的共同经营产出份额所产生的收入；</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473" w:right="977"/>
        <w:jc w:val="left"/>
        <w:rPr>
          <w:rFonts w:ascii="宋体" w:hAnsi="宋体" w:cs="宋体" w:eastAsia="宋体" w:hint="default"/>
        </w:rPr>
      </w:pPr>
      <w:r>
        <w:rPr/>
        <w:t>④按其份额确认共同经营因出售产出所产生的收入；</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473" w:right="977"/>
        <w:jc w:val="left"/>
        <w:rPr>
          <w:rFonts w:ascii="宋体" w:hAnsi="宋体" w:cs="宋体" w:eastAsia="宋体" w:hint="default"/>
        </w:rPr>
      </w:pPr>
      <w:r>
        <w:rPr/>
        <w:t>⑤确认单独所发生的费用，以及按其份额确认共同经营发生的费用。</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41" w:lineRule="auto"/>
        <w:ind w:left="473" w:right="4994"/>
        <w:jc w:val="left"/>
        <w:rPr>
          <w:rFonts w:ascii="宋体" w:hAnsi="宋体" w:cs="宋体" w:eastAsia="宋体" w:hint="default"/>
        </w:rPr>
      </w:pPr>
      <w:r>
        <w:rPr/>
        <w:t>（</w:t>
      </w:r>
      <w:r>
        <w:rPr>
          <w:rFonts w:ascii="宋体" w:hAnsi="宋体" w:cs="宋体" w:eastAsia="宋体" w:hint="default"/>
        </w:rPr>
        <w:t>2</w:t>
      </w:r>
      <w:r>
        <w:rPr/>
        <w:t>）合营企业</w:t>
      </w:r>
      <w:r>
        <w:rPr>
          <w:rFonts w:ascii="宋体" w:hAnsi="宋体" w:cs="宋体" w:eastAsia="宋体" w:hint="default"/>
        </w:rPr>
        <w:t> </w:t>
      </w:r>
      <w:r>
        <w:rPr/>
        <w:t>合营企业是指本公司仅对该安排的净资产享有权利的合营安排。</w:t>
      </w:r>
      <w:r>
        <w:rPr>
          <w:rFonts w:ascii="宋体" w:hAnsi="宋体" w:cs="宋体" w:eastAsia="宋体" w:hint="default"/>
        </w:rPr>
        <w:t> </w:t>
      </w:r>
    </w:p>
    <w:p>
      <w:pPr>
        <w:pStyle w:val="BodyText"/>
        <w:spacing w:line="240" w:lineRule="auto" w:before="45"/>
        <w:ind w:left="473" w:right="977"/>
        <w:jc w:val="left"/>
        <w:rPr>
          <w:rFonts w:ascii="宋体" w:hAnsi="宋体" w:cs="宋体" w:eastAsia="宋体" w:hint="default"/>
        </w:rPr>
      </w:pPr>
      <w:r>
        <w:rPr/>
        <w:t>本公司按照长期股权投资有关权益法核算的规定对合营企业的投资进行会计处理。</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firstLine="360"/>
        <w:jc w:val="left"/>
        <w:rPr>
          <w:rFonts w:ascii="宋体" w:hAnsi="宋体" w:cs="宋体" w:eastAsia="宋体" w:hint="default"/>
        </w:rPr>
      </w:pPr>
      <w:r>
        <w:rPr/>
        <w:t>现金指企业库存现金及可以随时用于支付的存款。现金等价物指持有的期限短（一般是指从购买日起三个月内到期）、 流动性强、易于转换为已知金额现金、价值变动风险很小的投资。</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3"/>
        <w:spacing w:line="240" w:lineRule="auto"/>
        <w:ind w:right="977"/>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3" w:right="977"/>
        <w:jc w:val="left"/>
        <w:rPr>
          <w:rFonts w:ascii="宋体" w:hAnsi="宋体" w:cs="宋体" w:eastAsia="宋体" w:hint="default"/>
        </w:rPr>
      </w:pPr>
      <w:r>
        <w:rPr/>
        <w:t>（</w:t>
      </w:r>
      <w:r>
        <w:rPr>
          <w:rFonts w:ascii="宋体" w:hAnsi="宋体" w:cs="宋体" w:eastAsia="宋体" w:hint="default"/>
        </w:rPr>
        <w:t>1</w:t>
      </w:r>
      <w:r>
        <w:rPr/>
        <w:t>）外币交易时折算汇率的确定方法</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240" w:lineRule="auto" w:before="44"/>
        <w:ind w:left="473" w:right="977"/>
        <w:jc w:val="left"/>
        <w:rPr>
          <w:rFonts w:ascii="宋体" w:hAnsi="宋体" w:cs="宋体" w:eastAsia="宋体" w:hint="default"/>
        </w:rPr>
      </w:pPr>
      <w:r>
        <w:rPr/>
        <w:t>本公司外币交易初始确认时采用交易发生日的即期汇率折算为记账本位币。</w:t>
      </w:r>
      <w:r>
        <w:rPr>
          <w:rFonts w:ascii="宋体" w:hAnsi="宋体" w:cs="宋体" w:eastAsia="宋体" w:hint="default"/>
        </w:rPr>
        <w:t> </w:t>
      </w:r>
    </w:p>
    <w:p>
      <w:pPr>
        <w:pStyle w:val="BodyText"/>
        <w:spacing w:line="430" w:lineRule="atLeast" w:before="2"/>
        <w:ind w:left="473" w:right="977"/>
        <w:jc w:val="left"/>
      </w:pPr>
      <w:r>
        <w:rPr/>
        <w:t>（</w:t>
      </w:r>
      <w:r>
        <w:rPr>
          <w:rFonts w:ascii="宋体" w:hAnsi="宋体" w:cs="宋体" w:eastAsia="宋体" w:hint="default"/>
        </w:rPr>
        <w:t>2</w:t>
      </w:r>
      <w:r>
        <w:rPr/>
        <w:t>）资产负债表日外币货币性项目的折算方法</w:t>
      </w:r>
      <w:r>
        <w:rPr>
          <w:rFonts w:ascii="宋体" w:hAnsi="宋体" w:cs="宋体" w:eastAsia="宋体" w:hint="default"/>
        </w:rPr>
        <w:t> </w:t>
      </w:r>
      <w:r>
        <w:rPr>
          <w:spacing w:val="-2"/>
        </w:rPr>
        <w:t>在资产负债表日，对于外币货币性项目，采用资产负债表日的即期汇率折算。因资产负债表日即期汇率与初始确认时或</w:t>
      </w:r>
    </w:p>
    <w:p>
      <w:pPr>
        <w:pStyle w:val="BodyText"/>
        <w:spacing w:line="240" w:lineRule="auto" w:before="76"/>
        <w:ind w:right="0"/>
        <w:jc w:val="both"/>
        <w:rPr>
          <w:rFonts w:ascii="宋体" w:hAnsi="宋体" w:cs="宋体" w:eastAsia="宋体" w:hint="default"/>
        </w:rPr>
      </w:pPr>
      <w:r>
        <w:rPr/>
        <w:t>前一资产负债表日即期汇率不同而产生的汇兑差额，计入当期损益。</w:t>
      </w:r>
      <w:r>
        <w:rPr>
          <w:rFonts w:ascii="宋体" w:hAnsi="宋体" w:cs="宋体" w:eastAsia="宋体" w:hint="default"/>
        </w:rPr>
        <w:t> </w:t>
      </w:r>
    </w:p>
    <w:p>
      <w:pPr>
        <w:pStyle w:val="BodyText"/>
        <w:spacing w:line="430" w:lineRule="atLeast" w:before="2"/>
        <w:ind w:left="473" w:right="1033"/>
        <w:jc w:val="left"/>
      </w:pPr>
      <w:r>
        <w:rPr/>
        <w:t>（</w:t>
      </w:r>
      <w:r>
        <w:rPr>
          <w:rFonts w:ascii="宋体" w:hAnsi="宋体" w:cs="宋体" w:eastAsia="宋体" w:hint="default"/>
        </w:rPr>
        <w:t>3</w:t>
      </w:r>
      <w:r>
        <w:rPr/>
        <w:t>）外币报表折算方法</w:t>
      </w:r>
      <w:r>
        <w:rPr>
          <w:rFonts w:ascii="宋体" w:hAnsi="宋体" w:cs="宋体" w:eastAsia="宋体" w:hint="default"/>
        </w:rPr>
        <w:t> </w:t>
      </w:r>
      <w:r>
        <w:rPr/>
        <w:t>对企业境外经营财务报表进行折算前先调整境外经营的会计期间和会计政策，使之与企业会计期间和会计政策相一致，</w:t>
      </w:r>
    </w:p>
    <w:p>
      <w:pPr>
        <w:pStyle w:val="BodyText"/>
        <w:spacing w:line="316" w:lineRule="auto" w:before="76"/>
        <w:ind w:right="1131"/>
        <w:jc w:val="both"/>
        <w:rPr>
          <w:rFonts w:ascii="宋体" w:hAnsi="宋体" w:cs="宋体" w:eastAsia="宋体" w:hint="default"/>
        </w:rPr>
      </w:pPr>
      <w:r>
        <w:rPr>
          <w:spacing w:val="-2"/>
        </w:rPr>
        <w:t>再根据调整后会计政策及会计期间编制相应货币（记账本位币以外的货币）的财务报表，再按照以下方法对境外经营财务报</w:t>
      </w:r>
      <w:r>
        <w:rPr>
          <w:spacing w:val="-64"/>
        </w:rPr>
        <w:t> </w:t>
      </w:r>
      <w:r>
        <w:rPr>
          <w:spacing w:val="-64"/>
        </w:rPr>
      </w:r>
      <w:r>
        <w:rPr/>
        <w:t>表进行折算：</w:t>
      </w:r>
      <w:r>
        <w:rPr>
          <w:rFonts w:ascii="宋体" w:hAnsi="宋体" w:cs="宋体" w:eastAsia="宋体" w:hint="default"/>
        </w:rPr>
        <w:t> </w:t>
      </w:r>
    </w:p>
    <w:p>
      <w:pPr>
        <w:pStyle w:val="BodyText"/>
        <w:spacing w:line="319" w:lineRule="auto" w:before="139"/>
        <w:ind w:right="977" w:firstLine="360"/>
        <w:jc w:val="left"/>
        <w:rPr>
          <w:rFonts w:ascii="宋体" w:hAnsi="宋体" w:cs="宋体" w:eastAsia="宋体" w:hint="default"/>
        </w:rPr>
      </w:pPr>
      <w:r>
        <w:rPr>
          <w:spacing w:val="-2"/>
        </w:rPr>
        <w:t>①资产负债表中的资产和负债项目，采用资产负债表日的即期汇率折算，所有者权益项目除“未分配利润”项目外，其</w:t>
      </w:r>
      <w:r>
        <w:rPr/>
        <w:t> 他项目采用发生时的即期汇率折算。</w:t>
      </w:r>
      <w:r>
        <w:rPr>
          <w:rFonts w:ascii="宋体" w:hAnsi="宋体" w:cs="宋体" w:eastAsia="宋体" w:hint="default"/>
        </w:rPr>
        <w:t> </w:t>
      </w:r>
    </w:p>
    <w:p>
      <w:pPr>
        <w:pStyle w:val="BodyText"/>
        <w:spacing w:line="240" w:lineRule="auto" w:before="137"/>
        <w:ind w:left="473" w:right="977"/>
        <w:jc w:val="left"/>
        <w:rPr>
          <w:rFonts w:ascii="宋体" w:hAnsi="宋体" w:cs="宋体" w:eastAsia="宋体" w:hint="default"/>
        </w:rPr>
      </w:pPr>
      <w:r>
        <w:rPr/>
        <w:t>②利润表中的收入和费用项目，采用交易发生日的即期汇率或即期汇率的近似汇率折算。</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977" w:firstLine="360"/>
        <w:jc w:val="left"/>
        <w:rPr>
          <w:rFonts w:ascii="宋体" w:hAnsi="宋体" w:cs="宋体" w:eastAsia="宋体" w:hint="default"/>
        </w:rPr>
      </w:pPr>
      <w:r>
        <w:rPr>
          <w:spacing w:val="-2"/>
        </w:rPr>
        <w:t>③产生的外币财务报表折算差额，在编制合并财务报表时，在合并资产负债表中所有者权益项目下单独列示“其他综合</w:t>
      </w:r>
      <w:r>
        <w:rPr/>
        <w:t> 收益”。</w:t>
      </w:r>
      <w:r>
        <w:rPr>
          <w:rFonts w:ascii="宋体" w:hAnsi="宋体" w:cs="宋体" w:eastAsia="宋体" w:hint="default"/>
        </w:rPr>
        <w:t> </w:t>
      </w:r>
    </w:p>
    <w:p>
      <w:pPr>
        <w:pStyle w:val="BodyText"/>
        <w:spacing w:line="316" w:lineRule="auto" w:before="139"/>
        <w:ind w:right="977" w:firstLine="360"/>
        <w:jc w:val="left"/>
        <w:rPr>
          <w:rFonts w:ascii="宋体" w:hAnsi="宋体" w:cs="宋体" w:eastAsia="宋体" w:hint="default"/>
        </w:rPr>
      </w:pPr>
      <w:r>
        <w:rPr>
          <w:spacing w:val="-2"/>
        </w:rPr>
        <w:t>④外币现金流量以及境外子公司的现金流量，采用现金流量发生日的即期汇率或即期汇率的近似汇率折算。汇率变动对</w:t>
      </w:r>
      <w:r>
        <w:rPr/>
        <w:t> 现金的影响额应当作为调节项目，在现金流量表中单独列报。</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3" w:right="977"/>
        <w:jc w:val="left"/>
        <w:rPr>
          <w:rFonts w:ascii="宋体" w:hAnsi="宋体" w:cs="宋体" w:eastAsia="宋体" w:hint="default"/>
        </w:rPr>
      </w:pPr>
      <w:r>
        <w:rPr/>
        <w:t>（</w:t>
      </w:r>
      <w:r>
        <w:rPr>
          <w:rFonts w:ascii="宋体" w:hAnsi="宋体" w:cs="宋体" w:eastAsia="宋体" w:hint="default"/>
        </w:rPr>
        <w:t>1</w:t>
      </w:r>
      <w:r>
        <w:rPr/>
        <w:t>）金融资产的分类</w:t>
      </w:r>
      <w:r>
        <w:rPr>
          <w:rFonts w:ascii="宋体" w:hAnsi="宋体" w:cs="宋体" w:eastAsia="宋体" w:hint="default"/>
        </w:rPr>
        <w:t> </w:t>
      </w:r>
    </w:p>
    <w:p>
      <w:pPr>
        <w:pStyle w:val="BodyText"/>
        <w:spacing w:line="430" w:lineRule="atLeast" w:before="2"/>
        <w:ind w:left="473" w:right="977"/>
        <w:jc w:val="left"/>
      </w:pPr>
      <w:r>
        <w:rPr/>
        <w:t>①以公允价值计量且其变动计入当期损益的金融资产</w:t>
      </w:r>
      <w:r>
        <w:rPr>
          <w:rFonts w:ascii="宋体" w:hAnsi="宋体" w:cs="宋体" w:eastAsia="宋体" w:hint="default"/>
        </w:rPr>
        <w:t> </w:t>
      </w:r>
      <w:r>
        <w:rPr>
          <w:spacing w:val="-2"/>
        </w:rPr>
        <w:t>包括交易性金融资产和直接指定为以公允价值计量且其变动计入当期损益的金融资产，前者主要是指本公司为了近期内</w:t>
      </w:r>
    </w:p>
    <w:p>
      <w:pPr>
        <w:pStyle w:val="BodyText"/>
        <w:spacing w:line="316" w:lineRule="auto" w:before="76"/>
        <w:ind w:right="1131"/>
        <w:jc w:val="both"/>
        <w:rPr>
          <w:rFonts w:ascii="宋体" w:hAnsi="宋体" w:cs="宋体" w:eastAsia="宋体" w:hint="default"/>
        </w:rPr>
      </w:pPr>
      <w:r>
        <w:rPr>
          <w:spacing w:val="-2"/>
        </w:rPr>
        <w:t>出售而持有的股票、债券、基金以及不作为有效套期工具的衍生工具投资。这类资产在初始计量时按照取得时的公允价值作</w:t>
      </w:r>
      <w:r>
        <w:rPr>
          <w:spacing w:val="-65"/>
        </w:rPr>
        <w:t> </w:t>
      </w:r>
      <w:r>
        <w:rPr>
          <w:spacing w:val="-65"/>
        </w:rPr>
      </w:r>
      <w:r>
        <w:rPr>
          <w:spacing w:val="-2"/>
        </w:rPr>
        <w:t>为初始确认金额，相关的交易费用在发生时计入当期损益。支付的价款中包含已宣告但尚未发放的现金股利或已到付息但尚</w:t>
      </w:r>
      <w:r>
        <w:rPr>
          <w:spacing w:val="-62"/>
        </w:rPr>
        <w:t> </w:t>
      </w:r>
      <w:r>
        <w:rPr>
          <w:spacing w:val="-62"/>
        </w:rPr>
      </w:r>
      <w:r>
        <w:rPr>
          <w:spacing w:val="-2"/>
        </w:rPr>
        <w:t>未领取的债券利息，单独确认为应收项目。在持有期间取得利息或现金股利，确认为投资收益。资产负债表日，本公司将这</w:t>
      </w:r>
      <w:r>
        <w:rPr>
          <w:spacing w:val="-68"/>
        </w:rPr>
        <w:t> </w:t>
      </w:r>
      <w:r>
        <w:rPr>
          <w:spacing w:val="-68"/>
        </w:rPr>
      </w:r>
      <w:r>
        <w:rPr>
          <w:spacing w:val="-2"/>
        </w:rPr>
        <w:t>类金融资产以公允价值计量且其变动计入当期损益。这类金融资产在处置时，其公允价值与初始入账金额之间的差额确认为</w:t>
      </w:r>
      <w:r>
        <w:rPr>
          <w:spacing w:val="-62"/>
        </w:rPr>
        <w:t> </w:t>
      </w:r>
      <w:r>
        <w:rPr>
          <w:spacing w:val="-62"/>
        </w:rPr>
      </w:r>
      <w:r>
        <w:rPr/>
        <w:t>投资收益，同时调整公允价值变动损益。</w:t>
      </w:r>
      <w:r>
        <w:rPr>
          <w:rFonts w:ascii="宋体" w:hAnsi="宋体" w:cs="宋体" w:eastAsia="宋体" w:hint="default"/>
        </w:rPr>
        <w:t> </w:t>
      </w:r>
    </w:p>
    <w:p>
      <w:pPr>
        <w:pStyle w:val="BodyText"/>
        <w:spacing w:line="432" w:lineRule="exact" w:before="3"/>
        <w:ind w:left="473" w:right="977"/>
        <w:jc w:val="left"/>
      </w:pPr>
      <w:r>
        <w:rPr/>
        <w:t>②持有至到期投资</w:t>
      </w:r>
      <w:r>
        <w:rPr>
          <w:rFonts w:ascii="宋体" w:hAnsi="宋体" w:cs="宋体" w:eastAsia="宋体" w:hint="default"/>
        </w:rPr>
        <w:t> </w:t>
      </w:r>
      <w:r>
        <w:rPr>
          <w:spacing w:val="-2"/>
        </w:rPr>
        <w:t>主要是指到期日固定、回收金额固定或可确定，且本公司具有明确意图和能力持有至到期的国债、公司债券等。这类金</w:t>
      </w:r>
    </w:p>
    <w:p>
      <w:pPr>
        <w:pStyle w:val="BodyText"/>
        <w:spacing w:line="316" w:lineRule="auto" w:before="16"/>
        <w:ind w:right="1131"/>
        <w:jc w:val="both"/>
        <w:rPr>
          <w:rFonts w:ascii="宋体" w:hAnsi="宋体" w:cs="宋体" w:eastAsia="宋体" w:hint="default"/>
        </w:rPr>
      </w:pPr>
      <w:r>
        <w:rPr/>
        <w:t>融资产按照取得时的公允价值和相关交易费用之和作为初始确认金额。支付价款中包含的已到付息期但尚未发放的债券利</w:t>
      </w:r>
      <w:r>
        <w:rPr>
          <w:spacing w:val="-4"/>
        </w:rPr>
        <w:t> </w:t>
      </w:r>
      <w:r>
        <w:rPr>
          <w:spacing w:val="-4"/>
        </w:rPr>
      </w:r>
      <w:r>
        <w:rPr>
          <w:spacing w:val="-2"/>
        </w:rPr>
        <w:t>息，单独确认为应收项目。持有至到期投资在持有期间按照摊余成本和实际利率计算确认利息收入，计入投资收益。处置持</w:t>
      </w:r>
      <w:r>
        <w:rPr>
          <w:spacing w:val="-65"/>
        </w:rPr>
        <w:t> </w:t>
      </w:r>
      <w:r>
        <w:rPr>
          <w:spacing w:val="-65"/>
        </w:rPr>
      </w:r>
      <w:r>
        <w:rPr/>
        <w:t>有至到期投资时，将所取得价款与该投资账面价值之间的差额计入投资收益。</w:t>
      </w:r>
      <w:r>
        <w:rPr>
          <w:rFonts w:ascii="宋体" w:hAnsi="宋体" w:cs="宋体" w:eastAsia="宋体" w:hint="default"/>
        </w:rPr>
        <w:t> </w:t>
      </w:r>
    </w:p>
    <w:p>
      <w:pPr>
        <w:pStyle w:val="BodyText"/>
        <w:spacing w:line="432" w:lineRule="exact" w:before="3"/>
        <w:ind w:left="473" w:right="977"/>
        <w:jc w:val="left"/>
      </w:pPr>
      <w:r>
        <w:rPr/>
        <w:t>③应收款项</w:t>
      </w:r>
      <w:r>
        <w:rPr>
          <w:rFonts w:ascii="宋体" w:hAnsi="宋体" w:cs="宋体" w:eastAsia="宋体" w:hint="default"/>
        </w:rPr>
        <w:t> </w:t>
      </w:r>
      <w:r>
        <w:rPr>
          <w:spacing w:val="-2"/>
        </w:rPr>
        <w:t>应收款项主要包括应收账款和其他应收款等。应收账款是指本公司销售商品或提供劳务形成的应收款项。应收账款按从</w:t>
      </w:r>
    </w:p>
    <w:p>
      <w:pPr>
        <w:pStyle w:val="BodyText"/>
        <w:spacing w:line="240" w:lineRule="auto" w:before="15"/>
        <w:ind w:right="0"/>
        <w:jc w:val="both"/>
        <w:rPr>
          <w:rFonts w:ascii="宋体" w:hAnsi="宋体" w:cs="宋体" w:eastAsia="宋体" w:hint="default"/>
        </w:rPr>
      </w:pPr>
      <w:r>
        <w:rPr/>
        <w:t>购货方应收的合同或协议价款作为初始确认金额。</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473" w:right="977"/>
        <w:jc w:val="left"/>
        <w:rPr>
          <w:rFonts w:ascii="宋体" w:hAnsi="宋体" w:cs="宋体" w:eastAsia="宋体" w:hint="default"/>
        </w:rPr>
      </w:pPr>
      <w:r>
        <w:rPr/>
        <w:t>④可供出售金融资产</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1" w:firstLine="360"/>
        <w:jc w:val="both"/>
      </w:pPr>
      <w:r>
        <w:rPr>
          <w:spacing w:val="-2"/>
        </w:rPr>
        <w:t>主要是指本公司没有划分为以公允价值计量且其变动计入当期损益的金融资产、持有至到期投资、贷款和应收款项的金</w:t>
      </w:r>
      <w:r>
        <w:rPr/>
        <w:t> </w:t>
      </w:r>
      <w:r>
        <w:rPr>
          <w:spacing w:val="-2"/>
        </w:rPr>
        <w:t>融资产。可供出售金融资产按照取得该金融资产的公允价值和相关交易费用之和作为初始确认金额。支付的价款中包含的已</w:t>
      </w:r>
      <w:r>
        <w:rPr>
          <w:spacing w:val="-64"/>
        </w:rPr>
        <w:t> </w:t>
      </w:r>
      <w:r>
        <w:rPr>
          <w:spacing w:val="-64"/>
        </w:rPr>
      </w:r>
      <w:r>
        <w:rPr>
          <w:spacing w:val="-2"/>
        </w:rPr>
        <w:t>到付息期但尚未领取的债券利息或已宣告但尚未发放的现金股利，单独确认为应收项目。可供出售金融资产持有期间取得的</w:t>
      </w:r>
    </w:p>
    <w:p>
      <w:pPr>
        <w:spacing w:after="0" w:line="316" w:lineRule="auto"/>
        <w:jc w:val="both"/>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240" w:lineRule="auto" w:before="44"/>
        <w:ind w:right="0"/>
        <w:jc w:val="both"/>
        <w:rPr>
          <w:rFonts w:ascii="宋体" w:hAnsi="宋体" w:cs="宋体" w:eastAsia="宋体" w:hint="default"/>
        </w:rPr>
      </w:pPr>
      <w:r>
        <w:rPr/>
        <w:t>利息或现金股利计入投资收益。</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29" w:firstLine="360"/>
        <w:jc w:val="both"/>
        <w:rPr>
          <w:rFonts w:ascii="宋体" w:hAnsi="宋体" w:cs="宋体" w:eastAsia="宋体" w:hint="default"/>
        </w:rPr>
      </w:pPr>
      <w:r>
        <w:rPr>
          <w:spacing w:val="-2"/>
        </w:rPr>
        <w:t>可供出售金融资产是外币货币性金融资产的，其形成的汇兑损益应当计入当期损益。采用实际利率法计算的可供出售债</w:t>
      </w:r>
      <w:r>
        <w:rPr/>
        <w:t> </w:t>
      </w:r>
      <w:r>
        <w:rPr>
          <w:spacing w:val="-2"/>
        </w:rPr>
        <w:t>务工具投资的利息，计入当期损益；可供出售权益工具投资的现金股利，在被投资单位宣告发放股利时计入当期损益。资产</w:t>
      </w:r>
      <w:r>
        <w:rPr>
          <w:spacing w:val="-66"/>
        </w:rPr>
        <w:t> </w:t>
      </w:r>
      <w:r>
        <w:rPr>
          <w:spacing w:val="-66"/>
        </w:rPr>
      </w:r>
      <w:r>
        <w:rPr>
          <w:spacing w:val="-2"/>
        </w:rPr>
        <w:t>负债表日，可供出售金融资产以公允价值计量，且其变动计入其他综合收益。处置可供出售金融资产时，将取得的价款与该</w:t>
      </w:r>
      <w:r>
        <w:rPr>
          <w:spacing w:val="-64"/>
        </w:rPr>
        <w:t> </w:t>
      </w:r>
      <w:r>
        <w:rPr>
          <w:spacing w:val="-64"/>
        </w:rPr>
      </w:r>
      <w:r>
        <w:rPr>
          <w:spacing w:val="-2"/>
        </w:rPr>
        <w:t>金融资产账面价值之间差额计入投资收益；同时，将原计入所有者权益的公允价值变动累计额对应处置部分的金额转出，计</w:t>
      </w:r>
      <w:r>
        <w:rPr>
          <w:spacing w:val="-65"/>
        </w:rPr>
        <w:t> </w:t>
      </w:r>
      <w:r>
        <w:rPr>
          <w:spacing w:val="-65"/>
        </w:rPr>
      </w:r>
      <w:r>
        <w:rPr/>
        <w:t>入投资收益。</w:t>
      </w:r>
      <w:r>
        <w:rPr>
          <w:rFonts w:ascii="宋体" w:hAnsi="宋体" w:cs="宋体" w:eastAsia="宋体" w:hint="default"/>
        </w:rPr>
        <w:t> </w:t>
      </w:r>
    </w:p>
    <w:p>
      <w:pPr>
        <w:pStyle w:val="BodyText"/>
        <w:spacing w:line="240" w:lineRule="auto" w:before="139"/>
        <w:ind w:left="473" w:right="977"/>
        <w:jc w:val="left"/>
        <w:rPr>
          <w:rFonts w:ascii="宋体" w:hAnsi="宋体" w:cs="宋体" w:eastAsia="宋体" w:hint="default"/>
        </w:rPr>
      </w:pPr>
      <w:r>
        <w:rPr/>
        <w:t>（</w:t>
      </w:r>
      <w:r>
        <w:rPr>
          <w:rFonts w:ascii="宋体" w:hAnsi="宋体" w:cs="宋体" w:eastAsia="宋体" w:hint="default"/>
        </w:rPr>
        <w:t>2</w:t>
      </w:r>
      <w:r>
        <w:rPr/>
        <w:t>）金融负债的分类</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28" w:firstLine="360"/>
        <w:jc w:val="both"/>
        <w:rPr>
          <w:rFonts w:ascii="宋体" w:hAnsi="宋体" w:cs="宋体" w:eastAsia="宋体" w:hint="default"/>
        </w:rPr>
      </w:pPr>
      <w:r>
        <w:rPr>
          <w:spacing w:val="-2"/>
        </w:rPr>
        <w:t>①以公允价值计量且其变动计入当期损益的金融负债，包括交易性金融负债和指定为以公允价值计量且其变动计入当期</w:t>
      </w:r>
      <w:r>
        <w:rPr/>
        <w:t> </w:t>
      </w:r>
      <w:r>
        <w:rPr>
          <w:spacing w:val="-2"/>
        </w:rPr>
        <w:t>损益的金融负债；这类金融负债初始确认时以公允价值计量，相关交易费用直接计入当期损益，资产负债表日将公允价值变</w:t>
      </w:r>
      <w:r>
        <w:rPr>
          <w:spacing w:val="-61"/>
        </w:rPr>
        <w:t> </w:t>
      </w:r>
      <w:r>
        <w:rPr>
          <w:spacing w:val="-61"/>
        </w:rPr>
      </w:r>
      <w:r>
        <w:rPr/>
        <w:t>动计入当期损益。</w:t>
      </w:r>
      <w:r>
        <w:rPr>
          <w:rFonts w:ascii="宋体" w:hAnsi="宋体" w:cs="宋体" w:eastAsia="宋体" w:hint="default"/>
        </w:rPr>
        <w:t> </w:t>
      </w:r>
    </w:p>
    <w:p>
      <w:pPr>
        <w:pStyle w:val="BodyText"/>
        <w:spacing w:line="240" w:lineRule="auto" w:before="139"/>
        <w:ind w:left="473" w:right="977"/>
        <w:jc w:val="left"/>
        <w:rPr>
          <w:rFonts w:ascii="宋体" w:hAnsi="宋体" w:cs="宋体" w:eastAsia="宋体" w:hint="default"/>
        </w:rPr>
      </w:pPr>
      <w:r>
        <w:rPr/>
        <w:t>②其他金融负债，是指以公允价值计量且其变动计入当期损益的金融负债以外的金融负债。</w:t>
      </w:r>
      <w:r>
        <w:rPr>
          <w:rFonts w:ascii="宋体" w:hAnsi="宋体" w:cs="宋体" w:eastAsia="宋体" w:hint="default"/>
        </w:rPr>
        <w:t> </w:t>
      </w:r>
    </w:p>
    <w:p>
      <w:pPr>
        <w:pStyle w:val="BodyText"/>
        <w:spacing w:line="430" w:lineRule="atLeast" w:before="2"/>
        <w:ind w:left="473" w:right="1033"/>
        <w:jc w:val="left"/>
      </w:pPr>
      <w:r>
        <w:rPr/>
        <w:t>（</w:t>
      </w:r>
      <w:r>
        <w:rPr>
          <w:rFonts w:ascii="宋体" w:hAnsi="宋体" w:cs="宋体" w:eastAsia="宋体" w:hint="default"/>
        </w:rPr>
        <w:t>3</w:t>
      </w:r>
      <w:r>
        <w:rPr/>
        <w:t>）金融资产的重分类</w:t>
      </w:r>
      <w:r>
        <w:rPr>
          <w:rFonts w:ascii="宋体" w:hAnsi="宋体" w:cs="宋体" w:eastAsia="宋体" w:hint="default"/>
        </w:rPr>
        <w:t> </w:t>
      </w:r>
      <w:r>
        <w:rPr/>
        <w:t>因持有意图或能力发生改变，使某项投资不再适合划分为持有至到期投资的，本公司将其重分类为可供出售金融资产，</w:t>
      </w:r>
    </w:p>
    <w:p>
      <w:pPr>
        <w:pStyle w:val="BodyText"/>
        <w:spacing w:line="316" w:lineRule="auto" w:before="76"/>
        <w:ind w:right="1129"/>
        <w:jc w:val="both"/>
        <w:rPr>
          <w:rFonts w:ascii="宋体" w:hAnsi="宋体" w:cs="宋体" w:eastAsia="宋体" w:hint="default"/>
        </w:rPr>
      </w:pPr>
      <w:r>
        <w:rPr>
          <w:spacing w:val="-2"/>
        </w:rPr>
        <w:t>并以公允价值进行后续计量。持有至到期投资部分出售或重分类的金额较大，且不属于《企业会计准则第</w:t>
      </w:r>
      <w:r>
        <w:rPr>
          <w:rFonts w:ascii="宋体" w:hAnsi="宋体" w:cs="宋体" w:eastAsia="宋体" w:hint="default"/>
          <w:spacing w:val="-2"/>
        </w:rPr>
        <w:t>22</w:t>
      </w:r>
      <w:r>
        <w:rPr>
          <w:spacing w:val="-2"/>
        </w:rPr>
        <w:t>号——金融工具</w:t>
      </w:r>
      <w:r>
        <w:rPr>
          <w:spacing w:val="-65"/>
        </w:rPr>
        <w:t> </w:t>
      </w:r>
      <w:r>
        <w:rPr>
          <w:spacing w:val="-65"/>
        </w:rPr>
      </w:r>
      <w:r>
        <w:rPr>
          <w:spacing w:val="-2"/>
        </w:rPr>
        <w:t>确认和计量》第十六条所指的例外情况，使该投资的剩余部分不再适合划分为持有至到期投资的，本公司应当将该投资的剩</w:t>
      </w:r>
      <w:r>
        <w:rPr>
          <w:spacing w:val="-62"/>
        </w:rPr>
        <w:t> </w:t>
      </w:r>
      <w:r>
        <w:rPr>
          <w:spacing w:val="-62"/>
        </w:rPr>
      </w:r>
      <w:r>
        <w:rPr>
          <w:spacing w:val="-2"/>
        </w:rPr>
        <w:t>余部分重分类为可供出售金融资产，并以公允价值进行后续计量，但在本会计年度及以后两个完整的会计年度内不再将该金</w:t>
      </w:r>
      <w:r>
        <w:rPr>
          <w:spacing w:val="-62"/>
        </w:rPr>
        <w:t> </w:t>
      </w:r>
      <w:r>
        <w:rPr>
          <w:spacing w:val="-62"/>
        </w:rPr>
      </w:r>
      <w:r>
        <w:rPr/>
        <w:t>融资产划分为持有至到期投资。</w:t>
      </w:r>
      <w:r>
        <w:rPr>
          <w:rFonts w:ascii="宋体" w:hAnsi="宋体" w:cs="宋体" w:eastAsia="宋体" w:hint="default"/>
        </w:rPr>
        <w:t> </w:t>
      </w:r>
    </w:p>
    <w:p>
      <w:pPr>
        <w:pStyle w:val="BodyText"/>
        <w:spacing w:line="316" w:lineRule="auto" w:before="139"/>
        <w:ind w:right="977" w:firstLine="360"/>
        <w:jc w:val="left"/>
        <w:rPr>
          <w:rFonts w:ascii="宋体" w:hAnsi="宋体" w:cs="宋体" w:eastAsia="宋体" w:hint="default"/>
        </w:rPr>
      </w:pPr>
      <w:r>
        <w:rPr>
          <w:spacing w:val="-2"/>
        </w:rPr>
        <w:t>重分类日，该投资的账面价值与公允价值之间的差额计入其他综合收益，在该可供出售金融资产发生减值或终止确认时</w:t>
      </w:r>
      <w:r>
        <w:rPr/>
        <w:t> 转出，计入当期损益。</w:t>
      </w:r>
      <w:r>
        <w:rPr>
          <w:rFonts w:ascii="宋体" w:hAnsi="宋体" w:cs="宋体" w:eastAsia="宋体" w:hint="default"/>
        </w:rPr>
        <w:t> </w:t>
      </w:r>
    </w:p>
    <w:p>
      <w:pPr>
        <w:pStyle w:val="BodyText"/>
        <w:spacing w:line="439" w:lineRule="auto" w:before="139"/>
        <w:ind w:left="473" w:right="4994"/>
        <w:jc w:val="left"/>
        <w:rPr>
          <w:rFonts w:ascii="宋体" w:hAnsi="宋体" w:cs="宋体" w:eastAsia="宋体" w:hint="default"/>
        </w:rPr>
      </w:pPr>
      <w:r>
        <w:rPr/>
        <w:t>（</w:t>
      </w:r>
      <w:r>
        <w:rPr>
          <w:rFonts w:ascii="宋体" w:hAnsi="宋体" w:cs="宋体" w:eastAsia="宋体" w:hint="default"/>
        </w:rPr>
        <w:t>4</w:t>
      </w:r>
      <w:r>
        <w:rPr/>
        <w:t>）金融负债与权益工具的区分</w:t>
      </w:r>
      <w:r>
        <w:rPr>
          <w:rFonts w:ascii="宋体" w:hAnsi="宋体" w:cs="宋体" w:eastAsia="宋体" w:hint="default"/>
        </w:rPr>
        <w:t> </w:t>
      </w:r>
      <w:r>
        <w:rPr/>
        <w:t>除特殊情况外，金融负债与权益工具按照下列原则进行区分：</w:t>
      </w:r>
      <w:r>
        <w:rPr>
          <w:rFonts w:ascii="宋体" w:hAnsi="宋体" w:cs="宋体" w:eastAsia="宋体" w:hint="default"/>
        </w:rPr>
        <w:t> </w:t>
      </w:r>
    </w:p>
    <w:p>
      <w:pPr>
        <w:pStyle w:val="BodyText"/>
        <w:spacing w:line="316" w:lineRule="auto" w:before="47"/>
        <w:ind w:right="1034" w:firstLine="360"/>
        <w:jc w:val="left"/>
        <w:rPr>
          <w:rFonts w:ascii="宋体" w:hAnsi="宋体" w:cs="宋体" w:eastAsia="宋体" w:hint="default"/>
        </w:rPr>
      </w:pPr>
      <w:r>
        <w:rPr/>
        <w:t>①如果本公司不能无条件地避免以交付现金或其他金融资产来履行一项合同义务，则该合同义务符合金融负债的定义。 </w:t>
      </w:r>
      <w:r>
        <w:rPr>
          <w:spacing w:val="-2"/>
        </w:rPr>
        <w:t>有些金融工具虽然没有明确地包含交付现金或其他金融资产义务的条款和条件，但有可能通过其他条款和条件间接地形成合</w:t>
      </w:r>
      <w:r>
        <w:rPr>
          <w:spacing w:val="-63"/>
        </w:rPr>
        <w:t> </w:t>
      </w:r>
      <w:r>
        <w:rPr>
          <w:spacing w:val="-63"/>
        </w:rPr>
      </w:r>
      <w:r>
        <w:rPr/>
        <w:t>同义务。</w:t>
      </w:r>
      <w:r>
        <w:rPr>
          <w:rFonts w:ascii="宋体" w:hAnsi="宋体" w:cs="宋体" w:eastAsia="宋体" w:hint="default"/>
        </w:rPr>
        <w:t> </w:t>
      </w:r>
    </w:p>
    <w:p>
      <w:pPr>
        <w:pStyle w:val="BodyText"/>
        <w:spacing w:line="319" w:lineRule="auto" w:before="139"/>
        <w:ind w:right="977" w:firstLine="360"/>
        <w:jc w:val="left"/>
        <w:rPr>
          <w:rFonts w:ascii="宋体" w:hAnsi="宋体" w:cs="宋体" w:eastAsia="宋体" w:hint="default"/>
        </w:rPr>
      </w:pPr>
      <w:r>
        <w:rPr>
          <w:spacing w:val="-2"/>
        </w:rPr>
        <w:t>②如果一项金融工具须用或可用本公司自身权益工具进行结算，需要考虑用于结算该工具的本公司自身权益工具，是作</w:t>
      </w:r>
      <w:r>
        <w:rPr/>
        <w:t> </w:t>
      </w:r>
      <w:r>
        <w:rPr>
          <w:spacing w:val="-4"/>
        </w:rPr>
        <w:t>为现金或其他金融资产的替代品，还是为了使该工具持有方享有在发行方扣除所有负债后的资产中的剩余权益。如果是前者，</w:t>
      </w:r>
      <w:r>
        <w:rPr>
          <w:spacing w:val="-44"/>
        </w:rPr>
        <w:t> </w:t>
      </w:r>
      <w:r>
        <w:rPr>
          <w:spacing w:val="-44"/>
        </w:rPr>
      </w:r>
      <w:r>
        <w:rPr>
          <w:spacing w:val="-2"/>
        </w:rPr>
        <w:t>该工具是发行方的金融负债；如果是后者，该工具是发行方的权益工具。在某些情况下，一项金融工具合同规定本公司须用</w:t>
      </w:r>
      <w:r>
        <w:rPr>
          <w:spacing w:val="-64"/>
        </w:rPr>
        <w:t> </w:t>
      </w:r>
      <w:r>
        <w:rPr>
          <w:spacing w:val="-64"/>
        </w:rPr>
      </w:r>
      <w:r>
        <w:rPr>
          <w:spacing w:val="-2"/>
        </w:rPr>
        <w:t>或可用自身权益工具结算该金融工具，其中合同权利或合同义务的金额等于可获取或需交付的自身权益工具的数量乘以其结</w:t>
      </w:r>
      <w:r>
        <w:rPr>
          <w:spacing w:val="-63"/>
        </w:rPr>
        <w:t> </w:t>
      </w:r>
      <w:r>
        <w:rPr>
          <w:spacing w:val="-63"/>
        </w:rPr>
      </w:r>
      <w:r>
        <w:rPr>
          <w:spacing w:val="-2"/>
        </w:rPr>
        <w:t>算时的公允价值，则无论该合同权利或合同义务的金额是固定的，还是完全或部分地基于除本公司自身权益工具的市场价格</w:t>
      </w:r>
      <w:r>
        <w:rPr>
          <w:spacing w:val="-63"/>
        </w:rPr>
        <w:t> </w:t>
      </w:r>
      <w:r>
        <w:rPr>
          <w:spacing w:val="-63"/>
        </w:rPr>
      </w:r>
      <w:r>
        <w:rPr/>
        <w:t>以外变量（例如利率、某种商品的价格或某项金融工具的价格）的变动而变动，该合同分类为金融负债。</w:t>
      </w:r>
      <w:r>
        <w:rPr>
          <w:rFonts w:ascii="宋体" w:hAnsi="宋体" w:cs="宋体" w:eastAsia="宋体" w:hint="default"/>
        </w:rPr>
        <w:t> </w:t>
      </w:r>
    </w:p>
    <w:p>
      <w:pPr>
        <w:pStyle w:val="BodyText"/>
        <w:spacing w:line="439" w:lineRule="auto" w:before="137"/>
        <w:ind w:left="473" w:right="6000"/>
        <w:jc w:val="left"/>
        <w:rPr>
          <w:rFonts w:ascii="宋体" w:hAnsi="宋体" w:cs="宋体" w:eastAsia="宋体" w:hint="default"/>
        </w:rPr>
      </w:pPr>
      <w:r>
        <w:rPr/>
        <w:t>（</w:t>
      </w:r>
      <w:r>
        <w:rPr>
          <w:rFonts w:ascii="宋体" w:hAnsi="宋体" w:cs="宋体" w:eastAsia="宋体" w:hint="default"/>
        </w:rPr>
        <w:t>5</w:t>
      </w:r>
      <w:r>
        <w:rPr/>
        <w:t>）金融资产转移</w:t>
      </w:r>
      <w:r>
        <w:rPr>
          <w:rFonts w:ascii="宋体" w:hAnsi="宋体" w:cs="宋体" w:eastAsia="宋体" w:hint="default"/>
        </w:rPr>
        <w:t> </w:t>
      </w:r>
      <w:r>
        <w:rPr>
          <w:rFonts w:ascii="宋体" w:hAnsi="宋体" w:cs="宋体" w:eastAsia="宋体" w:hint="default"/>
        </w:rPr>
        <w:t>  </w:t>
      </w:r>
      <w:r>
        <w:rPr/>
        <w:t>金融资产转移是指下列两种情形：</w:t>
      </w:r>
      <w:r>
        <w:rPr>
          <w:rFonts w:ascii="宋体" w:hAnsi="宋体" w:cs="宋体" w:eastAsia="宋体" w:hint="default"/>
        </w:rPr>
        <w:t> A.</w:t>
      </w:r>
      <w:r>
        <w:rPr/>
        <w:t>将收取金融资产现金流量的合同权利转移给另一方；</w:t>
      </w:r>
      <w:r>
        <w:rPr>
          <w:rFonts w:ascii="宋体" w:hAnsi="宋体" w:cs="宋体" w:eastAsia="宋体" w:hint="default"/>
        </w:rPr>
        <w:t> </w:t>
      </w:r>
    </w:p>
    <w:p>
      <w:pPr>
        <w:pStyle w:val="BodyText"/>
        <w:spacing w:line="316" w:lineRule="auto" w:before="47"/>
        <w:ind w:right="977" w:firstLine="360"/>
        <w:jc w:val="left"/>
        <w:rPr>
          <w:rFonts w:ascii="宋体" w:hAnsi="宋体" w:cs="宋体" w:eastAsia="宋体" w:hint="default"/>
        </w:rPr>
      </w:pPr>
      <w:r>
        <w:rPr>
          <w:rFonts w:ascii="宋体" w:hAnsi="宋体" w:cs="宋体" w:eastAsia="宋体" w:hint="default"/>
          <w:spacing w:val="-2"/>
        </w:rPr>
        <w:t>B.</w:t>
      </w:r>
      <w:r>
        <w:rPr>
          <w:spacing w:val="-2"/>
        </w:rPr>
        <w:t>将金融资产整体或部分转移给另一方，但保留收取金融资产现金流量的合同权利，并承担将收取的现金流量支付给一</w:t>
      </w:r>
      <w:r>
        <w:rPr/>
        <w:t> 个或多个收款方的合同义务。</w:t>
      </w:r>
      <w:r>
        <w:rPr>
          <w:rFonts w:ascii="宋体" w:hAnsi="宋体" w:cs="宋体" w:eastAsia="宋体" w:hint="default"/>
        </w:rPr>
        <w:t> </w:t>
      </w:r>
    </w:p>
    <w:p>
      <w:pPr>
        <w:pStyle w:val="BodyText"/>
        <w:spacing w:line="432" w:lineRule="exact" w:before="3"/>
        <w:ind w:left="473" w:right="977"/>
        <w:jc w:val="left"/>
      </w:pPr>
      <w:r>
        <w:rPr/>
        <w:t>①终止确认所转移的金融资产</w:t>
      </w:r>
      <w:r>
        <w:rPr>
          <w:rFonts w:ascii="宋体" w:hAnsi="宋体" w:cs="宋体" w:eastAsia="宋体" w:hint="default"/>
        </w:rPr>
        <w:t> </w:t>
      </w:r>
      <w:r>
        <w:rPr>
          <w:spacing w:val="-2"/>
        </w:rPr>
        <w:t>已将金融资产所有权上几乎所有的风险和报酬转移给转入方的，或既没有转移也没有保留金融资产所有权上几乎所有的</w:t>
      </w:r>
    </w:p>
    <w:p>
      <w:pPr>
        <w:pStyle w:val="BodyText"/>
        <w:spacing w:line="240" w:lineRule="auto" w:before="15"/>
        <w:ind w:right="0"/>
        <w:jc w:val="both"/>
        <w:rPr>
          <w:rFonts w:ascii="宋体" w:hAnsi="宋体" w:cs="宋体" w:eastAsia="宋体" w:hint="default"/>
        </w:rPr>
      </w:pPr>
      <w:r>
        <w:rPr/>
        <w:t>风险和报酬的，但放弃了对该金融资产控制的，终止确认该金融资产。</w:t>
      </w:r>
      <w:r>
        <w:rPr>
          <w:rFonts w:ascii="宋体" w:hAnsi="宋体" w:cs="宋体" w:eastAsia="宋体" w:hint="default"/>
        </w:rPr>
        <w:t> </w:t>
      </w:r>
    </w:p>
    <w:p>
      <w:pPr>
        <w:spacing w:after="0" w:line="240" w:lineRule="auto"/>
        <w:jc w:val="both"/>
        <w:rPr>
          <w:rFonts w:ascii="宋体" w:hAnsi="宋体" w:cs="宋体" w:eastAsia="宋体" w:hint="default"/>
        </w:rPr>
        <w:sectPr>
          <w:footerReference w:type="default" r:id="rId25"/>
          <w:pgSz w:w="11910" w:h="16840"/>
          <w:pgMar w:footer="1013" w:header="910" w:top="1100" w:bottom="1200" w:left="1020" w:right="0"/>
        </w:sectPr>
      </w:pPr>
    </w:p>
    <w:p>
      <w:pPr>
        <w:spacing w:line="240" w:lineRule="auto" w:before="8"/>
        <w:rPr>
          <w:rFonts w:ascii="宋体" w:hAnsi="宋体" w:cs="宋体" w:eastAsia="宋体" w:hint="default"/>
          <w:sz w:val="22"/>
          <w:szCs w:val="22"/>
        </w:rPr>
      </w:pPr>
    </w:p>
    <w:p>
      <w:pPr>
        <w:pStyle w:val="BodyText"/>
        <w:spacing w:line="316" w:lineRule="auto" w:before="44"/>
        <w:ind w:right="1131" w:firstLine="360"/>
        <w:jc w:val="both"/>
        <w:rPr>
          <w:rFonts w:ascii="宋体" w:hAnsi="宋体" w:cs="宋体" w:eastAsia="宋体" w:hint="default"/>
        </w:rPr>
      </w:pPr>
      <w:r>
        <w:rPr>
          <w:spacing w:val="-2"/>
        </w:rPr>
        <w:t>在判断是否已放弃对所转移金融资产的控制时，注重转入方出售该金融资产的实际能力。转入方能够单独将转入的金融</w:t>
      </w:r>
      <w:r>
        <w:rPr/>
        <w:t> </w:t>
      </w:r>
      <w:r>
        <w:rPr>
          <w:spacing w:val="-2"/>
        </w:rPr>
        <w:t>资产整体出售给与其不存在关联方关系的第三方，且没有额外条件对此项出售加以限制的，表明企业已放弃对该金融资产的</w:t>
      </w:r>
      <w:r>
        <w:rPr>
          <w:spacing w:val="-63"/>
        </w:rPr>
        <w:t> </w:t>
      </w:r>
      <w:r>
        <w:rPr>
          <w:spacing w:val="-63"/>
        </w:rPr>
      </w:r>
      <w:r>
        <w:rPr/>
        <w:t>控制。</w:t>
      </w:r>
      <w:r>
        <w:rPr>
          <w:rFonts w:ascii="宋体" w:hAnsi="宋体" w:cs="宋体" w:eastAsia="宋体" w:hint="default"/>
        </w:rPr>
        <w:t> </w:t>
      </w:r>
    </w:p>
    <w:p>
      <w:pPr>
        <w:pStyle w:val="BodyText"/>
        <w:spacing w:line="439" w:lineRule="auto" w:before="139"/>
        <w:ind w:left="473" w:right="1845"/>
        <w:jc w:val="left"/>
        <w:rPr>
          <w:rFonts w:ascii="宋体" w:hAnsi="宋体" w:cs="宋体" w:eastAsia="宋体" w:hint="default"/>
        </w:rPr>
      </w:pPr>
      <w:r>
        <w:rPr/>
        <w:t>本公司在判断金融资产转移是否满足金融资产终止确认条件时，注重金融资产转移的实质。</w:t>
      </w:r>
      <w:r>
        <w:rPr>
          <w:rFonts w:ascii="宋体" w:hAnsi="宋体" w:cs="宋体" w:eastAsia="宋体" w:hint="default"/>
        </w:rPr>
        <w:t> </w:t>
      </w:r>
      <w:r>
        <w:rPr/>
        <w:t>金融资产整体转移满足终止确认条件的，将下列两项金额的差额计入当期损益：</w:t>
      </w:r>
      <w:r>
        <w:rPr>
          <w:rFonts w:ascii="宋体" w:hAnsi="宋体" w:cs="宋体" w:eastAsia="宋体" w:hint="default"/>
        </w:rPr>
        <w:t> A.</w:t>
      </w:r>
      <w:r>
        <w:rPr/>
        <w:t>所转移金融资产的账面价值；</w:t>
      </w:r>
      <w:r>
        <w:rPr>
          <w:rFonts w:ascii="宋体" w:hAnsi="宋体" w:cs="宋体" w:eastAsia="宋体" w:hint="default"/>
        </w:rPr>
        <w:t> </w:t>
      </w:r>
    </w:p>
    <w:p>
      <w:pPr>
        <w:pStyle w:val="BodyText"/>
        <w:spacing w:line="316" w:lineRule="auto" w:before="47"/>
        <w:ind w:right="1131" w:firstLine="360"/>
        <w:jc w:val="both"/>
        <w:rPr>
          <w:rFonts w:ascii="宋体" w:hAnsi="宋体" w:cs="宋体" w:eastAsia="宋体" w:hint="default"/>
        </w:rPr>
      </w:pPr>
      <w:r>
        <w:rPr>
          <w:rFonts w:ascii="宋体" w:hAnsi="宋体" w:cs="宋体" w:eastAsia="宋体" w:hint="default"/>
          <w:spacing w:val="-2"/>
        </w:rPr>
        <w:t>B.</w:t>
      </w:r>
      <w:r>
        <w:rPr>
          <w:spacing w:val="-2"/>
        </w:rPr>
        <w:t>因转移而收到的对价，与原直接计入所有者权益的公允价值变动累计额（涉及转移的金融资产为可供出售金融资产的</w:t>
      </w:r>
      <w:r>
        <w:rPr/>
        <w:t> 情形）之和。</w:t>
      </w:r>
      <w:r>
        <w:rPr>
          <w:rFonts w:ascii="宋体" w:hAnsi="宋体" w:cs="宋体" w:eastAsia="宋体" w:hint="default"/>
        </w:rPr>
        <w:t> </w:t>
      </w:r>
    </w:p>
    <w:p>
      <w:pPr>
        <w:pStyle w:val="BodyText"/>
        <w:spacing w:line="319" w:lineRule="auto" w:before="139"/>
        <w:ind w:right="1129" w:firstLine="360"/>
        <w:jc w:val="both"/>
        <w:rPr>
          <w:rFonts w:ascii="宋体" w:hAnsi="宋体" w:cs="宋体" w:eastAsia="宋体" w:hint="default"/>
        </w:rPr>
      </w:pPr>
      <w:r>
        <w:rPr>
          <w:spacing w:val="-2"/>
        </w:rPr>
        <w:t>金融资产部分转移满足终止确认条件的，将所转移金融资产整体的账面价值，在终止确认部分和未终止确认部分（在此</w:t>
      </w:r>
      <w:r>
        <w:rPr/>
        <w:t> </w:t>
      </w:r>
      <w:r>
        <w:rPr>
          <w:spacing w:val="-2"/>
        </w:rPr>
        <w:t>种情况下，所保留的服务资产视同未终止确认金融资产的一部分）之间，按照各自的相对公允价值进行分摊，并将下列两项</w:t>
      </w:r>
      <w:r>
        <w:rPr>
          <w:spacing w:val="-63"/>
        </w:rPr>
        <w:t> </w:t>
      </w:r>
      <w:r>
        <w:rPr>
          <w:spacing w:val="-63"/>
        </w:rPr>
      </w:r>
      <w:r>
        <w:rPr/>
        <w:t>金额的差额计入当期损益：</w:t>
      </w:r>
      <w:r>
        <w:rPr>
          <w:rFonts w:ascii="宋体" w:hAnsi="宋体" w:cs="宋体" w:eastAsia="宋体" w:hint="default"/>
        </w:rPr>
        <w:t> </w:t>
      </w:r>
    </w:p>
    <w:p>
      <w:pPr>
        <w:pStyle w:val="BodyText"/>
        <w:spacing w:line="432" w:lineRule="exact" w:before="1"/>
        <w:ind w:left="473" w:right="977"/>
        <w:jc w:val="left"/>
      </w:pPr>
      <w:r>
        <w:rPr>
          <w:rFonts w:ascii="宋体" w:hAnsi="宋体" w:cs="宋体" w:eastAsia="宋体" w:hint="default"/>
        </w:rPr>
        <w:t>A.</w:t>
      </w:r>
      <w:r>
        <w:rPr/>
        <w:t>终止确认部分的账面价值；</w:t>
      </w:r>
      <w:r>
        <w:rPr>
          <w:rFonts w:ascii="宋体" w:hAnsi="宋体" w:cs="宋体" w:eastAsia="宋体" w:hint="default"/>
        </w:rPr>
        <w:t> </w:t>
      </w:r>
      <w:r>
        <w:rPr>
          <w:rFonts w:ascii="宋体" w:hAnsi="宋体" w:cs="宋体" w:eastAsia="宋体" w:hint="default"/>
          <w:spacing w:val="-2"/>
        </w:rPr>
        <w:t>B.</w:t>
      </w:r>
      <w:r>
        <w:rPr>
          <w:spacing w:val="-2"/>
        </w:rPr>
        <w:t>终止确认部分的对价，与原直接计入所有者权益的公允价值变动累计额中对应终止确认部分的金额（涉及转移的金融</w:t>
      </w:r>
    </w:p>
    <w:p>
      <w:pPr>
        <w:pStyle w:val="BodyText"/>
        <w:spacing w:line="240" w:lineRule="auto" w:before="15"/>
        <w:ind w:right="977"/>
        <w:jc w:val="left"/>
        <w:rPr>
          <w:rFonts w:ascii="宋体" w:hAnsi="宋体" w:cs="宋体" w:eastAsia="宋体" w:hint="default"/>
        </w:rPr>
      </w:pPr>
      <w:r>
        <w:rPr/>
        <w:t>资产为可供出售金融资产的情形）之和。</w:t>
      </w:r>
      <w:r>
        <w:rPr>
          <w:rFonts w:ascii="宋体" w:hAnsi="宋体" w:cs="宋体" w:eastAsia="宋体" w:hint="default"/>
        </w:rPr>
        <w:t> </w:t>
      </w:r>
    </w:p>
    <w:p>
      <w:pPr>
        <w:pStyle w:val="BodyText"/>
        <w:spacing w:line="430" w:lineRule="atLeast" w:before="2"/>
        <w:ind w:left="473" w:right="977"/>
        <w:jc w:val="left"/>
      </w:pPr>
      <w:r>
        <w:rPr/>
        <w:t>②继续涉入所转移的金融资产</w:t>
      </w:r>
      <w:r>
        <w:rPr>
          <w:rFonts w:ascii="宋体" w:hAnsi="宋体" w:cs="宋体" w:eastAsia="宋体" w:hint="default"/>
        </w:rPr>
        <w:t> </w:t>
      </w:r>
      <w:r>
        <w:rPr>
          <w:spacing w:val="-2"/>
        </w:rPr>
        <w:t>既没有转移也没有保留金融资产所有权上几乎所有的风险和报酬的，且未放弃对该金融资产控制的，应当按照其继续涉</w:t>
      </w:r>
    </w:p>
    <w:p>
      <w:pPr>
        <w:pStyle w:val="BodyText"/>
        <w:spacing w:line="439" w:lineRule="auto" w:before="76"/>
        <w:ind w:left="473" w:right="977" w:hanging="361"/>
        <w:jc w:val="left"/>
        <w:rPr>
          <w:rFonts w:ascii="宋体" w:hAnsi="宋体" w:cs="宋体" w:eastAsia="宋体" w:hint="default"/>
        </w:rPr>
      </w:pPr>
      <w:r>
        <w:rPr/>
        <w:t>入所转移金融资产的程度确认有关金融资产，并相应确认有关负债。</w:t>
      </w:r>
      <w:r>
        <w:rPr>
          <w:rFonts w:ascii="宋体" w:hAnsi="宋体" w:cs="宋体" w:eastAsia="宋体" w:hint="default"/>
        </w:rPr>
        <w:t> </w:t>
      </w:r>
      <w:r>
        <w:rPr/>
        <w:t>继续涉入所转移金融资产的程度，是指该金融资产价值变动使企业面临的风险水平。</w:t>
      </w:r>
      <w:r>
        <w:rPr>
          <w:rFonts w:ascii="宋体" w:hAnsi="宋体" w:cs="宋体" w:eastAsia="宋体" w:hint="default"/>
        </w:rPr>
        <w:t> </w:t>
      </w:r>
    </w:p>
    <w:p>
      <w:pPr>
        <w:pStyle w:val="BodyText"/>
        <w:spacing w:line="240" w:lineRule="auto" w:before="47"/>
        <w:ind w:left="473" w:right="977"/>
        <w:jc w:val="left"/>
        <w:rPr>
          <w:rFonts w:ascii="宋体" w:hAnsi="宋体" w:cs="宋体" w:eastAsia="宋体" w:hint="default"/>
        </w:rPr>
      </w:pPr>
      <w:r>
        <w:rPr/>
        <w:t>③继续确认所转移的金融资产</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2" w:firstLine="360"/>
        <w:jc w:val="both"/>
        <w:rPr>
          <w:rFonts w:ascii="宋体" w:hAnsi="宋体" w:cs="宋体" w:eastAsia="宋体" w:hint="default"/>
        </w:rPr>
      </w:pPr>
      <w:r>
        <w:rPr>
          <w:spacing w:val="-2"/>
        </w:rPr>
        <w:t>仍保留与所转移金融资产所有权上几乎所有的风险和报酬的，应当继续确认所转移金融资产整体，并将收到的对价确认</w:t>
      </w:r>
      <w:r>
        <w:rPr/>
        <w:t> 为一项金融负债。</w:t>
      </w:r>
      <w:r>
        <w:rPr>
          <w:rFonts w:ascii="宋体" w:hAnsi="宋体" w:cs="宋体" w:eastAsia="宋体" w:hint="default"/>
        </w:rPr>
        <w:t> </w:t>
      </w:r>
    </w:p>
    <w:p>
      <w:pPr>
        <w:pStyle w:val="BodyText"/>
        <w:spacing w:line="316" w:lineRule="auto" w:before="139"/>
        <w:ind w:right="1131" w:firstLine="360"/>
        <w:jc w:val="both"/>
        <w:rPr>
          <w:rFonts w:ascii="宋体" w:hAnsi="宋体" w:cs="宋体" w:eastAsia="宋体" w:hint="default"/>
        </w:rPr>
      </w:pPr>
      <w:r>
        <w:rPr>
          <w:spacing w:val="-2"/>
        </w:rPr>
        <w:t>该金融资产与确认的相关金融负债不得相互抵销。在随后的会计期间，企业应当继续确认该金融资产产生的收入和该金</w:t>
      </w:r>
      <w:r>
        <w:rPr/>
        <w:t> </w:t>
      </w:r>
      <w:r>
        <w:rPr>
          <w:spacing w:val="-2"/>
        </w:rPr>
        <w:t>融负债产生的费用。所转移的金融资产以摊余成本计量的，确认的相关负债不得指定为以公允价值计量且其变动计入当期损</w:t>
      </w:r>
      <w:r>
        <w:rPr>
          <w:spacing w:val="-63"/>
        </w:rPr>
        <w:t> </w:t>
      </w:r>
      <w:r>
        <w:rPr>
          <w:spacing w:val="-63"/>
        </w:rPr>
      </w:r>
      <w:r>
        <w:rPr/>
        <w:t>益的金融负债。</w:t>
      </w:r>
      <w:r>
        <w:rPr>
          <w:rFonts w:ascii="宋体" w:hAnsi="宋体" w:cs="宋体" w:eastAsia="宋体" w:hint="default"/>
        </w:rPr>
        <w:t> </w:t>
      </w:r>
    </w:p>
    <w:p>
      <w:pPr>
        <w:pStyle w:val="BodyText"/>
        <w:spacing w:line="439" w:lineRule="auto" w:before="139"/>
        <w:ind w:left="473" w:right="2654"/>
        <w:jc w:val="left"/>
        <w:rPr>
          <w:rFonts w:ascii="宋体" w:hAnsi="宋体" w:cs="宋体" w:eastAsia="宋体" w:hint="default"/>
        </w:rPr>
      </w:pPr>
      <w:r>
        <w:rPr/>
        <w:t>（</w:t>
      </w:r>
      <w:r>
        <w:rPr>
          <w:rFonts w:ascii="宋体" w:hAnsi="宋体" w:cs="宋体" w:eastAsia="宋体" w:hint="default"/>
        </w:rPr>
        <w:t>6</w:t>
      </w:r>
      <w:r>
        <w:rPr/>
        <w:t>）金融负债终止确认</w:t>
      </w:r>
      <w:r>
        <w:rPr>
          <w:rFonts w:ascii="宋体" w:hAnsi="宋体" w:cs="宋体" w:eastAsia="宋体" w:hint="default"/>
        </w:rPr>
        <w:t> </w:t>
      </w:r>
      <w:r>
        <w:rPr/>
        <w:t>金融负债的现时义务全部或部分已经解除的，终止确认该金融负债或其一部分。</w:t>
      </w:r>
      <w:r>
        <w:rPr>
          <w:rFonts w:ascii="宋体" w:hAnsi="宋体" w:cs="宋体" w:eastAsia="宋体" w:hint="default"/>
        </w:rPr>
        <w:t> </w:t>
      </w:r>
    </w:p>
    <w:p>
      <w:pPr>
        <w:pStyle w:val="BodyText"/>
        <w:spacing w:line="316" w:lineRule="auto" w:before="47"/>
        <w:ind w:right="1128" w:firstLine="360"/>
        <w:jc w:val="both"/>
        <w:rPr>
          <w:rFonts w:ascii="宋体" w:hAnsi="宋体" w:cs="宋体" w:eastAsia="宋体" w:hint="default"/>
        </w:rPr>
      </w:pPr>
      <w:r>
        <w:rPr>
          <w:spacing w:val="-2"/>
        </w:rPr>
        <w:t>将用于偿付金融负债的资产转入某个机构或设立信托，偿付债务的现时义务仍存在的，不终止确认该金融负债，也不终</w:t>
      </w:r>
      <w:r>
        <w:rPr/>
        <w:t> 止确认转出的资产。</w:t>
      </w:r>
      <w:r>
        <w:rPr>
          <w:rFonts w:ascii="宋体" w:hAnsi="宋体" w:cs="宋体" w:eastAsia="宋体" w:hint="default"/>
        </w:rPr>
        <w:t> </w:t>
      </w:r>
    </w:p>
    <w:p>
      <w:pPr>
        <w:pStyle w:val="BodyText"/>
        <w:spacing w:line="316" w:lineRule="auto" w:before="139"/>
        <w:ind w:right="1131" w:firstLine="360"/>
        <w:jc w:val="both"/>
        <w:rPr>
          <w:rFonts w:ascii="宋体" w:hAnsi="宋体" w:cs="宋体" w:eastAsia="宋体" w:hint="default"/>
        </w:rPr>
      </w:pPr>
      <w:r>
        <w:rPr>
          <w:spacing w:val="-2"/>
        </w:rPr>
        <w:t>与债权人之间签订协议，以承担新金融负债方式替换现存金融负债，且新金融负债与现存金融负债的合同条款实质上不</w:t>
      </w:r>
      <w:r>
        <w:rPr/>
        <w:t> 同的，终止确认现存金融负债，并同时确认新金融负债。</w:t>
      </w:r>
      <w:r>
        <w:rPr>
          <w:rFonts w:ascii="宋体" w:hAnsi="宋体" w:cs="宋体" w:eastAsia="宋体" w:hint="default"/>
        </w:rPr>
        <w:t> </w:t>
      </w:r>
    </w:p>
    <w:p>
      <w:pPr>
        <w:pStyle w:val="BodyText"/>
        <w:spacing w:line="316" w:lineRule="auto" w:before="139"/>
        <w:ind w:right="1131" w:firstLine="360"/>
        <w:jc w:val="both"/>
        <w:rPr>
          <w:rFonts w:ascii="宋体" w:hAnsi="宋体" w:cs="宋体" w:eastAsia="宋体" w:hint="default"/>
        </w:rPr>
      </w:pPr>
      <w:r>
        <w:rPr>
          <w:spacing w:val="-2"/>
        </w:rPr>
        <w:t>对现存金融负债全部或部分的合同条款作出实质性修改的，终止确认现存金融负债或其一部分，同时将修改条款后的金</w:t>
      </w:r>
      <w:r>
        <w:rPr/>
        <w:t> 融负债确认为一项新金融负债。</w:t>
      </w:r>
      <w:r>
        <w:rPr>
          <w:rFonts w:ascii="宋体" w:hAnsi="宋体" w:cs="宋体" w:eastAsia="宋体" w:hint="default"/>
        </w:rPr>
        <w:t> </w:t>
      </w:r>
    </w:p>
    <w:p>
      <w:pPr>
        <w:pStyle w:val="BodyText"/>
        <w:spacing w:line="316" w:lineRule="auto" w:before="139"/>
        <w:ind w:right="1131" w:firstLine="360"/>
        <w:jc w:val="both"/>
        <w:rPr>
          <w:rFonts w:ascii="宋体" w:hAnsi="宋体" w:cs="宋体" w:eastAsia="宋体" w:hint="default"/>
        </w:rPr>
      </w:pPr>
      <w:r>
        <w:rPr>
          <w:spacing w:val="-2"/>
        </w:rPr>
        <w:t>金融负债全部或部分终止确认的，将终止确认部分的账面价值与支付的对价（包括转出的非现金资产或承担的新金融负</w:t>
      </w:r>
      <w:r>
        <w:rPr/>
        <w:t> 债）之间的差额，计入当期损益。</w:t>
      </w:r>
      <w:r>
        <w:rPr>
          <w:rFonts w:ascii="宋体" w:hAnsi="宋体" w:cs="宋体" w:eastAsia="宋体" w:hint="default"/>
        </w:rPr>
        <w:t> </w:t>
      </w:r>
    </w:p>
    <w:p>
      <w:pPr>
        <w:pStyle w:val="BodyText"/>
        <w:spacing w:line="441" w:lineRule="auto" w:before="139"/>
        <w:ind w:left="473" w:right="977"/>
        <w:jc w:val="left"/>
      </w:pPr>
      <w:r>
        <w:rPr/>
        <w:t>（</w:t>
      </w:r>
      <w:r>
        <w:rPr>
          <w:rFonts w:ascii="宋体" w:hAnsi="宋体" w:cs="宋体" w:eastAsia="宋体" w:hint="default"/>
        </w:rPr>
        <w:t>7</w:t>
      </w:r>
      <w:r>
        <w:rPr/>
        <w:t>）金融资产和金融负债的抵销</w:t>
      </w:r>
      <w:r>
        <w:rPr>
          <w:rFonts w:ascii="宋体" w:hAnsi="宋体" w:cs="宋体" w:eastAsia="宋体" w:hint="default"/>
        </w:rPr>
        <w:t> </w:t>
      </w:r>
      <w:r>
        <w:rPr>
          <w:spacing w:val="-2"/>
        </w:rPr>
        <w:t>金融资产和金融负债应当在资产负债表内分别列示，不得相互抵销。但同时满足下列条件的，以相互抵销后的净额在资</w:t>
      </w:r>
    </w:p>
    <w:p>
      <w:pPr>
        <w:spacing w:after="0" w:line="441" w:lineRule="auto"/>
        <w:jc w:val="left"/>
        <w:sectPr>
          <w:footerReference w:type="default" r:id="rId26"/>
          <w:pgSz w:w="11910" w:h="16840"/>
          <w:pgMar w:footer="1013" w:header="910" w:top="1100" w:bottom="1200" w:left="1020" w:right="0"/>
          <w:pgNumType w:start="101"/>
        </w:sectPr>
      </w:pPr>
    </w:p>
    <w:p>
      <w:pPr>
        <w:spacing w:line="240" w:lineRule="auto" w:before="8"/>
        <w:rPr>
          <w:rFonts w:ascii="宋体" w:hAnsi="宋体" w:cs="宋体" w:eastAsia="宋体" w:hint="default"/>
          <w:sz w:val="22"/>
          <w:szCs w:val="22"/>
        </w:rPr>
      </w:pPr>
    </w:p>
    <w:p>
      <w:pPr>
        <w:pStyle w:val="BodyText"/>
        <w:spacing w:line="439" w:lineRule="auto" w:before="44"/>
        <w:ind w:left="473" w:right="3554" w:hanging="361"/>
        <w:jc w:val="left"/>
        <w:rPr>
          <w:rFonts w:ascii="宋体" w:hAnsi="宋体" w:cs="宋体" w:eastAsia="宋体" w:hint="default"/>
        </w:rPr>
      </w:pPr>
      <w:r>
        <w:rPr/>
        <w:t>产负债表内列示：</w:t>
      </w:r>
      <w:r>
        <w:rPr>
          <w:rFonts w:ascii="宋体" w:hAnsi="宋体" w:cs="宋体" w:eastAsia="宋体" w:hint="default"/>
        </w:rPr>
        <w:t> </w:t>
      </w:r>
      <w:r>
        <w:rPr/>
        <w:t>本公司具有抵销已确认金额的法定权利，且该种法定权利是当前可执行的；</w:t>
      </w:r>
      <w:r>
        <w:rPr>
          <w:rFonts w:ascii="宋体" w:hAnsi="宋体" w:cs="宋体" w:eastAsia="宋体" w:hint="default"/>
        </w:rPr>
        <w:t> </w:t>
      </w:r>
      <w:r>
        <w:rPr/>
        <w:t>本公司计划以净额结算，或同时变现该金融资产和清偿该金融负债。</w:t>
      </w:r>
      <w:r>
        <w:rPr>
          <w:rFonts w:ascii="宋体" w:hAnsi="宋体" w:cs="宋体" w:eastAsia="宋体" w:hint="default"/>
        </w:rPr>
        <w:t> </w:t>
      </w:r>
    </w:p>
    <w:p>
      <w:pPr>
        <w:pStyle w:val="BodyText"/>
        <w:spacing w:line="240" w:lineRule="auto" w:before="47"/>
        <w:ind w:left="473" w:right="977"/>
        <w:jc w:val="left"/>
        <w:rPr>
          <w:rFonts w:ascii="宋体" w:hAnsi="宋体" w:cs="宋体" w:eastAsia="宋体" w:hint="default"/>
        </w:rPr>
      </w:pPr>
      <w:r>
        <w:rPr/>
        <w:t>不满足终止确认条件的金融资产转移，转出方不得将已转移的金融资产和相关负债进行抵销。</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473" w:right="977"/>
        <w:jc w:val="left"/>
        <w:rPr>
          <w:rFonts w:ascii="宋体" w:hAnsi="宋体" w:cs="宋体" w:eastAsia="宋体" w:hint="default"/>
        </w:rPr>
      </w:pPr>
      <w:r>
        <w:rPr/>
        <w:t>（</w:t>
      </w:r>
      <w:r>
        <w:rPr>
          <w:rFonts w:ascii="宋体" w:hAnsi="宋体" w:cs="宋体" w:eastAsia="宋体" w:hint="default"/>
        </w:rPr>
        <w:t>8</w:t>
      </w:r>
      <w:r>
        <w:rPr/>
        <w:t>）金融资产减值测试方法及减值准备计提方法</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39" w:lineRule="auto"/>
        <w:ind w:left="473" w:right="4994"/>
        <w:jc w:val="left"/>
        <w:rPr>
          <w:rFonts w:ascii="宋体" w:hAnsi="宋体" w:cs="宋体" w:eastAsia="宋体" w:hint="default"/>
        </w:rPr>
      </w:pPr>
      <w:r>
        <w:rPr/>
        <w:t>①金融资产发生减值的客观证据：</w:t>
      </w:r>
      <w:r>
        <w:rPr>
          <w:rFonts w:ascii="宋体" w:hAnsi="宋体" w:cs="宋体" w:eastAsia="宋体" w:hint="default"/>
        </w:rPr>
        <w:t> A.</w:t>
      </w:r>
      <w:r>
        <w:rPr/>
        <w:t>发行方或债务人发生严重财务困难；</w:t>
      </w:r>
      <w:r>
        <w:rPr>
          <w:rFonts w:ascii="宋体" w:hAnsi="宋体" w:cs="宋体" w:eastAsia="宋体" w:hint="default"/>
        </w:rPr>
        <w:t> B.</w:t>
      </w:r>
      <w:r>
        <w:rPr/>
        <w:t>债务人违反了合同条款，如偿付利息或本金发生违约或逾期等；</w:t>
      </w:r>
      <w:r>
        <w:rPr>
          <w:rFonts w:ascii="宋体" w:hAnsi="宋体" w:cs="宋体" w:eastAsia="宋体" w:hint="default"/>
        </w:rPr>
        <w:t> </w:t>
      </w:r>
    </w:p>
    <w:p>
      <w:pPr>
        <w:pStyle w:val="BodyText"/>
        <w:spacing w:line="439" w:lineRule="auto" w:before="47"/>
        <w:ind w:left="473" w:right="1845"/>
        <w:jc w:val="left"/>
        <w:rPr>
          <w:rFonts w:ascii="宋体" w:hAnsi="宋体" w:cs="宋体" w:eastAsia="宋体" w:hint="default"/>
        </w:rPr>
      </w:pPr>
      <w:r>
        <w:rPr>
          <w:rFonts w:ascii="宋体" w:hAnsi="宋体" w:cs="宋体" w:eastAsia="宋体" w:hint="default"/>
        </w:rPr>
        <w:t>C.</w:t>
      </w:r>
      <w:r>
        <w:rPr/>
        <w:t>债权人出于经济或法律等方面的考虑，对发生财务困难的债务人作出让步；</w:t>
      </w:r>
      <w:r>
        <w:rPr>
          <w:rFonts w:ascii="宋体" w:hAnsi="宋体" w:cs="宋体" w:eastAsia="宋体" w:hint="default"/>
        </w:rPr>
        <w:t> D.</w:t>
      </w:r>
      <w:r>
        <w:rPr/>
        <w:t>债务人可能倒闭或进行其他财务重组；</w:t>
      </w:r>
      <w:r>
        <w:rPr>
          <w:rFonts w:ascii="宋体" w:hAnsi="宋体" w:cs="宋体" w:eastAsia="宋体" w:hint="default"/>
        </w:rPr>
        <w:t> E.</w:t>
      </w:r>
      <w:r>
        <w:rPr/>
        <w:t>因发行方发生重大财务困难，该金融资产无法在活跃市场继续交易；</w:t>
      </w:r>
      <w:r>
        <w:rPr>
          <w:rFonts w:ascii="宋体" w:hAnsi="宋体" w:cs="宋体" w:eastAsia="宋体" w:hint="default"/>
        </w:rPr>
        <w:t> </w:t>
      </w:r>
    </w:p>
    <w:p>
      <w:pPr>
        <w:pStyle w:val="BodyText"/>
        <w:spacing w:line="316" w:lineRule="auto" w:before="47"/>
        <w:ind w:right="1131" w:firstLine="360"/>
        <w:jc w:val="both"/>
        <w:rPr>
          <w:rFonts w:ascii="宋体" w:hAnsi="宋体" w:cs="宋体" w:eastAsia="宋体" w:hint="default"/>
        </w:rPr>
      </w:pPr>
      <w:r>
        <w:rPr>
          <w:rFonts w:ascii="宋体" w:hAnsi="宋体" w:cs="宋体" w:eastAsia="宋体" w:hint="default"/>
          <w:spacing w:val="-2"/>
        </w:rPr>
        <w:t>F.</w:t>
      </w:r>
      <w:r>
        <w:rPr>
          <w:spacing w:val="-2"/>
        </w:rPr>
        <w:t>无法辨认一组金融资产中的某项资产的现金流量是否已经减少，但根据公开的数据对其进行总体评价后发现，该组金</w:t>
      </w:r>
      <w:r>
        <w:rPr/>
        <w:t> 融资产自初始确认以来的预计未来现金流量确已减少且可计量；</w:t>
      </w:r>
      <w:r>
        <w:rPr>
          <w:rFonts w:ascii="宋体" w:hAnsi="宋体" w:cs="宋体" w:eastAsia="宋体" w:hint="default"/>
        </w:rPr>
        <w:t> </w:t>
      </w:r>
    </w:p>
    <w:p>
      <w:pPr>
        <w:pStyle w:val="BodyText"/>
        <w:spacing w:line="439" w:lineRule="auto" w:before="139"/>
        <w:ind w:left="473" w:right="977"/>
        <w:jc w:val="left"/>
        <w:rPr>
          <w:rFonts w:ascii="宋体" w:hAnsi="宋体" w:cs="宋体" w:eastAsia="宋体" w:hint="default"/>
        </w:rPr>
      </w:pPr>
      <w:r>
        <w:rPr>
          <w:rFonts w:ascii="宋体" w:hAnsi="宋体" w:cs="宋体" w:eastAsia="宋体" w:hint="default"/>
        </w:rPr>
        <w:t>G.</w:t>
      </w:r>
      <w:r>
        <w:rPr/>
        <w:t>债务人经营所处的技术、市场、经济或法律环境等发生重大不利变化，使权益工具投资人可能无法收回投资成本；</w:t>
      </w:r>
      <w:r>
        <w:rPr>
          <w:rFonts w:ascii="宋体" w:hAnsi="宋体" w:cs="宋体" w:eastAsia="宋体" w:hint="default"/>
        </w:rPr>
        <w:t> H.</w:t>
      </w:r>
      <w:r>
        <w:rPr/>
        <w:t>权益工具投资的公允价值发生严重或非暂时性下跌；</w:t>
      </w:r>
      <w:r>
        <w:rPr>
          <w:rFonts w:ascii="宋体" w:hAnsi="宋体" w:cs="宋体" w:eastAsia="宋体" w:hint="default"/>
        </w:rPr>
        <w:t> </w:t>
      </w:r>
    </w:p>
    <w:p>
      <w:pPr>
        <w:pStyle w:val="BodyText"/>
        <w:spacing w:line="240" w:lineRule="auto" w:before="47"/>
        <w:ind w:left="473" w:right="977"/>
        <w:jc w:val="left"/>
        <w:rPr>
          <w:rFonts w:ascii="宋体" w:hAnsi="宋体" w:cs="宋体" w:eastAsia="宋体" w:hint="default"/>
        </w:rPr>
      </w:pPr>
      <w:r>
        <w:rPr>
          <w:rFonts w:ascii="宋体" w:hAnsi="宋体" w:cs="宋体" w:eastAsia="宋体" w:hint="default"/>
        </w:rPr>
        <w:t>I.</w:t>
      </w:r>
      <w:r>
        <w:rPr/>
        <w:t>其他表明金融资产发生减值的客观证据。</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439" w:lineRule="auto"/>
        <w:ind w:left="473" w:right="6794"/>
        <w:jc w:val="left"/>
        <w:rPr>
          <w:rFonts w:ascii="宋体" w:hAnsi="宋体" w:cs="宋体" w:eastAsia="宋体" w:hint="default"/>
        </w:rPr>
      </w:pPr>
      <w:r>
        <w:rPr/>
        <w:t>②金融资产的减值测试（不包括应收款项）</w:t>
      </w:r>
      <w:r>
        <w:rPr>
          <w:rFonts w:ascii="宋体" w:hAnsi="宋体" w:cs="宋体" w:eastAsia="宋体" w:hint="default"/>
        </w:rPr>
        <w:t> A</w:t>
      </w:r>
      <w:r>
        <w:rPr/>
        <w:t>．持有至到期投资减值测试</w:t>
      </w:r>
      <w:r>
        <w:rPr>
          <w:rFonts w:ascii="宋体" w:hAnsi="宋体" w:cs="宋体" w:eastAsia="宋体" w:hint="default"/>
        </w:rPr>
        <w:t> </w:t>
      </w:r>
    </w:p>
    <w:p>
      <w:pPr>
        <w:pStyle w:val="BodyText"/>
        <w:spacing w:line="316" w:lineRule="auto" w:before="47"/>
        <w:ind w:right="1132" w:firstLine="360"/>
        <w:jc w:val="both"/>
        <w:rPr>
          <w:rFonts w:ascii="宋体" w:hAnsi="宋体" w:cs="宋体" w:eastAsia="宋体" w:hint="default"/>
        </w:rPr>
      </w:pPr>
      <w:r>
        <w:rPr>
          <w:spacing w:val="-2"/>
        </w:rPr>
        <w:t>持有至到期投资发生减值时，将该持有至到期投资的账面价值减记至预计未来现金流量（不包括尚未发生的未来信用损</w:t>
      </w:r>
      <w:r>
        <w:rPr/>
        <w:t> 失）现值，减记的金额确认为资产减值损失，计入当期损益。</w:t>
      </w:r>
      <w:r>
        <w:rPr>
          <w:rFonts w:ascii="宋体" w:hAnsi="宋体" w:cs="宋体" w:eastAsia="宋体" w:hint="default"/>
        </w:rPr>
        <w:t> </w:t>
      </w:r>
    </w:p>
    <w:p>
      <w:pPr>
        <w:pStyle w:val="BodyText"/>
        <w:spacing w:line="316" w:lineRule="auto" w:before="139"/>
        <w:ind w:right="1129" w:firstLine="360"/>
        <w:jc w:val="both"/>
        <w:rPr>
          <w:rFonts w:ascii="宋体" w:hAnsi="宋体" w:cs="宋体" w:eastAsia="宋体" w:hint="default"/>
        </w:rPr>
      </w:pPr>
      <w:r>
        <w:rPr>
          <w:spacing w:val="-2"/>
        </w:rPr>
        <w:t>预计未来现金流量现值，按照该持有至到期投资的原实际利率折现确定，并考虑相关担保物的价值（取得和出售该担保</w:t>
      </w:r>
      <w:r>
        <w:rPr/>
        <w:t> </w:t>
      </w:r>
      <w:r>
        <w:rPr>
          <w:spacing w:val="-2"/>
        </w:rPr>
        <w:t>物发生的费用予以扣除）。原实际利率是初始确认该持有至到期投资时计算确定的实际利率。对于浮动利率的持有至到期投</w:t>
      </w:r>
      <w:r>
        <w:rPr>
          <w:spacing w:val="-66"/>
        </w:rPr>
        <w:t> </w:t>
      </w:r>
      <w:r>
        <w:rPr>
          <w:spacing w:val="-66"/>
        </w:rPr>
      </w:r>
      <w:r>
        <w:rPr/>
        <w:t>资，在计算未来现金流量现值时可采用合同规定的现行实际利率作为折现率。</w:t>
      </w:r>
      <w:r>
        <w:rPr>
          <w:rFonts w:ascii="宋体" w:hAnsi="宋体" w:cs="宋体" w:eastAsia="宋体" w:hint="default"/>
        </w:rPr>
        <w:t> </w:t>
      </w:r>
    </w:p>
    <w:p>
      <w:pPr>
        <w:pStyle w:val="BodyText"/>
        <w:spacing w:line="316" w:lineRule="auto" w:before="139"/>
        <w:ind w:right="1132" w:firstLine="360"/>
        <w:jc w:val="both"/>
        <w:rPr>
          <w:rFonts w:ascii="宋体" w:hAnsi="宋体" w:cs="宋体" w:eastAsia="宋体" w:hint="default"/>
        </w:rPr>
      </w:pPr>
      <w:r>
        <w:rPr>
          <w:spacing w:val="-2"/>
        </w:rPr>
        <w:t>即使合同条款因债务方或金融资产发行方发生财务困难而重新商定或修改，在确认减值损失时，仍用条款修改前所计算</w:t>
      </w:r>
      <w:r>
        <w:rPr/>
        <w:t> 的该金融资产的原实际利率计算。</w:t>
      </w:r>
      <w:r>
        <w:rPr>
          <w:rFonts w:ascii="宋体" w:hAnsi="宋体" w:cs="宋体" w:eastAsia="宋体" w:hint="default"/>
        </w:rPr>
        <w:t> </w:t>
      </w:r>
    </w:p>
    <w:p>
      <w:pPr>
        <w:pStyle w:val="BodyText"/>
        <w:spacing w:line="316" w:lineRule="auto" w:before="139"/>
        <w:ind w:right="1131" w:firstLine="360"/>
        <w:jc w:val="both"/>
        <w:rPr>
          <w:rFonts w:ascii="宋体" w:hAnsi="宋体" w:cs="宋体" w:eastAsia="宋体" w:hint="default"/>
        </w:rPr>
      </w:pPr>
      <w:r>
        <w:rPr>
          <w:spacing w:val="-2"/>
        </w:rPr>
        <w:t>对持有至到期投资确认减值损失后，如有客观证据表明该持有至到期投资价值已恢复，且客观上与确认该损失后发生的</w:t>
      </w:r>
      <w:r>
        <w:rPr/>
        <w:t> 事项有关（如债务人的信用评级已提高等），原确认的减值损失予以转回，计入当期损益。</w:t>
      </w:r>
      <w:r>
        <w:rPr>
          <w:rFonts w:ascii="宋体" w:hAnsi="宋体" w:cs="宋体" w:eastAsia="宋体" w:hint="default"/>
        </w:rPr>
        <w:t> </w:t>
      </w:r>
    </w:p>
    <w:p>
      <w:pPr>
        <w:pStyle w:val="BodyText"/>
        <w:spacing w:line="432" w:lineRule="exact" w:before="3"/>
        <w:ind w:left="473" w:right="977"/>
        <w:jc w:val="left"/>
      </w:pPr>
      <w:r>
        <w:rPr>
          <w:spacing w:val="-2"/>
        </w:rPr>
        <w:t>持有至到期投资发生减值后，利息收入按照确定减值损失时对未来现金流量进行折现采用的折现率作为利率计算确认。</w:t>
      </w:r>
      <w:r>
        <w:rPr>
          <w:spacing w:val="-76"/>
        </w:rPr>
        <w:t> </w:t>
      </w:r>
      <w:r>
        <w:rPr>
          <w:rFonts w:ascii="宋体" w:hAnsi="宋体" w:cs="宋体" w:eastAsia="宋体" w:hint="default"/>
          <w:spacing w:val="-76"/>
        </w:rPr>
      </w:r>
      <w:r>
        <w:rPr>
          <w:rFonts w:ascii="宋体" w:hAnsi="宋体" w:cs="宋体" w:eastAsia="宋体" w:hint="default"/>
        </w:rPr>
        <w:t>B.</w:t>
      </w:r>
      <w:r>
        <w:rPr/>
        <w:t>可供出售金融资产减值测试</w:t>
      </w:r>
      <w:r>
        <w:rPr>
          <w:rFonts w:ascii="宋体" w:hAnsi="宋体" w:cs="宋体" w:eastAsia="宋体" w:hint="default"/>
        </w:rPr>
        <w:t> </w:t>
      </w:r>
      <w:r>
        <w:rPr>
          <w:spacing w:val="-2"/>
        </w:rPr>
        <w:t>在资产负债表日本公司对可供出售金融资产的减值情况进行分析，判断该项金融资产公允价值是否持续下降。通常情况</w:t>
      </w:r>
    </w:p>
    <w:p>
      <w:pPr>
        <w:pStyle w:val="BodyText"/>
        <w:spacing w:line="316" w:lineRule="auto" w:before="15"/>
        <w:ind w:right="1129"/>
        <w:jc w:val="both"/>
        <w:rPr>
          <w:rFonts w:ascii="宋体" w:hAnsi="宋体" w:cs="宋体" w:eastAsia="宋体" w:hint="default"/>
        </w:rPr>
      </w:pPr>
      <w:r>
        <w:rPr>
          <w:spacing w:val="-2"/>
        </w:rPr>
        <w:t>下，如果可供出售金融资产的期末公允价值发生较大幅度下降，在综合考虑各种相关因素后，预期这种下降趋势属于非暂时</w:t>
      </w:r>
      <w:r>
        <w:rPr>
          <w:spacing w:val="-62"/>
        </w:rPr>
        <w:t> </w:t>
      </w:r>
      <w:r>
        <w:rPr>
          <w:spacing w:val="-62"/>
        </w:rPr>
      </w:r>
      <w:r>
        <w:rPr>
          <w:spacing w:val="-2"/>
        </w:rPr>
        <w:t>性的，可以认定该可供出售金融资产已发生减值，确认减值损失。可供出售金融资产发生减值的，在确认减值损失时，将原</w:t>
      </w:r>
      <w:r>
        <w:rPr>
          <w:spacing w:val="-67"/>
        </w:rPr>
        <w:t> </w:t>
      </w:r>
      <w:r>
        <w:rPr>
          <w:spacing w:val="-67"/>
        </w:rPr>
      </w:r>
      <w:r>
        <w:rPr/>
        <w:t>直接计入所有者权益的公允价值下降形成的累计损失一并转出，计入资产减值损失。</w:t>
      </w:r>
      <w:r>
        <w:rPr>
          <w:rFonts w:ascii="宋体" w:hAnsi="宋体" w:cs="宋体" w:eastAsia="宋体" w:hint="default"/>
        </w:rPr>
        <w:t> </w:t>
      </w:r>
    </w:p>
    <w:p>
      <w:pPr>
        <w:pStyle w:val="BodyText"/>
        <w:spacing w:line="441" w:lineRule="auto" w:before="138"/>
        <w:ind w:left="473" w:right="977"/>
        <w:jc w:val="left"/>
        <w:rPr>
          <w:rFonts w:ascii="宋体" w:hAnsi="宋体" w:cs="宋体" w:eastAsia="宋体" w:hint="default"/>
        </w:rPr>
      </w:pPr>
      <w:r>
        <w:rPr/>
        <w:t>可供出售债务工具金融资产是否发生减值，可参照上述可供出售权益工具投资进行分析判断。</w:t>
      </w:r>
      <w:r>
        <w:rPr>
          <w:rFonts w:ascii="宋体" w:hAnsi="宋体" w:cs="宋体" w:eastAsia="宋体" w:hint="default"/>
        </w:rPr>
        <w:t> </w:t>
      </w:r>
      <w:r>
        <w:rPr/>
        <w:t>可供出售权益工具投资发生的减值损失，不得通过损益转回。</w:t>
      </w:r>
      <w:r>
        <w:rPr>
          <w:rFonts w:ascii="宋体" w:hAnsi="宋体" w:cs="宋体" w:eastAsia="宋体" w:hint="default"/>
        </w:rPr>
        <w:t> </w:t>
      </w:r>
    </w:p>
    <w:p>
      <w:pPr>
        <w:spacing w:after="0" w:line="441" w:lineRule="auto"/>
        <w:jc w:val="left"/>
        <w:rPr>
          <w:rFonts w:ascii="宋体" w:hAnsi="宋体" w:cs="宋体" w:eastAsia="宋体" w:hint="default"/>
        </w:rPr>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316" w:lineRule="auto" w:before="44"/>
        <w:ind w:right="1132" w:firstLine="360"/>
        <w:jc w:val="both"/>
        <w:rPr>
          <w:rFonts w:ascii="宋体" w:hAnsi="宋体" w:cs="宋体" w:eastAsia="宋体" w:hint="default"/>
        </w:rPr>
      </w:pPr>
      <w:r>
        <w:rPr>
          <w:spacing w:val="-2"/>
        </w:rPr>
        <w:t>可供出售债务工具金融资产发生减值后，利息收入按照确定减值损失时对未来现金流量进行折现采用的折现率作为利率</w:t>
      </w:r>
      <w:r>
        <w:rPr/>
        <w:t> 计算确认。</w:t>
      </w:r>
      <w:r>
        <w:rPr>
          <w:rFonts w:ascii="宋体" w:hAnsi="宋体" w:cs="宋体" w:eastAsia="宋体" w:hint="default"/>
        </w:rPr>
        <w:t> </w:t>
      </w:r>
    </w:p>
    <w:p>
      <w:pPr>
        <w:pStyle w:val="BodyText"/>
        <w:spacing w:line="316" w:lineRule="auto" w:before="139"/>
        <w:ind w:right="1132" w:firstLine="360"/>
        <w:jc w:val="both"/>
        <w:rPr>
          <w:rFonts w:ascii="宋体" w:hAnsi="宋体" w:cs="宋体" w:eastAsia="宋体" w:hint="default"/>
        </w:rPr>
      </w:pPr>
      <w:r>
        <w:rPr>
          <w:spacing w:val="-2"/>
        </w:rPr>
        <w:t>对于已确认减值损失的可供出售债务工具，在随后的会计期间公允价值已上升且客观上与确认原减值损失确认后发生的</w:t>
      </w:r>
      <w:r>
        <w:rPr/>
        <w:t> 事项有关的，原确认的减值损失予以转回，计入当期损益。</w:t>
      </w:r>
      <w:r>
        <w:rPr>
          <w:rFonts w:ascii="宋体" w:hAnsi="宋体" w:cs="宋体" w:eastAsia="宋体" w:hint="default"/>
        </w:rPr>
        <w:t> </w:t>
      </w:r>
    </w:p>
    <w:p>
      <w:pPr>
        <w:pStyle w:val="BodyText"/>
        <w:spacing w:line="432" w:lineRule="exact" w:before="3"/>
        <w:ind w:left="473" w:right="977"/>
        <w:jc w:val="left"/>
      </w:pPr>
      <w:r>
        <w:rPr/>
        <w:t>（</w:t>
      </w:r>
      <w:r>
        <w:rPr>
          <w:rFonts w:ascii="宋体" w:hAnsi="宋体" w:cs="宋体" w:eastAsia="宋体" w:hint="default"/>
        </w:rPr>
        <w:t>9</w:t>
      </w:r>
      <w:r>
        <w:rPr/>
        <w:t>）金融资产和金融负债公允价值的确定方法</w:t>
      </w:r>
      <w:r>
        <w:rPr>
          <w:rFonts w:ascii="宋体" w:hAnsi="宋体" w:cs="宋体" w:eastAsia="宋体" w:hint="default"/>
        </w:rPr>
        <w:t> </w:t>
      </w:r>
      <w:r>
        <w:rPr>
          <w:spacing w:val="-2"/>
        </w:rPr>
        <w:t>本公司以主要市场的价格计量相关资产或负债的公允价值，不存在主要市场的，本公司以最有利市场的价格计量相关资</w:t>
      </w:r>
    </w:p>
    <w:p>
      <w:pPr>
        <w:pStyle w:val="BodyText"/>
        <w:spacing w:line="240" w:lineRule="auto" w:before="15"/>
        <w:ind w:right="0"/>
        <w:jc w:val="both"/>
        <w:rPr>
          <w:rFonts w:ascii="宋体" w:hAnsi="宋体" w:cs="宋体" w:eastAsia="宋体" w:hint="default"/>
        </w:rPr>
      </w:pPr>
      <w:r>
        <w:rPr/>
        <w:t>产或负债的公允价值。</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1" w:firstLine="360"/>
        <w:jc w:val="both"/>
        <w:rPr>
          <w:rFonts w:ascii="宋体" w:hAnsi="宋体" w:cs="宋体" w:eastAsia="宋体" w:hint="default"/>
        </w:rPr>
      </w:pPr>
      <w:r>
        <w:rPr>
          <w:spacing w:val="-2"/>
        </w:rPr>
        <w:t>主要市场，是指相关资产或负债交易量最大和交易活跃程度最高的市场；最有利市场，是指在考虑交易费用和运输费用</w:t>
      </w:r>
      <w:r>
        <w:rPr/>
        <w:t> </w:t>
      </w:r>
      <w:r>
        <w:rPr>
          <w:spacing w:val="-2"/>
        </w:rPr>
        <w:t>后，能够以最高金额出售相关资产或者以最低金额转移相关负债的市场。本公司采用市场参与者在对该资产或负债定价时为</w:t>
      </w:r>
      <w:r>
        <w:rPr>
          <w:spacing w:val="-62"/>
        </w:rPr>
        <w:t> </w:t>
      </w:r>
      <w:r>
        <w:rPr>
          <w:spacing w:val="-62"/>
        </w:rPr>
      </w:r>
      <w:r>
        <w:rPr/>
        <w:t>实现其经济利益最大化所使用的假设。</w:t>
      </w:r>
      <w:r>
        <w:rPr>
          <w:rFonts w:ascii="宋体" w:hAnsi="宋体" w:cs="宋体" w:eastAsia="宋体" w:hint="default"/>
        </w:rPr>
        <w:t> </w:t>
      </w:r>
    </w:p>
    <w:p>
      <w:pPr>
        <w:pStyle w:val="BodyText"/>
        <w:spacing w:line="432" w:lineRule="exact" w:before="4"/>
        <w:ind w:left="473" w:right="977"/>
        <w:jc w:val="left"/>
      </w:pPr>
      <w:r>
        <w:rPr/>
        <w:t>①估值技术</w:t>
      </w:r>
      <w:r>
        <w:rPr>
          <w:rFonts w:ascii="宋体" w:hAnsi="宋体" w:cs="宋体" w:eastAsia="宋体" w:hint="default"/>
        </w:rPr>
        <w:t> </w:t>
      </w:r>
      <w:r>
        <w:rPr>
          <w:spacing w:val="-2"/>
        </w:rPr>
        <w:t>本公司采用在当期情况下适用并且有足够可利用数据和其他信息支持的估值技术，使用的估值技术主要包括市场法、收</w:t>
      </w:r>
    </w:p>
    <w:p>
      <w:pPr>
        <w:pStyle w:val="BodyText"/>
        <w:spacing w:line="316" w:lineRule="auto" w:before="15"/>
        <w:ind w:right="1129"/>
        <w:jc w:val="both"/>
        <w:rPr>
          <w:rFonts w:ascii="宋体" w:hAnsi="宋体" w:cs="宋体" w:eastAsia="宋体" w:hint="default"/>
        </w:rPr>
      </w:pPr>
      <w:r>
        <w:rPr>
          <w:spacing w:val="-2"/>
        </w:rPr>
        <w:t>益法和成本法。本公司使用与其中一种或多种估值技术相一致的方法计量公允价值，使用多种估值技术计量公允价值的，考</w:t>
      </w:r>
      <w:r>
        <w:rPr>
          <w:spacing w:val="-63"/>
        </w:rPr>
        <w:t> </w:t>
      </w:r>
      <w:r>
        <w:rPr>
          <w:spacing w:val="-63"/>
        </w:rPr>
      </w:r>
      <w:r>
        <w:rPr/>
        <w:t>虑各估值结果的合理性，选取在当期情况下最能代表公允价值的金额作为公允价值。</w:t>
      </w:r>
      <w:r>
        <w:rPr>
          <w:rFonts w:ascii="宋体" w:hAnsi="宋体" w:cs="宋体" w:eastAsia="宋体" w:hint="default"/>
        </w:rPr>
        <w:t> </w:t>
      </w:r>
    </w:p>
    <w:p>
      <w:pPr>
        <w:pStyle w:val="BodyText"/>
        <w:spacing w:line="316" w:lineRule="auto" w:before="139"/>
        <w:ind w:right="1129" w:firstLine="360"/>
        <w:jc w:val="both"/>
        <w:rPr>
          <w:rFonts w:ascii="宋体" w:hAnsi="宋体" w:cs="宋体" w:eastAsia="宋体" w:hint="default"/>
        </w:rPr>
      </w:pPr>
      <w:r>
        <w:rPr>
          <w:spacing w:val="-2"/>
        </w:rPr>
        <w:t>本公司在估值技术的应用中，优先使用相关可观察输入值，只有在相关可观察输入值无法取得或取得不切实可行的情况</w:t>
      </w:r>
      <w:r>
        <w:rPr/>
        <w:t> </w:t>
      </w:r>
      <w:r>
        <w:rPr>
          <w:spacing w:val="-2"/>
        </w:rPr>
        <w:t>下，才使用不可观察输入值。可观察输入值，是指能够从市场数据中取得的输入值。该输入值反映了市场参与者在对相关资</w:t>
      </w:r>
      <w:r>
        <w:rPr>
          <w:spacing w:val="-63"/>
        </w:rPr>
        <w:t> </w:t>
      </w:r>
      <w:r>
        <w:rPr>
          <w:spacing w:val="-63"/>
        </w:rPr>
      </w:r>
      <w:r>
        <w:rPr>
          <w:spacing w:val="-2"/>
        </w:rPr>
        <w:t>产或负债定价时所使用的假设。不可观察输入值，是指不能从市场数据中取得的输入值。该输入值根据可获得的市场参与者</w:t>
      </w:r>
      <w:r>
        <w:rPr>
          <w:spacing w:val="-65"/>
        </w:rPr>
        <w:t> </w:t>
      </w:r>
      <w:r>
        <w:rPr>
          <w:spacing w:val="-65"/>
        </w:rPr>
      </w:r>
      <w:r>
        <w:rPr/>
        <w:t>在对相关资产或负债定价时所使用假设的最佳信息取得。</w:t>
      </w:r>
      <w:r>
        <w:rPr>
          <w:rFonts w:ascii="宋体" w:hAnsi="宋体" w:cs="宋体" w:eastAsia="宋体" w:hint="default"/>
        </w:rPr>
        <w:t> </w:t>
      </w:r>
    </w:p>
    <w:p>
      <w:pPr>
        <w:pStyle w:val="BodyText"/>
        <w:spacing w:line="432" w:lineRule="exact" w:before="3"/>
        <w:ind w:left="473" w:right="977"/>
        <w:jc w:val="left"/>
      </w:pPr>
      <w:r>
        <w:rPr/>
        <w:t>②公允价值层次</w:t>
      </w:r>
      <w:r>
        <w:rPr>
          <w:rFonts w:ascii="宋体" w:hAnsi="宋体" w:cs="宋体" w:eastAsia="宋体" w:hint="default"/>
        </w:rPr>
        <w:t> </w:t>
      </w:r>
      <w:r>
        <w:rPr>
          <w:spacing w:val="-2"/>
        </w:rPr>
        <w:t>本公司将公允价值计量所使用的输入值划分为三个层次，并首先使用第一层次输入值，其次使用第二层次输入值，最后</w:t>
      </w:r>
    </w:p>
    <w:p>
      <w:pPr>
        <w:pStyle w:val="BodyText"/>
        <w:spacing w:line="316" w:lineRule="auto" w:before="15"/>
        <w:ind w:right="1131"/>
        <w:jc w:val="both"/>
      </w:pPr>
      <w:r>
        <w:rPr>
          <w:spacing w:val="-2"/>
        </w:rPr>
        <w:t>使用第三层次输入值。第一层次输入值是在计量日能够取得的相同资产或负债在活跃市场上未经调整的报价。第二层次输入</w:t>
      </w:r>
      <w:r>
        <w:rPr>
          <w:spacing w:val="-64"/>
        </w:rPr>
        <w:t> </w:t>
      </w:r>
      <w:r>
        <w:rPr>
          <w:spacing w:val="-64"/>
        </w:rPr>
      </w:r>
      <w:r>
        <w:rPr/>
        <w:t>值是除第一层次输入值外相关资产或负债直接或间接可观察的输入值。第三层次输入值是相关资产或负债的不可观察输入</w:t>
      </w:r>
      <w:r>
        <w:rPr>
          <w:spacing w:val="-1"/>
        </w:rPr>
        <w:t> </w:t>
      </w:r>
      <w:r>
        <w:rPr>
          <w:spacing w:val="-1"/>
        </w:rPr>
      </w:r>
      <w:r>
        <w:rPr/>
        <w:t>值。</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71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本公司将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万元以上应收账款，</w:t>
            </w:r>
            <w:r>
              <w:rPr>
                <w:rFonts w:ascii="Times New Roman" w:hAnsi="Times New Roman" w:cs="Times New Roman" w:eastAsia="Times New Roman" w:hint="default"/>
                <w:sz w:val="18"/>
                <w:szCs w:val="18"/>
              </w:rPr>
              <w:t>10 </w:t>
            </w:r>
            <w:r>
              <w:rPr>
                <w:rFonts w:ascii="宋体" w:hAnsi="宋体" w:cs="宋体" w:eastAsia="宋体" w:hint="default"/>
                <w:sz w:val="18"/>
                <w:szCs w:val="18"/>
              </w:rPr>
              <w:t>万元以上其他应收款确 定为单项金额重大。</w:t>
            </w:r>
          </w:p>
        </w:tc>
      </w:tr>
      <w:tr>
        <w:trPr>
          <w:trHeight w:val="196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 证据表明其发生了减值的，根据其未来现金流量现值低于其 账面价值的差额，确认减值损失，并据此计提相应的坏账准 备。</w:t>
            </w:r>
            <w:r>
              <w:rPr>
                <w:rFonts w:ascii="宋体" w:hAnsi="宋体" w:cs="宋体" w:eastAsia="宋体" w:hint="default"/>
                <w:spacing w:val="49"/>
                <w:sz w:val="18"/>
                <w:szCs w:val="18"/>
              </w:rPr>
              <w:t> </w:t>
            </w:r>
            <w:r>
              <w:rPr>
                <w:rFonts w:ascii="宋体" w:hAnsi="宋体" w:cs="宋体" w:eastAsia="宋体" w:hint="default"/>
                <w:sz w:val="18"/>
                <w:szCs w:val="18"/>
              </w:rPr>
              <w:t>短期应收款项的预计未来现金流量与其现值相差很小</w:t>
            </w:r>
            <w:r>
              <w:rPr>
                <w:rFonts w:ascii="宋体" w:hAnsi="宋体" w:cs="宋体" w:eastAsia="宋体" w:hint="default"/>
                <w:sz w:val="18"/>
                <w:szCs w:val="18"/>
              </w:rPr>
              <w:t> 的，在确定相关减值损失时，可不对其预计未来现金流量进 行折现。</w:t>
            </w:r>
          </w:p>
        </w:tc>
      </w:tr>
    </w:tbl>
    <w:p>
      <w:pPr>
        <w:spacing w:line="240" w:lineRule="auto" w:before="3"/>
        <w:rPr>
          <w:rFonts w:ascii="宋体" w:hAnsi="宋体" w:cs="宋体" w:eastAsia="宋体" w:hint="default"/>
          <w:b/>
          <w:bCs/>
          <w:sz w:val="19"/>
          <w:szCs w:val="19"/>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bl>
    <w:p>
      <w:pPr>
        <w:spacing w:after="0" w:line="240" w:lineRule="auto"/>
        <w:jc w:val="center"/>
        <w:rPr>
          <w:rFonts w:ascii="宋体" w:hAnsi="宋体" w:cs="宋体" w:eastAsia="宋体" w:hint="default"/>
          <w:sz w:val="18"/>
          <w:szCs w:val="18"/>
        </w:rPr>
        <w:sectPr>
          <w:pgSz w:w="11910" w:h="16840"/>
          <w:pgMar w:header="910" w:footer="1013" w:top="1100" w:bottom="1200" w:left="1020" w:right="0"/>
        </w:sectPr>
      </w:pPr>
    </w:p>
    <w:p>
      <w:pPr>
        <w:spacing w:line="240" w:lineRule="auto" w:before="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977"/>
        <w:jc w:val="left"/>
      </w:pPr>
      <w:r>
        <w:rPr/>
        <w:t>组合中，采用账龄分析法计提坏账准备的：</w:t>
      </w:r>
    </w:p>
    <w:p>
      <w:pPr>
        <w:pStyle w:val="BodyText"/>
        <w:spacing w:line="240" w:lineRule="auto" w:before="115"/>
        <w:ind w:right="977"/>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right="977"/>
        <w:jc w:val="left"/>
      </w:pPr>
      <w:r>
        <w:rPr/>
        <w:t>组合中，采用余额百分比法计提坏账准备的：</w:t>
      </w:r>
    </w:p>
    <w:p>
      <w:pPr>
        <w:pStyle w:val="BodyText"/>
        <w:spacing w:line="357" w:lineRule="auto" w:before="117"/>
        <w:ind w:right="7514"/>
        <w:jc w:val="left"/>
      </w:pPr>
      <w:r>
        <w:rPr/>
        <w:t>□ 适用 √</w:t>
      </w:r>
      <w:r>
        <w:rPr>
          <w:spacing w:val="3"/>
        </w:rPr>
        <w:t> </w:t>
      </w:r>
      <w:r>
        <w:rPr/>
        <w:t>不适用</w:t>
      </w:r>
      <w:r>
        <w:rPr/>
        <w:t> 组合中，采用其他方法计提坏账准备的：</w:t>
      </w:r>
    </w:p>
    <w:p>
      <w:pPr>
        <w:pStyle w:val="BodyText"/>
        <w:spacing w:line="240" w:lineRule="auto" w:before="29"/>
        <w:ind w:right="977"/>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对单项金额不重大但已有客观证据表明其发生了减值的应收 款项，本公司单独进行减值测试。</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损失，并据此计提相应的坏账准备。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977"/>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7"/>
        <w:ind w:right="977"/>
        <w:jc w:val="left"/>
      </w:pPr>
      <w:r>
        <w:rPr/>
        <w:t>软件与信息技术服务业</w:t>
      </w:r>
    </w:p>
    <w:p>
      <w:pPr>
        <w:pStyle w:val="BodyText"/>
        <w:spacing w:line="432" w:lineRule="exact" w:before="61"/>
        <w:ind w:left="473" w:right="977"/>
        <w:jc w:val="left"/>
      </w:pPr>
      <w:r>
        <w:rPr/>
        <w:t>（</w:t>
      </w:r>
      <w:r>
        <w:rPr>
          <w:rFonts w:ascii="宋体" w:hAnsi="宋体" w:cs="宋体" w:eastAsia="宋体" w:hint="default"/>
        </w:rPr>
        <w:t>1</w:t>
      </w:r>
      <w:r>
        <w:rPr/>
        <w:t>）存货的分类</w:t>
      </w:r>
      <w:r>
        <w:rPr>
          <w:rFonts w:ascii="宋体" w:hAnsi="宋体" w:cs="宋体" w:eastAsia="宋体" w:hint="default"/>
        </w:rPr>
        <w:t> </w:t>
      </w:r>
      <w:r>
        <w:rPr>
          <w:spacing w:val="-2"/>
        </w:rPr>
        <w:t>存货是指本公司在日常活动中持有以备出售的产成品或商品、处在生产过程中的在产品、在生产过程或提供劳务过程中</w:t>
      </w:r>
    </w:p>
    <w:p>
      <w:pPr>
        <w:pStyle w:val="BodyText"/>
        <w:spacing w:line="240" w:lineRule="auto" w:before="15"/>
        <w:ind w:right="977"/>
        <w:jc w:val="left"/>
        <w:rPr>
          <w:rFonts w:ascii="宋体" w:hAnsi="宋体" w:cs="宋体" w:eastAsia="宋体" w:hint="default"/>
        </w:rPr>
      </w:pPr>
      <w:r>
        <w:rPr/>
        <w:t>耗用的材料和物料等，包括原材料、库存商品、劳务成本、发出商品等。</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39" w:lineRule="auto"/>
        <w:ind w:left="473" w:right="4994"/>
        <w:jc w:val="left"/>
        <w:rPr>
          <w:rFonts w:ascii="宋体" w:hAnsi="宋体" w:cs="宋体" w:eastAsia="宋体" w:hint="default"/>
        </w:rPr>
      </w:pPr>
      <w:r>
        <w:rPr/>
        <w:t>（</w:t>
      </w:r>
      <w:r>
        <w:rPr>
          <w:rFonts w:ascii="宋体" w:hAnsi="宋体" w:cs="宋体" w:eastAsia="宋体" w:hint="default"/>
        </w:rPr>
        <w:t>2</w:t>
      </w:r>
      <w:r>
        <w:rPr/>
        <w:t>）发出存货的计价方法</w:t>
      </w:r>
      <w:r>
        <w:rPr>
          <w:rFonts w:ascii="宋体" w:hAnsi="宋体" w:cs="宋体" w:eastAsia="宋体" w:hint="default"/>
        </w:rPr>
        <w:t> A.</w:t>
      </w:r>
      <w:r>
        <w:rPr/>
        <w:t>存货专门用于单项业务或合同时，按个别计价法确认；</w:t>
      </w:r>
      <w:r>
        <w:rPr>
          <w:rFonts w:ascii="宋体" w:hAnsi="宋体" w:cs="宋体" w:eastAsia="宋体" w:hint="default"/>
        </w:rPr>
        <w:t> B.</w:t>
      </w:r>
      <w:r>
        <w:rPr/>
        <w:t>非为单项业务或合同持有的存货，按加权平均价格计价确认。</w:t>
      </w:r>
      <w:r>
        <w:rPr>
          <w:rFonts w:ascii="宋体" w:hAnsi="宋体" w:cs="宋体" w:eastAsia="宋体" w:hint="default"/>
        </w:rPr>
        <w:t> </w:t>
      </w:r>
    </w:p>
    <w:p>
      <w:pPr>
        <w:pStyle w:val="BodyText"/>
        <w:spacing w:line="439" w:lineRule="auto" w:before="47"/>
        <w:ind w:left="473" w:right="2654"/>
        <w:jc w:val="left"/>
        <w:rPr>
          <w:rFonts w:ascii="宋体" w:hAnsi="宋体" w:cs="宋体" w:eastAsia="宋体" w:hint="default"/>
        </w:rPr>
      </w:pPr>
      <w:r>
        <w:rPr/>
        <w:t>（</w:t>
      </w:r>
      <w:r>
        <w:rPr>
          <w:rFonts w:ascii="宋体" w:hAnsi="宋体" w:cs="宋体" w:eastAsia="宋体" w:hint="default"/>
        </w:rPr>
        <w:t>3</w:t>
      </w:r>
      <w:r>
        <w:rPr/>
        <w:t>）存货的盘存制度</w:t>
      </w:r>
      <w:r>
        <w:rPr>
          <w:rFonts w:ascii="宋体" w:hAnsi="宋体" w:cs="宋体" w:eastAsia="宋体" w:hint="default"/>
        </w:rPr>
        <w:t> </w:t>
      </w:r>
      <w:r>
        <w:rPr/>
        <w:t>本公司存货采用永续盘存制，每年至少盘点一次，盘盈及盘亏金额计入当年度损益。</w:t>
      </w:r>
      <w:r>
        <w:rPr>
          <w:rFonts w:ascii="宋体" w:hAnsi="宋体" w:cs="宋体" w:eastAsia="宋体" w:hint="default"/>
        </w:rPr>
        <w:t> </w:t>
      </w:r>
    </w:p>
    <w:p>
      <w:pPr>
        <w:pStyle w:val="BodyText"/>
        <w:spacing w:line="441" w:lineRule="auto" w:before="47"/>
        <w:ind w:left="473" w:right="977"/>
        <w:jc w:val="left"/>
        <w:rPr>
          <w:rFonts w:ascii="宋体" w:hAnsi="宋体" w:cs="宋体" w:eastAsia="宋体" w:hint="default"/>
        </w:rPr>
      </w:pPr>
      <w:r>
        <w:rPr/>
        <w:t>（</w:t>
      </w:r>
      <w:r>
        <w:rPr>
          <w:rFonts w:ascii="宋体" w:hAnsi="宋体" w:cs="宋体" w:eastAsia="宋体" w:hint="default"/>
        </w:rPr>
        <w:t>4</w:t>
      </w:r>
      <w:r>
        <w:rPr/>
        <w:t>）存货跌价准备的计提方法</w:t>
      </w:r>
      <w:r>
        <w:rPr>
          <w:rFonts w:ascii="宋体" w:hAnsi="宋体" w:cs="宋体" w:eastAsia="宋体" w:hint="default"/>
        </w:rPr>
        <w:t> </w:t>
      </w:r>
      <w:r>
        <w:rPr/>
        <w:t>资产负债表日按成本与可变现净值孰低计量，存货成本高于其可变现净值的，计提存货跌价准备，计入当期损益。</w:t>
      </w:r>
      <w:r>
        <w:rPr>
          <w:rFonts w:ascii="宋体" w:hAnsi="宋体" w:cs="宋体" w:eastAsia="宋体" w:hint="default"/>
        </w:rPr>
        <w:t> </w:t>
      </w:r>
    </w:p>
    <w:p>
      <w:pPr>
        <w:spacing w:after="0" w:line="441" w:lineRule="auto"/>
        <w:jc w:val="left"/>
        <w:rPr>
          <w:rFonts w:ascii="宋体" w:hAnsi="宋体" w:cs="宋体" w:eastAsia="宋体" w:hint="default"/>
        </w:rPr>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240" w:lineRule="auto" w:before="44"/>
        <w:ind w:left="473" w:right="977"/>
        <w:jc w:val="left"/>
        <w:rPr>
          <w:rFonts w:ascii="宋体" w:hAnsi="宋体" w:cs="宋体" w:eastAsia="宋体" w:hint="default"/>
        </w:rPr>
      </w:pPr>
      <w:r>
        <w:rPr/>
        <w:t>在确定存货的可变现净值时</w:t>
      </w:r>
      <w:r>
        <w:rPr>
          <w:spacing w:val="-58"/>
        </w:rPr>
        <w:t>，</w:t>
      </w:r>
      <w:r>
        <w:rPr/>
        <w:t>以取得的可靠证据为基础</w:t>
      </w:r>
      <w:r>
        <w:rPr>
          <w:spacing w:val="-58"/>
        </w:rPr>
        <w:t>，</w:t>
      </w:r>
      <w:r>
        <w:rPr/>
        <w:t>并且考虑持有存货的目的</w:t>
      </w:r>
      <w:r>
        <w:rPr>
          <w:spacing w:val="-58"/>
        </w:rPr>
        <w:t>、</w:t>
      </w:r>
      <w:r>
        <w:rPr/>
        <w:t>资产负债表日后事项的影响等因素</w:t>
      </w:r>
      <w:r>
        <w:rPr>
          <w:spacing w:val="-88"/>
        </w:rPr>
        <w:t>。</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28" w:firstLine="360"/>
        <w:jc w:val="both"/>
        <w:rPr>
          <w:rFonts w:ascii="宋体" w:hAnsi="宋体" w:cs="宋体" w:eastAsia="宋体" w:hint="default"/>
        </w:rPr>
      </w:pPr>
      <w:r>
        <w:rPr>
          <w:spacing w:val="-2"/>
        </w:rPr>
        <w:t>①产成品、商品和用于出售的材料等直接用于出售的存货，在正常生产经营过程中，以该存货的估计售价减去估计的销</w:t>
      </w:r>
      <w:r>
        <w:rPr/>
        <w:t> </w:t>
      </w:r>
      <w:r>
        <w:rPr>
          <w:spacing w:val="-2"/>
        </w:rPr>
        <w:t>售费用和相关税费后的金额确定其可变现净值。为执行销售合同或者劳务合同而持有的存货，以合同价格作为其可变现净值</w:t>
      </w:r>
      <w:r>
        <w:rPr>
          <w:spacing w:val="-64"/>
        </w:rPr>
        <w:t> </w:t>
      </w:r>
      <w:r>
        <w:rPr>
          <w:spacing w:val="-64"/>
        </w:rPr>
      </w:r>
      <w:r>
        <w:rPr>
          <w:spacing w:val="-2"/>
        </w:rPr>
        <w:t>的计量基础；如果持有存货的数量多于销售合同订购数量，超出部分的存货可变现净值以一般销售价格为计量基础。用于出</w:t>
      </w:r>
      <w:r>
        <w:rPr>
          <w:spacing w:val="-62"/>
        </w:rPr>
        <w:t> </w:t>
      </w:r>
      <w:r>
        <w:rPr>
          <w:spacing w:val="-62"/>
        </w:rPr>
      </w:r>
      <w:r>
        <w:rPr/>
        <w:t>售的材料等，以市场价格作为其可变现净值的计量基础。</w:t>
      </w:r>
      <w:r>
        <w:rPr>
          <w:rFonts w:ascii="宋体" w:hAnsi="宋体" w:cs="宋体" w:eastAsia="宋体" w:hint="default"/>
        </w:rPr>
        <w:t> </w:t>
      </w:r>
    </w:p>
    <w:p>
      <w:pPr>
        <w:pStyle w:val="BodyText"/>
        <w:spacing w:line="316" w:lineRule="auto" w:before="139"/>
        <w:ind w:right="977" w:firstLine="360"/>
        <w:jc w:val="left"/>
        <w:rPr>
          <w:rFonts w:ascii="宋体" w:hAnsi="宋体" w:cs="宋体" w:eastAsia="宋体" w:hint="default"/>
        </w:rPr>
      </w:pPr>
      <w:r>
        <w:rPr>
          <w:spacing w:val="-4"/>
        </w:rPr>
        <w:t>②需要经过加工的材料存货，在正常生产经营过程中，以所生产的产成品的估计售价减去至完工时估计将要发生的成本、</w:t>
      </w:r>
      <w:r>
        <w:rPr/>
        <w:t> </w:t>
      </w:r>
      <w:r>
        <w:rPr>
          <w:spacing w:val="-2"/>
        </w:rPr>
        <w:t>估计的销售费用和相关税费后的金额确定其可变现净值。如果用其生产的产成品的可变现净值高于成本，则该材料按成本计</w:t>
      </w:r>
      <w:r>
        <w:rPr>
          <w:spacing w:val="-62"/>
        </w:rPr>
        <w:t> </w:t>
      </w:r>
      <w:r>
        <w:rPr>
          <w:spacing w:val="-62"/>
        </w:rPr>
      </w:r>
      <w:r>
        <w:rPr/>
        <w:t>量；如果材料价格的下降表明产成品的可变现净值低于成本，则该材料按可变现净值计量，按其差额计提存货跌价准备。</w:t>
      </w:r>
      <w:r>
        <w:rPr>
          <w:rFonts w:ascii="宋体" w:hAnsi="宋体" w:cs="宋体" w:eastAsia="宋体" w:hint="default"/>
        </w:rPr>
        <w:t> </w:t>
      </w:r>
    </w:p>
    <w:p>
      <w:pPr>
        <w:pStyle w:val="BodyText"/>
        <w:spacing w:line="240" w:lineRule="auto" w:before="139"/>
        <w:ind w:left="473" w:right="977"/>
        <w:jc w:val="left"/>
        <w:rPr>
          <w:rFonts w:ascii="宋体" w:hAnsi="宋体" w:cs="宋体" w:eastAsia="宋体" w:hint="default"/>
        </w:rPr>
      </w:pPr>
      <w:r>
        <w:rPr/>
        <w:t>③存货跌价准备一般按单个存货项目计提；对于数量繁多、单价较低的存货，按存货类别计提。</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9" w:lineRule="auto"/>
        <w:ind w:right="1131" w:firstLine="360"/>
        <w:jc w:val="both"/>
        <w:rPr>
          <w:rFonts w:ascii="宋体" w:hAnsi="宋体" w:cs="宋体" w:eastAsia="宋体" w:hint="default"/>
        </w:rPr>
      </w:pPr>
      <w:r>
        <w:rPr>
          <w:spacing w:val="-2"/>
        </w:rPr>
        <w:t>④资产负债表日如果以前减记存货价值的影响因素已经消失，则减记的金额予以恢复，并在原已计提的存货跌价准备的</w:t>
      </w:r>
      <w:r>
        <w:rPr/>
        <w:t> 金额内转回，转回的金额计入当期损益。</w:t>
      </w:r>
      <w:r>
        <w:rPr>
          <w:rFonts w:ascii="宋体" w:hAnsi="宋体" w:cs="宋体" w:eastAsia="宋体" w:hint="default"/>
        </w:rPr>
        <w:t> </w:t>
      </w:r>
    </w:p>
    <w:p>
      <w:pPr>
        <w:pStyle w:val="BodyText"/>
        <w:spacing w:line="240" w:lineRule="auto" w:before="137"/>
        <w:ind w:left="473" w:right="977"/>
        <w:jc w:val="left"/>
        <w:rPr>
          <w:rFonts w:ascii="宋体" w:hAnsi="宋体" w:cs="宋体" w:eastAsia="宋体" w:hint="default"/>
        </w:rPr>
      </w:pPr>
      <w:r>
        <w:rPr/>
        <w:t>（</w:t>
      </w:r>
      <w:r>
        <w:rPr>
          <w:rFonts w:ascii="宋体" w:hAnsi="宋体" w:cs="宋体" w:eastAsia="宋体" w:hint="default"/>
        </w:rPr>
        <w:t>5</w:t>
      </w:r>
      <w:r>
        <w:rPr/>
        <w:t>）周转材料的摊销方法</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473" w:right="977"/>
        <w:jc w:val="left"/>
        <w:rPr>
          <w:rFonts w:ascii="宋体" w:hAnsi="宋体" w:cs="宋体" w:eastAsia="宋体" w:hint="default"/>
        </w:rPr>
      </w:pPr>
      <w:r>
        <w:rPr/>
        <w:t>①低值易耗品摊销方法：在领用时采用一次转销法。</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473" w:right="977"/>
        <w:jc w:val="left"/>
        <w:rPr>
          <w:rFonts w:ascii="宋体" w:hAnsi="宋体" w:cs="宋体" w:eastAsia="宋体" w:hint="default"/>
        </w:rPr>
      </w:pPr>
      <w:r>
        <w:rPr/>
        <w:t>②包装物的摊销方法：在领用时采用一次转销法。</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left="473" w:right="1845"/>
        <w:jc w:val="left"/>
        <w:rPr>
          <w:rFonts w:ascii="宋体" w:hAnsi="宋体" w:cs="宋体" w:eastAsia="宋体" w:hint="default"/>
        </w:rPr>
      </w:pPr>
      <w:r>
        <w:rPr/>
        <w:t>（</w:t>
      </w:r>
      <w:r>
        <w:rPr>
          <w:rFonts w:ascii="宋体" w:hAnsi="宋体" w:cs="宋体" w:eastAsia="宋体" w:hint="default"/>
        </w:rPr>
        <w:t>1</w:t>
      </w:r>
      <w:r>
        <w:rPr/>
        <w:t>）持有待售的非流动资产或处置组的分类</w:t>
      </w:r>
      <w:r>
        <w:rPr>
          <w:rFonts w:ascii="宋体" w:hAnsi="宋体" w:cs="宋体" w:eastAsia="宋体" w:hint="default"/>
        </w:rPr>
        <w:t> </w:t>
      </w:r>
      <w:r>
        <w:rPr/>
        <w:t>本公司将同时满足下列条件的非流动资产或处置组划分为持有待售类别：</w:t>
      </w:r>
      <w:r>
        <w:rPr>
          <w:rFonts w:ascii="宋体" w:hAnsi="宋体" w:cs="宋体" w:eastAsia="宋体" w:hint="default"/>
        </w:rPr>
        <w:t> </w:t>
      </w:r>
    </w:p>
    <w:p>
      <w:pPr>
        <w:pStyle w:val="BodyText"/>
        <w:spacing w:line="240" w:lineRule="auto" w:before="47"/>
        <w:ind w:left="473" w:right="977"/>
        <w:jc w:val="left"/>
        <w:rPr>
          <w:rFonts w:ascii="宋体" w:hAnsi="宋体" w:cs="宋体" w:eastAsia="宋体" w:hint="default"/>
        </w:rPr>
      </w:pPr>
      <w:r>
        <w:rPr/>
        <w:t>①根据类似交易中出售此类资产或处置组的惯例，在当前状况下即可立即出售；</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28" w:firstLine="360"/>
        <w:jc w:val="both"/>
        <w:rPr>
          <w:rFonts w:ascii="宋体" w:hAnsi="宋体" w:cs="宋体" w:eastAsia="宋体" w:hint="default"/>
        </w:rPr>
      </w:pPr>
      <w:r>
        <w:rPr>
          <w:spacing w:val="-2"/>
        </w:rPr>
        <w:t>②出售极可能发生，即本公司已经就一项出售计划作出决议且获得确定的购买承诺，预计出售将在一年内完成。有关规</w:t>
      </w:r>
      <w:r>
        <w:rPr/>
        <w:t> 定要求本公司相关权力机构或者监管部门批准后方可出售的，已经获得批准。</w:t>
      </w:r>
      <w:r>
        <w:rPr>
          <w:rFonts w:ascii="宋体" w:hAnsi="宋体" w:cs="宋体" w:eastAsia="宋体" w:hint="default"/>
        </w:rPr>
        <w:t> </w:t>
      </w:r>
    </w:p>
    <w:p>
      <w:pPr>
        <w:pStyle w:val="BodyText"/>
        <w:spacing w:line="316" w:lineRule="auto" w:before="139"/>
        <w:ind w:right="1133" w:firstLine="360"/>
        <w:jc w:val="both"/>
        <w:rPr>
          <w:rFonts w:ascii="宋体" w:hAnsi="宋体" w:cs="宋体" w:eastAsia="宋体" w:hint="default"/>
        </w:rPr>
      </w:pPr>
      <w:r>
        <w:rPr>
          <w:spacing w:val="-2"/>
        </w:rPr>
        <w:t>本公司专为转售而取得的非流动资产或处置组，在取得日满足“预计出售将在一年内完成”的规定条件，且短期（通常</w:t>
      </w:r>
      <w:r>
        <w:rPr/>
        <w:t> 为</w:t>
      </w:r>
      <w:r>
        <w:rPr>
          <w:rFonts w:ascii="宋体" w:hAnsi="宋体" w:cs="宋体" w:eastAsia="宋体" w:hint="default"/>
        </w:rPr>
        <w:t>3</w:t>
      </w:r>
      <w:r>
        <w:rPr/>
        <w:t>个月）内很可能满足持有待售类别的其他划分条件的，本公司在取得日将其划分为持有待售类别。</w:t>
      </w:r>
      <w:r>
        <w:rPr>
          <w:rFonts w:ascii="宋体" w:hAnsi="宋体" w:cs="宋体" w:eastAsia="宋体" w:hint="default"/>
        </w:rPr>
        <w:t> </w:t>
      </w:r>
    </w:p>
    <w:p>
      <w:pPr>
        <w:pStyle w:val="BodyText"/>
        <w:spacing w:line="316" w:lineRule="auto" w:before="139"/>
        <w:ind w:right="1131" w:firstLine="360"/>
        <w:jc w:val="both"/>
        <w:rPr>
          <w:rFonts w:ascii="宋体" w:hAnsi="宋体" w:cs="宋体" w:eastAsia="宋体" w:hint="default"/>
        </w:rPr>
      </w:pPr>
      <w:r>
        <w:rPr>
          <w:spacing w:val="-2"/>
        </w:rPr>
        <w:t>本公司因出售对子公司的投资等原因导致其丧失对子公司控制权的，无论出售后本公司是否保留部分权益性投资，在拟</w:t>
      </w:r>
      <w:r>
        <w:rPr/>
        <w:t> </w:t>
      </w:r>
      <w:r>
        <w:rPr>
          <w:spacing w:val="-2"/>
        </w:rPr>
        <w:t>出售的对子公司投资满足持有待售类别划分条件时，在母公司个别财务报表中将对子公司投资整体划分为持有待售类别，在</w:t>
      </w:r>
      <w:r>
        <w:rPr>
          <w:spacing w:val="-63"/>
        </w:rPr>
        <w:t> </w:t>
      </w:r>
      <w:r>
        <w:rPr>
          <w:spacing w:val="-63"/>
        </w:rPr>
      </w:r>
      <w:r>
        <w:rPr/>
        <w:t>合并财务报表中将子公司所有资产和负债划分为持有待售类别。</w:t>
      </w:r>
      <w:r>
        <w:rPr>
          <w:rFonts w:ascii="宋体" w:hAnsi="宋体" w:cs="宋体" w:eastAsia="宋体" w:hint="default"/>
        </w:rPr>
        <w:t> </w:t>
      </w:r>
    </w:p>
    <w:p>
      <w:pPr>
        <w:pStyle w:val="BodyText"/>
        <w:spacing w:line="432" w:lineRule="exact" w:before="4"/>
        <w:ind w:left="473" w:right="977"/>
        <w:jc w:val="left"/>
      </w:pPr>
      <w:r>
        <w:rPr/>
        <w:t>（</w:t>
      </w:r>
      <w:r>
        <w:rPr>
          <w:rFonts w:ascii="宋体" w:hAnsi="宋体" w:cs="宋体" w:eastAsia="宋体" w:hint="default"/>
        </w:rPr>
        <w:t>2</w:t>
      </w:r>
      <w:r>
        <w:rPr/>
        <w:t>）持有待售的非流动资产或处置组的计量</w:t>
      </w:r>
      <w:r>
        <w:rPr>
          <w:rFonts w:ascii="宋体" w:hAnsi="宋体" w:cs="宋体" w:eastAsia="宋体" w:hint="default"/>
        </w:rPr>
        <w:t> </w:t>
      </w:r>
      <w:r>
        <w:rPr>
          <w:spacing w:val="-2"/>
        </w:rPr>
        <w:t>采用公允价值模式进行后续计量的投资性房地产、采用公允价值减去出售费用后的净额计量的生物资产、职工薪酬形成</w:t>
      </w:r>
    </w:p>
    <w:p>
      <w:pPr>
        <w:pStyle w:val="BodyText"/>
        <w:spacing w:line="316" w:lineRule="auto" w:before="15"/>
        <w:ind w:right="977"/>
        <w:jc w:val="left"/>
        <w:rPr>
          <w:rFonts w:ascii="宋体" w:hAnsi="宋体" w:cs="宋体" w:eastAsia="宋体" w:hint="default"/>
        </w:rPr>
      </w:pPr>
      <w:r>
        <w:rPr>
          <w:spacing w:val="-2"/>
        </w:rPr>
        <w:t>的资产、递延所得税资产、由金融工具相关会计准则规范的金融资产及由保险合同相关会计准则规范的保险合同所产生的权</w:t>
      </w:r>
      <w:r>
        <w:rPr>
          <w:spacing w:val="-62"/>
        </w:rPr>
        <w:t> </w:t>
      </w:r>
      <w:r>
        <w:rPr>
          <w:spacing w:val="-62"/>
        </w:rPr>
      </w:r>
      <w:r>
        <w:rPr/>
        <w:t>利的计量分别适用于其他相关会计准则。</w:t>
      </w:r>
      <w:r>
        <w:rPr>
          <w:rFonts w:ascii="宋体" w:hAnsi="宋体" w:cs="宋体" w:eastAsia="宋体" w:hint="default"/>
        </w:rPr>
        <w:t> </w:t>
      </w:r>
    </w:p>
    <w:p>
      <w:pPr>
        <w:pStyle w:val="BodyText"/>
        <w:spacing w:line="316" w:lineRule="auto" w:before="139"/>
        <w:ind w:right="1129" w:firstLine="360"/>
        <w:jc w:val="both"/>
        <w:rPr>
          <w:rFonts w:ascii="宋体" w:hAnsi="宋体" w:cs="宋体" w:eastAsia="宋体" w:hint="default"/>
        </w:rPr>
      </w:pPr>
      <w:r>
        <w:rPr>
          <w:spacing w:val="-2"/>
        </w:rPr>
        <w:t>初始计量或在资产负债表日重新计量持有待售的非流动资产或处置组时，其账面价值高于公允价值减去出售费用后的净</w:t>
      </w:r>
      <w:r>
        <w:rPr/>
        <w:t> </w:t>
      </w:r>
      <w:r>
        <w:rPr>
          <w:spacing w:val="-2"/>
        </w:rPr>
        <w:t>额的，将账面价值减记至公允价值减去出售费用后的净额，减记的金额确认为资产减值损失，计入当期损益，同时计提持有</w:t>
      </w:r>
      <w:r>
        <w:rPr>
          <w:spacing w:val="-63"/>
        </w:rPr>
        <w:t> </w:t>
      </w:r>
      <w:r>
        <w:rPr>
          <w:spacing w:val="-63"/>
        </w:rPr>
      </w:r>
      <w:r>
        <w:rPr/>
        <w:t>待售资产减值准备。</w:t>
      </w:r>
      <w:r>
        <w:rPr>
          <w:rFonts w:ascii="宋体" w:hAnsi="宋体" w:cs="宋体" w:eastAsia="宋体" w:hint="default"/>
        </w:rPr>
        <w:t> </w:t>
      </w:r>
    </w:p>
    <w:p>
      <w:pPr>
        <w:pStyle w:val="BodyText"/>
        <w:spacing w:line="316" w:lineRule="auto" w:before="139"/>
        <w:ind w:right="1129" w:firstLine="360"/>
        <w:jc w:val="both"/>
        <w:rPr>
          <w:rFonts w:ascii="宋体" w:hAnsi="宋体" w:cs="宋体" w:eastAsia="宋体" w:hint="default"/>
        </w:rPr>
      </w:pPr>
      <w:r>
        <w:rPr/>
        <w:t>非流动资产或处置组因不再满足持有待售类别的划分条件而不再继续划分为持有待售类别或非流动资产从持有待售的 处置组中移除时，按照以下两者孰低计量：</w:t>
      </w:r>
      <w:r>
        <w:rPr>
          <w:rFonts w:ascii="宋体" w:hAnsi="宋体" w:cs="宋体" w:eastAsia="宋体" w:hint="default"/>
        </w:rPr>
        <w:t> </w:t>
      </w:r>
    </w:p>
    <w:p>
      <w:pPr>
        <w:pStyle w:val="BodyText"/>
        <w:spacing w:line="319" w:lineRule="auto" w:before="136"/>
        <w:ind w:right="1131" w:firstLine="360"/>
        <w:jc w:val="both"/>
        <w:rPr>
          <w:rFonts w:ascii="宋体" w:hAnsi="宋体" w:cs="宋体" w:eastAsia="宋体" w:hint="default"/>
        </w:rPr>
      </w:pPr>
      <w:r>
        <w:rPr>
          <w:spacing w:val="-2"/>
        </w:rPr>
        <w:t>①划分为持有待售类别前的账面价值，按照假定不划分为持有待售类别情况下本应确认的折旧、摊销或减值等进行调整</w:t>
      </w:r>
      <w:r>
        <w:rPr/>
        <w:t> 后的金额；</w:t>
      </w:r>
      <w:r>
        <w:rPr>
          <w:rFonts w:ascii="宋体" w:hAnsi="宋体" w:cs="宋体" w:eastAsia="宋体" w:hint="default"/>
        </w:rPr>
        <w:t> </w:t>
      </w:r>
    </w:p>
    <w:p>
      <w:pPr>
        <w:spacing w:after="0" w:line="319" w:lineRule="auto"/>
        <w:jc w:val="both"/>
        <w:rPr>
          <w:rFonts w:ascii="宋体" w:hAnsi="宋体" w:cs="宋体" w:eastAsia="宋体" w:hint="default"/>
        </w:rPr>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240" w:lineRule="auto" w:before="44"/>
        <w:ind w:left="473" w:right="977"/>
        <w:jc w:val="left"/>
        <w:rPr>
          <w:rFonts w:ascii="宋体" w:hAnsi="宋体" w:cs="宋体" w:eastAsia="宋体" w:hint="default"/>
        </w:rPr>
      </w:pPr>
      <w:r>
        <w:rPr/>
        <w:t>②可收回金额。</w:t>
      </w:r>
      <w:r>
        <w:rPr>
          <w:rFonts w:ascii="宋体" w:hAnsi="宋体" w:cs="宋体" w:eastAsia="宋体" w:hint="default"/>
        </w:rPr>
        <w:t> </w:t>
      </w:r>
    </w:p>
    <w:p>
      <w:pPr>
        <w:pStyle w:val="BodyText"/>
        <w:spacing w:line="430" w:lineRule="atLeast" w:before="2"/>
        <w:ind w:left="473" w:right="977"/>
        <w:jc w:val="left"/>
      </w:pPr>
      <w:r>
        <w:rPr/>
        <w:t>（</w:t>
      </w:r>
      <w:r>
        <w:rPr>
          <w:rFonts w:ascii="宋体" w:hAnsi="宋体" w:cs="宋体" w:eastAsia="宋体" w:hint="default"/>
        </w:rPr>
        <w:t>3</w:t>
      </w:r>
      <w:r>
        <w:rPr/>
        <w:t>）列报</w:t>
      </w:r>
      <w:r>
        <w:rPr>
          <w:rFonts w:ascii="宋体" w:hAnsi="宋体" w:cs="宋体" w:eastAsia="宋体" w:hint="default"/>
        </w:rPr>
        <w:t> </w:t>
      </w:r>
      <w:r>
        <w:rPr>
          <w:spacing w:val="-2"/>
        </w:rPr>
        <w:t>本公司在资产负债表中区别于其他资产单独列示持有待售的非流动资产或持有待售的处置组中的资产，区别于其他负债</w:t>
      </w:r>
    </w:p>
    <w:p>
      <w:pPr>
        <w:pStyle w:val="BodyText"/>
        <w:spacing w:line="316" w:lineRule="auto" w:before="76"/>
        <w:ind w:right="1131"/>
        <w:jc w:val="both"/>
        <w:rPr>
          <w:rFonts w:ascii="宋体" w:hAnsi="宋体" w:cs="宋体" w:eastAsia="宋体" w:hint="default"/>
        </w:rPr>
      </w:pPr>
      <w:r>
        <w:rPr>
          <w:spacing w:val="-2"/>
        </w:rPr>
        <w:t>单独列示持有待售的处置组中的负债。持有待售的非流动资产或持有待售的处置组中的资产与持有待售的处置组中的负债不</w:t>
      </w:r>
      <w:r>
        <w:rPr>
          <w:spacing w:val="-64"/>
        </w:rPr>
        <w:t> </w:t>
      </w:r>
      <w:r>
        <w:rPr>
          <w:spacing w:val="-64"/>
        </w:rPr>
      </w:r>
      <w:r>
        <w:rPr/>
        <w:t>予相互抵销，分别作为流动资产和流动负债列示。</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3"/>
        <w:spacing w:line="240" w:lineRule="auto"/>
        <w:ind w:right="977"/>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rPr>
          <w:rFonts w:ascii="宋体" w:hAnsi="宋体" w:cs="宋体" w:eastAsia="宋体" w:hint="default"/>
        </w:rPr>
      </w:pPr>
      <w:r>
        <w:rPr>
          <w:spacing w:val="-2"/>
        </w:rPr>
        <w:t>本公司长期股权投资包括对被投资单位实施控制、重大影响的权益性投资，以及对合营企业的权益性投资。本公司能够</w:t>
      </w:r>
      <w:r>
        <w:rPr/>
        <w:t> 对被投资单位施加重大影响的，为本公司的联营企业。</w:t>
      </w:r>
      <w:r>
        <w:rPr>
          <w:rFonts w:ascii="宋体" w:hAnsi="宋体" w:cs="宋体" w:eastAsia="宋体" w:hint="default"/>
        </w:rPr>
        <w:t> </w:t>
      </w:r>
    </w:p>
    <w:p>
      <w:pPr>
        <w:pStyle w:val="BodyText"/>
        <w:spacing w:line="432" w:lineRule="exact" w:before="4"/>
        <w:ind w:left="473" w:right="977"/>
        <w:jc w:val="left"/>
      </w:pPr>
      <w:r>
        <w:rPr/>
        <w:t>（</w:t>
      </w:r>
      <w:r>
        <w:rPr>
          <w:rFonts w:ascii="宋体" w:hAnsi="宋体" w:cs="宋体" w:eastAsia="宋体" w:hint="default"/>
        </w:rPr>
        <w:t>1</w:t>
      </w:r>
      <w:r>
        <w:rPr/>
        <w:t>）确定对被投资单位具有共同控制、重大影响的依据</w:t>
      </w:r>
      <w:r>
        <w:rPr>
          <w:rFonts w:ascii="宋体" w:hAnsi="宋体" w:cs="宋体" w:eastAsia="宋体" w:hint="default"/>
        </w:rPr>
        <w:t> </w:t>
      </w:r>
      <w:r>
        <w:rPr>
          <w:spacing w:val="-2"/>
        </w:rPr>
        <w:t>共同控制，是指按照相关约定对某项安排所共有的控制，并且该安排的相关活动必须经过分享控制权的参与方一致同意</w:t>
      </w:r>
    </w:p>
    <w:p>
      <w:pPr>
        <w:pStyle w:val="BodyText"/>
        <w:spacing w:line="316" w:lineRule="auto" w:before="15"/>
        <w:ind w:right="1128"/>
        <w:jc w:val="both"/>
        <w:rPr>
          <w:rFonts w:ascii="宋体" w:hAnsi="宋体" w:cs="宋体" w:eastAsia="宋体" w:hint="default"/>
        </w:rPr>
      </w:pPr>
      <w:r>
        <w:rPr>
          <w:spacing w:val="-2"/>
        </w:rPr>
        <w:t>后才能决策。在判断是否存在共同控制时，首先判断所有参与方或参与方组合是否集体控制该安排，如果所有参与方或一组</w:t>
      </w:r>
      <w:r>
        <w:rPr>
          <w:spacing w:val="-63"/>
        </w:rPr>
        <w:t> </w:t>
      </w:r>
      <w:r>
        <w:rPr>
          <w:spacing w:val="-63"/>
        </w:rPr>
      </w:r>
      <w:r>
        <w:rPr>
          <w:spacing w:val="-2"/>
        </w:rPr>
        <w:t>参与方必须一致行动才能决定某项安排的相关活动，则认为所有参与方或一组参与方集体控制该安排。其次再判断该安排相</w:t>
      </w:r>
      <w:r>
        <w:rPr>
          <w:spacing w:val="-64"/>
        </w:rPr>
        <w:t> </w:t>
      </w:r>
      <w:r>
        <w:rPr>
          <w:spacing w:val="-64"/>
        </w:rPr>
      </w:r>
      <w:r>
        <w:rPr>
          <w:spacing w:val="-2"/>
        </w:rPr>
        <w:t>关活动的决策是否必须经过这些集体控制该安排的参与方一致同意。如果存在两个或两个以上的参与方组合能够集体控制某</w:t>
      </w:r>
      <w:r>
        <w:rPr>
          <w:spacing w:val="-63"/>
        </w:rPr>
        <w:t> </w:t>
      </w:r>
      <w:r>
        <w:rPr>
          <w:spacing w:val="-63"/>
        </w:rPr>
      </w:r>
      <w:r>
        <w:rPr/>
        <w:t>项安排的，不构成共同控制。判断是否存在共同控制时，不考虑享有的保护性权利。</w:t>
      </w:r>
      <w:r>
        <w:rPr>
          <w:rFonts w:ascii="宋体" w:hAnsi="宋体" w:cs="宋体" w:eastAsia="宋体" w:hint="default"/>
        </w:rPr>
        <w:t> </w:t>
      </w:r>
    </w:p>
    <w:p>
      <w:pPr>
        <w:pStyle w:val="BodyText"/>
        <w:spacing w:line="316" w:lineRule="auto" w:before="139"/>
        <w:ind w:right="1131" w:firstLine="360"/>
        <w:jc w:val="both"/>
        <w:rPr>
          <w:rFonts w:ascii="宋体" w:hAnsi="宋体" w:cs="宋体" w:eastAsia="宋体" w:hint="default"/>
        </w:rPr>
      </w:pPr>
      <w:r>
        <w:rPr>
          <w:spacing w:val="-2"/>
        </w:rPr>
        <w:t>重大影响，是指投资方对被投资单位的财务和经营政策有参与决策的权力，但并不能够控制或者与其他方一起共同控制</w:t>
      </w:r>
      <w:r>
        <w:rPr/>
        <w:t> </w:t>
      </w:r>
      <w:r>
        <w:rPr>
          <w:spacing w:val="-2"/>
        </w:rPr>
        <w:t>这些政策的制定。在确定能否对被投资单位施加重大影响时，考虑投资方直接或间接持有被投资单位的表决权股份以及投资</w:t>
      </w:r>
      <w:r>
        <w:rPr>
          <w:spacing w:val="-64"/>
        </w:rPr>
        <w:t> </w:t>
      </w:r>
      <w:r>
        <w:rPr>
          <w:spacing w:val="-64"/>
        </w:rPr>
      </w:r>
      <w:r>
        <w:rPr>
          <w:spacing w:val="-2"/>
        </w:rPr>
        <w:t>方及其他方持有的当期可执行潜在表决权在假定转换为对被投资方单位的股权后产生的影响，包括被投资单位发行的当期可</w:t>
      </w:r>
      <w:r>
        <w:rPr>
          <w:spacing w:val="-65"/>
        </w:rPr>
        <w:t> </w:t>
      </w:r>
      <w:r>
        <w:rPr>
          <w:spacing w:val="-65"/>
        </w:rPr>
      </w:r>
      <w:r>
        <w:rPr/>
        <w:t>转换的认股权证、股份期权及可转换公司债券等的影响。</w:t>
      </w:r>
      <w:r>
        <w:rPr>
          <w:rFonts w:ascii="宋体" w:hAnsi="宋体" w:cs="宋体" w:eastAsia="宋体" w:hint="default"/>
        </w:rPr>
        <w:t> </w:t>
      </w:r>
    </w:p>
    <w:p>
      <w:pPr>
        <w:pStyle w:val="BodyText"/>
        <w:spacing w:line="316" w:lineRule="auto" w:before="139"/>
        <w:ind w:right="1134" w:firstLine="360"/>
        <w:jc w:val="both"/>
        <w:rPr>
          <w:rFonts w:ascii="宋体" w:hAnsi="宋体" w:cs="宋体" w:eastAsia="宋体" w:hint="default"/>
        </w:rPr>
      </w:pPr>
      <w:r>
        <w:rPr/>
        <w:t>当本公司直接或通过子公司间接拥有被投资单位</w:t>
      </w:r>
      <w:r>
        <w:rPr>
          <w:rFonts w:ascii="宋体" w:hAnsi="宋体" w:cs="宋体" w:eastAsia="宋体" w:hint="default"/>
        </w:rPr>
        <w:t>20%</w:t>
      </w:r>
      <w:r>
        <w:rPr/>
        <w:t>（含</w:t>
      </w:r>
      <w:r>
        <w:rPr>
          <w:rFonts w:ascii="宋体" w:hAnsi="宋体" w:cs="宋体" w:eastAsia="宋体" w:hint="default"/>
        </w:rPr>
        <w:t>20%</w:t>
      </w:r>
      <w:r>
        <w:rPr/>
        <w:t>）以上但低于</w:t>
      </w:r>
      <w:r>
        <w:rPr>
          <w:rFonts w:ascii="宋体" w:hAnsi="宋体" w:cs="宋体" w:eastAsia="宋体" w:hint="default"/>
        </w:rPr>
        <w:t>50%</w:t>
      </w:r>
      <w:r>
        <w:rPr/>
        <w:t>的表决权股份时，一般认为对被投资单位 具有重大影响，除非有明确证据表明该种情况下不能参与被投资单位的生产经营决策，不形成重大影响。</w:t>
      </w:r>
      <w:r>
        <w:rPr>
          <w:rFonts w:ascii="宋体" w:hAnsi="宋体" w:cs="宋体" w:eastAsia="宋体" w:hint="default"/>
        </w:rPr>
        <w:t> </w:t>
      </w:r>
    </w:p>
    <w:p>
      <w:pPr>
        <w:pStyle w:val="BodyText"/>
        <w:spacing w:line="439" w:lineRule="auto" w:before="139"/>
        <w:ind w:left="473" w:right="4994"/>
        <w:jc w:val="left"/>
        <w:rPr>
          <w:rFonts w:ascii="宋体" w:hAnsi="宋体" w:cs="宋体" w:eastAsia="宋体" w:hint="default"/>
        </w:rPr>
      </w:pPr>
      <w:r>
        <w:rPr/>
        <w:t>（</w:t>
      </w:r>
      <w:r>
        <w:rPr>
          <w:rFonts w:ascii="宋体" w:hAnsi="宋体" w:cs="宋体" w:eastAsia="宋体" w:hint="default"/>
        </w:rPr>
        <w:t>2</w:t>
      </w:r>
      <w:r>
        <w:rPr/>
        <w:t>）初始投资成本确定</w:t>
      </w:r>
      <w:r>
        <w:rPr>
          <w:rFonts w:ascii="宋体" w:hAnsi="宋体" w:cs="宋体" w:eastAsia="宋体" w:hint="default"/>
        </w:rPr>
        <w:t> </w:t>
      </w:r>
      <w:r>
        <w:rPr/>
        <w:t>企业合并形成的长期股权投资，按照下列规定确定其投资成本：</w:t>
      </w:r>
      <w:r>
        <w:rPr>
          <w:rFonts w:ascii="宋体" w:hAnsi="宋体" w:cs="宋体" w:eastAsia="宋体" w:hint="default"/>
        </w:rPr>
        <w:t> </w:t>
      </w:r>
    </w:p>
    <w:p>
      <w:pPr>
        <w:pStyle w:val="BodyText"/>
        <w:spacing w:line="316" w:lineRule="auto" w:before="47"/>
        <w:ind w:right="1129" w:firstLine="360"/>
        <w:jc w:val="both"/>
        <w:rPr>
          <w:rFonts w:ascii="宋体" w:hAnsi="宋体" w:cs="宋体" w:eastAsia="宋体" w:hint="default"/>
        </w:rPr>
      </w:pPr>
      <w:r>
        <w:rPr>
          <w:rFonts w:ascii="宋体" w:hAnsi="宋体" w:cs="宋体" w:eastAsia="宋体" w:hint="default"/>
          <w:spacing w:val="-2"/>
        </w:rPr>
        <w:t>A.</w:t>
      </w:r>
      <w:r>
        <w:rPr>
          <w:spacing w:val="-2"/>
        </w:rPr>
        <w:t>同一控制下的企业合并，合并方以支付现金、转让非现金资产或承担债务方式作为合并对价的，在合并日按照被合并</w:t>
      </w:r>
      <w:r>
        <w:rPr/>
        <w:t> </w:t>
      </w:r>
      <w:r>
        <w:rPr>
          <w:spacing w:val="-2"/>
        </w:rPr>
        <w:t>方所有者权益在最终控制方合并财务报表中的账面价值的份额作为长期股权投资的初始投资成本。长期股权投资初始投资成</w:t>
      </w:r>
      <w:r>
        <w:rPr>
          <w:spacing w:val="-62"/>
        </w:rPr>
        <w:t> </w:t>
      </w:r>
      <w:r>
        <w:rPr>
          <w:spacing w:val="-62"/>
        </w:rPr>
      </w:r>
      <w:r>
        <w:rPr>
          <w:spacing w:val="-2"/>
        </w:rPr>
        <w:t>本与支付的现金、转让的非现金资产以及所承担债务账面价值之间的差额，调整资本公积；资本公积不足冲减的，调整留存</w:t>
      </w:r>
      <w:r>
        <w:rPr>
          <w:spacing w:val="-63"/>
        </w:rPr>
        <w:t> </w:t>
      </w:r>
      <w:r>
        <w:rPr>
          <w:spacing w:val="-63"/>
        </w:rPr>
      </w:r>
      <w:r>
        <w:rPr/>
        <w:t>收益；</w:t>
      </w:r>
      <w:r>
        <w:rPr>
          <w:rFonts w:ascii="宋体" w:hAnsi="宋体" w:cs="宋体" w:eastAsia="宋体" w:hint="default"/>
        </w:rPr>
        <w:t> </w:t>
      </w:r>
    </w:p>
    <w:p>
      <w:pPr>
        <w:pStyle w:val="BodyText"/>
        <w:spacing w:line="319" w:lineRule="auto" w:before="139"/>
        <w:ind w:right="1131" w:firstLine="360"/>
        <w:jc w:val="both"/>
        <w:rPr>
          <w:rFonts w:ascii="宋体" w:hAnsi="宋体" w:cs="宋体" w:eastAsia="宋体" w:hint="default"/>
        </w:rPr>
      </w:pPr>
      <w:r>
        <w:rPr>
          <w:rFonts w:ascii="宋体" w:hAnsi="宋体" w:cs="宋体" w:eastAsia="宋体" w:hint="default"/>
          <w:spacing w:val="-2"/>
        </w:rPr>
        <w:t>B.</w:t>
      </w:r>
      <w:r>
        <w:rPr>
          <w:spacing w:val="-2"/>
        </w:rPr>
        <w:t>同一控制下的企业合并，合并方以发行权益性证券作为合并对价的，在合并日按照被合并方所有者权益在最终控制方</w:t>
      </w:r>
      <w:r>
        <w:rPr/>
        <w:t> </w:t>
      </w:r>
      <w:r>
        <w:rPr>
          <w:spacing w:val="-2"/>
        </w:rPr>
        <w:t>合并财务报表中的账面价值的份额作为长期股权投资的初始投资成本。按照发行股份的面值总额作为股本，长期股权投资初</w:t>
      </w:r>
      <w:r>
        <w:rPr>
          <w:spacing w:val="-62"/>
        </w:rPr>
        <w:t> </w:t>
      </w:r>
      <w:r>
        <w:rPr>
          <w:spacing w:val="-62"/>
        </w:rPr>
      </w:r>
      <w:r>
        <w:rPr/>
        <w:t>始投资成本与所发行股份面值总额之间的差额，调整资本公积；资本公积不足冲减的，调整留存收益；</w:t>
      </w:r>
      <w:r>
        <w:rPr>
          <w:rFonts w:ascii="宋体" w:hAnsi="宋体" w:cs="宋体" w:eastAsia="宋体" w:hint="default"/>
        </w:rPr>
        <w:t> </w:t>
      </w:r>
    </w:p>
    <w:p>
      <w:pPr>
        <w:pStyle w:val="BodyText"/>
        <w:spacing w:line="316" w:lineRule="auto" w:before="137"/>
        <w:ind w:right="1131" w:firstLine="360"/>
        <w:jc w:val="both"/>
        <w:rPr>
          <w:rFonts w:ascii="宋体" w:hAnsi="宋体" w:cs="宋体" w:eastAsia="宋体" w:hint="default"/>
        </w:rPr>
      </w:pPr>
      <w:r>
        <w:rPr>
          <w:rFonts w:ascii="宋体" w:hAnsi="宋体" w:cs="宋体" w:eastAsia="宋体" w:hint="default"/>
          <w:spacing w:val="-2"/>
        </w:rPr>
        <w:t>C.</w:t>
      </w:r>
      <w:r>
        <w:rPr>
          <w:spacing w:val="-2"/>
        </w:rPr>
        <w:t>非同一控制下的企业合并，以购买日为取得对被购买方的控制权而付出的资产、发生或承担的负债以及发行的权益性</w:t>
      </w:r>
      <w:r>
        <w:rPr/>
        <w:t> </w:t>
      </w:r>
      <w:r>
        <w:rPr>
          <w:spacing w:val="-2"/>
        </w:rPr>
        <w:t>证券的公允价值确定为合并成本作为长期股权投资的初始投资成本。合并方为企业合并发生的审计、法律服务、评估咨询等</w:t>
      </w:r>
      <w:r>
        <w:rPr>
          <w:spacing w:val="-65"/>
        </w:rPr>
        <w:t> </w:t>
      </w:r>
      <w:r>
        <w:rPr>
          <w:spacing w:val="-65"/>
        </w:rPr>
      </w:r>
      <w:r>
        <w:rPr/>
        <w:t>中介费用以及其他相关管理费用，于发生时计入当期损益。</w:t>
      </w:r>
      <w:r>
        <w:rPr>
          <w:rFonts w:ascii="宋体" w:hAnsi="宋体" w:cs="宋体" w:eastAsia="宋体" w:hint="default"/>
        </w:rPr>
        <w:t> </w:t>
      </w:r>
    </w:p>
    <w:p>
      <w:pPr>
        <w:pStyle w:val="BodyText"/>
        <w:spacing w:line="432" w:lineRule="exact" w:before="3"/>
        <w:ind w:left="473" w:right="977"/>
        <w:jc w:val="left"/>
      </w:pPr>
      <w:r>
        <w:rPr/>
        <w:t>除企业合并形成的长期股权投资以外，其他方式取得的长期股权投资，按照下列规定确定其投资成本：</w:t>
      </w:r>
      <w:r>
        <w:rPr>
          <w:rFonts w:ascii="宋体" w:hAnsi="宋体" w:cs="宋体" w:eastAsia="宋体" w:hint="default"/>
        </w:rPr>
        <w:t> </w:t>
      </w:r>
      <w:r>
        <w:rPr>
          <w:rFonts w:ascii="宋体" w:hAnsi="宋体" w:cs="宋体" w:eastAsia="宋体" w:hint="default"/>
          <w:spacing w:val="-2"/>
        </w:rPr>
        <w:t>A.</w:t>
      </w:r>
      <w:r>
        <w:rPr>
          <w:spacing w:val="-2"/>
        </w:rPr>
        <w:t>以支付现金取得的长期股权投资，按照实际支付的购买价款作为投资成本。初始投资成本包括与取得长期股权投资直</w:t>
      </w:r>
    </w:p>
    <w:p>
      <w:pPr>
        <w:pStyle w:val="BodyText"/>
        <w:spacing w:line="439" w:lineRule="auto" w:before="13"/>
        <w:ind w:left="473" w:right="977" w:hanging="361"/>
        <w:jc w:val="left"/>
      </w:pPr>
      <w:r>
        <w:rPr/>
        <w:t>接相关的费用、税金及其他必要支出；</w:t>
      </w:r>
      <w:r>
        <w:rPr>
          <w:rFonts w:ascii="宋体" w:hAnsi="宋体" w:cs="宋体" w:eastAsia="宋体" w:hint="default"/>
        </w:rPr>
        <w:t> B.</w:t>
      </w:r>
      <w:r>
        <w:rPr/>
        <w:t>以发行权益性证券取得的长期股权投资，按照发行权益性证券的公允价值作为初始投资成本；</w:t>
      </w:r>
      <w:r>
        <w:rPr>
          <w:rFonts w:ascii="宋体" w:hAnsi="宋体" w:cs="宋体" w:eastAsia="宋体" w:hint="default"/>
        </w:rPr>
        <w:t> </w:t>
      </w:r>
      <w:r>
        <w:rPr>
          <w:rFonts w:ascii="宋体" w:hAnsi="宋体" w:cs="宋体" w:eastAsia="宋体" w:hint="default"/>
          <w:spacing w:val="-2"/>
        </w:rPr>
        <w:t>C.</w:t>
      </w:r>
      <w:r>
        <w:rPr>
          <w:spacing w:val="-2"/>
        </w:rPr>
        <w:t>通过非货币性资产交换取得的长期股权投资，如果该项交换具有商业实质且换入资产或换出资产的公允价值能可靠计</w:t>
      </w:r>
    </w:p>
    <w:p>
      <w:pPr>
        <w:spacing w:after="0" w:line="439" w:lineRule="auto"/>
        <w:jc w:val="left"/>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316" w:lineRule="auto" w:before="44"/>
        <w:ind w:right="977"/>
        <w:jc w:val="left"/>
        <w:rPr>
          <w:rFonts w:ascii="宋体" w:hAnsi="宋体" w:cs="宋体" w:eastAsia="宋体" w:hint="default"/>
        </w:rPr>
      </w:pPr>
      <w:r>
        <w:rPr>
          <w:spacing w:val="-2"/>
        </w:rPr>
        <w:t>量，则以换出资产的公允价值和相关税费作为初始投资成本，换出资产的公允价值与账面价值之间的差额计入当期损益；若</w:t>
      </w:r>
      <w:r>
        <w:rPr>
          <w:spacing w:val="-62"/>
        </w:rPr>
        <w:t> </w:t>
      </w:r>
      <w:r>
        <w:rPr>
          <w:spacing w:val="-62"/>
        </w:rPr>
      </w:r>
      <w:r>
        <w:rPr/>
        <w:t>非货币资产交换不同时具备上述两个条件，则按换出资产的账面价值和相关税费作为初始投资成本。</w:t>
      </w:r>
      <w:r>
        <w:rPr>
          <w:rFonts w:ascii="宋体" w:hAnsi="宋体" w:cs="宋体" w:eastAsia="宋体" w:hint="default"/>
        </w:rPr>
        <w:t> </w:t>
      </w:r>
    </w:p>
    <w:p>
      <w:pPr>
        <w:pStyle w:val="BodyText"/>
        <w:spacing w:line="316" w:lineRule="auto" w:before="139"/>
        <w:ind w:right="1131" w:firstLine="360"/>
        <w:jc w:val="both"/>
        <w:rPr>
          <w:rFonts w:ascii="宋体" w:hAnsi="宋体" w:cs="宋体" w:eastAsia="宋体" w:hint="default"/>
        </w:rPr>
      </w:pPr>
      <w:r>
        <w:rPr>
          <w:rFonts w:ascii="宋体" w:hAnsi="宋体" w:cs="宋体" w:eastAsia="宋体" w:hint="default"/>
          <w:spacing w:val="-2"/>
        </w:rPr>
        <w:t>D.</w:t>
      </w:r>
      <w:r>
        <w:rPr>
          <w:spacing w:val="-2"/>
        </w:rPr>
        <w:t>通过债务重组取得的长期股权投资，按取得的股权的公允价值作为初始投资成本，初始投资成本与债权账面价值之间</w:t>
      </w:r>
      <w:r>
        <w:rPr/>
        <w:t> 的差额计入当期损益。</w:t>
      </w:r>
      <w:r>
        <w:rPr>
          <w:rFonts w:ascii="宋体" w:hAnsi="宋体" w:cs="宋体" w:eastAsia="宋体" w:hint="default"/>
        </w:rPr>
        <w:t> </w:t>
      </w:r>
    </w:p>
    <w:p>
      <w:pPr>
        <w:pStyle w:val="BodyText"/>
        <w:spacing w:line="432" w:lineRule="exact" w:before="3"/>
        <w:ind w:left="473" w:right="977"/>
        <w:jc w:val="left"/>
      </w:pPr>
      <w:r>
        <w:rPr/>
        <w:t>（</w:t>
      </w:r>
      <w:r>
        <w:rPr>
          <w:rFonts w:ascii="宋体" w:hAnsi="宋体" w:cs="宋体" w:eastAsia="宋体" w:hint="default"/>
        </w:rPr>
        <w:t>3</w:t>
      </w:r>
      <w:r>
        <w:rPr/>
        <w:t>）后续计量及损益确认方法</w:t>
      </w:r>
      <w:r>
        <w:rPr>
          <w:rFonts w:ascii="宋体" w:hAnsi="宋体" w:cs="宋体" w:eastAsia="宋体" w:hint="default"/>
        </w:rPr>
        <w:t> </w:t>
      </w:r>
      <w:r>
        <w:rPr>
          <w:spacing w:val="-2"/>
        </w:rPr>
        <w:t>本公司能够对被投资单位实施控制的长期股权投资采用成本法核算；对联营企业和合营企业的长期股权投资采用权益法</w:t>
      </w:r>
    </w:p>
    <w:p>
      <w:pPr>
        <w:pStyle w:val="BodyText"/>
        <w:spacing w:line="240" w:lineRule="auto" w:before="15"/>
        <w:ind w:right="977"/>
        <w:jc w:val="left"/>
        <w:rPr>
          <w:rFonts w:ascii="宋体" w:hAnsi="宋体" w:cs="宋体" w:eastAsia="宋体" w:hint="default"/>
        </w:rPr>
      </w:pPr>
      <w:r>
        <w:rPr/>
        <w:t>核算。</w:t>
      </w:r>
      <w:r>
        <w:rPr>
          <w:rFonts w:ascii="宋体" w:hAnsi="宋体" w:cs="宋体" w:eastAsia="宋体" w:hint="default"/>
        </w:rPr>
        <w:t> </w:t>
      </w:r>
    </w:p>
    <w:p>
      <w:pPr>
        <w:pStyle w:val="BodyText"/>
        <w:spacing w:line="430" w:lineRule="atLeast" w:before="2"/>
        <w:ind w:left="473" w:right="977"/>
        <w:jc w:val="left"/>
      </w:pPr>
      <w:r>
        <w:rPr/>
        <w:t>①成本法</w:t>
      </w:r>
      <w:r>
        <w:rPr>
          <w:rFonts w:ascii="宋体" w:hAnsi="宋体" w:cs="宋体" w:eastAsia="宋体" w:hint="default"/>
        </w:rPr>
        <w:t> </w:t>
      </w:r>
      <w:r>
        <w:rPr>
          <w:spacing w:val="-4"/>
        </w:rPr>
        <w:t>采用成本法核算的长期股权投资，追加或收回投资时调整长期股权投资的成本；被投资单位宣告分派的现金股利或利润，</w:t>
      </w:r>
    </w:p>
    <w:p>
      <w:pPr>
        <w:pStyle w:val="BodyText"/>
        <w:spacing w:line="240" w:lineRule="auto" w:before="77"/>
        <w:ind w:right="977"/>
        <w:jc w:val="left"/>
        <w:rPr>
          <w:rFonts w:ascii="宋体" w:hAnsi="宋体" w:cs="宋体" w:eastAsia="宋体" w:hint="default"/>
        </w:rPr>
      </w:pPr>
      <w:r>
        <w:rPr/>
        <w:t>确认为当期投资收益。</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39" w:lineRule="auto"/>
        <w:ind w:left="473" w:right="5714"/>
        <w:jc w:val="left"/>
        <w:rPr>
          <w:rFonts w:ascii="宋体" w:hAnsi="宋体" w:cs="宋体" w:eastAsia="宋体" w:hint="default"/>
        </w:rPr>
      </w:pPr>
      <w:r>
        <w:rPr/>
        <w:t>②权益法</w:t>
      </w:r>
      <w:r>
        <w:rPr>
          <w:rFonts w:ascii="宋体" w:hAnsi="宋体" w:cs="宋体" w:eastAsia="宋体" w:hint="default"/>
        </w:rPr>
        <w:t> </w:t>
      </w:r>
      <w:r>
        <w:rPr/>
        <w:t>按照权益法核算的长期股权投资，一般会计处理为：</w:t>
      </w:r>
      <w:r>
        <w:rPr>
          <w:rFonts w:ascii="宋体" w:hAnsi="宋体" w:cs="宋体" w:eastAsia="宋体" w:hint="default"/>
        </w:rPr>
        <w:t> </w:t>
      </w:r>
    </w:p>
    <w:p>
      <w:pPr>
        <w:pStyle w:val="BodyText"/>
        <w:spacing w:line="316" w:lineRule="auto" w:before="47"/>
        <w:ind w:right="1131" w:firstLine="360"/>
        <w:jc w:val="both"/>
        <w:rPr>
          <w:rFonts w:ascii="宋体" w:hAnsi="宋体" w:cs="宋体" w:eastAsia="宋体" w:hint="default"/>
        </w:rPr>
      </w:pPr>
      <w:r>
        <w:rPr>
          <w:spacing w:val="-2"/>
        </w:rPr>
        <w:t>本公司长期股权投资的投资成本大于投资时应享有被投资单位可辨认净资产公允价值份额的，不调整长期股权投资的初</w:t>
      </w:r>
      <w:r>
        <w:rPr/>
        <w:t> </w:t>
      </w:r>
      <w:r>
        <w:rPr>
          <w:spacing w:val="-2"/>
        </w:rPr>
        <w:t>始投资成本；长期股权投资的初始投资成本小于投资时应享有被投资单位可辨认净资产公允价值份额的，其差额计入当期损</w:t>
      </w:r>
      <w:r>
        <w:rPr>
          <w:spacing w:val="-64"/>
        </w:rPr>
        <w:t> </w:t>
      </w:r>
      <w:r>
        <w:rPr>
          <w:spacing w:val="-64"/>
        </w:rPr>
      </w:r>
      <w:r>
        <w:rPr/>
        <w:t>益，同时调整长期股权投资的成本。</w:t>
      </w:r>
      <w:r>
        <w:rPr>
          <w:rFonts w:ascii="宋体" w:hAnsi="宋体" w:cs="宋体" w:eastAsia="宋体" w:hint="default"/>
        </w:rPr>
        <w:t> </w:t>
      </w:r>
    </w:p>
    <w:p>
      <w:pPr>
        <w:pStyle w:val="BodyText"/>
        <w:spacing w:line="316" w:lineRule="auto" w:before="139"/>
        <w:ind w:right="977" w:firstLine="360"/>
        <w:jc w:val="left"/>
        <w:rPr>
          <w:rFonts w:ascii="宋体" w:hAnsi="宋体" w:cs="宋体" w:eastAsia="宋体" w:hint="default"/>
        </w:rPr>
      </w:pPr>
      <w:r>
        <w:rPr>
          <w:spacing w:val="-2"/>
        </w:rPr>
        <w:t>本公司按照应享有或应分担的被投资单位实现的净损益和其他综合收益的份额，分别确认投资收益和其他综合收益，同</w:t>
      </w:r>
      <w:r>
        <w:rPr/>
        <w:t> </w:t>
      </w:r>
      <w:r>
        <w:rPr>
          <w:spacing w:val="-2"/>
        </w:rPr>
        <w:t>时调整长期股权投资的账面价值；本公司按照被投资单位宣告分派的利润或现金股利计算应享有的部分，相应减少长期股权</w:t>
      </w:r>
      <w:r>
        <w:rPr>
          <w:spacing w:val="-63"/>
        </w:rPr>
        <w:t> </w:t>
      </w:r>
      <w:r>
        <w:rPr>
          <w:spacing w:val="-63"/>
        </w:rPr>
      </w:r>
      <w:r>
        <w:rPr>
          <w:spacing w:val="-2"/>
        </w:rPr>
        <w:t>投资的账面价值；被投资单位除净损益、其他综合收益和利润分配以外所有者权益的其他变动，调整长期股权投资的账面价</w:t>
      </w:r>
      <w:r>
        <w:rPr>
          <w:spacing w:val="-62"/>
        </w:rPr>
        <w:t> </w:t>
      </w:r>
      <w:r>
        <w:rPr>
          <w:spacing w:val="-62"/>
        </w:rPr>
      </w:r>
      <w:r>
        <w:rPr>
          <w:spacing w:val="-4"/>
        </w:rPr>
        <w:t>值并计入所有者权益。在确认应享有被投资单位净损益的份额时，以取得投资时被投资单位可辨认净资产的公允价值为基础，</w:t>
      </w:r>
      <w:r>
        <w:rPr>
          <w:spacing w:val="-45"/>
        </w:rPr>
        <w:t> </w:t>
      </w:r>
      <w:r>
        <w:rPr>
          <w:spacing w:val="-45"/>
        </w:rPr>
      </w:r>
      <w:r>
        <w:rPr>
          <w:spacing w:val="-2"/>
        </w:rPr>
        <w:t>对被投资单位的净利润进行调整后确认。被投资单位采用的会计政策及会计期间与本公司不一致的，应按照本公司的会计政</w:t>
      </w:r>
      <w:r>
        <w:rPr>
          <w:spacing w:val="-63"/>
        </w:rPr>
        <w:t> </w:t>
      </w:r>
      <w:r>
        <w:rPr>
          <w:spacing w:val="-63"/>
        </w:rPr>
      </w:r>
      <w:r>
        <w:rPr>
          <w:spacing w:val="-2"/>
        </w:rPr>
        <w:t>策及会计期间对被投资单位的财务报表进行调整，并据以确认投资收益和其他综合收益等。本公司与联营企业及合营企业之</w:t>
      </w:r>
      <w:r>
        <w:rPr>
          <w:spacing w:val="-63"/>
        </w:rPr>
        <w:t> </w:t>
      </w:r>
      <w:r>
        <w:rPr>
          <w:spacing w:val="-63"/>
        </w:rPr>
      </w:r>
      <w:r>
        <w:rPr>
          <w:spacing w:val="-2"/>
        </w:rPr>
        <w:t>间发生的未实现内部交易损益按照享有的比例计算归属于本公司的部分予以抵销，在此基础上确认投资损益。本公司与被投</w:t>
      </w:r>
      <w:r>
        <w:rPr>
          <w:spacing w:val="-63"/>
        </w:rPr>
        <w:t> </w:t>
      </w:r>
      <w:r>
        <w:rPr>
          <w:spacing w:val="-63"/>
        </w:rPr>
      </w:r>
      <w:r>
        <w:rPr/>
        <w:t>资单位发生的未实现内部交易损失属于资产减值损失的，应全额确认。</w:t>
      </w:r>
      <w:r>
        <w:rPr>
          <w:rFonts w:ascii="宋体" w:hAnsi="宋体" w:cs="宋体" w:eastAsia="宋体" w:hint="default"/>
        </w:rPr>
        <w:t> </w:t>
      </w:r>
    </w:p>
    <w:p>
      <w:pPr>
        <w:pStyle w:val="BodyText"/>
        <w:spacing w:line="316" w:lineRule="auto" w:before="139"/>
        <w:ind w:right="1128" w:firstLine="360"/>
        <w:jc w:val="both"/>
        <w:rPr>
          <w:rFonts w:ascii="宋体" w:hAnsi="宋体" w:cs="宋体" w:eastAsia="宋体" w:hint="default"/>
        </w:rPr>
      </w:pPr>
      <w:r>
        <w:rPr>
          <w:spacing w:val="-2"/>
        </w:rPr>
        <w:t>因追加投资等原因能够对被投资单位施加重大影响或实施共同控制但不构成控制的，按照原持有的股权投资的公允价值</w:t>
      </w:r>
      <w:r>
        <w:rPr/>
        <w:t> </w:t>
      </w:r>
      <w:r>
        <w:rPr>
          <w:spacing w:val="-2"/>
        </w:rPr>
        <w:t>加上新增投资成本之和，作为改按权益法核算的初始投资成本。原持有的股权投资分类为可供出售金融资产的，其公允价值</w:t>
      </w:r>
      <w:r>
        <w:rPr>
          <w:spacing w:val="-61"/>
        </w:rPr>
        <w:t> </w:t>
      </w:r>
      <w:r>
        <w:rPr>
          <w:spacing w:val="-61"/>
        </w:rPr>
      </w:r>
      <w:r>
        <w:rPr/>
        <w:t>与账面价值之间的差额，以及原计入其他综合收益的累计公允价值变动应当转入改按权益法核算的当期损益。</w:t>
      </w:r>
      <w:r>
        <w:rPr>
          <w:rFonts w:ascii="宋体" w:hAnsi="宋体" w:cs="宋体" w:eastAsia="宋体" w:hint="default"/>
        </w:rPr>
        <w:t> </w:t>
      </w:r>
    </w:p>
    <w:p>
      <w:pPr>
        <w:pStyle w:val="BodyText"/>
        <w:spacing w:line="319" w:lineRule="auto" w:before="139"/>
        <w:ind w:right="1131" w:firstLine="360"/>
        <w:jc w:val="both"/>
        <w:rPr>
          <w:rFonts w:ascii="宋体" w:hAnsi="宋体" w:cs="宋体" w:eastAsia="宋体" w:hint="default"/>
        </w:rPr>
      </w:pPr>
      <w:r>
        <w:rPr>
          <w:spacing w:val="-2"/>
        </w:rPr>
        <w:t>因处置部分股权投资等原因丧失了对被投资单位的共同控制或重大影响的，处置后的剩余股权改按公允价值计量，其在</w:t>
      </w:r>
      <w:r>
        <w:rPr/>
        <w:t> </w:t>
      </w:r>
      <w:r>
        <w:rPr>
          <w:spacing w:val="-2"/>
        </w:rPr>
        <w:t>丧失共同控制或重大影响之日的公允价值与账面价值之间的差额计入当期损益。原股权投资因采用权益法核算而确认的其他</w:t>
      </w:r>
      <w:r>
        <w:rPr>
          <w:spacing w:val="-63"/>
        </w:rPr>
        <w:t> </w:t>
      </w:r>
      <w:r>
        <w:rPr>
          <w:spacing w:val="-63"/>
        </w:rPr>
      </w:r>
      <w:r>
        <w:rPr/>
        <w:t>综合收益，在终止采用权益法核算时采用与被投资单位直接处置相关资产或负债相同的基础进行会计处理。</w:t>
      </w:r>
      <w:r>
        <w:rPr>
          <w:rFonts w:ascii="宋体" w:hAnsi="宋体" w:cs="宋体" w:eastAsia="宋体" w:hint="default"/>
        </w:rPr>
        <w:t> </w:t>
      </w:r>
    </w:p>
    <w:p>
      <w:pPr>
        <w:spacing w:line="240" w:lineRule="auto" w:before="6"/>
        <w:rPr>
          <w:rFonts w:ascii="宋体" w:hAnsi="宋体" w:cs="宋体" w:eastAsia="宋体" w:hint="default"/>
          <w:sz w:val="22"/>
          <w:szCs w:val="22"/>
        </w:rPr>
      </w:pPr>
    </w:p>
    <w:p>
      <w:pPr>
        <w:pStyle w:val="Heading3"/>
        <w:spacing w:line="240" w:lineRule="auto"/>
        <w:ind w:right="977"/>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954"/>
        <w:jc w:val="left"/>
      </w:pPr>
      <w:r>
        <w:rPr/>
        <w:t>投资性房地产计量模式 不适用</w:t>
      </w:r>
    </w:p>
    <w:p>
      <w:pPr>
        <w:spacing w:line="240" w:lineRule="auto" w:before="3"/>
        <w:rPr>
          <w:rFonts w:ascii="宋体" w:hAnsi="宋体" w:cs="宋体" w:eastAsia="宋体" w:hint="default"/>
          <w:sz w:val="20"/>
          <w:szCs w:val="20"/>
        </w:rPr>
      </w:pPr>
    </w:p>
    <w:p>
      <w:pPr>
        <w:pStyle w:val="Heading3"/>
        <w:spacing w:line="240" w:lineRule="auto"/>
        <w:ind w:right="977"/>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77"/>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73" w:right="977"/>
        <w:jc w:val="left"/>
        <w:rPr>
          <w:rFonts w:ascii="宋体" w:hAnsi="宋体" w:cs="宋体" w:eastAsia="宋体" w:hint="default"/>
        </w:rPr>
      </w:pPr>
      <w:r>
        <w:rPr/>
        <w:t>固定资产在同时满足下列条件时，按取得时的实际成本予以确认：</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240" w:lineRule="auto" w:before="44"/>
        <w:ind w:left="473" w:right="977"/>
        <w:jc w:val="left"/>
        <w:rPr>
          <w:rFonts w:ascii="宋体" w:hAnsi="宋体" w:cs="宋体" w:eastAsia="宋体" w:hint="default"/>
        </w:rPr>
      </w:pPr>
      <w:r>
        <w:rPr/>
        <w:t>①与该固定资产有关的经济利益很可能流入企业。</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977" w:firstLine="360"/>
        <w:jc w:val="left"/>
        <w:rPr>
          <w:rFonts w:ascii="宋体" w:hAnsi="宋体" w:cs="宋体" w:eastAsia="宋体" w:hint="default"/>
        </w:rPr>
      </w:pPr>
      <w:r>
        <w:rPr>
          <w:spacing w:val="-2"/>
        </w:rPr>
        <w:t>②该固定资产的成本能够可靠地计量。固定资产发生的后续支出，符合固定资产确认条件的计入固定资产成本；不符合</w:t>
      </w:r>
      <w:r>
        <w:rPr/>
        <w:t> 固定资产确认条件的在发生时计入当期损益。</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3"/>
        <w:spacing w:line="240" w:lineRule="auto"/>
        <w:ind w:right="977"/>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19.00%-31.67%</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19.00%-31.67%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19.00%-31.67%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19.00%-31.67%</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360"/>
        <w:jc w:val="both"/>
      </w:pPr>
      <w:r>
        <w:rPr>
          <w:spacing w:val="-2"/>
        </w:rPr>
        <w:t>本公司在租入的固定资产实质上转移了与资产有关的全部风险和报酬时确认该项固定资产的租赁为融资租赁。融资租赁</w:t>
      </w:r>
      <w:r>
        <w:rPr/>
        <w:t> </w:t>
      </w:r>
      <w:r>
        <w:rPr>
          <w:spacing w:val="-2"/>
        </w:rPr>
        <w:t>取得的固定资产的成本，按租赁开始日租赁资产公允价值与最低租赁付款额现值两者中较低者确定。融资租入的固定资产采</w:t>
      </w:r>
      <w:r>
        <w:rPr>
          <w:spacing w:val="-63"/>
        </w:rPr>
        <w:t> </w:t>
      </w:r>
      <w:r>
        <w:rPr>
          <w:spacing w:val="-63"/>
        </w:rPr>
      </w:r>
      <w:r>
        <w:rPr>
          <w:spacing w:val="-2"/>
        </w:rPr>
        <w:t>用与自有固定资产相一致的折旧政策计提租赁资产折旧。能够合理确定租赁期届满时将会取得租赁资产所有权的，在租赁资</w:t>
      </w:r>
      <w:r>
        <w:rPr>
          <w:spacing w:val="-64"/>
        </w:rPr>
        <w:t> </w:t>
      </w:r>
      <w:r>
        <w:rPr>
          <w:spacing w:val="-64"/>
        </w:rPr>
      </w:r>
      <w:r>
        <w:rPr>
          <w:spacing w:val="-2"/>
        </w:rPr>
        <w:t>产使用年限内计提折旧；无法合理确定租赁期届满时能够取得租赁资产所有权的，在租赁期与租赁资产使用寿命两者中较短</w:t>
      </w:r>
      <w:r>
        <w:rPr>
          <w:spacing w:val="-64"/>
        </w:rPr>
        <w:t> </w:t>
      </w:r>
      <w:r>
        <w:rPr>
          <w:spacing w:val="-64"/>
        </w:rPr>
      </w:r>
      <w:r>
        <w:rPr/>
        <w:t>的期间内计提折旧。</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240" w:lineRule="auto" w:before="29"/>
        <w:ind w:right="0"/>
        <w:jc w:val="both"/>
      </w:pPr>
      <w:r>
        <w:rPr/>
        <w:t>软件与信息技术服务业</w:t>
      </w:r>
    </w:p>
    <w:p>
      <w:pPr>
        <w:pStyle w:val="BodyText"/>
        <w:spacing w:line="240" w:lineRule="auto" w:before="117"/>
        <w:ind w:left="473" w:right="977"/>
        <w:jc w:val="left"/>
      </w:pPr>
      <w:r>
        <w:rPr/>
        <w:t>（</w:t>
      </w:r>
      <w:r>
        <w:rPr>
          <w:rFonts w:ascii="Times New Roman" w:hAnsi="Times New Roman" w:cs="Times New Roman" w:eastAsia="Times New Roman" w:hint="default"/>
        </w:rPr>
        <w:t>1</w:t>
      </w:r>
      <w:r>
        <w:rPr/>
        <w:t>）在建工程以立项项目分类核算。</w:t>
      </w:r>
    </w:p>
    <w:p>
      <w:pPr>
        <w:pStyle w:val="BodyText"/>
        <w:spacing w:line="340" w:lineRule="auto" w:before="101"/>
        <w:ind w:left="473" w:right="977"/>
        <w:jc w:val="left"/>
      </w:pPr>
      <w:r>
        <w:rPr/>
        <w:t>（</w:t>
      </w:r>
      <w:r>
        <w:rPr>
          <w:rFonts w:ascii="Times New Roman" w:hAnsi="Times New Roman" w:cs="Times New Roman" w:eastAsia="Times New Roman" w:hint="default"/>
        </w:rPr>
        <w:t>2</w:t>
      </w:r>
      <w:r>
        <w:rPr/>
        <w:t>）在建工程结转为固定资产的标准和时点 </w:t>
      </w:r>
      <w:r>
        <w:rPr>
          <w:spacing w:val="-2"/>
        </w:rPr>
        <w:t>在建工程项目按建造该项资产达到预定可使用状态前所发生的全部支出，作为固定资产的入账价值。包括建筑费用、机</w:t>
      </w:r>
    </w:p>
    <w:p>
      <w:pPr>
        <w:pStyle w:val="BodyText"/>
        <w:spacing w:line="319" w:lineRule="auto" w:before="1"/>
        <w:ind w:right="1130"/>
        <w:jc w:val="both"/>
      </w:pPr>
      <w:r>
        <w:rPr>
          <w:spacing w:val="-2"/>
        </w:rPr>
        <w:t>器设备原价、其他为使在建工程达到预定可使用状态所发生的必要支出以及在资产达到预定可使用状态之前为该项目专门借</w:t>
      </w:r>
      <w:r>
        <w:rPr>
          <w:spacing w:val="-64"/>
        </w:rPr>
        <w:t> </w:t>
      </w:r>
      <w:r>
        <w:rPr>
          <w:spacing w:val="-64"/>
        </w:rPr>
      </w:r>
      <w:r>
        <w:rPr>
          <w:spacing w:val="-2"/>
        </w:rPr>
        <w:t>款所发生的借款费用及占用的一般借款发生的借款费用。本公司在工程安装或建设完成达到预定可使用状态时将在建工程转</w:t>
      </w:r>
      <w:r>
        <w:rPr>
          <w:spacing w:val="-63"/>
        </w:rPr>
        <w:t> </w:t>
      </w:r>
      <w:r>
        <w:rPr>
          <w:spacing w:val="-63"/>
        </w:rPr>
      </w:r>
      <w:r>
        <w:rPr>
          <w:spacing w:val="-2"/>
        </w:rPr>
        <w:t>入固定资产。所建造的已达到预定可使用状态、但尚未办理竣工决算的固定资产，自达到预定可使用状态之日起，根据工程</w:t>
      </w:r>
      <w:r>
        <w:rPr>
          <w:spacing w:val="-63"/>
        </w:rPr>
        <w:t> </w:t>
      </w:r>
      <w:r>
        <w:rPr>
          <w:spacing w:val="-63"/>
        </w:rPr>
      </w:r>
      <w:r>
        <w:rPr>
          <w:spacing w:val="-2"/>
        </w:rPr>
        <w:t>预算、造价或者工程实际成本等，按估计的价值转入固定资产，并按本公司固定资产折旧政策计提固定资产的折旧，待办理</w:t>
      </w:r>
      <w:r>
        <w:rPr>
          <w:spacing w:val="-64"/>
        </w:rPr>
        <w:t> </w:t>
      </w:r>
      <w:r>
        <w:rPr>
          <w:spacing w:val="-64"/>
        </w:rPr>
      </w:r>
      <w:r>
        <w:rPr/>
        <w:t>竣工决算后，再按实际成本调整原来的暂估价值，但不调整原已计提的折旧额。</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473" w:right="1213"/>
        <w:jc w:val="left"/>
      </w:pPr>
      <w:r>
        <w:rPr/>
        <w:t>（</w:t>
      </w:r>
      <w:r>
        <w:rPr>
          <w:rFonts w:ascii="Times New Roman" w:hAnsi="Times New Roman" w:cs="Times New Roman" w:eastAsia="Times New Roman" w:hint="default"/>
        </w:rPr>
        <w:t>1</w:t>
      </w:r>
      <w:r>
        <w:rPr/>
        <w:t>）借款费用资本化的确认原则和资本化期间 本公司发生的可直接归属于符合资本化条件的资产的购建或生产的借款费用在同时满足下列条件时予以资本化计入相</w:t>
      </w:r>
    </w:p>
    <w:p>
      <w:pPr>
        <w:pStyle w:val="BodyText"/>
        <w:spacing w:line="240" w:lineRule="auto" w:before="2"/>
        <w:ind w:right="0"/>
        <w:jc w:val="both"/>
      </w:pPr>
      <w:r>
        <w:rPr/>
        <w:t>关资产成本：</w:t>
      </w:r>
    </w:p>
    <w:p>
      <w:pPr>
        <w:pStyle w:val="BodyText"/>
        <w:spacing w:line="240" w:lineRule="auto" w:before="117"/>
        <w:ind w:left="473" w:right="977"/>
        <w:jc w:val="left"/>
      </w:pPr>
      <w:r>
        <w:rPr/>
        <w:t>①资产支出已经发生；</w:t>
      </w:r>
    </w:p>
    <w:p>
      <w:pPr>
        <w:spacing w:after="0" w:line="240" w:lineRule="auto"/>
        <w:jc w:val="left"/>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240" w:lineRule="auto" w:before="44"/>
        <w:ind w:left="493" w:right="1032"/>
        <w:jc w:val="left"/>
      </w:pPr>
      <w:r>
        <w:rPr/>
        <w:t>②借款费用已经发生；</w:t>
      </w:r>
    </w:p>
    <w:p>
      <w:pPr>
        <w:pStyle w:val="BodyText"/>
        <w:spacing w:line="352" w:lineRule="auto" w:before="117"/>
        <w:ind w:left="493" w:right="1032"/>
        <w:jc w:val="left"/>
      </w:pPr>
      <w:r>
        <w:rPr/>
        <w:t>③为使资产达到预定可使用状态所必要的购建或者生产活动已经开始。 其他的借款利息、折价或溢价和汇兑差额，计入发生当期的损益。 </w:t>
      </w:r>
      <w:r>
        <w:rPr>
          <w:spacing w:val="-3"/>
        </w:rPr>
        <w:t>符合资本化条件的资产在购建或者生产过程中发生非正常中断，且中断时间连续超过</w:t>
      </w:r>
      <w:r>
        <w:rPr>
          <w:spacing w:val="-34"/>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spacing w:val="-6"/>
        </w:rPr>
        <w:t>个月的，暂停借款费用的资本化。</w:t>
      </w:r>
      <w:r>
        <w:rPr>
          <w:spacing w:val="-88"/>
        </w:rPr>
        <w:t> </w:t>
      </w:r>
      <w:r>
        <w:rPr>
          <w:spacing w:val="-88"/>
        </w:rPr>
      </w:r>
      <w:r>
        <w:rPr>
          <w:spacing w:val="-2"/>
        </w:rPr>
        <w:t>当购建或者生产符合资本化条件的资产达到预定可使用或者可销售状态时，停止其借款费用的资本化；以后发生的借款</w:t>
      </w:r>
    </w:p>
    <w:p>
      <w:pPr>
        <w:pStyle w:val="BodyText"/>
        <w:spacing w:line="227" w:lineRule="exact"/>
        <w:ind w:left="132" w:right="1032"/>
        <w:jc w:val="left"/>
      </w:pPr>
      <w:r>
        <w:rPr/>
        <w:t>费用于发生当期确认为费用。</w:t>
      </w:r>
    </w:p>
    <w:p>
      <w:pPr>
        <w:pStyle w:val="BodyText"/>
        <w:spacing w:line="340" w:lineRule="auto" w:before="115"/>
        <w:ind w:left="493" w:right="1032"/>
        <w:jc w:val="left"/>
      </w:pPr>
      <w:r>
        <w:rPr/>
        <w:t>（</w:t>
      </w:r>
      <w:r>
        <w:rPr>
          <w:rFonts w:ascii="Times New Roman" w:hAnsi="Times New Roman" w:cs="Times New Roman" w:eastAsia="Times New Roman" w:hint="default"/>
        </w:rPr>
        <w:t>2</w:t>
      </w:r>
      <w:r>
        <w:rPr/>
        <w:t>）借款费用资本化率以及资本化金额的计算方法 </w:t>
      </w:r>
      <w:r>
        <w:rPr>
          <w:spacing w:val="-2"/>
        </w:rPr>
        <w:t>为购建或者生产符合资本化条件的资产而借入专门借款的，以专门借款当期实际发生的利息费用，减去将尚未动用的借</w:t>
      </w:r>
    </w:p>
    <w:p>
      <w:pPr>
        <w:pStyle w:val="BodyText"/>
        <w:spacing w:line="360" w:lineRule="auto" w:before="1"/>
        <w:ind w:left="493" w:right="1032" w:hanging="361"/>
        <w:jc w:val="left"/>
      </w:pPr>
      <w:r>
        <w:rPr/>
        <w:t>款资金存入银行取得的利息收入或者进行暂时性投资取得的投资收益后的金额，确定为专门借款利息费用的资本化金额。 </w:t>
      </w:r>
      <w:r>
        <w:rPr>
          <w:spacing w:val="-2"/>
        </w:rPr>
        <w:t>购建或者生产符合资本化条件的资产占用了一般借款的，一般借款应予资本化的利息金额按累计资产支出超过专门借款</w:t>
      </w:r>
    </w:p>
    <w:p>
      <w:pPr>
        <w:pStyle w:val="BodyText"/>
        <w:spacing w:line="223" w:lineRule="exact"/>
        <w:ind w:left="132" w:right="0"/>
        <w:jc w:val="left"/>
      </w:pPr>
      <w:r>
        <w:rPr/>
        <w:t>部分的资产支出加权平均数乘以所占用一般借款的资本化率，计算确定一般借款应予资本化的利息金额。资本化率根据一般</w:t>
      </w:r>
    </w:p>
    <w:p>
      <w:pPr>
        <w:pStyle w:val="BodyText"/>
        <w:spacing w:line="240" w:lineRule="auto" w:before="76"/>
        <w:ind w:left="132" w:right="1032"/>
        <w:jc w:val="left"/>
      </w:pPr>
      <w:r>
        <w:rPr/>
        <w:t>借款加权平均利率计算确定。</w:t>
      </w:r>
    </w:p>
    <w:p>
      <w:pPr>
        <w:spacing w:line="240" w:lineRule="auto" w:before="11"/>
        <w:rPr>
          <w:rFonts w:ascii="宋体" w:hAnsi="宋体" w:cs="宋体" w:eastAsia="宋体" w:hint="default"/>
          <w:sz w:val="26"/>
          <w:szCs w:val="26"/>
        </w:rPr>
      </w:pPr>
    </w:p>
    <w:p>
      <w:pPr>
        <w:pStyle w:val="Heading3"/>
        <w:spacing w:line="240" w:lineRule="auto"/>
        <w:ind w:left="132" w:right="1032"/>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1032"/>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left="132" w:right="1032"/>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1032"/>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left="132" w:right="1032"/>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32" w:right="1032"/>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48" w:lineRule="auto"/>
        <w:ind w:left="493" w:right="8143"/>
        <w:jc w:val="left"/>
      </w:pPr>
      <w:r>
        <w:rPr>
          <w:rFonts w:ascii="Times New Roman" w:hAnsi="Times New Roman" w:cs="Times New Roman" w:eastAsia="Times New Roman" w:hint="default"/>
        </w:rPr>
        <w:t>1</w:t>
      </w:r>
      <w:r>
        <w:rPr/>
        <w:t>）无形资产的计价方法 按取得时的实际成本入账。 </w:t>
      </w:r>
      <w:r>
        <w:rPr>
          <w:rFonts w:ascii="Times New Roman" w:hAnsi="Times New Roman" w:cs="Times New Roman" w:eastAsia="Times New Roman" w:hint="default"/>
        </w:rPr>
        <w:t>2</w:t>
      </w:r>
      <w:r>
        <w:rPr/>
        <w:t>）无形资产使用寿命及摊销</w:t>
      </w:r>
    </w:p>
    <w:p>
      <w:pPr>
        <w:pStyle w:val="BodyText"/>
        <w:spacing w:line="240" w:lineRule="auto" w:before="14"/>
        <w:ind w:left="493" w:right="1032"/>
        <w:jc w:val="left"/>
      </w:pPr>
      <w:r>
        <w:rPr/>
        <w:t>①使用寿命有限的无形资产的使用寿命估计情况：</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591"/>
        <w:gridCol w:w="2011"/>
        <w:gridCol w:w="5058"/>
      </w:tblGrid>
      <w:tr>
        <w:trPr>
          <w:trHeight w:val="343" w:hRule="exact"/>
        </w:trPr>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4" w:right="0"/>
              <w:jc w:val="center"/>
              <w:rPr>
                <w:rFonts w:ascii="宋体" w:hAnsi="宋体" w:cs="宋体" w:eastAsia="宋体" w:hint="default"/>
                <w:sz w:val="18"/>
                <w:szCs w:val="18"/>
              </w:rPr>
            </w:pPr>
            <w:r>
              <w:rPr>
                <w:rFonts w:ascii="宋体" w:hAnsi="宋体" w:cs="宋体" w:eastAsia="宋体" w:hint="default"/>
                <w:sz w:val="18"/>
                <w:szCs w:val="18"/>
              </w:rPr>
              <w:t>预计使用寿命</w:t>
            </w:r>
            <w:r>
              <w:rPr>
                <w:rFonts w:ascii="宋体" w:hAnsi="宋体" w:cs="宋体" w:eastAsia="宋体" w:hint="default"/>
                <w:sz w:val="18"/>
                <w:szCs w:val="18"/>
              </w:rPr>
              <w:t> </w:t>
            </w:r>
          </w:p>
        </w:tc>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2" w:right="0"/>
              <w:jc w:val="center"/>
              <w:rPr>
                <w:rFonts w:ascii="宋体" w:hAnsi="宋体" w:cs="宋体" w:eastAsia="宋体" w:hint="default"/>
                <w:sz w:val="18"/>
                <w:szCs w:val="18"/>
              </w:rPr>
            </w:pPr>
            <w:r>
              <w:rPr>
                <w:rFonts w:ascii="宋体" w:hAnsi="宋体" w:cs="宋体" w:eastAsia="宋体" w:hint="default"/>
                <w:sz w:val="18"/>
                <w:szCs w:val="18"/>
              </w:rPr>
              <w:t>依据</w:t>
            </w:r>
            <w:r>
              <w:rPr>
                <w:rFonts w:ascii="宋体" w:hAnsi="宋体" w:cs="宋体" w:eastAsia="宋体" w:hint="default"/>
                <w:sz w:val="18"/>
                <w:szCs w:val="18"/>
              </w:rPr>
              <w:t> </w:t>
            </w:r>
          </w:p>
        </w:tc>
      </w:tr>
      <w:tr>
        <w:trPr>
          <w:trHeight w:val="341" w:hRule="exact"/>
        </w:trPr>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软件</w:t>
            </w:r>
            <w:r>
              <w:rPr>
                <w:rFonts w:ascii="宋体" w:hAnsi="宋体" w:cs="宋体" w:eastAsia="宋体" w:hint="default"/>
                <w:sz w:val="18"/>
                <w:szCs w:val="18"/>
              </w:rPr>
              <w:t> </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2" w:right="0"/>
              <w:jc w:val="center"/>
              <w:rPr>
                <w:rFonts w:ascii="宋体" w:hAnsi="宋体" w:cs="宋体" w:eastAsia="宋体" w:hint="default"/>
                <w:sz w:val="18"/>
                <w:szCs w:val="18"/>
              </w:rPr>
            </w:pPr>
            <w:r>
              <w:rPr>
                <w:rFonts w:ascii="宋体" w:hAnsi="宋体" w:cs="宋体" w:eastAsia="宋体" w:hint="default"/>
                <w:sz w:val="18"/>
                <w:szCs w:val="18"/>
              </w:rPr>
              <w:t>2-10</w:t>
            </w:r>
            <w:r>
              <w:rPr>
                <w:rFonts w:ascii="宋体" w:hAnsi="宋体" w:cs="宋体" w:eastAsia="宋体" w:hint="default"/>
                <w:sz w:val="18"/>
                <w:szCs w:val="18"/>
              </w:rPr>
              <w:t>年</w:t>
            </w:r>
            <w:r>
              <w:rPr>
                <w:rFonts w:ascii="宋体" w:hAnsi="宋体" w:cs="宋体" w:eastAsia="宋体" w:hint="default"/>
                <w:sz w:val="18"/>
                <w:szCs w:val="18"/>
              </w:rPr>
              <w:t> </w:t>
            </w:r>
          </w:p>
        </w:tc>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2" w:right="0"/>
              <w:jc w:val="center"/>
              <w:rPr>
                <w:rFonts w:ascii="宋体" w:hAnsi="宋体" w:cs="宋体" w:eastAsia="宋体" w:hint="default"/>
                <w:sz w:val="18"/>
                <w:szCs w:val="18"/>
              </w:rPr>
            </w:pPr>
            <w:r>
              <w:rPr>
                <w:rFonts w:ascii="宋体" w:hAnsi="宋体" w:cs="宋体" w:eastAsia="宋体" w:hint="default"/>
                <w:sz w:val="18"/>
                <w:szCs w:val="18"/>
              </w:rPr>
              <w:t>预计使用年限</w:t>
            </w:r>
            <w:r>
              <w:rPr>
                <w:rFonts w:ascii="宋体" w:hAnsi="宋体" w:cs="宋体" w:eastAsia="宋体" w:hint="default"/>
                <w:sz w:val="18"/>
                <w:szCs w:val="18"/>
              </w:rPr>
              <w:t> </w:t>
            </w:r>
          </w:p>
        </w:tc>
      </w:tr>
      <w:tr>
        <w:trPr>
          <w:trHeight w:val="344" w:hRule="exact"/>
        </w:trPr>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专利权</w:t>
            </w:r>
            <w:r>
              <w:rPr>
                <w:rFonts w:ascii="宋体" w:hAnsi="宋体" w:cs="宋体" w:eastAsia="宋体" w:hint="default"/>
                <w:sz w:val="18"/>
                <w:szCs w:val="18"/>
              </w:rPr>
              <w:t> </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r>
              <w:rPr>
                <w:rFonts w:ascii="宋体" w:hAnsi="宋体" w:cs="宋体" w:eastAsia="宋体" w:hint="default"/>
                <w:sz w:val="18"/>
                <w:szCs w:val="18"/>
              </w:rPr>
              <w:t> </w:t>
            </w:r>
          </w:p>
        </w:tc>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2" w:right="0"/>
              <w:jc w:val="center"/>
              <w:rPr>
                <w:rFonts w:ascii="宋体" w:hAnsi="宋体" w:cs="宋体" w:eastAsia="宋体" w:hint="default"/>
                <w:sz w:val="18"/>
                <w:szCs w:val="18"/>
              </w:rPr>
            </w:pPr>
            <w:r>
              <w:rPr>
                <w:rFonts w:ascii="宋体" w:hAnsi="宋体" w:cs="宋体" w:eastAsia="宋体" w:hint="default"/>
                <w:sz w:val="18"/>
                <w:szCs w:val="18"/>
              </w:rPr>
              <w:t>预计使用年限</w:t>
            </w:r>
            <w:r>
              <w:rPr>
                <w:rFonts w:ascii="宋体" w:hAnsi="宋体" w:cs="宋体" w:eastAsia="宋体" w:hint="default"/>
                <w:sz w:val="18"/>
                <w:szCs w:val="18"/>
              </w:rPr>
              <w:t> </w:t>
            </w:r>
          </w:p>
        </w:tc>
      </w:tr>
      <w:tr>
        <w:trPr>
          <w:trHeight w:val="343" w:hRule="exact"/>
        </w:trPr>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著作权</w:t>
            </w:r>
            <w:r>
              <w:rPr>
                <w:rFonts w:ascii="宋体" w:hAnsi="宋体" w:cs="宋体" w:eastAsia="宋体" w:hint="default"/>
                <w:sz w:val="18"/>
                <w:szCs w:val="18"/>
              </w:rPr>
              <w:t> </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2"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w:t>
            </w:r>
            <w:r>
              <w:rPr>
                <w:rFonts w:ascii="宋体" w:hAnsi="宋体" w:cs="宋体" w:eastAsia="宋体" w:hint="default"/>
                <w:sz w:val="18"/>
                <w:szCs w:val="18"/>
              </w:rPr>
              <w:t> </w:t>
            </w:r>
          </w:p>
        </w:tc>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2" w:right="0"/>
              <w:jc w:val="center"/>
              <w:rPr>
                <w:rFonts w:ascii="宋体" w:hAnsi="宋体" w:cs="宋体" w:eastAsia="宋体" w:hint="default"/>
                <w:sz w:val="18"/>
                <w:szCs w:val="18"/>
              </w:rPr>
            </w:pPr>
            <w:r>
              <w:rPr>
                <w:rFonts w:ascii="宋体" w:hAnsi="宋体" w:cs="宋体" w:eastAsia="宋体" w:hint="default"/>
                <w:sz w:val="18"/>
                <w:szCs w:val="18"/>
              </w:rPr>
              <w:t>预计使用年限</w:t>
            </w:r>
            <w:r>
              <w:rPr>
                <w:rFonts w:ascii="宋体" w:hAnsi="宋体" w:cs="宋体" w:eastAsia="宋体" w:hint="default"/>
                <w:sz w:val="18"/>
                <w:szCs w:val="18"/>
              </w:rPr>
              <w:t> </w:t>
            </w:r>
          </w:p>
        </w:tc>
      </w:tr>
    </w:tbl>
    <w:p>
      <w:pPr>
        <w:pStyle w:val="BodyText"/>
        <w:spacing w:line="314" w:lineRule="auto" w:before="51"/>
        <w:ind w:left="132" w:right="1032" w:firstLine="360"/>
        <w:jc w:val="left"/>
      </w:pPr>
      <w:r>
        <w:rPr>
          <w:spacing w:val="-2"/>
        </w:rPr>
        <w:t>每年年度终了，公司对使用寿命有限的无形资产的使用寿命及摊销方法进行复核。经复核，本期末无形资产的使用寿命</w:t>
      </w:r>
      <w:r>
        <w:rPr/>
        <w:t> 及摊销方法与以前估计未有不同。</w:t>
      </w:r>
    </w:p>
    <w:p>
      <w:pPr>
        <w:pStyle w:val="BodyText"/>
        <w:spacing w:line="316" w:lineRule="auto" w:before="61"/>
        <w:ind w:left="132" w:right="1034" w:firstLine="360"/>
        <w:jc w:val="left"/>
      </w:pPr>
      <w:r>
        <w:rPr/>
        <w:t>②无法预见无形资产为企业带来经济利益期限的，视为使用寿命不确定的无形资产。对于使用寿命不确定的无形资产， </w:t>
      </w:r>
      <w:r>
        <w:rPr>
          <w:spacing w:val="-2"/>
        </w:rPr>
        <w:t>公司在每年年度终了对使用寿命不确定的无形资产的使用寿命进行复核，如果重新复核后仍为不确定的，于在资产负债表日</w:t>
      </w:r>
      <w:r>
        <w:rPr>
          <w:spacing w:val="-64"/>
        </w:rPr>
        <w:t> </w:t>
      </w:r>
      <w:r>
        <w:rPr>
          <w:spacing w:val="-64"/>
        </w:rPr>
      </w:r>
      <w:r>
        <w:rPr/>
        <w:t>进行减值测试。</w:t>
      </w:r>
    </w:p>
    <w:p>
      <w:pPr>
        <w:pStyle w:val="BodyText"/>
        <w:spacing w:line="357" w:lineRule="auto" w:before="59"/>
        <w:ind w:left="493" w:right="1032"/>
        <w:jc w:val="left"/>
      </w:pPr>
      <w:r>
        <w:rPr/>
        <w:t>③无形资产的摊销 </w:t>
      </w:r>
      <w:r>
        <w:rPr>
          <w:spacing w:val="-2"/>
        </w:rPr>
        <w:t>对于使用寿命有限的无形资产，本公司在取得时判定其使用寿命，在使用寿命内采用直线法系统合理摊销，摊销金额按</w:t>
      </w:r>
    </w:p>
    <w:p>
      <w:pPr>
        <w:pStyle w:val="BodyText"/>
        <w:spacing w:line="224" w:lineRule="exact"/>
        <w:ind w:left="132" w:right="0"/>
        <w:jc w:val="left"/>
      </w:pPr>
      <w:r>
        <w:rPr/>
        <w:t>受益项目计入当期损益。具体应摊销金额为其成本扣除预计残值后的金额。已计提减值准备的无形资产，还应扣除已计提的</w:t>
      </w:r>
    </w:p>
    <w:p>
      <w:pPr>
        <w:pStyle w:val="BodyText"/>
        <w:spacing w:line="240" w:lineRule="auto" w:before="77"/>
        <w:ind w:left="132" w:right="0"/>
        <w:jc w:val="left"/>
      </w:pPr>
      <w:r>
        <w:rPr/>
        <w:t>无形资产减值准备累计金额，残值为零。但下列情况除外：有第三方承诺在无形资产使用寿命结束时购买该无形资产或可以</w:t>
      </w:r>
    </w:p>
    <w:p>
      <w:pPr>
        <w:spacing w:after="0" w:line="240" w:lineRule="auto"/>
        <w:jc w:val="left"/>
        <w:sectPr>
          <w:pgSz w:w="11910" w:h="16840"/>
          <w:pgMar w:header="910" w:footer="1013" w:top="1100" w:bottom="1200" w:left="1000" w:right="0"/>
        </w:sectPr>
      </w:pPr>
    </w:p>
    <w:p>
      <w:pPr>
        <w:spacing w:line="240" w:lineRule="auto" w:before="8"/>
        <w:rPr>
          <w:rFonts w:ascii="宋体" w:hAnsi="宋体" w:cs="宋体" w:eastAsia="宋体" w:hint="default"/>
          <w:sz w:val="22"/>
          <w:szCs w:val="22"/>
        </w:rPr>
      </w:pPr>
    </w:p>
    <w:p>
      <w:pPr>
        <w:pStyle w:val="BodyText"/>
        <w:spacing w:line="360" w:lineRule="auto" w:before="44"/>
        <w:ind w:left="473" w:right="977" w:hanging="361"/>
        <w:jc w:val="left"/>
      </w:pPr>
      <w:r>
        <w:rPr/>
        <w:t>根据活跃市场得到预计残值信息，并且该市场在无形资产使用寿命结束时很可能存在。 </w:t>
      </w:r>
      <w:r>
        <w:rPr>
          <w:spacing w:val="-2"/>
        </w:rPr>
        <w:t>对使用寿命不确定的无形资产，不予摊销。每年年度终了对使用寿命不确定的无形资产的使用寿命进行复核，如果有证</w:t>
      </w:r>
    </w:p>
    <w:p>
      <w:pPr>
        <w:pStyle w:val="BodyText"/>
        <w:spacing w:line="222" w:lineRule="exact"/>
        <w:ind w:right="977"/>
        <w:jc w:val="left"/>
      </w:pPr>
      <w:r>
        <w:rPr/>
        <w:t>据表明无形资产的使用寿命是有限的，估计其使用寿命并在预计使用年限内系统合理摊销。</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3" w:right="977"/>
        <w:jc w:val="left"/>
      </w:pPr>
      <w:r>
        <w:rPr>
          <w:rFonts w:ascii="Times New Roman" w:hAnsi="Times New Roman" w:cs="Times New Roman" w:eastAsia="Times New Roman" w:hint="default"/>
        </w:rPr>
        <w:t>1</w:t>
      </w:r>
      <w:r>
        <w:rPr/>
        <w:t>）划分内部研究开发项目的研究阶段和开发阶段具体标准</w:t>
      </w:r>
    </w:p>
    <w:p>
      <w:pPr>
        <w:pStyle w:val="BodyText"/>
        <w:spacing w:line="316" w:lineRule="auto" w:before="103"/>
        <w:ind w:right="977" w:firstLine="360"/>
        <w:jc w:val="left"/>
      </w:pPr>
      <w:r>
        <w:rPr>
          <w:spacing w:val="-2"/>
        </w:rPr>
        <w:t>①本公司将为进一步开发活动进行的资料及相关方面的准备活动作为研究阶段，无形资产研究阶段的支出在发生时计入</w:t>
      </w:r>
      <w:r>
        <w:rPr/>
        <w:t> 当期损益。</w:t>
      </w:r>
    </w:p>
    <w:p>
      <w:pPr>
        <w:pStyle w:val="BodyText"/>
        <w:spacing w:line="348" w:lineRule="auto" w:before="59"/>
        <w:ind w:left="473" w:right="4813"/>
        <w:jc w:val="left"/>
      </w:pPr>
      <w:r>
        <w:rPr/>
        <w:t>②在本公司已完成研究阶段的工作后再进行的开发活动作为开发阶段。 </w:t>
      </w:r>
      <w:r>
        <w:rPr>
          <w:rFonts w:ascii="Times New Roman" w:hAnsi="Times New Roman" w:cs="Times New Roman" w:eastAsia="Times New Roman" w:hint="default"/>
        </w:rPr>
        <w:t>2</w:t>
      </w:r>
      <w:r>
        <w:rPr/>
        <w:t>）开发阶段支出资本化的具体条件 开发阶段的支出同时满足下列条件时，才能确认为无形资产： </w:t>
      </w: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w:t>
      </w:r>
    </w:p>
    <w:p>
      <w:pPr>
        <w:pStyle w:val="BodyText"/>
        <w:spacing w:line="300" w:lineRule="auto" w:before="14"/>
        <w:ind w:right="977" w:firstLine="360"/>
        <w:jc w:val="left"/>
      </w:pPr>
      <w:r>
        <w:rPr>
          <w:rFonts w:ascii="Times New Roman" w:hAnsi="Times New Roman" w:cs="Times New Roman" w:eastAsia="Times New Roman" w:hint="default"/>
          <w:spacing w:val="-2"/>
        </w:rPr>
        <w:t>C.</w:t>
      </w:r>
      <w:r>
        <w:rPr>
          <w:spacing w:val="-2"/>
        </w:rPr>
        <w:t>无形资产产生经济利益的方式，包括能够证明运用该无形资产生产的产品存在市场或无形资产自身存在市场，无形资</w:t>
      </w:r>
      <w:r>
        <w:rPr/>
        <w:t> 产将在内部使用的，能够证明其有用性；</w:t>
      </w:r>
    </w:p>
    <w:p>
      <w:pPr>
        <w:pStyle w:val="BodyText"/>
        <w:spacing w:line="338" w:lineRule="auto" w:before="72"/>
        <w:ind w:left="473" w:right="1938"/>
        <w:jc w:val="left"/>
      </w:pPr>
      <w:r>
        <w:rPr>
          <w:rFonts w:ascii="Times New Roman" w:hAnsi="Times New Roman" w:cs="Times New Roman" w:eastAsia="Times New Roman" w:hint="default"/>
        </w:rPr>
        <w:t>D.</w:t>
      </w:r>
      <w:r>
        <w:rPr/>
        <w:t>有足够的技术、财务资源和其他资源支持，以完成该无形资产的开发，并有能力使用或出售该无形资产； </w:t>
      </w:r>
      <w:r>
        <w:rPr>
          <w:rFonts w:ascii="Times New Roman" w:hAnsi="Times New Roman" w:cs="Times New Roman" w:eastAsia="Times New Roman" w:hint="default"/>
        </w:rPr>
        <w:t>E.</w:t>
      </w:r>
      <w:r>
        <w:rPr/>
        <w:t>归属于该无形资产开发阶段的支出能够可靠地计量。</w:t>
      </w:r>
    </w:p>
    <w:p>
      <w:pPr>
        <w:spacing w:line="240" w:lineRule="auto" w:before="9"/>
        <w:rPr>
          <w:rFonts w:ascii="宋体" w:hAnsi="宋体" w:cs="宋体" w:eastAsia="宋体" w:hint="default"/>
          <w:sz w:val="19"/>
          <w:szCs w:val="19"/>
        </w:rPr>
      </w:pPr>
    </w:p>
    <w:p>
      <w:pPr>
        <w:pStyle w:val="Heading3"/>
        <w:spacing w:line="240" w:lineRule="auto"/>
        <w:ind w:right="977"/>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473" w:right="977"/>
        <w:jc w:val="left"/>
      </w:pPr>
      <w:r>
        <w:rPr/>
        <w:t>（</w:t>
      </w:r>
      <w:r>
        <w:rPr>
          <w:rFonts w:ascii="Times New Roman" w:hAnsi="Times New Roman" w:cs="Times New Roman" w:eastAsia="Times New Roman" w:hint="default"/>
        </w:rPr>
        <w:t>1</w:t>
      </w:r>
      <w:r>
        <w:rPr/>
        <w:t>）长期股权投资减值测试方法及会计处理方法 </w:t>
      </w:r>
      <w:r>
        <w:rPr>
          <w:spacing w:val="-2"/>
        </w:rPr>
        <w:t>本公司在资产负债表日对长期股权投资进行逐项检查，根据被投资单位经营政策、法律环境、市场需求、行业及盈利能</w:t>
      </w:r>
    </w:p>
    <w:p>
      <w:pPr>
        <w:pStyle w:val="BodyText"/>
        <w:spacing w:line="316" w:lineRule="auto" w:before="2"/>
        <w:ind w:right="977"/>
        <w:jc w:val="left"/>
      </w:pPr>
      <w:r>
        <w:rPr>
          <w:spacing w:val="-2"/>
        </w:rPr>
        <w:t>力等的各种变化判断长期股权投资是否存在减值迹象。当长期股权投资可收回金额低于账面价值时，将可收回金额低于长期</w:t>
      </w:r>
      <w:r>
        <w:rPr>
          <w:spacing w:val="-64"/>
        </w:rPr>
        <w:t> </w:t>
      </w:r>
      <w:r>
        <w:rPr>
          <w:spacing w:val="-64"/>
        </w:rPr>
      </w:r>
      <w:r>
        <w:rPr/>
        <w:t>股权投资账面价值的差额作为长期股权投资减值准备予以计提。资产减值损失一经确认，在以后会计期间不再转回。</w:t>
      </w:r>
    </w:p>
    <w:p>
      <w:pPr>
        <w:pStyle w:val="BodyText"/>
        <w:spacing w:line="340" w:lineRule="auto" w:before="59"/>
        <w:ind w:left="473" w:right="977"/>
        <w:jc w:val="left"/>
      </w:pPr>
      <w:r>
        <w:rPr/>
        <w:t>（</w:t>
      </w:r>
      <w:r>
        <w:rPr>
          <w:rFonts w:ascii="Times New Roman" w:hAnsi="Times New Roman" w:cs="Times New Roman" w:eastAsia="Times New Roman" w:hint="default"/>
        </w:rPr>
        <w:t>2</w:t>
      </w:r>
      <w:r>
        <w:rPr/>
        <w:t>）投资性房地产减值测试方法及会计处理方法 </w:t>
      </w:r>
      <w:r>
        <w:rPr>
          <w:spacing w:val="-2"/>
        </w:rPr>
        <w:t>资产负债表日按投资性房产的成本与可收回金额孰低计价，可收回金额低于成本的，按两者的差额计提减值准备。如果</w:t>
      </w:r>
    </w:p>
    <w:p>
      <w:pPr>
        <w:pStyle w:val="BodyText"/>
        <w:spacing w:line="240" w:lineRule="auto" w:before="1"/>
        <w:ind w:right="977"/>
        <w:jc w:val="left"/>
      </w:pPr>
      <w:r>
        <w:rPr/>
        <w:t>已经计提减值准备的投资性房地产的价值又得以恢复，前期已计提的减值准备不得转回。</w:t>
      </w:r>
    </w:p>
    <w:p>
      <w:pPr>
        <w:pStyle w:val="BodyText"/>
        <w:spacing w:line="340" w:lineRule="auto" w:before="115"/>
        <w:ind w:left="473" w:right="977"/>
        <w:jc w:val="left"/>
      </w:pPr>
      <w:r>
        <w:rPr/>
        <w:t>（</w:t>
      </w:r>
      <w:r>
        <w:rPr>
          <w:rFonts w:ascii="Times New Roman" w:hAnsi="Times New Roman" w:cs="Times New Roman" w:eastAsia="Times New Roman" w:hint="default"/>
        </w:rPr>
        <w:t>3</w:t>
      </w:r>
      <w:r>
        <w:rPr/>
        <w:t>）固定资产的减值测试方法及会计处理方法 </w:t>
      </w:r>
      <w:r>
        <w:rPr>
          <w:spacing w:val="-2"/>
        </w:rPr>
        <w:t>本公司在资产负债表日对各项固定资产进行判断，当存在减值迹象，估计可收回金额低于其账面价值时，账面价值减记</w:t>
      </w:r>
    </w:p>
    <w:p>
      <w:pPr>
        <w:pStyle w:val="BodyText"/>
        <w:spacing w:line="319" w:lineRule="auto" w:before="1"/>
        <w:ind w:right="1034"/>
        <w:jc w:val="left"/>
      </w:pPr>
      <w:r>
        <w:rPr/>
        <w:t>至可收回金额，减记的金额确认为资产减值损失，计入当期损益，同时计提相应的资产减值准备。资产减值损失一经确认， 在以后会计期间不再转回。当存在下列迹象的，按固定资产单项项目全额计提减值准备：</w:t>
      </w:r>
    </w:p>
    <w:p>
      <w:pPr>
        <w:pStyle w:val="BodyText"/>
        <w:spacing w:line="240" w:lineRule="auto" w:before="58"/>
        <w:ind w:left="473" w:right="977"/>
        <w:jc w:val="left"/>
      </w:pPr>
      <w:r>
        <w:rPr/>
        <w:t>①长期闲置不用，在可预见的未来不会再使用，且已无转让价值的固定资产；</w:t>
      </w:r>
    </w:p>
    <w:p>
      <w:pPr>
        <w:pStyle w:val="BodyText"/>
        <w:spacing w:line="240" w:lineRule="auto" w:before="115"/>
        <w:ind w:left="473" w:right="977"/>
        <w:jc w:val="left"/>
      </w:pPr>
      <w:r>
        <w:rPr/>
        <w:t>②由于技术进步等原因，已不可使用的固定资产；</w:t>
      </w:r>
    </w:p>
    <w:p>
      <w:pPr>
        <w:pStyle w:val="BodyText"/>
        <w:spacing w:line="240" w:lineRule="auto" w:before="117"/>
        <w:ind w:left="473" w:right="977"/>
        <w:jc w:val="left"/>
      </w:pPr>
      <w:r>
        <w:rPr/>
        <w:t>③虽然固定资产尚可使用，但使用后产生大量不合格品的固定资产；</w:t>
      </w:r>
    </w:p>
    <w:p>
      <w:pPr>
        <w:pStyle w:val="BodyText"/>
        <w:spacing w:line="240" w:lineRule="auto" w:before="117"/>
        <w:ind w:left="473" w:right="977"/>
        <w:jc w:val="left"/>
      </w:pPr>
      <w:r>
        <w:rPr/>
        <w:t>④已遭毁损，以至于不再具有使用价值和转让价值的固定资产；</w:t>
      </w:r>
    </w:p>
    <w:p>
      <w:pPr>
        <w:pStyle w:val="BodyText"/>
        <w:spacing w:line="240" w:lineRule="auto" w:before="115"/>
        <w:ind w:left="473" w:right="977"/>
        <w:jc w:val="left"/>
      </w:pPr>
      <w:r>
        <w:rPr/>
        <w:t>⑤其他实质上已经不能再给公司带来经济利益的固定资产。</w:t>
      </w:r>
    </w:p>
    <w:p>
      <w:pPr>
        <w:pStyle w:val="BodyText"/>
        <w:spacing w:line="340" w:lineRule="auto" w:before="117"/>
        <w:ind w:left="473" w:right="977"/>
        <w:jc w:val="left"/>
      </w:pPr>
      <w:r>
        <w:rPr/>
        <w:t>（</w:t>
      </w:r>
      <w:r>
        <w:rPr>
          <w:rFonts w:ascii="Times New Roman" w:hAnsi="Times New Roman" w:cs="Times New Roman" w:eastAsia="Times New Roman" w:hint="default"/>
        </w:rPr>
        <w:t>4</w:t>
      </w:r>
      <w:r>
        <w:rPr/>
        <w:t>）在建工程减值测试方法及会计处理方法 </w:t>
      </w:r>
      <w:r>
        <w:rPr>
          <w:spacing w:val="-2"/>
        </w:rPr>
        <w:t>本公司于资产负债表日对在建工程进行全面检查，如果有证据表明在建工程已经发生了减值，估计可收回金额低于其账</w:t>
      </w:r>
    </w:p>
    <w:p>
      <w:pPr>
        <w:pStyle w:val="BodyText"/>
        <w:spacing w:line="319" w:lineRule="auto" w:before="1"/>
        <w:ind w:right="1034"/>
        <w:jc w:val="left"/>
      </w:pPr>
      <w:r>
        <w:rPr/>
        <w:t>面价值时，账面价值减记至可收回金额，减记的金额确认为资产减值损失，计入当期损益，同时计提相应的资产减值准备。 资产减值损失一经确认，在以后会计期间不再转回。存在下列一项或若干项情况的，对在建工程进行减值测试：</w:t>
      </w:r>
    </w:p>
    <w:p>
      <w:pPr>
        <w:pStyle w:val="BodyText"/>
        <w:spacing w:line="240" w:lineRule="auto" w:before="55"/>
        <w:ind w:left="473" w:right="977"/>
        <w:jc w:val="left"/>
      </w:pPr>
      <w:r>
        <w:rPr/>
        <w:t>①长期停建并且预计在未来</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年内不会重新开工的在建工程；</w:t>
      </w:r>
    </w:p>
    <w:p>
      <w:pPr>
        <w:spacing w:after="0" w:line="240" w:lineRule="auto"/>
        <w:jc w:val="left"/>
        <w:sectPr>
          <w:footerReference w:type="default" r:id="rId27"/>
          <w:pgSz w:w="11910" w:h="16840"/>
          <w:pgMar w:footer="1013" w:header="910" w:top="1100" w:bottom="1200" w:left="1020" w:right="0"/>
          <w:pgNumType w:start="110"/>
        </w:sectPr>
      </w:pPr>
    </w:p>
    <w:p>
      <w:pPr>
        <w:spacing w:line="240" w:lineRule="auto" w:before="8"/>
        <w:rPr>
          <w:rFonts w:ascii="宋体" w:hAnsi="宋体" w:cs="宋体" w:eastAsia="宋体" w:hint="default"/>
          <w:sz w:val="22"/>
          <w:szCs w:val="22"/>
        </w:rPr>
      </w:pPr>
    </w:p>
    <w:p>
      <w:pPr>
        <w:pStyle w:val="BodyText"/>
        <w:spacing w:line="240" w:lineRule="auto" w:before="44"/>
        <w:ind w:left="473" w:right="977"/>
        <w:jc w:val="left"/>
      </w:pPr>
      <w:r>
        <w:rPr/>
        <w:t>②所建项目无论在性能上，还是在技术上已经落后，并且给企业带来的经济利益具有很大的不确定性；</w:t>
      </w:r>
    </w:p>
    <w:p>
      <w:pPr>
        <w:pStyle w:val="BodyText"/>
        <w:spacing w:line="240" w:lineRule="auto" w:before="117"/>
        <w:ind w:left="473" w:right="977"/>
        <w:jc w:val="left"/>
      </w:pPr>
      <w:r>
        <w:rPr/>
        <w:t>③其他足以证明在建工程已经发生减值的情形。</w:t>
      </w:r>
    </w:p>
    <w:p>
      <w:pPr>
        <w:pStyle w:val="BodyText"/>
        <w:spacing w:line="340" w:lineRule="auto" w:before="115"/>
        <w:ind w:left="473" w:right="1033"/>
        <w:jc w:val="left"/>
      </w:pPr>
      <w:r>
        <w:rPr/>
        <w:t>（</w:t>
      </w:r>
      <w:r>
        <w:rPr>
          <w:rFonts w:ascii="Times New Roman" w:hAnsi="Times New Roman" w:cs="Times New Roman" w:eastAsia="Times New Roman" w:hint="default"/>
        </w:rPr>
        <w:t>5</w:t>
      </w:r>
      <w:r>
        <w:rPr/>
        <w:t>）无形资产减值测试方法及会计处理方法 当无形资产的可收回金额低于其账面价值时，将资产的账面价值减记至可收回金额，减记的金额确认为资产减值损失，</w:t>
      </w:r>
    </w:p>
    <w:p>
      <w:pPr>
        <w:pStyle w:val="BodyText"/>
        <w:spacing w:line="316" w:lineRule="auto" w:before="1"/>
        <w:ind w:right="1129"/>
        <w:jc w:val="both"/>
      </w:pPr>
      <w:r>
        <w:rPr>
          <w:spacing w:val="-2"/>
        </w:rPr>
        <w:t>计入当期损益，同时计提相应的无形资产减值准备。无形资产减值损失一经确认，在以后会计期间不再转回。存在下列一项</w:t>
      </w:r>
      <w:r>
        <w:rPr>
          <w:spacing w:val="-66"/>
        </w:rPr>
        <w:t> </w:t>
      </w:r>
      <w:r>
        <w:rPr>
          <w:spacing w:val="-66"/>
        </w:rPr>
      </w:r>
      <w:r>
        <w:rPr/>
        <w:t>或多项以下情况的，对无形资产进行减值测试：</w:t>
      </w:r>
    </w:p>
    <w:p>
      <w:pPr>
        <w:pStyle w:val="BodyText"/>
        <w:spacing w:line="240" w:lineRule="auto" w:before="59"/>
        <w:ind w:left="473" w:right="977"/>
        <w:jc w:val="left"/>
      </w:pPr>
      <w:r>
        <w:rPr/>
        <w:t>①该无形资产已被其他新技术等所替代，使其为企业创造经济利益的能力受到重大不利影响；</w:t>
      </w:r>
    </w:p>
    <w:p>
      <w:pPr>
        <w:pStyle w:val="BodyText"/>
        <w:spacing w:line="240" w:lineRule="auto" w:before="115"/>
        <w:ind w:left="473" w:right="977"/>
        <w:jc w:val="left"/>
      </w:pPr>
      <w:r>
        <w:rPr/>
        <w:t>②该无形资产的市价在当期大幅下跌，并在剩余年限内可能不会回升；</w:t>
      </w:r>
    </w:p>
    <w:p>
      <w:pPr>
        <w:pStyle w:val="BodyText"/>
        <w:spacing w:line="240" w:lineRule="auto" w:before="117"/>
        <w:ind w:left="473" w:right="977"/>
        <w:jc w:val="left"/>
      </w:pPr>
      <w:r>
        <w:rPr/>
        <w:t>③其他足以表明该无形资产的账面价值已超过可收回金额的情况。</w:t>
      </w:r>
    </w:p>
    <w:p>
      <w:pPr>
        <w:pStyle w:val="BodyText"/>
        <w:spacing w:line="338" w:lineRule="auto" w:before="117"/>
        <w:ind w:left="473" w:right="977"/>
        <w:jc w:val="left"/>
      </w:pPr>
      <w:r>
        <w:rPr/>
        <w:t>（</w:t>
      </w:r>
      <w:r>
        <w:rPr>
          <w:rFonts w:ascii="Times New Roman" w:hAnsi="Times New Roman" w:cs="Times New Roman" w:eastAsia="Times New Roman" w:hint="default"/>
        </w:rPr>
        <w:t>6</w:t>
      </w:r>
      <w:r>
        <w:rPr/>
        <w:t>）商誉减值测试 </w:t>
      </w:r>
      <w:r>
        <w:rPr>
          <w:spacing w:val="-2"/>
        </w:rPr>
        <w:t>企业合并形成的商誉，至少在每年年度终了进行减值测试。本公司在对包含商誉的相关资产组或者资产组组合进行减值</w:t>
      </w:r>
    </w:p>
    <w:p>
      <w:pPr>
        <w:pStyle w:val="BodyText"/>
        <w:spacing w:line="360" w:lineRule="auto" w:before="2"/>
        <w:ind w:left="473" w:right="977" w:hanging="361"/>
        <w:jc w:val="left"/>
      </w:pPr>
      <w:r>
        <w:rPr/>
        <w:t>测试时，如与商誉相关的资产组或者资产组组合存在减值迹象的，按以下步骤处理： </w:t>
      </w:r>
      <w:r>
        <w:rPr>
          <w:spacing w:val="-2"/>
        </w:rPr>
        <w:t>首先对不包含商誉的资产组或者资产组组合进行减值测试，计算可收回金额，并与相关资产账面价值比较，确认相应的</w:t>
      </w:r>
    </w:p>
    <w:p>
      <w:pPr>
        <w:pStyle w:val="BodyText"/>
        <w:spacing w:line="222" w:lineRule="exact"/>
        <w:ind w:right="0"/>
        <w:jc w:val="both"/>
      </w:pPr>
      <w:r>
        <w:rPr/>
        <w:t>减值损失</w:t>
      </w:r>
      <w:r>
        <w:rPr>
          <w:spacing w:val="-87"/>
        </w:rPr>
        <w:t>；</w:t>
      </w:r>
      <w:r>
        <w:rPr/>
        <w:t>然后再对包含商誉的资产组或者</w:t>
      </w:r>
      <w:r>
        <w:rPr>
          <w:spacing w:val="1"/>
        </w:rPr>
        <w:t>资</w:t>
      </w:r>
      <w:r>
        <w:rPr/>
        <w:t>产组这组合进行减值测试</w:t>
      </w:r>
      <w:r>
        <w:rPr>
          <w:spacing w:val="-87"/>
        </w:rPr>
        <w:t>，</w:t>
      </w:r>
      <w:r>
        <w:rPr/>
        <w:t>比较这些相关资产组或者资产组组合的账面价</w:t>
      </w:r>
      <w:r>
        <w:rPr>
          <w:spacing w:val="-87"/>
        </w:rPr>
        <w:t>值</w:t>
      </w:r>
      <w:r>
        <w:rPr/>
        <w:t>（包</w:t>
      </w:r>
    </w:p>
    <w:p>
      <w:pPr>
        <w:pStyle w:val="BodyText"/>
        <w:spacing w:line="316" w:lineRule="auto" w:before="76"/>
        <w:ind w:right="1131"/>
        <w:jc w:val="both"/>
      </w:pPr>
      <w:r>
        <w:rPr>
          <w:spacing w:val="-2"/>
        </w:rPr>
        <w:t>括所分摊的商誉的账面价值部分）与其可收回金额，如相关资产组或者资产组组合的可收回金额低于其账面价值的，就其差</w:t>
      </w:r>
      <w:r>
        <w:rPr>
          <w:spacing w:val="-64"/>
        </w:rPr>
        <w:t> </w:t>
      </w:r>
      <w:r>
        <w:rPr>
          <w:spacing w:val="-64"/>
        </w:rPr>
      </w:r>
      <w:r>
        <w:rPr>
          <w:spacing w:val="-2"/>
        </w:rPr>
        <w:t>额确认减值损失。减值损失金额首先抵减分摊至资产组或者资产组组合中商誉的账面价值；再根据资产组或者资产组组合中</w:t>
      </w:r>
      <w:r>
        <w:rPr>
          <w:spacing w:val="-65"/>
        </w:rPr>
        <w:t> </w:t>
      </w:r>
      <w:r>
        <w:rPr>
          <w:spacing w:val="-65"/>
        </w:rPr>
      </w:r>
      <w:r>
        <w:rPr/>
        <w:t>除商誉之外的其他各项资产的账面价值所占比重，按比例抵减其他各项资产的账面价值。</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473" w:right="2653"/>
        <w:jc w:val="left"/>
      </w:pPr>
      <w:r>
        <w:rPr/>
        <w:t>长期待摊费用核算本公司已经发生但应由本期和以后各期负担的分摊期限在一年以上的各项费用。 本公司长期待摊费用在受益期内平均摊销，各项费用摊销的年限如下：</w:t>
      </w:r>
    </w:p>
    <w:tbl>
      <w:tblPr>
        <w:tblW w:w="0" w:type="auto"/>
        <w:jc w:val="left"/>
        <w:tblInd w:w="108" w:type="dxa"/>
        <w:tblLayout w:type="fixed"/>
        <w:tblCellMar>
          <w:top w:w="0" w:type="dxa"/>
          <w:left w:w="0" w:type="dxa"/>
          <w:bottom w:w="0" w:type="dxa"/>
          <w:right w:w="0" w:type="dxa"/>
        </w:tblCellMar>
        <w:tblLook w:val="01E0"/>
      </w:tblPr>
      <w:tblGrid>
        <w:gridCol w:w="4487"/>
        <w:gridCol w:w="4371"/>
      </w:tblGrid>
      <w:tr>
        <w:trPr>
          <w:trHeight w:val="34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43"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租入房屋装修费</w:t>
            </w:r>
          </w:p>
        </w:tc>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租赁合同期限</w:t>
            </w:r>
          </w:p>
        </w:tc>
      </w:tr>
    </w:tbl>
    <w:p>
      <w:pPr>
        <w:spacing w:line="240" w:lineRule="auto" w:before="8"/>
        <w:rPr>
          <w:rFonts w:ascii="宋体" w:hAnsi="宋体" w:cs="宋体" w:eastAsia="宋体" w:hint="default"/>
          <w:sz w:val="20"/>
          <w:szCs w:val="20"/>
        </w:rPr>
      </w:pPr>
    </w:p>
    <w:p>
      <w:pPr>
        <w:pStyle w:val="Heading3"/>
        <w:spacing w:line="240" w:lineRule="auto" w:before="36"/>
        <w:ind w:right="977"/>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77"/>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473" w:right="977"/>
        <w:jc w:val="left"/>
      </w:pPr>
      <w:r>
        <w:rPr/>
        <w:t>①职工基本薪酬（工资、奖金、津贴、补贴） </w:t>
      </w:r>
      <w:r>
        <w:rPr>
          <w:spacing w:val="-2"/>
        </w:rPr>
        <w:t>本公司在职工为其提供服务的会计期间，将实际发生的短期薪酬确认为负债，并计入当期损益，其他会计准则要求或允</w:t>
      </w:r>
    </w:p>
    <w:p>
      <w:pPr>
        <w:pStyle w:val="BodyText"/>
        <w:spacing w:line="223" w:lineRule="exact"/>
        <w:ind w:right="977"/>
        <w:jc w:val="left"/>
      </w:pPr>
      <w:r>
        <w:rPr/>
        <w:t>许计入资产成本的除外。</w:t>
      </w:r>
    </w:p>
    <w:p>
      <w:pPr>
        <w:pStyle w:val="BodyText"/>
        <w:spacing w:line="360" w:lineRule="auto" w:before="115"/>
        <w:ind w:left="473" w:right="977"/>
        <w:jc w:val="left"/>
      </w:pPr>
      <w:r>
        <w:rPr/>
        <w:t>②职工福利费 </w:t>
      </w:r>
      <w:r>
        <w:rPr>
          <w:spacing w:val="-4"/>
        </w:rPr>
        <w:t>本公司发生的职工福利费，在实际发生时根据实际发生额计入当期损益或相关资产成本。职工福利费为非货币性福利的，</w:t>
      </w:r>
    </w:p>
    <w:p>
      <w:pPr>
        <w:pStyle w:val="BodyText"/>
        <w:spacing w:line="222" w:lineRule="exact"/>
        <w:ind w:right="977"/>
        <w:jc w:val="left"/>
      </w:pPr>
      <w:r>
        <w:rPr/>
        <w:t>按照公允价值计量。</w:t>
      </w:r>
    </w:p>
    <w:p>
      <w:pPr>
        <w:pStyle w:val="BodyText"/>
        <w:spacing w:line="357" w:lineRule="auto" w:before="117"/>
        <w:ind w:left="473" w:right="977"/>
        <w:jc w:val="left"/>
      </w:pPr>
      <w:r>
        <w:rPr/>
        <w:t>③医疗保险费、工伤保险费、生育保险费等社会保险费和住房公积金，以及工会经费和职工教育经费 </w:t>
      </w:r>
      <w:r>
        <w:rPr>
          <w:spacing w:val="-2"/>
        </w:rPr>
        <w:t>本公司为职工缴纳的医疗保险费、工伤保险费、生育保险费等社会保险费和住房公积金，以及按规定提取的工会经费和</w:t>
      </w:r>
    </w:p>
    <w:p>
      <w:pPr>
        <w:pStyle w:val="BodyText"/>
        <w:spacing w:line="224" w:lineRule="exact"/>
        <w:ind w:right="977"/>
        <w:jc w:val="left"/>
      </w:pPr>
      <w:r>
        <w:rPr/>
        <w:t>职工教育经费，在职工为其提供服务的会计期间，根据规定的计提基础和计提比例计算确定相应的职工薪酬金额，并确认相</w:t>
      </w:r>
    </w:p>
    <w:p>
      <w:pPr>
        <w:pStyle w:val="BodyText"/>
        <w:spacing w:line="240" w:lineRule="auto" w:before="76"/>
        <w:ind w:right="977"/>
        <w:jc w:val="left"/>
      </w:pPr>
      <w:r>
        <w:rPr/>
        <w:t>应负债，计入当期损益或相关资产成本。</w:t>
      </w:r>
    </w:p>
    <w:p>
      <w:pPr>
        <w:pStyle w:val="BodyText"/>
        <w:spacing w:line="360" w:lineRule="auto" w:before="117"/>
        <w:ind w:left="473" w:right="977"/>
        <w:jc w:val="left"/>
      </w:pPr>
      <w:r>
        <w:rPr/>
        <w:t>④短期带薪缺勤 </w:t>
      </w:r>
      <w:r>
        <w:rPr>
          <w:spacing w:val="-2"/>
        </w:rPr>
        <w:t>本公司在职工提供服务从而增加了其未来享有的带薪缺勤权利时，确认与累积带薪缺勤相关的职工薪酬，并以累积未行</w:t>
      </w:r>
    </w:p>
    <w:p>
      <w:pPr>
        <w:pStyle w:val="BodyText"/>
        <w:spacing w:line="222" w:lineRule="exact"/>
        <w:ind w:right="977"/>
        <w:jc w:val="left"/>
      </w:pPr>
      <w:r>
        <w:rPr/>
        <w:t>使权利而增加的预期支付金额计量。本公司在职工实际发生缺勤的会计期间确认与非累积带薪缺勤相关的职工薪酬。</w:t>
      </w:r>
    </w:p>
    <w:p>
      <w:pPr>
        <w:spacing w:after="0" w:line="222" w:lineRule="exact"/>
        <w:jc w:val="left"/>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352" w:lineRule="auto" w:before="44"/>
        <w:ind w:left="473" w:right="4813"/>
        <w:jc w:val="left"/>
      </w:pPr>
      <w:r>
        <w:rPr/>
        <w:t>⑤短期利润分享计划 利润分享计划同时满足下列条件的，本公司确认相关的应付职工薪酬： </w:t>
      </w:r>
      <w:r>
        <w:rPr>
          <w:rFonts w:ascii="Times New Roman" w:hAnsi="Times New Roman" w:cs="Times New Roman" w:eastAsia="Times New Roman" w:hint="default"/>
        </w:rPr>
        <w:t>A.</w:t>
      </w:r>
      <w:r>
        <w:rPr/>
        <w:t>企业因过去事项导致现在具有支付职工薪酬的法定义务或推定义务； </w:t>
      </w:r>
      <w:r>
        <w:rPr>
          <w:rFonts w:ascii="Times New Roman" w:hAnsi="Times New Roman" w:cs="Times New Roman" w:eastAsia="Times New Roman" w:hint="default"/>
        </w:rPr>
        <w:t>B.</w:t>
      </w:r>
      <w:r>
        <w:rPr/>
        <w:t>因利润分享计划所产生的应付职工薪酬义务金额能够可靠估计。</w:t>
      </w:r>
    </w:p>
    <w:p>
      <w:pPr>
        <w:spacing w:line="240" w:lineRule="auto" w:before="11"/>
        <w:rPr>
          <w:rFonts w:ascii="宋体" w:hAnsi="宋体" w:cs="宋体" w:eastAsia="宋体" w:hint="default"/>
          <w:sz w:val="18"/>
          <w:szCs w:val="18"/>
        </w:rPr>
      </w:pPr>
    </w:p>
    <w:p>
      <w:pPr>
        <w:pStyle w:val="Heading3"/>
        <w:spacing w:line="240" w:lineRule="auto"/>
        <w:ind w:right="977"/>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473" w:right="977"/>
        <w:jc w:val="left"/>
      </w:pPr>
      <w:r>
        <w:rPr/>
        <w:t>①设定提存计划 </w:t>
      </w:r>
      <w:r>
        <w:rPr>
          <w:spacing w:val="-2"/>
        </w:rPr>
        <w:t>本公司在职工为其提供服务的会计期间，将根据设定提存计划计算的应缴存金额确认为负债，并计入当期损益或相关资</w:t>
      </w:r>
    </w:p>
    <w:p>
      <w:pPr>
        <w:pStyle w:val="BodyText"/>
        <w:spacing w:line="224" w:lineRule="exact"/>
        <w:ind w:right="977"/>
        <w:jc w:val="left"/>
      </w:pPr>
      <w:r>
        <w:rPr/>
        <w:t>产成本。</w:t>
      </w:r>
    </w:p>
    <w:p>
      <w:pPr>
        <w:pStyle w:val="BodyText"/>
        <w:spacing w:line="319" w:lineRule="auto" w:before="117"/>
        <w:ind w:right="1131" w:firstLine="360"/>
        <w:jc w:val="both"/>
      </w:pPr>
      <w:r>
        <w:rPr>
          <w:spacing w:val="-2"/>
        </w:rPr>
        <w:t>根据设定提存计划，预期不会在职工提供相关服务的年度报告期结束后十二个月内支付全部应缴存金额的，本公司参照</w:t>
      </w:r>
      <w:r>
        <w:rPr/>
        <w:t> </w:t>
      </w:r>
      <w:r>
        <w:rPr>
          <w:spacing w:val="-2"/>
        </w:rPr>
        <w:t>相应的折现率（根据资产负债表日与设定提存计划义务期限和币种相匹配的国债或活跃市场上的高质量公司债券的市场收益</w:t>
      </w:r>
      <w:r>
        <w:rPr>
          <w:spacing w:val="-63"/>
        </w:rPr>
        <w:t> </w:t>
      </w:r>
      <w:r>
        <w:rPr>
          <w:spacing w:val="-63"/>
        </w:rPr>
      </w:r>
      <w:r>
        <w:rPr>
          <w:spacing w:val="-4"/>
        </w:rPr>
        <w:t>率确定），将全部应缴存金额以折现后的金额计量应付职工薪酬。</w:t>
      </w:r>
    </w:p>
    <w:p>
      <w:pPr>
        <w:pStyle w:val="BodyText"/>
        <w:spacing w:line="240" w:lineRule="auto" w:before="58"/>
        <w:ind w:left="473" w:right="977"/>
        <w:jc w:val="left"/>
      </w:pPr>
      <w:r>
        <w:rPr/>
        <w:t>②设定受益计划</w:t>
      </w:r>
    </w:p>
    <w:p>
      <w:pPr>
        <w:pStyle w:val="BodyText"/>
        <w:spacing w:line="340" w:lineRule="auto" w:before="115"/>
        <w:ind w:left="473" w:right="977"/>
        <w:jc w:val="left"/>
      </w:pPr>
      <w:r>
        <w:rPr>
          <w:rFonts w:ascii="Times New Roman" w:hAnsi="Times New Roman" w:cs="Times New Roman" w:eastAsia="Times New Roman" w:hint="default"/>
        </w:rPr>
        <w:t>A</w:t>
      </w:r>
      <w:r>
        <w:rPr/>
        <w:t>．确定设定受益计划义务的现值和当期服务成本 </w:t>
      </w:r>
      <w:r>
        <w:rPr>
          <w:spacing w:val="-2"/>
        </w:rPr>
        <w:t>根据预期累计福利单位法，采用无偏且相互一致的精算假设对有关人口统计变量和财务变量等做出估计，计量设定受益</w:t>
      </w:r>
    </w:p>
    <w:p>
      <w:pPr>
        <w:pStyle w:val="BodyText"/>
        <w:spacing w:line="316" w:lineRule="auto" w:before="1"/>
        <w:ind w:right="1128"/>
        <w:jc w:val="both"/>
      </w:pPr>
      <w:r>
        <w:rPr>
          <w:spacing w:val="-2"/>
        </w:rPr>
        <w:t>计划所产生的义务，并确定相关义务的归属期间。本公司按照相应的折现率（根据资产负债表日与设定受益计划义务期限和</w:t>
      </w:r>
      <w:r>
        <w:rPr>
          <w:spacing w:val="-63"/>
        </w:rPr>
        <w:t> </w:t>
      </w:r>
      <w:r>
        <w:rPr>
          <w:spacing w:val="-63"/>
        </w:rPr>
      </w:r>
      <w:r>
        <w:rPr>
          <w:spacing w:val="-2"/>
        </w:rPr>
        <w:t>币种相匹配的国债或活跃市场上的高质量公司债券的市场收益率确定）将设定受益计划所产生的义务予以折现，以确定设定</w:t>
      </w:r>
      <w:r>
        <w:rPr>
          <w:spacing w:val="-64"/>
        </w:rPr>
        <w:t> </w:t>
      </w:r>
      <w:r>
        <w:rPr>
          <w:spacing w:val="-64"/>
        </w:rPr>
      </w:r>
      <w:r>
        <w:rPr/>
        <w:t>受益计划义务的现值和当期服务成本。</w:t>
      </w:r>
    </w:p>
    <w:p>
      <w:pPr>
        <w:pStyle w:val="BodyText"/>
        <w:spacing w:line="338" w:lineRule="auto" w:before="59"/>
        <w:ind w:left="473" w:right="977"/>
        <w:jc w:val="left"/>
      </w:pPr>
      <w:r>
        <w:rPr>
          <w:rFonts w:ascii="Times New Roman" w:hAnsi="Times New Roman" w:cs="Times New Roman" w:eastAsia="Times New Roman" w:hint="default"/>
        </w:rPr>
        <w:t>B.</w:t>
      </w:r>
      <w:r>
        <w:rPr/>
        <w:t>确认设定受益计划净负债或净资产 </w:t>
      </w:r>
      <w:r>
        <w:rPr>
          <w:spacing w:val="-2"/>
        </w:rPr>
        <w:t>设定受益计划存在资产的，本公司将设定受益计划义务现值减去设定受益计划资产公允价值所形成的赤字或盈余确认为</w:t>
      </w:r>
    </w:p>
    <w:p>
      <w:pPr>
        <w:pStyle w:val="BodyText"/>
        <w:spacing w:line="352" w:lineRule="auto" w:before="3"/>
        <w:ind w:left="473" w:right="977" w:hanging="361"/>
        <w:jc w:val="left"/>
      </w:pPr>
      <w:r>
        <w:rPr/>
        <w:t>一项设定受益计划净负债或净资产。 设定受益计划存在盈余的，本公司以设定受益计划的盈余和资产上限两项的孰低者计量设定受益计划净资产。 </w:t>
      </w:r>
      <w:r>
        <w:rPr>
          <w:rFonts w:ascii="Times New Roman" w:hAnsi="Times New Roman" w:cs="Times New Roman" w:eastAsia="Times New Roman" w:hint="default"/>
        </w:rPr>
        <w:t>C.</w:t>
      </w:r>
      <w:r>
        <w:rPr/>
        <w:t>确定应计入资产成本或当期损益的金额 </w:t>
      </w:r>
      <w:r>
        <w:rPr>
          <w:spacing w:val="-2"/>
        </w:rPr>
        <w:t>服务成本，包括当期服务成本、过去服务成本和结算利得或损失。其中，除了其他会计准则要求或允许计入资产成本的</w:t>
      </w:r>
    </w:p>
    <w:p>
      <w:pPr>
        <w:pStyle w:val="BodyText"/>
        <w:spacing w:line="360" w:lineRule="auto"/>
        <w:ind w:left="473" w:right="977" w:hanging="361"/>
        <w:jc w:val="left"/>
      </w:pPr>
      <w:r>
        <w:rPr/>
        <w:t>当期服务成本之外，其他服务成本均计入当期损益。 </w:t>
      </w:r>
      <w:r>
        <w:rPr>
          <w:spacing w:val="-2"/>
        </w:rPr>
        <w:t>设定受益计划净负债或净资产的利息净额，包括计划资产的利息收益、设定受益计划义务的利息费用以及资产上限影响</w:t>
      </w:r>
    </w:p>
    <w:p>
      <w:pPr>
        <w:pStyle w:val="BodyText"/>
        <w:spacing w:line="222" w:lineRule="exact"/>
        <w:ind w:right="977"/>
        <w:jc w:val="left"/>
      </w:pPr>
      <w:r>
        <w:rPr/>
        <w:t>的利息，均计入当期损益。</w:t>
      </w:r>
    </w:p>
    <w:p>
      <w:pPr>
        <w:pStyle w:val="BodyText"/>
        <w:spacing w:line="338" w:lineRule="auto" w:before="117"/>
        <w:ind w:left="473" w:right="5533"/>
        <w:jc w:val="left"/>
      </w:pPr>
      <w:r>
        <w:rPr>
          <w:rFonts w:ascii="Times New Roman" w:hAnsi="Times New Roman" w:cs="Times New Roman" w:eastAsia="Times New Roman" w:hint="default"/>
        </w:rPr>
        <w:t>D.</w:t>
      </w:r>
      <w:r>
        <w:rPr/>
        <w:t>确定应计入其他综合收益的金额 重新计量设定受益计划净负债或净资产所产生的变动，包括：</w:t>
      </w:r>
    </w:p>
    <w:p>
      <w:pPr>
        <w:pStyle w:val="BodyText"/>
        <w:spacing w:line="240" w:lineRule="auto" w:before="44"/>
        <w:ind w:left="473" w:right="977"/>
        <w:jc w:val="left"/>
      </w:pPr>
      <w:r>
        <w:rPr/>
        <w:t>（</w:t>
      </w:r>
      <w:r>
        <w:rPr>
          <w:rFonts w:ascii="Times New Roman" w:hAnsi="Times New Roman" w:cs="Times New Roman" w:eastAsia="Times New Roman" w:hint="default"/>
        </w:rPr>
        <w:t>a</w:t>
      </w:r>
      <w:r>
        <w:rPr/>
        <w:t>）精算利得或损失，即由于精算假设和经验调整导致之前所计量的设定受益计划义务现值的增加或减少；</w:t>
      </w:r>
    </w:p>
    <w:p>
      <w:pPr>
        <w:pStyle w:val="BodyText"/>
        <w:spacing w:line="240" w:lineRule="auto" w:before="103"/>
        <w:ind w:left="473" w:right="977"/>
        <w:jc w:val="left"/>
        <w:rPr>
          <w:rFonts w:ascii="Times New Roman" w:hAnsi="Times New Roman" w:cs="Times New Roman" w:eastAsia="Times New Roman" w:hint="default"/>
        </w:rPr>
      </w:pPr>
      <w:r>
        <w:rPr/>
        <w:t>（</w:t>
      </w:r>
      <w:r>
        <w:rPr>
          <w:rFonts w:ascii="Times New Roman" w:hAnsi="Times New Roman" w:cs="Times New Roman" w:eastAsia="Times New Roman" w:hint="default"/>
        </w:rPr>
        <w:t>b</w:t>
      </w:r>
      <w:r>
        <w:rPr/>
        <w:t>）计划资产回报，扣除包括在设定受益计划净负债或净资产的利息净额中的金额</w:t>
      </w:r>
      <w:r>
        <w:rPr>
          <w:rFonts w:ascii="Times New Roman" w:hAnsi="Times New Roman" w:cs="Times New Roman" w:eastAsia="Times New Roman" w:hint="default"/>
        </w:rPr>
        <w:t>;</w:t>
      </w:r>
    </w:p>
    <w:p>
      <w:pPr>
        <w:pStyle w:val="BodyText"/>
        <w:spacing w:line="340" w:lineRule="auto" w:before="101"/>
        <w:ind w:left="473" w:right="1168"/>
        <w:jc w:val="left"/>
      </w:pPr>
      <w:r>
        <w:rPr/>
        <w:t>（</w:t>
      </w:r>
      <w:r>
        <w:rPr>
          <w:rFonts w:ascii="Times New Roman" w:hAnsi="Times New Roman" w:cs="Times New Roman" w:eastAsia="Times New Roman" w:hint="default"/>
        </w:rPr>
        <w:t>c</w:t>
      </w:r>
      <w:r>
        <w:rPr/>
        <w:t>）资产上限影响的变动，扣除包括在设定受益计划净负债或净资产的利息净额中的金额。 上述重新计量设定受益计划净负债或净资产所产生的变动直接计入其他综合收益</w:t>
      </w:r>
      <w:r>
        <w:rPr>
          <w:rFonts w:ascii="Times New Roman" w:hAnsi="Times New Roman" w:cs="Times New Roman" w:eastAsia="Times New Roman" w:hint="default"/>
        </w:rPr>
        <w:t>,</w:t>
      </w:r>
      <w:r>
        <w:rPr/>
        <w:t>并且在后续会计期间不允许转回至损</w:t>
      </w:r>
    </w:p>
    <w:p>
      <w:pPr>
        <w:pStyle w:val="BodyText"/>
        <w:spacing w:line="215" w:lineRule="exact"/>
        <w:ind w:right="977"/>
        <w:jc w:val="left"/>
      </w:pPr>
      <w:r>
        <w:rPr/>
        <w:t>益，但本公司可以在权益范围内转移这些在其他综合收益中确认的金额。</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3" w:right="977"/>
        <w:jc w:val="left"/>
      </w:pPr>
      <w:r>
        <w:rPr/>
        <w:t>本公司向职工提供辞退福利的，在下列两者孰早日确认辞退福利产生的职工薪酬负债，并计入当期损益：</w:t>
      </w:r>
    </w:p>
    <w:p>
      <w:pPr>
        <w:pStyle w:val="BodyText"/>
        <w:spacing w:line="240" w:lineRule="auto" w:before="117"/>
        <w:ind w:left="473" w:right="977"/>
        <w:jc w:val="left"/>
      </w:pPr>
      <w:r>
        <w:rPr/>
        <w:t>①企业不能单方面撤回因解除劳动关系计划或裁减建议所提供的辞退福利时；</w:t>
      </w:r>
    </w:p>
    <w:p>
      <w:pPr>
        <w:pStyle w:val="BodyText"/>
        <w:spacing w:line="357" w:lineRule="auto" w:before="117"/>
        <w:ind w:left="473" w:right="977"/>
        <w:jc w:val="left"/>
      </w:pPr>
      <w:r>
        <w:rPr/>
        <w:t>②企业确认与涉及支付辞退福利的重组相关的成本或费用时。 </w:t>
      </w:r>
      <w:r>
        <w:rPr>
          <w:spacing w:val="-2"/>
        </w:rPr>
        <w:t>辞退福利预期在年度报告期结束后十二个月内不能完全支付的，参照相应的折现率（根据资产负债表日与设定受益计划</w:t>
      </w:r>
    </w:p>
    <w:p>
      <w:pPr>
        <w:spacing w:after="0" w:line="357" w:lineRule="auto"/>
        <w:jc w:val="left"/>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316" w:lineRule="auto" w:before="44"/>
        <w:ind w:right="977"/>
        <w:jc w:val="left"/>
      </w:pPr>
      <w:r>
        <w:rPr>
          <w:spacing w:val="-2"/>
        </w:rPr>
        <w:t>义务期限和币种相匹配的国债或活跃市场上的高质量公司债券的市场收益率确定）将辞退福利金额予以折现，以折现后的金</w:t>
      </w:r>
      <w:r>
        <w:rPr>
          <w:spacing w:val="-63"/>
        </w:rPr>
        <w:t> </w:t>
      </w:r>
      <w:r>
        <w:rPr>
          <w:spacing w:val="-63"/>
        </w:rPr>
      </w:r>
      <w:r>
        <w:rPr/>
        <w:t>额计量应付职工薪酬。</w:t>
      </w:r>
    </w:p>
    <w:p>
      <w:pPr>
        <w:spacing w:line="240" w:lineRule="auto" w:before="8"/>
        <w:rPr>
          <w:rFonts w:ascii="宋体" w:hAnsi="宋体" w:cs="宋体" w:eastAsia="宋体" w:hint="default"/>
          <w:sz w:val="22"/>
          <w:szCs w:val="22"/>
        </w:rPr>
      </w:pPr>
    </w:p>
    <w:p>
      <w:pPr>
        <w:pStyle w:val="Heading3"/>
        <w:spacing w:line="240" w:lineRule="auto"/>
        <w:ind w:right="977"/>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44"/>
        <w:ind w:left="473" w:right="977"/>
        <w:jc w:val="left"/>
      </w:pPr>
      <w:r>
        <w:rPr/>
        <w:t>①符合设定提存计划条件的 </w:t>
      </w:r>
      <w:r>
        <w:rPr>
          <w:spacing w:val="-2"/>
        </w:rPr>
        <w:t>本公司向职工提供的其他长期职工福利，符合设定提存计划条件的，将全部应缴存金额以折现后的金额计量应付职工薪</w:t>
      </w:r>
    </w:p>
    <w:p>
      <w:pPr>
        <w:pStyle w:val="BodyText"/>
        <w:spacing w:line="224" w:lineRule="exact"/>
        <w:ind w:right="977"/>
        <w:jc w:val="left"/>
      </w:pPr>
      <w:r>
        <w:rPr/>
        <w:t>酬。</w:t>
      </w:r>
    </w:p>
    <w:p>
      <w:pPr>
        <w:pStyle w:val="BodyText"/>
        <w:spacing w:line="357" w:lineRule="auto" w:before="117"/>
        <w:ind w:left="473" w:right="3733"/>
        <w:jc w:val="left"/>
      </w:pPr>
      <w:r>
        <w:rPr/>
        <w:t>②符合设定受益计划条件的 在报告期末，本公司将其他长期职工福利产生的职工薪酬成本确认为下列组成部分： </w:t>
      </w:r>
      <w:r>
        <w:rPr>
          <w:rFonts w:ascii="Times New Roman" w:hAnsi="Times New Roman" w:cs="Times New Roman" w:eastAsia="Times New Roman" w:hint="default"/>
        </w:rPr>
        <w:t>A.</w:t>
      </w:r>
      <w:r>
        <w:rPr/>
        <w:t>服务成本；</w:t>
      </w:r>
    </w:p>
    <w:p>
      <w:pPr>
        <w:pStyle w:val="BodyText"/>
        <w:spacing w:line="338" w:lineRule="auto" w:before="6"/>
        <w:ind w:left="473" w:right="4633"/>
        <w:jc w:val="left"/>
      </w:pPr>
      <w:r>
        <w:rPr>
          <w:rFonts w:ascii="Times New Roman" w:hAnsi="Times New Roman" w:cs="Times New Roman" w:eastAsia="Times New Roman" w:hint="default"/>
        </w:rPr>
        <w:t>B.</w:t>
      </w:r>
      <w:r>
        <w:rPr/>
        <w:t>其他长期职工福利净负债或净资产的利息净额； </w:t>
      </w:r>
      <w:r>
        <w:rPr>
          <w:rFonts w:ascii="Times New Roman" w:hAnsi="Times New Roman" w:cs="Times New Roman" w:eastAsia="Times New Roman" w:hint="default"/>
        </w:rPr>
        <w:t>C.</w:t>
      </w:r>
      <w:r>
        <w:rPr/>
        <w:t>重新计量其他长期职工福利净负债或净资产所产生的变动。 为简化相关会计处理，上述项目的总净额计入当期损益或相关资产成本。</w:t>
      </w:r>
    </w:p>
    <w:p>
      <w:pPr>
        <w:spacing w:line="240" w:lineRule="auto" w:before="8"/>
        <w:rPr>
          <w:rFonts w:ascii="宋体" w:hAnsi="宋体" w:cs="宋体" w:eastAsia="宋体" w:hint="default"/>
          <w:sz w:val="18"/>
          <w:szCs w:val="18"/>
        </w:rPr>
      </w:pPr>
    </w:p>
    <w:p>
      <w:pPr>
        <w:pStyle w:val="Heading3"/>
        <w:spacing w:line="240" w:lineRule="auto" w:before="36"/>
        <w:ind w:right="977"/>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473" w:right="4273"/>
        <w:jc w:val="left"/>
      </w:pPr>
      <w:r>
        <w:rPr/>
        <w:t>（</w:t>
      </w:r>
      <w:r>
        <w:rPr>
          <w:rFonts w:ascii="Times New Roman" w:hAnsi="Times New Roman" w:cs="Times New Roman" w:eastAsia="Times New Roman" w:hint="default"/>
        </w:rPr>
        <w:t>1</w:t>
      </w:r>
      <w:r>
        <w:rPr/>
        <w:t>）预计负债的的确认标准 如果与或有事项相关的义务同时符合以下条件，本公司将其确认为预计负债：</w:t>
      </w:r>
    </w:p>
    <w:p>
      <w:pPr>
        <w:pStyle w:val="BodyText"/>
        <w:spacing w:line="240" w:lineRule="auto" w:before="43"/>
        <w:ind w:left="473" w:right="977"/>
        <w:jc w:val="left"/>
      </w:pPr>
      <w:r>
        <w:rPr/>
        <w:t>①该义务是本公司承担的现时义务；</w:t>
      </w:r>
    </w:p>
    <w:p>
      <w:pPr>
        <w:pStyle w:val="BodyText"/>
        <w:spacing w:line="240" w:lineRule="auto" w:before="117"/>
        <w:ind w:left="473" w:right="977"/>
        <w:jc w:val="left"/>
      </w:pPr>
      <w:r>
        <w:rPr/>
        <w:t>②该义务的履行很可能导致经济利益流出本公司；</w:t>
      </w:r>
    </w:p>
    <w:p>
      <w:pPr>
        <w:pStyle w:val="BodyText"/>
        <w:spacing w:line="240" w:lineRule="auto" w:before="115"/>
        <w:ind w:left="473" w:right="977"/>
        <w:jc w:val="left"/>
      </w:pPr>
      <w:r>
        <w:rPr/>
        <w:t>③该义务的金额能够可靠地计量。</w:t>
      </w:r>
    </w:p>
    <w:p>
      <w:pPr>
        <w:pStyle w:val="BodyText"/>
        <w:spacing w:line="340" w:lineRule="auto" w:before="117"/>
        <w:ind w:left="473" w:right="977"/>
        <w:jc w:val="left"/>
      </w:pPr>
      <w:r>
        <w:rPr/>
        <w:t>（</w:t>
      </w:r>
      <w:r>
        <w:rPr>
          <w:rFonts w:ascii="Times New Roman" w:hAnsi="Times New Roman" w:cs="Times New Roman" w:eastAsia="Times New Roman" w:hint="default"/>
        </w:rPr>
        <w:t>2</w:t>
      </w:r>
      <w:r>
        <w:rPr/>
        <w:t>）预计负债的计量方法 </w:t>
      </w:r>
      <w:r>
        <w:rPr>
          <w:spacing w:val="-2"/>
        </w:rPr>
        <w:t>预计负债按照履行相关现时义务所需支出的最佳估计数进行初始计量，并综合考虑与或事项有关的风险、不确定性和货</w:t>
      </w:r>
    </w:p>
    <w:p>
      <w:pPr>
        <w:pStyle w:val="BodyText"/>
        <w:spacing w:line="316" w:lineRule="auto" w:before="1"/>
        <w:ind w:right="977"/>
        <w:jc w:val="left"/>
      </w:pPr>
      <w:r>
        <w:rPr>
          <w:spacing w:val="-2"/>
        </w:rPr>
        <w:t>币时间价值等因素。每个资产负债表日对预计负债的账面价值进行复核。有确凿证据表明该账面价值不能反映当前最佳估计</w:t>
      </w:r>
      <w:r>
        <w:rPr>
          <w:spacing w:val="-64"/>
        </w:rPr>
        <w:t> </w:t>
      </w:r>
      <w:r>
        <w:rPr>
          <w:spacing w:val="-64"/>
        </w:rPr>
      </w:r>
      <w:r>
        <w:rPr/>
        <w:t>数的，按照当前最佳估计数对该账面价值进行调整。</w:t>
      </w:r>
    </w:p>
    <w:p>
      <w:pPr>
        <w:spacing w:line="240" w:lineRule="auto" w:before="6"/>
        <w:rPr>
          <w:rFonts w:ascii="宋体" w:hAnsi="宋体" w:cs="宋体" w:eastAsia="宋体" w:hint="default"/>
          <w:sz w:val="22"/>
          <w:szCs w:val="22"/>
        </w:rPr>
      </w:pPr>
    </w:p>
    <w:p>
      <w:pPr>
        <w:pStyle w:val="Heading3"/>
        <w:spacing w:line="240" w:lineRule="auto"/>
        <w:ind w:right="977"/>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473" w:right="4813"/>
        <w:jc w:val="left"/>
      </w:pPr>
      <w:r>
        <w:rPr/>
        <w:t>（</w:t>
      </w:r>
      <w:r>
        <w:rPr>
          <w:rFonts w:ascii="Times New Roman" w:hAnsi="Times New Roman" w:cs="Times New Roman" w:eastAsia="Times New Roman" w:hint="default"/>
        </w:rPr>
        <w:t>1</w:t>
      </w:r>
      <w:r>
        <w:rPr/>
        <w:t>）股份支付的种类 本公司股份支付包括以现金结算的股份支付和以权益结算的股份支付。</w:t>
      </w:r>
    </w:p>
    <w:p>
      <w:pPr>
        <w:pStyle w:val="BodyText"/>
        <w:spacing w:line="240" w:lineRule="auto" w:before="42"/>
        <w:ind w:left="473" w:right="977"/>
        <w:jc w:val="left"/>
      </w:pPr>
      <w:r>
        <w:rPr/>
        <w:t>（</w:t>
      </w:r>
      <w:r>
        <w:rPr>
          <w:rFonts w:ascii="Times New Roman" w:hAnsi="Times New Roman" w:cs="Times New Roman" w:eastAsia="Times New Roman" w:hint="default"/>
        </w:rPr>
        <w:t>2</w:t>
      </w:r>
      <w:r>
        <w:rPr/>
        <w:t>）权益工具公允价值的确定方法</w:t>
      </w:r>
    </w:p>
    <w:p>
      <w:pPr>
        <w:pStyle w:val="BodyText"/>
        <w:spacing w:line="316" w:lineRule="auto" w:before="101"/>
        <w:ind w:right="977" w:firstLine="360"/>
        <w:jc w:val="left"/>
      </w:pPr>
      <w:r>
        <w:rPr>
          <w:spacing w:val="-2"/>
        </w:rPr>
        <w:t>①对于授予职工的股份，其公允价值按公司股份的市场价格计量，同时考虑授予股份所依据的条款和条件（不包括市场</w:t>
      </w:r>
      <w:r>
        <w:rPr/>
        <w:t> 条件之外的可行权条件）进行调整。</w:t>
      </w:r>
    </w:p>
    <w:p>
      <w:pPr>
        <w:pStyle w:val="BodyText"/>
        <w:spacing w:line="316" w:lineRule="auto" w:before="59"/>
        <w:ind w:right="977" w:firstLine="360"/>
        <w:jc w:val="left"/>
      </w:pPr>
      <w:r>
        <w:rPr>
          <w:spacing w:val="-2"/>
        </w:rPr>
        <w:t>②对于授予职工的股票期权，在许多情况下难以获得其市场价格。如果不存在条款和条件相似的交易期权，公司选择适</w:t>
      </w:r>
      <w:r>
        <w:rPr/>
        <w:t> 用的期权定价模型估计所授予的期权的公允价值。</w:t>
      </w:r>
    </w:p>
    <w:p>
      <w:pPr>
        <w:pStyle w:val="BodyText"/>
        <w:spacing w:line="338" w:lineRule="auto" w:before="59"/>
        <w:ind w:left="473" w:right="977"/>
        <w:jc w:val="left"/>
      </w:pPr>
      <w:r>
        <w:rPr/>
        <w:t>（</w:t>
      </w:r>
      <w:r>
        <w:rPr>
          <w:rFonts w:ascii="Times New Roman" w:hAnsi="Times New Roman" w:cs="Times New Roman" w:eastAsia="Times New Roman" w:hint="default"/>
        </w:rPr>
        <w:t>3</w:t>
      </w:r>
      <w:r>
        <w:rPr/>
        <w:t>）确认可行权权益工具最佳估计的依据 </w:t>
      </w:r>
      <w:r>
        <w:rPr>
          <w:spacing w:val="-2"/>
        </w:rPr>
        <w:t>在等待期内每个资产负债表日，公司根据最新取得的可行权职工人数变动等后续信息作出最佳估计，修正预计可行权的</w:t>
      </w:r>
    </w:p>
    <w:p>
      <w:pPr>
        <w:pStyle w:val="BodyText"/>
        <w:spacing w:line="240" w:lineRule="auto" w:before="2"/>
        <w:ind w:right="977"/>
        <w:jc w:val="left"/>
      </w:pPr>
      <w:r>
        <w:rPr/>
        <w:t>权益工具数量，以作出可行权权益工具的最佳估计。</w:t>
      </w:r>
    </w:p>
    <w:p>
      <w:pPr>
        <w:pStyle w:val="BodyText"/>
        <w:spacing w:line="240" w:lineRule="auto" w:before="117"/>
        <w:ind w:left="473" w:right="977"/>
        <w:jc w:val="left"/>
      </w:pPr>
      <w:r>
        <w:rPr/>
        <w:t>（</w:t>
      </w:r>
      <w:r>
        <w:rPr>
          <w:rFonts w:ascii="Times New Roman" w:hAnsi="Times New Roman" w:cs="Times New Roman" w:eastAsia="Times New Roman" w:hint="default"/>
        </w:rPr>
        <w:t>4</w:t>
      </w:r>
      <w:r>
        <w:rPr/>
        <w:t>）股份支付计划实施的会计处理</w:t>
      </w:r>
    </w:p>
    <w:p>
      <w:pPr>
        <w:pStyle w:val="BodyText"/>
        <w:spacing w:line="319" w:lineRule="auto" w:before="103"/>
        <w:ind w:right="977" w:firstLine="360"/>
        <w:jc w:val="left"/>
      </w:pPr>
      <w:r>
        <w:rPr>
          <w:spacing w:val="-2"/>
        </w:rPr>
        <w:t>①授予后立即可行权的以现金结算的股份支付，在授予日以本公司承担负债的公允价值计入相关成本或费用，相应增加</w:t>
      </w:r>
      <w:r>
        <w:rPr/>
        <w:t> 负债。并在结算前的每个资产负债表日和结算日对负债的公允价值重新计量，将其变动计入损益。</w:t>
      </w:r>
    </w:p>
    <w:p>
      <w:pPr>
        <w:spacing w:after="0" w:line="319" w:lineRule="auto"/>
        <w:jc w:val="left"/>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316" w:lineRule="auto" w:before="44"/>
        <w:ind w:right="1132" w:firstLine="360"/>
        <w:jc w:val="both"/>
      </w:pPr>
      <w:r>
        <w:rPr>
          <w:spacing w:val="-2"/>
        </w:rPr>
        <w:t>②完成等待期内的服务或达到规定业绩条件以后才可行权的以现金结算的股份支付，在等待期内的每个资产负债表日以</w:t>
      </w:r>
      <w:r>
        <w:rPr/>
        <w:t> 对可行权情况的最佳估计为基础，按本公司承担负债的公允价值金额，将当期取得的服务计入成本或费用和相应的负债。</w:t>
      </w:r>
    </w:p>
    <w:p>
      <w:pPr>
        <w:pStyle w:val="BodyText"/>
        <w:spacing w:line="316" w:lineRule="auto" w:before="59"/>
        <w:ind w:right="1049" w:firstLine="360"/>
        <w:jc w:val="both"/>
      </w:pPr>
      <w:r>
        <w:rPr/>
        <w:t>③授予后立即可行权的换取职工服务的以权益结算的股份支付，在授予日以权益工具的公允价值计入相关成本或费用， 相应增加资本公积。</w:t>
      </w:r>
    </w:p>
    <w:p>
      <w:pPr>
        <w:pStyle w:val="BodyText"/>
        <w:spacing w:line="316" w:lineRule="auto" w:before="57"/>
        <w:ind w:right="1129" w:firstLine="360"/>
        <w:jc w:val="both"/>
      </w:pPr>
      <w:r>
        <w:rPr>
          <w:spacing w:val="-2"/>
        </w:rPr>
        <w:t>④完成等待期内的服务或达到规定业绩条件以后才可行权换取职工服务的以权益结算的股份支付，在等待期内的每个资</w:t>
      </w:r>
      <w:r>
        <w:rPr/>
        <w:t> </w:t>
      </w:r>
      <w:r>
        <w:rPr>
          <w:spacing w:val="-2"/>
        </w:rPr>
        <w:t>产负债表日，以对可行权权益工具数量的最佳估计为基础，按权益工具授予日的公允价值，将当期取得的服务计入成本或费</w:t>
      </w:r>
      <w:r>
        <w:rPr>
          <w:spacing w:val="-62"/>
        </w:rPr>
        <w:t> </w:t>
      </w:r>
      <w:r>
        <w:rPr>
          <w:spacing w:val="-62"/>
        </w:rPr>
      </w:r>
      <w:r>
        <w:rPr/>
        <w:t>用和资本公积。</w:t>
      </w:r>
    </w:p>
    <w:p>
      <w:pPr>
        <w:pStyle w:val="BodyText"/>
        <w:spacing w:line="338" w:lineRule="auto" w:before="141"/>
        <w:ind w:left="473" w:right="977" w:hanging="361"/>
        <w:jc w:val="left"/>
      </w:pPr>
      <w:r>
        <w:rPr/>
        <w:t>（</w:t>
      </w:r>
      <w:r>
        <w:rPr>
          <w:rFonts w:ascii="Times New Roman" w:hAnsi="Times New Roman" w:cs="Times New Roman" w:eastAsia="Times New Roman" w:hint="default"/>
        </w:rPr>
        <w:t>5</w:t>
      </w:r>
      <w:r>
        <w:rPr/>
        <w:t>）股份支付计划修改的会计处理 </w:t>
      </w:r>
      <w:r>
        <w:rPr>
          <w:spacing w:val="-2"/>
        </w:rPr>
        <w:t>本公司对股份支付计划进行修改时，若修改增加了所授予权益工具的公允价值，按照权益工具公允价值的增加相应地确</w:t>
      </w:r>
    </w:p>
    <w:p>
      <w:pPr>
        <w:pStyle w:val="BodyText"/>
        <w:spacing w:line="319" w:lineRule="auto" w:before="2"/>
        <w:ind w:right="1034"/>
        <w:jc w:val="left"/>
      </w:pPr>
      <w:r>
        <w:rPr/>
        <w:t>认取得服务的增加；若修改增加了所授予权益工具的数量，则将增加的权益工具的公允价值相应地确认为取得服务的增加。 </w:t>
      </w:r>
      <w:r>
        <w:rPr>
          <w:spacing w:val="-2"/>
        </w:rPr>
        <w:t>权益工具公允价值的增加是指修改前后的权益工具在修改日的公允价值之间的差额。若修改减少了股份支付公允价值总额或</w:t>
      </w:r>
      <w:r>
        <w:rPr>
          <w:spacing w:val="-64"/>
        </w:rPr>
        <w:t> </w:t>
      </w:r>
      <w:r>
        <w:rPr>
          <w:spacing w:val="-64"/>
        </w:rPr>
      </w:r>
      <w:r>
        <w:rPr>
          <w:spacing w:val="-4"/>
        </w:rPr>
        <w:t>采用了其他不利于职工的方式修改股份支付计划的条款和条件，则仍继续对取得的服务进行会计处理，视同该变更从未发生，</w:t>
      </w:r>
      <w:r>
        <w:rPr>
          <w:spacing w:val="-43"/>
        </w:rPr>
        <w:t> </w:t>
      </w:r>
      <w:r>
        <w:rPr>
          <w:spacing w:val="-43"/>
        </w:rPr>
      </w:r>
      <w:r>
        <w:rPr/>
        <w:t>除非本公司取消了部分或全部已授予的权益工具。</w:t>
      </w:r>
    </w:p>
    <w:p>
      <w:pPr>
        <w:pStyle w:val="BodyText"/>
        <w:spacing w:line="338" w:lineRule="auto" w:before="58"/>
        <w:ind w:left="473" w:right="977"/>
        <w:jc w:val="left"/>
      </w:pPr>
      <w:r>
        <w:rPr/>
        <w:t>（</w:t>
      </w:r>
      <w:r>
        <w:rPr>
          <w:rFonts w:ascii="Times New Roman" w:hAnsi="Times New Roman" w:cs="Times New Roman" w:eastAsia="Times New Roman" w:hint="default"/>
        </w:rPr>
        <w:t>6</w:t>
      </w:r>
      <w:r>
        <w:rPr/>
        <w:t>）股份支付计划终止的会计处理 </w:t>
      </w:r>
      <w:r>
        <w:rPr>
          <w:spacing w:val="-4"/>
        </w:rPr>
        <w:t>如果在等待期内取消了所授予的权益工具或结算了所授予的权益工具（因未满足可行权条件而被取消的除外），本公司：</w:t>
      </w:r>
    </w:p>
    <w:p>
      <w:pPr>
        <w:pStyle w:val="BodyText"/>
        <w:spacing w:line="240" w:lineRule="auto" w:before="43"/>
        <w:ind w:left="473" w:right="977"/>
        <w:jc w:val="left"/>
      </w:pPr>
      <w:r>
        <w:rPr/>
        <w:t>①将取消或结算作为加速可行权处理，立即确认原本应在剩余等待期内确认的金额；</w:t>
      </w:r>
    </w:p>
    <w:p>
      <w:pPr>
        <w:pStyle w:val="BodyText"/>
        <w:spacing w:line="316" w:lineRule="auto" w:before="117"/>
        <w:ind w:right="1131" w:firstLine="360"/>
        <w:jc w:val="both"/>
      </w:pPr>
      <w:r>
        <w:rPr>
          <w:spacing w:val="-2"/>
        </w:rPr>
        <w:t>②在取消或结算时支付给职工的所有款项均作为权益的回购处理，回购支付的金额高于该权益工具在回购日公允价值的</w:t>
      </w:r>
      <w:r>
        <w:rPr/>
        <w:t> 部分，计入当期费用。</w:t>
      </w:r>
    </w:p>
    <w:p>
      <w:pPr>
        <w:pStyle w:val="BodyText"/>
        <w:spacing w:line="316" w:lineRule="auto" w:before="57"/>
        <w:ind w:right="1131" w:firstLine="360"/>
        <w:jc w:val="both"/>
      </w:pPr>
      <w:r>
        <w:rPr>
          <w:spacing w:val="-2"/>
        </w:rPr>
        <w:t>本公司如果回购其职工已可行权的权益工具，冲减企业的所有者权益；回购支付的款项高于该权益工具在回购日公允价</w:t>
      </w:r>
      <w:r>
        <w:rPr/>
        <w:t> 值的部分，计入当期损益。</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w:t>
      </w:r>
      <w:r>
        <w:rPr>
          <w:rFonts w:ascii="Times New Roman" w:hAnsi="Times New Roman" w:cs="Times New Roman" w:eastAsia="Times New Roman" w:hint="default"/>
        </w:rPr>
        <w:t>1</w:t>
      </w:r>
      <w:r>
        <w:rPr/>
        <w:t>）优先股、永续债等其他金融工具的分类依据</w:t>
      </w:r>
    </w:p>
    <w:p>
      <w:pPr>
        <w:spacing w:line="240" w:lineRule="auto" w:before="13"/>
        <w:rPr>
          <w:rFonts w:ascii="宋体" w:hAnsi="宋体" w:cs="宋体" w:eastAsia="宋体" w:hint="default"/>
          <w:sz w:val="13"/>
          <w:szCs w:val="13"/>
        </w:rPr>
      </w:pPr>
    </w:p>
    <w:p>
      <w:pPr>
        <w:pStyle w:val="BodyText"/>
        <w:spacing w:line="316" w:lineRule="auto"/>
        <w:ind w:right="1134"/>
        <w:jc w:val="both"/>
      </w:pPr>
      <w:r>
        <w:rPr>
          <w:spacing w:val="-2"/>
        </w:rPr>
        <w:t>本公司发行的优先股（或永续债，下同）划分为金融负债还是权益工具，根据相关合同或协议中具体内容，按实质重于形式</w:t>
      </w:r>
      <w:r>
        <w:rPr>
          <w:spacing w:val="-66"/>
        </w:rPr>
        <w:t> </w:t>
      </w:r>
      <w:r>
        <w:rPr>
          <w:spacing w:val="-66"/>
        </w:rPr>
      </w:r>
      <w:r>
        <w:rPr/>
        <w:t>的原则进行判断。</w:t>
      </w:r>
    </w:p>
    <w:p>
      <w:pPr>
        <w:pStyle w:val="BodyText"/>
        <w:spacing w:line="240" w:lineRule="auto" w:before="139"/>
        <w:ind w:right="0"/>
        <w:jc w:val="both"/>
      </w:pPr>
      <w:r>
        <w:rPr/>
        <w:t>①赎回选择权</w:t>
      </w:r>
    </w:p>
    <w:p>
      <w:pPr>
        <w:spacing w:line="240" w:lineRule="auto" w:before="0"/>
        <w:rPr>
          <w:rFonts w:ascii="宋体" w:hAnsi="宋体" w:cs="宋体" w:eastAsia="宋体" w:hint="default"/>
          <w:sz w:val="15"/>
          <w:szCs w:val="15"/>
        </w:rPr>
      </w:pPr>
    </w:p>
    <w:p>
      <w:pPr>
        <w:pStyle w:val="BodyText"/>
        <w:spacing w:line="316" w:lineRule="auto"/>
        <w:ind w:right="1130"/>
        <w:jc w:val="both"/>
      </w:pPr>
      <w:r>
        <w:rPr>
          <w:spacing w:val="-2"/>
        </w:rPr>
        <w:t>如果本公司所发行的优先股需要在某特定日期由本公司赎回，则该优先股属于金融负债；如果是购买方享有赎回选择权，该</w:t>
      </w:r>
      <w:r>
        <w:rPr>
          <w:spacing w:val="-64"/>
        </w:rPr>
        <w:t> </w:t>
      </w:r>
      <w:r>
        <w:rPr>
          <w:spacing w:val="-64"/>
        </w:rPr>
      </w:r>
      <w:r>
        <w:rPr>
          <w:spacing w:val="-2"/>
        </w:rPr>
        <w:t>优先股仍然属于金融负债，如果购买方放弃了选择权，则重分类为权益工具；如果赎回选择权属于本公司，那么该优先股属</w:t>
      </w:r>
      <w:r>
        <w:rPr>
          <w:spacing w:val="-65"/>
        </w:rPr>
        <w:t> </w:t>
      </w:r>
      <w:r>
        <w:rPr>
          <w:spacing w:val="-65"/>
        </w:rPr>
      </w:r>
      <w:r>
        <w:rPr/>
        <w:t>于权益工具，但本公司一旦选择赎回且将这种赎回选择予以公告，则将权益工具重分类为金融负债。</w:t>
      </w:r>
    </w:p>
    <w:p>
      <w:pPr>
        <w:pStyle w:val="BodyText"/>
        <w:spacing w:line="240" w:lineRule="auto" w:before="139"/>
        <w:ind w:right="0"/>
        <w:jc w:val="both"/>
      </w:pPr>
      <w:r>
        <w:rPr/>
        <w:t>②股利发放</w:t>
      </w:r>
    </w:p>
    <w:p>
      <w:pPr>
        <w:spacing w:line="240" w:lineRule="auto" w:before="0"/>
        <w:rPr>
          <w:rFonts w:ascii="宋体" w:hAnsi="宋体" w:cs="宋体" w:eastAsia="宋体" w:hint="default"/>
          <w:sz w:val="15"/>
          <w:szCs w:val="15"/>
        </w:rPr>
      </w:pPr>
    </w:p>
    <w:p>
      <w:pPr>
        <w:pStyle w:val="BodyText"/>
        <w:spacing w:line="316" w:lineRule="auto"/>
        <w:ind w:right="1128"/>
        <w:jc w:val="both"/>
      </w:pPr>
      <w:r>
        <w:rPr>
          <w:spacing w:val="-2"/>
        </w:rPr>
        <w:t>如果是否发放现金股利完全取决于本公司的意愿，则该优先股划分权益工具；如果发放的现金股利是强制性的，且股利发放</w:t>
      </w:r>
      <w:r>
        <w:rPr>
          <w:spacing w:val="-63"/>
        </w:rPr>
        <w:t> </w:t>
      </w:r>
      <w:r>
        <w:rPr>
          <w:spacing w:val="-63"/>
        </w:rPr>
      </w:r>
      <w:r>
        <w:rPr>
          <w:spacing w:val="-2"/>
        </w:rPr>
        <w:t>率大于或等于同期市场利率的，则将优先股划分为金融负债，如果股利发放率低于市场利率的，则该优先股属于复合金融工</w:t>
      </w:r>
      <w:r>
        <w:rPr>
          <w:spacing w:val="-62"/>
        </w:rPr>
        <w:t> </w:t>
      </w:r>
      <w:r>
        <w:rPr>
          <w:spacing w:val="-62"/>
        </w:rPr>
      </w:r>
      <w:r>
        <w:rPr/>
        <w:t>具，需要对优先股进行分拆。</w:t>
      </w:r>
    </w:p>
    <w:p>
      <w:pPr>
        <w:pStyle w:val="BodyText"/>
        <w:spacing w:line="240" w:lineRule="auto" w:before="139"/>
        <w:ind w:right="0"/>
        <w:jc w:val="both"/>
      </w:pPr>
      <w:r>
        <w:rPr/>
        <w:t>③转换为普通股</w:t>
      </w:r>
    </w:p>
    <w:p>
      <w:pPr>
        <w:spacing w:line="240" w:lineRule="auto" w:before="0"/>
        <w:rPr>
          <w:rFonts w:ascii="宋体" w:hAnsi="宋体" w:cs="宋体" w:eastAsia="宋体" w:hint="default"/>
          <w:sz w:val="15"/>
          <w:szCs w:val="15"/>
        </w:rPr>
      </w:pPr>
    </w:p>
    <w:p>
      <w:pPr>
        <w:pStyle w:val="BodyText"/>
        <w:spacing w:line="316" w:lineRule="auto"/>
        <w:ind w:right="1128"/>
        <w:jc w:val="both"/>
      </w:pPr>
      <w:r>
        <w:rPr>
          <w:spacing w:val="-2"/>
        </w:rPr>
        <w:t>本公司发行的优先股如果附加可转换为普通股条件的，优先股是划分为金融负债还是权益工具，则取决于未来转换为普通股</w:t>
      </w:r>
      <w:r>
        <w:rPr>
          <w:spacing w:val="-64"/>
        </w:rPr>
        <w:t> </w:t>
      </w:r>
      <w:r>
        <w:rPr>
          <w:spacing w:val="-64"/>
        </w:rPr>
      </w:r>
      <w:r>
        <w:rPr>
          <w:spacing w:val="-2"/>
        </w:rPr>
        <w:t>的数量是否固定：如果未来转换的普通股数量是非固定的，则发行的优先股属于金融负债；如果未来转换的普通股数量是固</w:t>
      </w:r>
      <w:r>
        <w:rPr>
          <w:spacing w:val="-62"/>
        </w:rPr>
        <w:t> </w:t>
      </w:r>
      <w:r>
        <w:rPr>
          <w:spacing w:val="-62"/>
        </w:rPr>
      </w:r>
      <w:r>
        <w:rPr/>
        <w:t>定的，则划分为权益工具。</w:t>
      </w:r>
    </w:p>
    <w:p>
      <w:pPr>
        <w:pStyle w:val="BodyText"/>
        <w:spacing w:line="417" w:lineRule="auto" w:before="138"/>
        <w:ind w:right="1050"/>
        <w:jc w:val="both"/>
      </w:pPr>
      <w:r>
        <w:rPr/>
        <w:t>（</w:t>
      </w:r>
      <w:r>
        <w:rPr>
          <w:rFonts w:ascii="Times New Roman" w:hAnsi="Times New Roman" w:cs="Times New Roman" w:eastAsia="Times New Roman" w:hint="default"/>
        </w:rPr>
        <w:t>2</w:t>
      </w:r>
      <w:r>
        <w:rPr/>
        <w:t>）优先股、永续债等其他金融工具的会计处理方法 本公司以所发行金融工具的分类为基础，确定该工具利息支出或股利分配等的会计处理。对于归类为权益工具的金融工具，</w:t>
      </w:r>
    </w:p>
    <w:p>
      <w:pPr>
        <w:spacing w:after="0" w:line="417" w:lineRule="auto"/>
        <w:jc w:val="both"/>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316" w:lineRule="auto" w:before="44"/>
        <w:ind w:right="1131"/>
        <w:jc w:val="both"/>
      </w:pPr>
      <w:r>
        <w:rPr>
          <w:spacing w:val="-2"/>
        </w:rPr>
        <w:t>无论其名称中是否包含“债”，其利息支出或股利分配都作为本公司（发行企业）的利润分配，其回购、注销等作为权益的</w:t>
      </w:r>
      <w:r>
        <w:rPr>
          <w:spacing w:val="-64"/>
        </w:rPr>
        <w:t> </w:t>
      </w:r>
      <w:r>
        <w:rPr>
          <w:spacing w:val="-64"/>
        </w:rPr>
      </w:r>
      <w:r>
        <w:rPr>
          <w:spacing w:val="-2"/>
        </w:rPr>
        <w:t>变动处理；对于归类为金融负债的金融工具，无论其名称中是否包含“股”，其利息支出或股利分配原则上按照借款费用进</w:t>
      </w:r>
      <w:r>
        <w:rPr>
          <w:spacing w:val="-65"/>
        </w:rPr>
        <w:t> </w:t>
      </w:r>
      <w:r>
        <w:rPr>
          <w:spacing w:val="-65"/>
        </w:rPr>
      </w:r>
      <w:r>
        <w:rPr/>
        <w:t>行处理，其回购或赎回产生的利得或损失等计入当期损益。</w:t>
      </w:r>
    </w:p>
    <w:p>
      <w:pPr>
        <w:spacing w:line="240" w:lineRule="auto" w:before="8"/>
        <w:rPr>
          <w:rFonts w:ascii="宋体" w:hAnsi="宋体" w:cs="宋体" w:eastAsia="宋体" w:hint="default"/>
          <w:sz w:val="22"/>
          <w:szCs w:val="22"/>
        </w:rPr>
      </w:pPr>
    </w:p>
    <w:p>
      <w:pPr>
        <w:pStyle w:val="Heading3"/>
        <w:spacing w:line="240" w:lineRule="auto"/>
        <w:ind w:right="977"/>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240" w:lineRule="auto" w:before="29"/>
        <w:ind w:right="977"/>
        <w:jc w:val="left"/>
      </w:pPr>
      <w:r>
        <w:rPr/>
        <w:t>软件与信息技术服务业</w:t>
      </w:r>
    </w:p>
    <w:p>
      <w:pPr>
        <w:pStyle w:val="BodyText"/>
        <w:spacing w:line="338" w:lineRule="auto" w:before="117"/>
        <w:ind w:left="473" w:right="977" w:hanging="36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 </w:t>
      </w:r>
      <w:r>
        <w:rPr>
          <w:spacing w:val="-2"/>
        </w:rPr>
        <w:t>公司业务收入主要来源于通信网络建设服务与通信网络维护与优化服务两大方面。公司在已根据合同约定提供了相应服</w:t>
      </w:r>
    </w:p>
    <w:p>
      <w:pPr>
        <w:pStyle w:val="BodyText"/>
        <w:spacing w:line="316" w:lineRule="auto" w:before="3"/>
        <w:ind w:right="1131"/>
        <w:jc w:val="both"/>
      </w:pPr>
      <w:r>
        <w:rPr>
          <w:spacing w:val="-2"/>
        </w:rPr>
        <w:t>务，取得明确的收款证据，相关成本能够可靠地计量时，确认收入。在合同约定的服务期限内，公司依据业经客户确认的代</w:t>
      </w:r>
      <w:r>
        <w:rPr>
          <w:spacing w:val="-68"/>
        </w:rPr>
        <w:t> </w:t>
      </w:r>
      <w:r>
        <w:rPr>
          <w:spacing w:val="-68"/>
        </w:rPr>
      </w:r>
      <w:r>
        <w:rPr>
          <w:spacing w:val="-2"/>
        </w:rPr>
        <w:t>维费用结算单金额或按合同约定分期确认提供通信网络维护服务收入金额；公司在通信网络建设服务与通信网络优化服务预</w:t>
      </w:r>
      <w:r>
        <w:rPr>
          <w:spacing w:val="-65"/>
        </w:rPr>
        <w:t> </w:t>
      </w:r>
      <w:r>
        <w:rPr>
          <w:spacing w:val="-65"/>
        </w:rPr>
      </w:r>
      <w:r>
        <w:rPr>
          <w:spacing w:val="-2"/>
        </w:rPr>
        <w:t>计总成本可以估计的前提下，依据业经客户或第三方监理确认的工作量确认单金额按完工百分比进度确认通信网络建设服务</w:t>
      </w:r>
      <w:r>
        <w:rPr>
          <w:spacing w:val="-64"/>
        </w:rPr>
        <w:t> </w:t>
      </w:r>
      <w:r>
        <w:rPr>
          <w:spacing w:val="-64"/>
        </w:rPr>
      </w:r>
      <w:r>
        <w:rPr/>
        <w:t>与通信网络优化服务收入，公司对于不符合上述条件的服务收入，按客户最终确认或验收后确认收入。</w:t>
      </w:r>
    </w:p>
    <w:p>
      <w:pPr>
        <w:pStyle w:val="BodyText"/>
        <w:spacing w:line="240" w:lineRule="auto" w:before="59"/>
        <w:ind w:left="473" w:right="977"/>
        <w:jc w:val="left"/>
      </w:pPr>
      <w:r>
        <w:rPr/>
        <w:t>在资产负债表日提供劳务交易结果不能够可靠估计的，分别下列情况处理：</w:t>
      </w:r>
    </w:p>
    <w:p>
      <w:pPr>
        <w:pStyle w:val="BodyText"/>
        <w:spacing w:line="300" w:lineRule="auto" w:before="117"/>
        <w:ind w:right="977" w:firstLine="360"/>
        <w:jc w:val="left"/>
      </w:pPr>
      <w:r>
        <w:rPr>
          <w:rFonts w:ascii="Times New Roman" w:hAnsi="Times New Roman" w:cs="Times New Roman" w:eastAsia="Times New Roman" w:hint="default"/>
          <w:spacing w:val="-1"/>
        </w:rPr>
        <w:t>A</w:t>
      </w:r>
      <w:r>
        <w:rPr>
          <w:spacing w:val="-1"/>
        </w:rPr>
        <w:t>、已经发生的劳务成本预计能够得到补偿的，按照已经发生的劳务成本金额确认提供劳务收入，并按相同金额结转劳</w:t>
      </w:r>
      <w:r>
        <w:rPr/>
        <w:t> 务成本。</w:t>
      </w:r>
    </w:p>
    <w:p>
      <w:pPr>
        <w:pStyle w:val="BodyText"/>
        <w:spacing w:line="340" w:lineRule="auto" w:before="70"/>
        <w:ind w:left="473" w:right="977"/>
        <w:jc w:val="left"/>
      </w:pPr>
      <w:r>
        <w:rPr>
          <w:rFonts w:ascii="Times New Roman" w:hAnsi="Times New Roman" w:cs="Times New Roman" w:eastAsia="Times New Roman" w:hint="default"/>
        </w:rPr>
        <w:t>B</w:t>
      </w:r>
      <w:r>
        <w:rPr/>
        <w:t>、已经发生的劳务成本预计不能够得到补偿的，将已经发生的劳务成本计入当期损益，不确认提供劳务收入。 </w:t>
      </w:r>
      <w:r>
        <w:rPr>
          <w:spacing w:val="-2"/>
        </w:rPr>
        <w:t>本公司与其他企业签订的合同或协议包括销售商品和提供劳务时，销售商品部分和提供劳务部分能够区分且能够单独计</w:t>
      </w:r>
    </w:p>
    <w:p>
      <w:pPr>
        <w:pStyle w:val="BodyText"/>
        <w:spacing w:line="319" w:lineRule="auto" w:before="1"/>
        <w:ind w:right="977"/>
        <w:jc w:val="left"/>
      </w:pPr>
      <w:r>
        <w:rPr>
          <w:spacing w:val="-2"/>
        </w:rPr>
        <w:t>量的，将销售商品的部分作为销售商品处理，将提供劳务的部分作为提供劳务处理。销售商品部分和提供劳务部分不能够区</w:t>
      </w:r>
      <w:r>
        <w:rPr>
          <w:spacing w:val="-62"/>
        </w:rPr>
        <w:t> </w:t>
      </w:r>
      <w:r>
        <w:rPr>
          <w:spacing w:val="-62"/>
        </w:rPr>
      </w:r>
      <w:r>
        <w:rPr/>
        <w:t>分，或虽能区分但不能够单独计量的，将销售商品部分和提供劳务部分全部作为销售商品处理。</w:t>
      </w:r>
    </w:p>
    <w:p>
      <w:pPr>
        <w:pStyle w:val="BodyText"/>
        <w:spacing w:line="240" w:lineRule="auto" w:before="58"/>
        <w:ind w:left="473" w:right="977"/>
        <w:jc w:val="left"/>
      </w:pPr>
      <w:r>
        <w:rPr/>
        <w:t>按完工百分比法确认提供劳务收入时，确定合同完工进度的依据和方法如下：</w:t>
      </w:r>
    </w:p>
    <w:p>
      <w:pPr>
        <w:pStyle w:val="BodyText"/>
        <w:spacing w:line="340" w:lineRule="auto" w:before="115"/>
        <w:ind w:left="473" w:right="977"/>
        <w:jc w:val="left"/>
      </w:pPr>
      <w:r>
        <w:rPr>
          <w:rFonts w:ascii="Times New Roman" w:hAnsi="Times New Roman" w:cs="Times New Roman" w:eastAsia="Times New Roman" w:hint="default"/>
        </w:rPr>
        <w:t>1.</w:t>
      </w:r>
      <w:r>
        <w:rPr/>
        <w:t>通信网络建设服务 </w:t>
      </w:r>
      <w:r>
        <w:rPr>
          <w:spacing w:val="-2"/>
        </w:rPr>
        <w:t>公司依据业经客户或第三方监理确认的工作量确认单金额占销售合同金额比例，确定通信网络建设服务完工百分比。在</w:t>
      </w:r>
    </w:p>
    <w:p>
      <w:pPr>
        <w:pStyle w:val="BodyText"/>
        <w:spacing w:line="360" w:lineRule="auto" w:before="1"/>
        <w:ind w:left="473" w:right="977" w:hanging="361"/>
        <w:jc w:val="left"/>
      </w:pPr>
      <w:r>
        <w:rPr/>
        <w:t>资产负债表日提供劳务交易的结果能够可靠估计的，采用完工百分比法确认提供劳务收入。 </w:t>
      </w:r>
      <w:r>
        <w:rPr>
          <w:spacing w:val="-2"/>
        </w:rPr>
        <w:t>通信网络建设的结果不能可靠估计的，劳务成本能够收回的，提供劳务收入根据能够收回的实际劳务成本予以确认，劳</w:t>
      </w:r>
    </w:p>
    <w:p>
      <w:pPr>
        <w:pStyle w:val="BodyText"/>
        <w:spacing w:line="222" w:lineRule="exact"/>
        <w:ind w:right="977"/>
        <w:jc w:val="left"/>
      </w:pPr>
      <w:r>
        <w:rPr/>
        <w:t>务成本在其发生的当期结转成本；劳务成本不可能收回的，在发生时立即确认为损失，不确认合同收入；合同预计总成本超</w:t>
      </w:r>
    </w:p>
    <w:p>
      <w:pPr>
        <w:pStyle w:val="BodyText"/>
        <w:spacing w:line="357" w:lineRule="auto" w:before="76"/>
        <w:ind w:left="473" w:right="977" w:hanging="361"/>
        <w:jc w:val="left"/>
      </w:pPr>
      <w:r>
        <w:rPr/>
        <w:t>过合同总收入的，公司将预计损失确认为当期费用。 </w:t>
      </w:r>
      <w:r>
        <w:rPr>
          <w:spacing w:val="-2"/>
        </w:rPr>
        <w:t>在资产负债表日，应当按照合同总收入乘以完工进度扣除以前会计期间累计已确认收入后的金额，确认为当期提供劳务</w:t>
      </w:r>
    </w:p>
    <w:p>
      <w:pPr>
        <w:pStyle w:val="BodyText"/>
        <w:spacing w:line="224" w:lineRule="exact"/>
        <w:ind w:right="977"/>
        <w:jc w:val="left"/>
      </w:pPr>
      <w:r>
        <w:rPr/>
        <w:t>收入；同时，按照合同预计总成本乘以完工进度扣除以前会计期间累计已确认成本后的金额，确认为当期劳务成本。</w:t>
      </w:r>
    </w:p>
    <w:p>
      <w:pPr>
        <w:pStyle w:val="BodyText"/>
        <w:spacing w:line="340" w:lineRule="auto" w:before="118"/>
        <w:ind w:left="473" w:right="977"/>
        <w:jc w:val="left"/>
      </w:pPr>
      <w:r>
        <w:rPr>
          <w:rFonts w:ascii="Times New Roman" w:hAnsi="Times New Roman" w:cs="Times New Roman" w:eastAsia="Times New Roman" w:hint="default"/>
        </w:rPr>
        <w:t>2.</w:t>
      </w:r>
      <w:r>
        <w:rPr/>
        <w:t>通信网络优化服务 </w:t>
      </w:r>
      <w:r>
        <w:rPr>
          <w:spacing w:val="-2"/>
        </w:rPr>
        <w:t>公司依据业经客户或第三方监理确认的工作量确认单金额占销售合同金额比例，确定通信网络维护与优化服务完工百分</w:t>
      </w:r>
    </w:p>
    <w:p>
      <w:pPr>
        <w:pStyle w:val="BodyText"/>
        <w:spacing w:line="357" w:lineRule="auto" w:before="1"/>
        <w:ind w:left="473" w:right="977" w:hanging="361"/>
        <w:jc w:val="left"/>
      </w:pPr>
      <w:r>
        <w:rPr/>
        <w:t>比。在资产负债表日提供劳务交易的结果能够可靠估计的，采用完工百分比法确认提供劳务收入。 </w:t>
      </w:r>
      <w:r>
        <w:rPr>
          <w:spacing w:val="-2"/>
        </w:rPr>
        <w:t>按照已收或应收的合同或协议价款确定提供劳务收入总额，但已收或应收的合同或协议价款不公允的除外。资产负债表</w:t>
      </w:r>
    </w:p>
    <w:p>
      <w:pPr>
        <w:pStyle w:val="BodyText"/>
        <w:spacing w:line="224" w:lineRule="exact"/>
        <w:ind w:right="977"/>
        <w:jc w:val="left"/>
      </w:pPr>
      <w:r>
        <w:rPr/>
        <w:t>日按照提供劳务收入总额乘以完工进度扣除以前会计期间累计已确认提供劳务</w:t>
      </w:r>
      <w:r>
        <w:rPr>
          <w:spacing w:val="1"/>
        </w:rPr>
        <w:t>收</w:t>
      </w:r>
      <w:r>
        <w:rPr/>
        <w:t>入后的金额</w:t>
      </w:r>
      <w:r>
        <w:rPr>
          <w:spacing w:val="-87"/>
        </w:rPr>
        <w:t>，</w:t>
      </w:r>
      <w:r>
        <w:rPr/>
        <w:t>确认当期提供劳务收入</w:t>
      </w:r>
      <w:r>
        <w:rPr>
          <w:spacing w:val="-86"/>
        </w:rPr>
        <w:t>；</w:t>
      </w:r>
      <w:r>
        <w:rPr/>
        <w:t>同时，</w:t>
      </w:r>
    </w:p>
    <w:p>
      <w:pPr>
        <w:pStyle w:val="BodyText"/>
        <w:spacing w:line="240" w:lineRule="auto" w:before="76"/>
        <w:ind w:right="977"/>
        <w:jc w:val="left"/>
      </w:pPr>
      <w:r>
        <w:rPr/>
        <w:t>按照提供劳务估计总成本乘以完工进度扣除以前会计期间累计已确认劳务成本后的金额，结转当期劳务成本。</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473" w:right="6613"/>
        <w:jc w:val="left"/>
      </w:pPr>
      <w:r>
        <w:rPr/>
        <w:t>（</w:t>
      </w:r>
      <w:r>
        <w:rPr>
          <w:rFonts w:ascii="Times New Roman" w:hAnsi="Times New Roman" w:cs="Times New Roman" w:eastAsia="Times New Roman" w:hint="default"/>
        </w:rPr>
        <w:t>1</w:t>
      </w:r>
      <w:r>
        <w:rPr/>
        <w:t>）政府补助的确认 政府补助同时满足下列条件的，才能予以确认：</w:t>
      </w:r>
    </w:p>
    <w:p>
      <w:pPr>
        <w:spacing w:after="0" w:line="338" w:lineRule="auto"/>
        <w:jc w:val="left"/>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240" w:lineRule="auto" w:before="44"/>
        <w:ind w:left="473" w:right="977"/>
        <w:jc w:val="left"/>
      </w:pPr>
      <w:r>
        <w:rPr/>
        <w:t>①本公司能够满足政府补助所附条件；</w:t>
      </w:r>
    </w:p>
    <w:p>
      <w:pPr>
        <w:pStyle w:val="BodyText"/>
        <w:spacing w:line="240" w:lineRule="auto" w:before="117"/>
        <w:ind w:left="473" w:right="977"/>
        <w:jc w:val="left"/>
      </w:pPr>
      <w:r>
        <w:rPr/>
        <w:t>②本公司能够收到政府补助。</w:t>
      </w:r>
    </w:p>
    <w:p>
      <w:pPr>
        <w:pStyle w:val="BodyText"/>
        <w:spacing w:line="340" w:lineRule="auto" w:before="115"/>
        <w:ind w:left="473" w:right="977"/>
        <w:jc w:val="left"/>
      </w:pPr>
      <w:r>
        <w:rPr/>
        <w:t>（</w:t>
      </w:r>
      <w:r>
        <w:rPr>
          <w:rFonts w:ascii="Times New Roman" w:hAnsi="Times New Roman" w:cs="Times New Roman" w:eastAsia="Times New Roman" w:hint="default"/>
        </w:rPr>
        <w:t>2</w:t>
      </w:r>
      <w:r>
        <w:rPr/>
        <w:t>）政府补助的计量 </w:t>
      </w:r>
      <w:r>
        <w:rPr>
          <w:spacing w:val="-2"/>
        </w:rPr>
        <w:t>政府补助为货币性资产的，按照收到或应收的金额计量。政府补助为非货币性资产的，按照公允价值计量；公允价值不</w:t>
      </w:r>
    </w:p>
    <w:p>
      <w:pPr>
        <w:pStyle w:val="BodyText"/>
        <w:spacing w:line="240" w:lineRule="auto" w:before="1"/>
        <w:ind w:right="977"/>
        <w:jc w:val="left"/>
      </w:pPr>
      <w:r>
        <w:rPr/>
        <w:t>能可靠取得的，按照名义金额计量。</w:t>
      </w:r>
    </w:p>
    <w:p>
      <w:pPr>
        <w:pStyle w:val="BodyText"/>
        <w:spacing w:line="240" w:lineRule="auto" w:before="117"/>
        <w:ind w:left="473" w:right="977"/>
        <w:jc w:val="left"/>
      </w:pPr>
      <w:r>
        <w:rPr/>
        <w:t>（</w:t>
      </w:r>
      <w:r>
        <w:rPr>
          <w:rFonts w:ascii="Times New Roman" w:hAnsi="Times New Roman" w:cs="Times New Roman" w:eastAsia="Times New Roman" w:hint="default"/>
        </w:rPr>
        <w:t>3</w:t>
      </w:r>
      <w:r>
        <w:rPr/>
        <w:t>）政府补助的会计处理</w:t>
      </w:r>
    </w:p>
    <w:p>
      <w:pPr>
        <w:pStyle w:val="BodyText"/>
        <w:spacing w:line="360" w:lineRule="auto" w:before="101"/>
        <w:ind w:left="473" w:right="977"/>
        <w:jc w:val="left"/>
      </w:pPr>
      <w:r>
        <w:rPr/>
        <w:t>①与资产相关的政府补助 </w:t>
      </w:r>
      <w:r>
        <w:rPr>
          <w:spacing w:val="-2"/>
        </w:rPr>
        <w:t>公司取得的、用于购建或以其他方式形成长期资产的政府补助划分为与资产相关的政府补助。与资产相关的政府补助确</w:t>
      </w:r>
    </w:p>
    <w:p>
      <w:pPr>
        <w:pStyle w:val="BodyText"/>
        <w:spacing w:line="222" w:lineRule="exact"/>
        <w:ind w:right="977"/>
        <w:jc w:val="left"/>
      </w:pPr>
      <w:r>
        <w:rPr/>
        <w:t>认为递延收益，在相关资产使用期限内按照合理、系统的方法分期计入损益。按照名义金额计量的政府补助，直接计入当期</w:t>
      </w:r>
    </w:p>
    <w:p>
      <w:pPr>
        <w:pStyle w:val="BodyText"/>
        <w:spacing w:line="319" w:lineRule="auto" w:before="76"/>
        <w:ind w:right="977"/>
        <w:jc w:val="left"/>
      </w:pPr>
      <w:r>
        <w:rPr>
          <w:spacing w:val="-2"/>
        </w:rPr>
        <w:t>损益。相关资产在使用寿命结束前被出售、转让、报废或发生毁损的，将尚未分配的相关递延收益余额转入资产处置当期的</w:t>
      </w:r>
      <w:r>
        <w:rPr>
          <w:spacing w:val="-65"/>
        </w:rPr>
        <w:t> </w:t>
      </w:r>
      <w:r>
        <w:rPr>
          <w:spacing w:val="-65"/>
        </w:rPr>
      </w:r>
      <w:r>
        <w:rPr/>
        <w:t>损益。</w:t>
      </w:r>
    </w:p>
    <w:p>
      <w:pPr>
        <w:pStyle w:val="BodyText"/>
        <w:spacing w:line="357" w:lineRule="auto" w:before="58"/>
        <w:ind w:left="473" w:right="977"/>
        <w:jc w:val="left"/>
      </w:pPr>
      <w:r>
        <w:rPr/>
        <w:t>②与收益相关的政府补助 </w:t>
      </w:r>
      <w:r>
        <w:rPr>
          <w:spacing w:val="-2"/>
        </w:rPr>
        <w:t>除与资产相关的政府补助之外的政府补助划分为与收益相关的政府补助。与收益相关的政府补助，分情况按照以下规定</w:t>
      </w:r>
    </w:p>
    <w:p>
      <w:pPr>
        <w:pStyle w:val="BodyText"/>
        <w:spacing w:line="224" w:lineRule="exact"/>
        <w:ind w:right="977"/>
        <w:jc w:val="left"/>
      </w:pPr>
      <w:r>
        <w:rPr/>
        <w:t>进行会计处理：</w:t>
      </w:r>
    </w:p>
    <w:p>
      <w:pPr>
        <w:pStyle w:val="BodyText"/>
        <w:spacing w:line="316" w:lineRule="auto" w:before="117"/>
        <w:ind w:right="977" w:firstLine="360"/>
        <w:jc w:val="left"/>
      </w:pPr>
      <w:r>
        <w:rPr>
          <w:spacing w:val="-2"/>
        </w:rPr>
        <w:t>用于补偿本公司以后期间的相关成本费用或损失的，确认为递延收益，并在确认相关成本费用或损失的期间，计入当期</w:t>
      </w:r>
      <w:r>
        <w:rPr/>
        <w:t> 损益；</w:t>
      </w:r>
    </w:p>
    <w:p>
      <w:pPr>
        <w:pStyle w:val="BodyText"/>
        <w:spacing w:line="357" w:lineRule="auto" w:before="59"/>
        <w:ind w:left="473" w:right="977"/>
        <w:jc w:val="left"/>
      </w:pPr>
      <w:r>
        <w:rPr/>
        <w:t>用于补偿本公司已发生的相关成本费用或损失的，直接计入当期损益。 </w:t>
      </w:r>
      <w:r>
        <w:rPr>
          <w:spacing w:val="-2"/>
        </w:rPr>
        <w:t>对于同时包含与资产相关部分和与收益相关部分的政府补助，区分不同部分分别进行会计处理；难以区分的，整体归类</w:t>
      </w:r>
    </w:p>
    <w:p>
      <w:pPr>
        <w:pStyle w:val="BodyText"/>
        <w:spacing w:line="224" w:lineRule="exact"/>
        <w:ind w:right="977"/>
        <w:jc w:val="left"/>
      </w:pPr>
      <w:r>
        <w:rPr/>
        <w:t>为与收益相关的政府补助。</w:t>
      </w:r>
    </w:p>
    <w:p>
      <w:pPr>
        <w:pStyle w:val="BodyText"/>
        <w:spacing w:line="319" w:lineRule="auto" w:before="117"/>
        <w:ind w:right="977" w:firstLine="360"/>
        <w:jc w:val="left"/>
      </w:pPr>
      <w:r>
        <w:rPr>
          <w:spacing w:val="-2"/>
        </w:rPr>
        <w:t>与本公司日常活动相关的政府补助，按照经济业务实质，计入其他收益。与本公司日常活动无关的政府补助，计入营业</w:t>
      </w:r>
      <w:r>
        <w:rPr/>
        <w:t> 外收支。</w:t>
      </w:r>
    </w:p>
    <w:p>
      <w:pPr>
        <w:pStyle w:val="BodyText"/>
        <w:spacing w:line="357" w:lineRule="auto" w:before="58"/>
        <w:ind w:left="473" w:right="977"/>
        <w:jc w:val="left"/>
      </w:pPr>
      <w:r>
        <w:rPr/>
        <w:t>③政策性优惠贷款贴息 </w:t>
      </w:r>
      <w:r>
        <w:rPr>
          <w:spacing w:val="-2"/>
        </w:rPr>
        <w:t>财政将贴息资金拨付给贷款银行，由贷款银行以政策性优惠利率向本公司提供贷款的，以实际收到的借款金额作为借款</w:t>
      </w:r>
    </w:p>
    <w:p>
      <w:pPr>
        <w:pStyle w:val="BodyText"/>
        <w:spacing w:line="224" w:lineRule="exact"/>
        <w:ind w:right="977"/>
        <w:jc w:val="left"/>
      </w:pPr>
      <w:r>
        <w:rPr/>
        <w:t>的入账价值，按照借款本金和该政策性优惠利率计算相关借款费用。</w:t>
      </w:r>
    </w:p>
    <w:p>
      <w:pPr>
        <w:pStyle w:val="BodyText"/>
        <w:spacing w:line="240" w:lineRule="auto" w:before="117"/>
        <w:ind w:left="473" w:right="977"/>
        <w:jc w:val="left"/>
      </w:pPr>
      <w:r>
        <w:rPr/>
        <w:t>财政将贴息资金直接拨付给本公司，本公司将对应的贴息冲减相关借款费用。</w:t>
      </w:r>
    </w:p>
    <w:p>
      <w:pPr>
        <w:pStyle w:val="BodyText"/>
        <w:spacing w:line="357" w:lineRule="auto" w:before="117"/>
        <w:ind w:left="473" w:right="1033"/>
        <w:jc w:val="left"/>
      </w:pPr>
      <w:r>
        <w:rPr/>
        <w:t>④政府补助退回 已确认的政府补助需要返还时，初始确认时冲减相关资产账面价值的，调整资产账面价值；存在相关递延收益余额的，</w:t>
      </w:r>
    </w:p>
    <w:p>
      <w:pPr>
        <w:pStyle w:val="BodyText"/>
        <w:spacing w:line="224" w:lineRule="exact"/>
        <w:ind w:right="977"/>
        <w:jc w:val="left"/>
      </w:pPr>
      <w:r>
        <w:rPr/>
        <w:t>冲减相关递延收益账面余额，超出部分计入当期损益；属于其他情况的，直接计入当期损益。</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本公司通常根据资产与负债在资产负债表日的账面价值与计税基础之间的暂时性差异，采用资产负债表债务法将应纳税</w:t>
      </w:r>
      <w:r>
        <w:rPr/>
        <w:t> </w:t>
      </w:r>
      <w:r>
        <w:rPr>
          <w:spacing w:val="-2"/>
        </w:rPr>
        <w:t>暂时性差异或可抵扣暂时性差异对所得税的影响额确认和计量递延所得税负债或递延所得税资产。本公司不对递延所得税资</w:t>
      </w:r>
      <w:r>
        <w:rPr>
          <w:spacing w:val="-64"/>
        </w:rPr>
        <w:t> </w:t>
      </w:r>
      <w:r>
        <w:rPr>
          <w:spacing w:val="-64"/>
        </w:rPr>
      </w:r>
      <w:r>
        <w:rPr/>
        <w:t>产和递延所得税负债进行折现。</w:t>
      </w:r>
    </w:p>
    <w:p>
      <w:pPr>
        <w:pStyle w:val="BodyText"/>
        <w:spacing w:line="338" w:lineRule="auto" w:before="59"/>
        <w:ind w:left="473" w:right="977"/>
        <w:jc w:val="left"/>
      </w:pPr>
      <w:r>
        <w:rPr/>
        <w:t>（</w:t>
      </w:r>
      <w:r>
        <w:rPr>
          <w:rFonts w:ascii="Times New Roman" w:hAnsi="Times New Roman" w:cs="Times New Roman" w:eastAsia="Times New Roman" w:hint="default"/>
        </w:rPr>
        <w:t>1</w:t>
      </w:r>
      <w:r>
        <w:rPr/>
        <w:t>）递延所得税资产的确认 </w:t>
      </w:r>
      <w:r>
        <w:rPr>
          <w:spacing w:val="-4"/>
        </w:rPr>
        <w:t>对于可抵扣暂时性差异，其对所得税的影响额按预计转回期间的所得税税率计算，并将该影响额确认为递延所得税资产，</w:t>
      </w:r>
    </w:p>
    <w:p>
      <w:pPr>
        <w:pStyle w:val="BodyText"/>
        <w:spacing w:line="360" w:lineRule="auto" w:before="2"/>
        <w:ind w:left="473" w:right="1213" w:hanging="361"/>
        <w:jc w:val="left"/>
      </w:pPr>
      <w:r>
        <w:rPr/>
        <w:t>但是以本公司很可能取得用来抵扣可抵扣暂时性差异、可抵扣亏损和税款抵减的未来应纳税所得额为限。 同时具有下列特征的交易或事项中因资产或负债的初始确认所产生的可抵扣暂时性差异对所得税的影响额不确认为递</w:t>
      </w:r>
    </w:p>
    <w:p>
      <w:pPr>
        <w:pStyle w:val="BodyText"/>
        <w:spacing w:line="222" w:lineRule="exact"/>
        <w:ind w:right="977"/>
        <w:jc w:val="left"/>
      </w:pPr>
      <w:r>
        <w:rPr/>
        <w:t>延所得税资产：</w:t>
      </w:r>
    </w:p>
    <w:p>
      <w:pPr>
        <w:pStyle w:val="BodyText"/>
        <w:spacing w:line="340" w:lineRule="auto" w:before="115"/>
        <w:ind w:left="473" w:right="2654"/>
        <w:jc w:val="left"/>
      </w:pPr>
      <w:r>
        <w:rPr>
          <w:rFonts w:ascii="Times New Roman" w:hAnsi="Times New Roman" w:cs="Times New Roman" w:eastAsia="Times New Roman" w:hint="default"/>
        </w:rPr>
        <w:t>A.</w:t>
      </w:r>
      <w:r>
        <w:rPr/>
        <w:t>该项交易不是企业合并； </w:t>
      </w:r>
      <w:r>
        <w:rPr>
          <w:rFonts w:ascii="Times New Roman" w:hAnsi="Times New Roman" w:cs="Times New Roman" w:eastAsia="Times New Roman" w:hint="default"/>
          <w:spacing w:val="-6"/>
        </w:rPr>
        <w:t>B.</w:t>
      </w:r>
      <w:r>
        <w:rPr>
          <w:spacing w:val="-6"/>
        </w:rPr>
        <w:t>交易发生时既不影响会计利润也不影响应纳税所得额（或可抵扣亏损）。</w:t>
      </w:r>
      <w:r>
        <w:rPr/>
      </w:r>
    </w:p>
    <w:p>
      <w:pPr>
        <w:spacing w:after="0" w:line="340" w:lineRule="auto"/>
        <w:jc w:val="left"/>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316" w:lineRule="auto" w:before="44"/>
        <w:ind w:right="1129" w:firstLine="360"/>
        <w:jc w:val="both"/>
      </w:pPr>
      <w:r>
        <w:rPr>
          <w:spacing w:val="-2"/>
        </w:rPr>
        <w:t>本公司对与子公司、联营公司及合营企业投资相关的可抵扣暂时性差异，同时满足下列两项条件的，其对所得税的影响</w:t>
      </w:r>
      <w:r>
        <w:rPr/>
        <w:t> 额（才能）确认为递延所得税资产：</w:t>
      </w:r>
    </w:p>
    <w:p>
      <w:pPr>
        <w:pStyle w:val="BodyText"/>
        <w:spacing w:line="338" w:lineRule="auto" w:before="59"/>
        <w:ind w:left="473" w:right="5368"/>
        <w:jc w:val="left"/>
      </w:pPr>
      <w:r>
        <w:rPr>
          <w:rFonts w:ascii="Times New Roman" w:hAnsi="Times New Roman" w:cs="Times New Roman" w:eastAsia="Times New Roman" w:hint="default"/>
        </w:rPr>
        <w:t>A.</w:t>
      </w:r>
      <w:r>
        <w:rPr/>
        <w:t>暂时性差异在可预见的未来很可能转回； </w:t>
      </w:r>
      <w:r>
        <w:rPr>
          <w:rFonts w:ascii="Times New Roman" w:hAnsi="Times New Roman" w:cs="Times New Roman" w:eastAsia="Times New Roman" w:hint="default"/>
        </w:rPr>
        <w:t>B.</w:t>
      </w:r>
      <w:r>
        <w:rPr/>
        <w:t>未来很可能获得用来抵扣可抵扣暂时性差异的应纳税所得额；</w:t>
      </w:r>
    </w:p>
    <w:p>
      <w:pPr>
        <w:pStyle w:val="BodyText"/>
        <w:spacing w:line="316" w:lineRule="auto" w:before="22"/>
        <w:ind w:right="1132" w:firstLine="360"/>
        <w:jc w:val="both"/>
      </w:pPr>
      <w:r>
        <w:rPr>
          <w:spacing w:val="-2"/>
        </w:rPr>
        <w:t>资产负债表日，有确凿证据表明未来期间很可能获得足够的应纳税所得额用来抵扣可抵扣暂时性差异的，确认以前期间</w:t>
      </w:r>
      <w:r>
        <w:rPr/>
        <w:t> 未确认的递延所得税资产。</w:t>
      </w:r>
    </w:p>
    <w:p>
      <w:pPr>
        <w:pStyle w:val="BodyText"/>
        <w:spacing w:line="316" w:lineRule="auto" w:before="59"/>
        <w:ind w:right="1128" w:firstLine="360"/>
        <w:jc w:val="both"/>
      </w:pPr>
      <w:r>
        <w:rPr>
          <w:spacing w:val="-2"/>
        </w:rPr>
        <w:t>在资产负债表日，本公司对递延所得税资产的账面价值进行复核。如果未来期间很可能无法获得足够的应纳税所得额用</w:t>
      </w:r>
      <w:r>
        <w:rPr/>
        <w:t> </w:t>
      </w:r>
      <w:r>
        <w:rPr>
          <w:spacing w:val="-2"/>
        </w:rPr>
        <w:t>以抵扣递延所得税资产的利益，减记递延所得税资产的账面价值。在很可能获得足够的应纳税所得额时，减记的金额予以转</w:t>
      </w:r>
      <w:r>
        <w:rPr>
          <w:spacing w:val="-63"/>
        </w:rPr>
        <w:t> </w:t>
      </w:r>
      <w:r>
        <w:rPr>
          <w:spacing w:val="-63"/>
        </w:rPr>
      </w:r>
      <w:r>
        <w:rPr/>
        <w:t>回。</w:t>
      </w:r>
    </w:p>
    <w:p>
      <w:pPr>
        <w:pStyle w:val="BodyText"/>
        <w:spacing w:line="340" w:lineRule="auto" w:before="57"/>
        <w:ind w:left="473" w:right="977"/>
        <w:jc w:val="left"/>
      </w:pPr>
      <w:r>
        <w:rPr/>
        <w:t>（</w:t>
      </w:r>
      <w:r>
        <w:rPr>
          <w:rFonts w:ascii="Times New Roman" w:hAnsi="Times New Roman" w:cs="Times New Roman" w:eastAsia="Times New Roman" w:hint="default"/>
        </w:rPr>
        <w:t>2</w:t>
      </w:r>
      <w:r>
        <w:rPr/>
        <w:t>）递延所得税负债的确认 </w:t>
      </w:r>
      <w:r>
        <w:rPr>
          <w:spacing w:val="-2"/>
        </w:rPr>
        <w:t>本公司所有应纳税暂时性差异均按预计转回期间的所得税税率计量对所得税的影响，并将该影响额确认为递延所得税负</w:t>
      </w:r>
    </w:p>
    <w:p>
      <w:pPr>
        <w:pStyle w:val="BodyText"/>
        <w:spacing w:line="240" w:lineRule="auto" w:before="1"/>
        <w:ind w:right="977"/>
        <w:jc w:val="left"/>
      </w:pPr>
      <w:r>
        <w:rPr/>
        <w:t>债，但下列情况的除外：</w:t>
      </w:r>
    </w:p>
    <w:p>
      <w:pPr>
        <w:pStyle w:val="BodyText"/>
        <w:spacing w:line="240" w:lineRule="auto" w:before="117"/>
        <w:ind w:left="473" w:right="977"/>
        <w:jc w:val="left"/>
      </w:pPr>
      <w:r>
        <w:rPr/>
        <w:t>①因下列交易或事项中产生的应纳税暂时性差异对所得税的影响不确认为递延所得税负债：</w:t>
      </w:r>
    </w:p>
    <w:p>
      <w:pPr>
        <w:pStyle w:val="BodyText"/>
        <w:spacing w:line="340" w:lineRule="auto" w:before="115"/>
        <w:ind w:left="473" w:right="977"/>
        <w:jc w:val="left"/>
      </w:pPr>
      <w:r>
        <w:rPr>
          <w:rFonts w:ascii="Times New Roman" w:hAnsi="Times New Roman" w:cs="Times New Roman" w:eastAsia="Times New Roman" w:hint="default"/>
        </w:rPr>
        <w:t>A.</w:t>
      </w:r>
      <w:r>
        <w:rPr/>
        <w:t>商誉的初始确认； </w:t>
      </w:r>
      <w:r>
        <w:rPr>
          <w:rFonts w:ascii="Times New Roman" w:hAnsi="Times New Roman" w:cs="Times New Roman" w:eastAsia="Times New Roman" w:hint="default"/>
          <w:spacing w:val="-2"/>
        </w:rPr>
        <w:t>B.</w:t>
      </w:r>
      <w:r>
        <w:rPr>
          <w:spacing w:val="-2"/>
        </w:rPr>
        <w:t>具有以下特征的交易中产生的资产或负债的初始确认：该交易不是企业合并，并且交易发生时既不影响会计利润也不</w:t>
      </w:r>
    </w:p>
    <w:p>
      <w:pPr>
        <w:pStyle w:val="BodyText"/>
        <w:spacing w:line="215" w:lineRule="exact"/>
        <w:ind w:right="977"/>
        <w:jc w:val="left"/>
      </w:pPr>
      <w:r>
        <w:rPr/>
        <w:t>影响应纳税所得额或可抵扣亏损。</w:t>
      </w:r>
    </w:p>
    <w:p>
      <w:pPr>
        <w:pStyle w:val="BodyText"/>
        <w:spacing w:line="316" w:lineRule="auto" w:before="117"/>
        <w:ind w:right="977" w:firstLine="360"/>
        <w:jc w:val="left"/>
      </w:pPr>
      <w:r>
        <w:rPr>
          <w:spacing w:val="-2"/>
        </w:rPr>
        <w:t>②本公司对与子公司、合营企业及联营企业投资相关的应纳税暂时性差异，其对所得税的影响额一般确认为递延所得税</w:t>
      </w:r>
      <w:r>
        <w:rPr/>
        <w:t> 负债，但同时满足以下两项条件的除外：</w:t>
      </w:r>
    </w:p>
    <w:p>
      <w:pPr>
        <w:pStyle w:val="BodyText"/>
        <w:spacing w:line="340" w:lineRule="auto" w:before="57"/>
        <w:ind w:left="473" w:right="6448"/>
        <w:jc w:val="left"/>
      </w:pPr>
      <w:r>
        <w:rPr>
          <w:rFonts w:ascii="Times New Roman" w:hAnsi="Times New Roman" w:cs="Times New Roman" w:eastAsia="Times New Roman" w:hint="default"/>
        </w:rPr>
        <w:t>A.</w:t>
      </w:r>
      <w:r>
        <w:rPr/>
        <w:t>本公司能够控制暂时性差异转回的时间； </w:t>
      </w:r>
      <w:r>
        <w:rPr>
          <w:rFonts w:ascii="Times New Roman" w:hAnsi="Times New Roman" w:cs="Times New Roman" w:eastAsia="Times New Roman" w:hint="default"/>
        </w:rPr>
        <w:t>B.</w:t>
      </w:r>
      <w:r>
        <w:rPr/>
        <w:t>该暂时性差异在可预见的未来很可能不会转回。</w:t>
      </w:r>
    </w:p>
    <w:p>
      <w:pPr>
        <w:pStyle w:val="BodyText"/>
        <w:spacing w:line="240" w:lineRule="auto" w:before="20"/>
        <w:ind w:left="473" w:right="977"/>
        <w:jc w:val="left"/>
      </w:pPr>
      <w:r>
        <w:rPr/>
        <w:t>（</w:t>
      </w:r>
      <w:r>
        <w:rPr>
          <w:rFonts w:ascii="Times New Roman" w:hAnsi="Times New Roman" w:cs="Times New Roman" w:eastAsia="Times New Roman" w:hint="default"/>
        </w:rPr>
        <w:t>3</w:t>
      </w:r>
      <w:r>
        <w:rPr/>
        <w:t>）特定交易或事项所涉及的递延所得税负债或资产的确认</w:t>
      </w:r>
    </w:p>
    <w:p>
      <w:pPr>
        <w:pStyle w:val="BodyText"/>
        <w:spacing w:line="360" w:lineRule="auto" w:before="101"/>
        <w:ind w:left="473" w:right="1213"/>
        <w:jc w:val="left"/>
      </w:pPr>
      <w:r>
        <w:rPr/>
        <w:t>①与企业合并相关的递延所得税负债或资产 非同一控制下企业合并产生的应纳税暂时性差异或可抵扣暂时性差异，在确认递延所得税负债或递延所得税资产的同</w:t>
      </w:r>
    </w:p>
    <w:p>
      <w:pPr>
        <w:pStyle w:val="BodyText"/>
        <w:spacing w:line="222" w:lineRule="exact"/>
        <w:ind w:right="977"/>
        <w:jc w:val="left"/>
      </w:pPr>
      <w:r>
        <w:rPr/>
        <w:t>时，相关的递延所得税费用（或收益</w:t>
      </w:r>
      <w:r>
        <w:rPr>
          <w:spacing w:val="-92"/>
        </w:rPr>
        <w:t>）</w:t>
      </w:r>
      <w:r>
        <w:rPr/>
        <w:t>，通常调整企业合并</w:t>
      </w:r>
      <w:r>
        <w:rPr>
          <w:spacing w:val="3"/>
        </w:rPr>
        <w:t>中</w:t>
      </w:r>
      <w:r>
        <w:rPr/>
        <w:t>所确认的商誉。</w:t>
      </w:r>
    </w:p>
    <w:p>
      <w:pPr>
        <w:pStyle w:val="BodyText"/>
        <w:spacing w:line="357" w:lineRule="auto" w:before="117"/>
        <w:ind w:left="473" w:right="977"/>
        <w:jc w:val="left"/>
      </w:pPr>
      <w:r>
        <w:rPr/>
        <w:t>②直接计入所有者权益的项目 </w:t>
      </w:r>
      <w:r>
        <w:rPr>
          <w:spacing w:val="-2"/>
        </w:rPr>
        <w:t>与直接计入所有者权益的交易或者事项相关的当期所得税和递延所得税，计入所有者权益。暂时性差异对所得税的影响</w:t>
      </w:r>
    </w:p>
    <w:p>
      <w:pPr>
        <w:pStyle w:val="BodyText"/>
        <w:spacing w:line="224" w:lineRule="exact"/>
        <w:ind w:right="977"/>
        <w:jc w:val="left"/>
      </w:pPr>
      <w:r>
        <w:rPr/>
        <w:t>计入所有者权益的交易或事项包括：可供出售金融资产公允价值变动等形成的其他综合收益、会计政策变更采用追溯调整法</w:t>
      </w:r>
    </w:p>
    <w:p>
      <w:pPr>
        <w:pStyle w:val="BodyText"/>
        <w:spacing w:line="316" w:lineRule="auto" w:before="76"/>
        <w:ind w:right="977"/>
        <w:jc w:val="left"/>
      </w:pPr>
      <w:r>
        <w:rPr>
          <w:spacing w:val="-2"/>
        </w:rPr>
        <w:t>或对前期（重要）会计差错更正差异追溯重述法调整期初留存收益、同时包含负债成份及权益成份的混合金融工具在初始确</w:t>
      </w:r>
      <w:r>
        <w:rPr>
          <w:spacing w:val="-66"/>
        </w:rPr>
        <w:t> </w:t>
      </w:r>
      <w:r>
        <w:rPr>
          <w:spacing w:val="-66"/>
        </w:rPr>
      </w:r>
      <w:r>
        <w:rPr/>
        <w:t>认时计入所有者权益等。</w:t>
      </w:r>
    </w:p>
    <w:p>
      <w:pPr>
        <w:pStyle w:val="BodyText"/>
        <w:spacing w:line="240" w:lineRule="auto" w:before="59"/>
        <w:ind w:left="473" w:right="977"/>
        <w:jc w:val="left"/>
      </w:pPr>
      <w:r>
        <w:rPr/>
        <w:t>③可弥补亏损和税款抵减</w:t>
      </w:r>
    </w:p>
    <w:p>
      <w:pPr>
        <w:pStyle w:val="BodyText"/>
        <w:spacing w:line="338" w:lineRule="auto" w:before="118"/>
        <w:ind w:left="473" w:right="977"/>
        <w:jc w:val="left"/>
      </w:pPr>
      <w:r>
        <w:rPr>
          <w:rFonts w:ascii="Times New Roman" w:hAnsi="Times New Roman" w:cs="Times New Roman" w:eastAsia="Times New Roman" w:hint="default"/>
        </w:rPr>
        <w:t>A.</w:t>
      </w:r>
      <w:r>
        <w:rPr/>
        <w:t>本公司自身经营产生的可弥补亏损以及税款抵减 </w:t>
      </w:r>
      <w:r>
        <w:rPr>
          <w:spacing w:val="-2"/>
        </w:rPr>
        <w:t>可抵扣亏损是指按照税法规定计算确定的准予用以后年度的应纳税所得额弥补的亏损。对于按照税法规定可以结转以后</w:t>
      </w:r>
    </w:p>
    <w:p>
      <w:pPr>
        <w:pStyle w:val="BodyText"/>
        <w:spacing w:line="316" w:lineRule="auto" w:before="2"/>
        <w:ind w:right="1128"/>
        <w:jc w:val="both"/>
      </w:pPr>
      <w:r>
        <w:rPr>
          <w:spacing w:val="-2"/>
        </w:rPr>
        <w:t>年度的未弥补亏损（可抵扣亏损）和税款抵减，视同可抵扣暂时性差异处理。在预计可利用可弥补亏损或税款抵减的未来期</w:t>
      </w:r>
      <w:r>
        <w:rPr>
          <w:spacing w:val="-64"/>
        </w:rPr>
        <w:t> </w:t>
      </w:r>
      <w:r>
        <w:rPr>
          <w:spacing w:val="-64"/>
        </w:rPr>
      </w:r>
      <w:r>
        <w:rPr>
          <w:spacing w:val="-2"/>
        </w:rPr>
        <w:t>间内很可能取得足够的应纳税所得额时，以很可能取得的应纳税所得额为限，确认相应的递延所得税资产，同时减少当期利</w:t>
      </w:r>
      <w:r>
        <w:rPr>
          <w:spacing w:val="-61"/>
        </w:rPr>
        <w:t> </w:t>
      </w:r>
      <w:r>
        <w:rPr>
          <w:spacing w:val="-61"/>
        </w:rPr>
      </w:r>
      <w:r>
        <w:rPr/>
        <w:t>润表中的所得税费用。</w:t>
      </w:r>
    </w:p>
    <w:p>
      <w:pPr>
        <w:pStyle w:val="BodyText"/>
        <w:spacing w:line="340" w:lineRule="auto" w:before="59"/>
        <w:ind w:left="473" w:right="1033"/>
        <w:jc w:val="left"/>
      </w:pPr>
      <w:r>
        <w:rPr>
          <w:rFonts w:ascii="Times New Roman" w:hAnsi="Times New Roman" w:cs="Times New Roman" w:eastAsia="Times New Roman" w:hint="default"/>
        </w:rPr>
        <w:t>B.</w:t>
      </w:r>
      <w:r>
        <w:rPr/>
        <w:t>因企业合并而形成的可弥补的被合并企业的未弥补亏损 在企业合并中，本公司取得被购买方的可抵扣暂时性差异，在购买日不符合递延所得税资产确认条件的，不予以确认。</w:t>
      </w:r>
    </w:p>
    <w:p>
      <w:pPr>
        <w:pStyle w:val="BodyText"/>
        <w:spacing w:line="309" w:lineRule="auto" w:before="1"/>
        <w:ind w:right="1034"/>
        <w:jc w:val="left"/>
      </w:pPr>
      <w:r>
        <w:rPr/>
        <w:t>购买日后</w:t>
      </w:r>
      <w:r>
        <w:rPr>
          <w:spacing w:val="-45"/>
        </w:rPr>
        <w:t> </w:t>
      </w:r>
      <w:r>
        <w:rPr>
          <w:rFonts w:ascii="Times New Roman" w:hAnsi="Times New Roman" w:cs="Times New Roman" w:eastAsia="Times New Roman" w:hint="default"/>
        </w:rPr>
        <w:t>12 </w:t>
      </w:r>
      <w:r>
        <w:rPr/>
        <w:t>个月内，如取得新的或进一步的信息表明购买日的相关情况已经存在，预期被购买方在购买日可抵扣暂时性差 异带来的经济利益能够实现的，确认相关的递延所得税资产，同时减少商誉，商誉不足冲减的，差额部分确认为当期损益； 除上述情况以外，确认与企业合并相关的递延所得税资产，计入当期损益。</w:t>
      </w:r>
    </w:p>
    <w:p>
      <w:pPr>
        <w:pStyle w:val="BodyText"/>
        <w:spacing w:line="240" w:lineRule="auto" w:before="63"/>
        <w:ind w:left="473" w:right="977"/>
        <w:jc w:val="left"/>
      </w:pPr>
      <w:r>
        <w:rPr/>
        <w:t>④合并抵销形成的暂时性差异</w:t>
      </w:r>
    </w:p>
    <w:p>
      <w:pPr>
        <w:spacing w:after="0" w:line="240" w:lineRule="auto"/>
        <w:jc w:val="left"/>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316" w:lineRule="auto" w:before="44"/>
        <w:ind w:right="1131" w:firstLine="360"/>
        <w:jc w:val="both"/>
      </w:pPr>
      <w:r>
        <w:rPr>
          <w:spacing w:val="-2"/>
        </w:rPr>
        <w:t>本公司在编制合并财务报表时，因抵销未实现内部销售损益导致合并资产负债表中资产、负债的账面价值与其在所属纳</w:t>
      </w:r>
      <w:r>
        <w:rPr/>
        <w:t> </w:t>
      </w:r>
      <w:r>
        <w:rPr>
          <w:spacing w:val="-2"/>
        </w:rPr>
        <w:t>税主体的计税基础之间产生暂时性差异的，在合并资产负债表中确认递延所得税资产或递延所得税负债，同时调整合并利润</w:t>
      </w:r>
      <w:r>
        <w:rPr>
          <w:spacing w:val="-63"/>
        </w:rPr>
        <w:t> </w:t>
      </w:r>
      <w:r>
        <w:rPr>
          <w:spacing w:val="-63"/>
        </w:rPr>
      </w:r>
      <w:r>
        <w:rPr/>
        <w:t>表中的所得税费用，但与直接计入所有者权益的交易或事项及企业合并相关的递延所得税除外。</w:t>
      </w:r>
    </w:p>
    <w:p>
      <w:pPr>
        <w:pStyle w:val="BodyText"/>
        <w:spacing w:line="357" w:lineRule="auto" w:before="59"/>
        <w:ind w:left="473" w:right="977"/>
        <w:jc w:val="left"/>
      </w:pPr>
      <w:r>
        <w:rPr/>
        <w:t>⑤以权益结算的股份支付 </w:t>
      </w:r>
      <w:r>
        <w:rPr>
          <w:spacing w:val="-2"/>
        </w:rPr>
        <w:t>如果税法规定与股份支付相关的支出允许税前扣除，在按照会计准则规定确认成本费用的期间内，本公司根据会计期末</w:t>
      </w:r>
    </w:p>
    <w:p>
      <w:pPr>
        <w:pStyle w:val="BodyText"/>
        <w:spacing w:line="224" w:lineRule="exact"/>
        <w:ind w:right="977"/>
        <w:jc w:val="left"/>
      </w:pPr>
      <w:r>
        <w:rPr/>
        <w:t>取得信息估计可税前扣除的金额计算确</w:t>
      </w:r>
      <w:r>
        <w:rPr>
          <w:spacing w:val="1"/>
        </w:rPr>
        <w:t>定</w:t>
      </w:r>
      <w:r>
        <w:rPr/>
        <w:t>其计税基础及由此产生的暂时性差异</w:t>
      </w:r>
      <w:r>
        <w:rPr>
          <w:spacing w:val="-82"/>
        </w:rPr>
        <w:t>，</w:t>
      </w:r>
      <w:r>
        <w:rPr/>
        <w:t>符合确认条件的情况下确认相关的递延所得</w:t>
      </w:r>
    </w:p>
    <w:p>
      <w:pPr>
        <w:pStyle w:val="BodyText"/>
        <w:spacing w:line="316" w:lineRule="auto" w:before="76"/>
        <w:ind w:right="977"/>
        <w:jc w:val="left"/>
      </w:pPr>
      <w:r>
        <w:rPr>
          <w:spacing w:val="-2"/>
        </w:rPr>
        <w:t>税。其中预计未来期间可税前扣除的金额超过按照会计准则规定确认的与股份支付相关的成本费用，超过部分的所得税影响</w:t>
      </w:r>
      <w:r>
        <w:rPr>
          <w:spacing w:val="-64"/>
        </w:rPr>
        <w:t> </w:t>
      </w:r>
      <w:r>
        <w:rPr>
          <w:spacing w:val="-64"/>
        </w:rPr>
      </w:r>
      <w:r>
        <w:rPr/>
        <w:t>应直接计入所有者权益。</w:t>
      </w:r>
    </w:p>
    <w:p>
      <w:pPr>
        <w:spacing w:line="240" w:lineRule="auto" w:before="8"/>
        <w:rPr>
          <w:rFonts w:ascii="宋体" w:hAnsi="宋体" w:cs="宋体" w:eastAsia="宋体" w:hint="default"/>
          <w:sz w:val="22"/>
          <w:szCs w:val="22"/>
        </w:rPr>
      </w:pPr>
    </w:p>
    <w:p>
      <w:pPr>
        <w:pStyle w:val="Heading3"/>
        <w:spacing w:line="240" w:lineRule="auto"/>
        <w:ind w:right="977"/>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77"/>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8" w:firstLine="360"/>
        <w:jc w:val="both"/>
      </w:pPr>
      <w:r>
        <w:rPr>
          <w:spacing w:val="-2"/>
        </w:rPr>
        <w:t>①本公司作为经营租赁承租人时，将经营租赁的租金支出，在租赁期内各个期间按照直线法或根据租赁资产的使用量计</w:t>
      </w:r>
      <w:r>
        <w:rPr/>
        <w:t> </w:t>
      </w:r>
      <w:r>
        <w:rPr>
          <w:spacing w:val="-2"/>
        </w:rPr>
        <w:t>入当期损益。出租人提供免租期的，本公司将租金总额在不扣除免租期的整个租赁期内，按直线法或其他合理的方法进行分</w:t>
      </w:r>
      <w:r>
        <w:rPr>
          <w:spacing w:val="-63"/>
        </w:rPr>
        <w:t> </w:t>
      </w:r>
      <w:r>
        <w:rPr>
          <w:spacing w:val="-63"/>
        </w:rPr>
      </w:r>
      <w:r>
        <w:rPr>
          <w:spacing w:val="-2"/>
        </w:rPr>
        <w:t>摊，免租期内确认租金费用及相应的负债。出租人承担了承租人某些费用的，本公司按该费用从租金费用总额中扣除后的租</w:t>
      </w:r>
      <w:r>
        <w:rPr>
          <w:spacing w:val="-62"/>
        </w:rPr>
        <w:t> </w:t>
      </w:r>
      <w:r>
        <w:rPr>
          <w:spacing w:val="-62"/>
        </w:rPr>
      </w:r>
      <w:r>
        <w:rPr/>
        <w:t>金费用余额在租赁期内进行分摊。</w:t>
      </w:r>
    </w:p>
    <w:p>
      <w:pPr>
        <w:pStyle w:val="BodyText"/>
        <w:spacing w:line="240" w:lineRule="auto" w:before="59"/>
        <w:ind w:left="473" w:right="977"/>
        <w:jc w:val="left"/>
      </w:pPr>
      <w:r>
        <w:rPr/>
        <w:t>初始直接费用，计入当期损益。如协议约定或有租金的在实际发生时计入当期损益。</w:t>
      </w:r>
    </w:p>
    <w:p>
      <w:pPr>
        <w:pStyle w:val="BodyText"/>
        <w:spacing w:line="316" w:lineRule="auto" w:before="117"/>
        <w:ind w:right="1128" w:firstLine="360"/>
        <w:jc w:val="both"/>
      </w:pPr>
      <w:r>
        <w:rPr>
          <w:spacing w:val="-2"/>
        </w:rPr>
        <w:t>②本公司作为经营租赁出租人时，采用直线法将收到的租金在租赁期内确认为收益。出租人提供免租期的，出租人将租</w:t>
      </w:r>
      <w:r>
        <w:rPr/>
        <w:t> </w:t>
      </w:r>
      <w:r>
        <w:rPr>
          <w:spacing w:val="-2"/>
        </w:rPr>
        <w:t>金总额在不扣除免租期的整个租赁期内，按直线法或其他合理的方法进行分配，免租期内出租人也确认租金收入。承担了承</w:t>
      </w:r>
      <w:r>
        <w:rPr>
          <w:spacing w:val="-61"/>
        </w:rPr>
        <w:t> </w:t>
      </w:r>
      <w:r>
        <w:rPr>
          <w:spacing w:val="-61"/>
        </w:rPr>
      </w:r>
      <w:r>
        <w:rPr/>
        <w:t>租人某些费用的，本公司按该费用自租金收入总额中扣除后的租金收入余额在租赁期内进行分配。</w:t>
      </w:r>
    </w:p>
    <w:p>
      <w:pPr>
        <w:pStyle w:val="BodyText"/>
        <w:spacing w:line="316" w:lineRule="auto" w:before="57"/>
        <w:ind w:right="1131" w:firstLine="360"/>
        <w:jc w:val="both"/>
      </w:pPr>
      <w:r>
        <w:rPr>
          <w:spacing w:val="-2"/>
        </w:rPr>
        <w:t>初始直接费用，计入当期损益。金额较大的予以资本化，在整个经营租赁期内按照与确认租金收入相同的基础分期计入</w:t>
      </w:r>
      <w:r>
        <w:rPr/>
        <w:t> 当期损益。如协议约定或有租金的在实际发生时计入当期收益。</w:t>
      </w:r>
    </w:p>
    <w:p>
      <w:pPr>
        <w:spacing w:line="240" w:lineRule="auto" w:before="8"/>
        <w:rPr>
          <w:rFonts w:ascii="宋体" w:hAnsi="宋体" w:cs="宋体" w:eastAsia="宋体" w:hint="default"/>
          <w:sz w:val="22"/>
          <w:szCs w:val="22"/>
        </w:rPr>
      </w:pPr>
    </w:p>
    <w:p>
      <w:pPr>
        <w:pStyle w:val="Heading3"/>
        <w:spacing w:line="240" w:lineRule="auto"/>
        <w:ind w:right="977"/>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firstLine="360"/>
        <w:jc w:val="both"/>
      </w:pPr>
      <w:r>
        <w:rPr>
          <w:spacing w:val="-2"/>
        </w:rPr>
        <w:t>①本公司作为融资租赁承租人时，在租赁期开始日，将租赁开始日租赁资产公允价值与最低租赁付款额现值两者中较低</w:t>
      </w:r>
      <w:r>
        <w:rPr/>
        <w:t> </w:t>
      </w:r>
      <w:r>
        <w:rPr>
          <w:spacing w:val="-2"/>
        </w:rPr>
        <w:t>者作为租入资产的入账价值，将最低租赁付款额作为长期应付款的入账价值，其差额作为未确认融资费用。在租赁期内各个</w:t>
      </w:r>
      <w:r>
        <w:rPr>
          <w:spacing w:val="-61"/>
        </w:rPr>
        <w:t> </w:t>
      </w:r>
      <w:r>
        <w:rPr>
          <w:spacing w:val="-61"/>
        </w:rPr>
      </w:r>
      <w:r>
        <w:rPr/>
        <w:t>期间采用实际利率法进行分摊，确认为当期融资费用，计入财务费用。</w:t>
      </w:r>
    </w:p>
    <w:p>
      <w:pPr>
        <w:pStyle w:val="BodyText"/>
        <w:spacing w:line="357" w:lineRule="auto" w:before="59"/>
        <w:ind w:left="473" w:right="977"/>
        <w:jc w:val="left"/>
      </w:pPr>
      <w:r>
        <w:rPr/>
        <w:t>发生的初始直接费用，计入租入资产价值。 </w:t>
      </w:r>
      <w:r>
        <w:rPr>
          <w:spacing w:val="-2"/>
        </w:rPr>
        <w:t>在计提融资租赁资产折旧时，本公司采用与自有应折旧资产相一致的折旧政策，折旧期间以租赁合同而定。如果能够合</w:t>
      </w:r>
    </w:p>
    <w:p>
      <w:pPr>
        <w:pStyle w:val="BodyText"/>
        <w:spacing w:line="224" w:lineRule="exact"/>
        <w:ind w:right="977"/>
        <w:jc w:val="left"/>
      </w:pPr>
      <w:r>
        <w:rPr/>
        <w:t>理确定租赁期届满时本公司将会取得租赁资产所有权，以租赁期开始日租赁资产的寿命作为折旧期间；如果无法合理确定租</w:t>
      </w:r>
    </w:p>
    <w:p>
      <w:pPr>
        <w:pStyle w:val="BodyText"/>
        <w:spacing w:line="240" w:lineRule="auto" w:before="77"/>
        <w:ind w:right="977"/>
        <w:jc w:val="left"/>
      </w:pPr>
      <w:r>
        <w:rPr/>
        <w:t>赁期届满后本公司是否能够取得租赁资产的所有权，以租赁期与租赁资产寿命两者中较短者作为折旧期间。</w:t>
      </w:r>
    </w:p>
    <w:p>
      <w:pPr>
        <w:pStyle w:val="BodyText"/>
        <w:spacing w:line="316" w:lineRule="auto" w:before="117"/>
        <w:ind w:right="1130" w:firstLine="360"/>
        <w:jc w:val="both"/>
      </w:pPr>
      <w:r>
        <w:rPr>
          <w:spacing w:val="-2"/>
        </w:rPr>
        <w:t>②本公司作为融资租赁出租人时，于租赁期开始日将租赁开始日最低租赁应收款额与初始直接费用之和作为应收融资租</w:t>
      </w:r>
      <w:r>
        <w:rPr/>
        <w:t> </w:t>
      </w:r>
      <w:r>
        <w:rPr>
          <w:spacing w:val="-2"/>
        </w:rPr>
        <w:t>赁款的入账价值，计入资产负债表的长期应收款，同时记录未担保余值；将最低租赁应收款额、初始直接费用及未担保余值</w:t>
      </w:r>
      <w:r>
        <w:rPr>
          <w:spacing w:val="-63"/>
        </w:rPr>
        <w:t> </w:t>
      </w:r>
      <w:r>
        <w:rPr>
          <w:spacing w:val="-63"/>
        </w:rPr>
      </w:r>
      <w:r>
        <w:rPr/>
        <w:t>之和与其现值之和的差额作为未实现融资收益，在租赁期内各个期间采用实际利率法确认为租赁收入。</w:t>
      </w:r>
    </w:p>
    <w:p>
      <w:pPr>
        <w:spacing w:line="240" w:lineRule="auto" w:before="8"/>
        <w:rPr>
          <w:rFonts w:ascii="宋体" w:hAnsi="宋体" w:cs="宋体" w:eastAsia="宋体" w:hint="default"/>
          <w:sz w:val="22"/>
          <w:szCs w:val="22"/>
        </w:rPr>
      </w:pPr>
    </w:p>
    <w:p>
      <w:pPr>
        <w:pStyle w:val="Heading3"/>
        <w:spacing w:line="240" w:lineRule="auto"/>
        <w:ind w:right="977"/>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77"/>
        <w:jc w:val="left"/>
      </w:pPr>
      <w:r>
        <w:rPr/>
        <w:t>不适用。</w:t>
      </w:r>
    </w:p>
    <w:p>
      <w:pPr>
        <w:spacing w:after="0" w:line="240" w:lineRule="auto"/>
        <w:jc w:val="left"/>
        <w:sectPr>
          <w:pgSz w:w="11910" w:h="16840"/>
          <w:pgMar w:header="910" w:footer="1013" w:top="1100" w:bottom="1200" w:left="1020" w:right="0"/>
        </w:sectPr>
      </w:pPr>
    </w:p>
    <w:p>
      <w:pPr>
        <w:spacing w:line="240" w:lineRule="auto" w:before="7"/>
        <w:rPr>
          <w:rFonts w:ascii="宋体" w:hAnsi="宋体" w:cs="宋体" w:eastAsia="宋体" w:hint="default"/>
          <w:sz w:val="21"/>
          <w:szCs w:val="21"/>
        </w:rPr>
      </w:pPr>
    </w:p>
    <w:p>
      <w:pPr>
        <w:pStyle w:val="Heading3"/>
        <w:spacing w:line="240" w:lineRule="auto" w:before="36"/>
        <w:ind w:left="132" w:right="1032"/>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2" w:right="1032"/>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2" w:right="1032"/>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《财政部关于修订印发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年度一般 企业财务报表格式的</w:t>
            </w:r>
            <w:r>
              <w:rPr>
                <w:rFonts w:ascii="宋体" w:hAnsi="宋体" w:cs="宋体" w:eastAsia="宋体" w:hint="default"/>
                <w:spacing w:val="7"/>
                <w:sz w:val="18"/>
                <w:szCs w:val="18"/>
              </w:rPr>
              <w:t> </w:t>
            </w:r>
            <w:r>
              <w:rPr>
                <w:rFonts w:ascii="宋体" w:hAnsi="宋体" w:cs="宋体" w:eastAsia="宋体" w:hint="default"/>
                <w:spacing w:val="-16"/>
                <w:sz w:val="18"/>
                <w:szCs w:val="18"/>
              </w:rPr>
              <w:t>通知》</w:t>
            </w:r>
            <w:r>
              <w:rPr>
                <w:rFonts w:ascii="Times New Roman" w:hAnsi="Times New Roman" w:cs="Times New Roman" w:eastAsia="Times New Roman" w:hint="default"/>
                <w:spacing w:val="-16"/>
                <w:sz w:val="18"/>
                <w:szCs w:val="18"/>
              </w:rPr>
              <w:t>(</w:t>
            </w:r>
            <w:r>
              <w:rPr>
                <w:rFonts w:ascii="宋体" w:hAnsi="宋体" w:cs="宋体" w:eastAsia="宋体" w:hint="default"/>
                <w:spacing w:val="-16"/>
                <w:sz w:val="18"/>
                <w:szCs w:val="18"/>
              </w:rPr>
              <w:t>财会〔</w:t>
            </w:r>
            <w:r>
              <w:rPr>
                <w:rFonts w:ascii="Times New Roman" w:hAnsi="Times New Roman" w:cs="Times New Roman" w:eastAsia="Times New Roman" w:hint="default"/>
                <w:spacing w:val="-16"/>
                <w:sz w:val="18"/>
                <w:szCs w:val="18"/>
              </w:rPr>
              <w:t>2018</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15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3"/>
              <w:jc w:val="left"/>
              <w:rPr>
                <w:rFonts w:ascii="宋体" w:hAnsi="宋体" w:cs="宋体" w:eastAsia="宋体" w:hint="default"/>
                <w:sz w:val="20"/>
                <w:szCs w:val="20"/>
              </w:rPr>
            </w:pPr>
            <w:r>
              <w:rPr>
                <w:rFonts w:ascii="宋体" w:hAnsi="宋体" w:cs="宋体" w:eastAsia="宋体" w:hint="default"/>
                <w:position w:val="-5"/>
                <w:sz w:val="20"/>
                <w:szCs w:val="20"/>
              </w:rPr>
              <w:pict>
                <v:group style="width:159.050pt;height:15.6pt;mso-position-horizontal-relative:char;mso-position-vertical-relative:line" coordorigin="0,0" coordsize="3181,312">
                  <v:group style="position:absolute;left:0;top:0;width:3181;height:312" coordorigin="0,0" coordsize="3181,312">
                    <v:shape style="position:absolute;left:0;top:0;width:3181;height:312" coordorigin="0,0" coordsize="3181,312" path="m0,312l3180,312,3180,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董事会审议</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2" w:lineRule="exact"/>
              <w:ind w:right="-53"/>
              <w:jc w:val="left"/>
              <w:rPr>
                <w:rFonts w:ascii="宋体" w:hAnsi="宋体" w:cs="宋体" w:eastAsia="宋体" w:hint="default"/>
                <w:sz w:val="20"/>
                <w:szCs w:val="20"/>
              </w:rPr>
            </w:pPr>
            <w:r>
              <w:rPr>
                <w:rFonts w:ascii="宋体" w:hAnsi="宋体" w:cs="宋体" w:eastAsia="宋体" w:hint="default"/>
                <w:position w:val="-5"/>
                <w:sz w:val="20"/>
                <w:szCs w:val="20"/>
              </w:rPr>
              <w:pict>
                <v:group style="width:159.050pt;height:15.6pt;mso-position-horizontal-relative:char;mso-position-vertical-relative:line" coordorigin="0,0" coordsize="3181,312">
                  <v:group style="position:absolute;left:0;top:0;width:3181;height:312" coordorigin="0,0" coordsize="3181,312">
                    <v:shape style="position:absolute;left:0;top:0;width:3181;height:312" coordorigin="0,0" coordsize="3181,312" path="m0,312l3180,312,3180,0,0,0,0,312xe" filled="true" fillcolor="#ffffff" stroked="false">
                      <v:path arrowok="t"/>
                      <v:fill type="solid"/>
                    </v:shape>
                  </v:group>
                </v:group>
              </w:pict>
            </w:r>
            <w:r>
              <w:rPr>
                <w:rFonts w:ascii="宋体" w:hAnsi="宋体" w:cs="宋体" w:eastAsia="宋体" w:hint="default"/>
                <w:position w:val="-5"/>
                <w:sz w:val="20"/>
                <w:szCs w:val="20"/>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51"/>
        <w:ind w:left="132" w:right="1032" w:firstLine="360"/>
        <w:jc w:val="left"/>
      </w:pPr>
      <w:r>
        <w:rPr/>
        <w:pict>
          <v:shape style="position:absolute;margin-left:210.529999pt;margin-top:-51.37830pt;width:165.05pt;height:50.9pt;mso-position-horizontal-relative:page;mso-position-vertical-relative:paragraph;z-index:-74245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w:t>
                  </w:r>
                </w:p>
              </w:txbxContent>
            </v:textbox>
            <w10:wrap type="none"/>
          </v:shape>
        </w:pict>
      </w:r>
      <w:r>
        <w:rPr/>
        <w:t>根据财政部</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3"/>
        </w:rPr>
        <w:t> </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4"/>
        </w:rPr>
        <w:t> </w:t>
      </w:r>
      <w:r>
        <w:rPr>
          <w:spacing w:val="-6"/>
        </w:rPr>
        <w:t>日发布的《关于修订印发</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spacing w:val="-6"/>
        </w:rPr>
        <w:t>年度一般企业财务报表格式的通知》（财会</w:t>
      </w:r>
      <w:r>
        <w:rPr>
          <w:rFonts w:ascii="Times New Roman" w:hAnsi="Times New Roman" w:cs="Times New Roman" w:eastAsia="Times New Roman" w:hint="default"/>
          <w:spacing w:val="-6"/>
        </w:rPr>
        <w:t>[2018]15</w:t>
      </w:r>
      <w:r>
        <w:rPr>
          <w:rFonts w:ascii="Times New Roman" w:hAnsi="Times New Roman" w:cs="Times New Roman" w:eastAsia="Times New Roman" w:hint="default"/>
          <w:spacing w:val="4"/>
        </w:rPr>
        <w:t> </w:t>
      </w:r>
      <w:r>
        <w:rPr>
          <w:spacing w:val="-11"/>
        </w:rPr>
        <w:t>号）要求，</w:t>
      </w:r>
      <w:r>
        <w:rPr/>
        <w:t> 对尚未执行新金融准则和新收入准则的企业应按如下规定编制财务报表：</w:t>
      </w:r>
    </w:p>
    <w:p>
      <w:pPr>
        <w:pStyle w:val="BodyText"/>
        <w:spacing w:line="316" w:lineRule="auto" w:before="70"/>
        <w:ind w:left="132" w:right="1032" w:firstLine="360"/>
        <w:jc w:val="left"/>
      </w:pPr>
      <w:r>
        <w:rPr>
          <w:spacing w:val="-2"/>
        </w:rPr>
        <w:t>资产负债表中将“应收票据”和“应收账款”归并至新增的“应收票据及应收账款”项目；将“应收股利”和“应收利</w:t>
      </w:r>
      <w:r>
        <w:rPr/>
        <w:t> </w:t>
      </w:r>
      <w:r>
        <w:rPr>
          <w:spacing w:val="-4"/>
        </w:rPr>
        <w:t>息”归并至“其他应收款”项目；将“固定资产清理”归并至“固定资产”项目；将“工程物资”归并至“在建工程”项目；</w:t>
      </w:r>
      <w:r>
        <w:rPr>
          <w:spacing w:val="-50"/>
        </w:rPr>
        <w:t> </w:t>
      </w:r>
      <w:r>
        <w:rPr>
          <w:spacing w:val="-50"/>
        </w:rPr>
      </w:r>
      <w:r>
        <w:rPr>
          <w:spacing w:val="-2"/>
        </w:rPr>
        <w:t>将“应付票据”和“应付账款”归并至新增的“应付票据及应付账款”项目；将“应付股利”和“应付利息”归并至“其他</w:t>
      </w:r>
      <w:r>
        <w:rPr>
          <w:spacing w:val="-70"/>
        </w:rPr>
        <w:t> </w:t>
      </w:r>
      <w:r>
        <w:rPr>
          <w:spacing w:val="-70"/>
        </w:rPr>
      </w:r>
      <w:r>
        <w:rPr/>
        <w:t>应付款”项目；将“专项应付款”归并至“长期应付款”项目。</w:t>
      </w:r>
    </w:p>
    <w:p>
      <w:pPr>
        <w:pStyle w:val="BodyText"/>
        <w:spacing w:line="240" w:lineRule="auto" w:before="59"/>
        <w:ind w:left="493" w:right="0"/>
        <w:jc w:val="left"/>
      </w:pPr>
      <w:r>
        <w:rPr/>
        <w:t>利润表中从“管理费用”项目中分拆出“研发费用”项目，在财务费用项目下分拆“利息费用”和“利息收入”明细项</w:t>
      </w:r>
    </w:p>
    <w:p>
      <w:pPr>
        <w:pStyle w:val="BodyText"/>
        <w:spacing w:line="240" w:lineRule="auto" w:before="76"/>
        <w:ind w:left="132" w:right="1032"/>
        <w:jc w:val="left"/>
      </w:pPr>
      <w:r>
        <w:rPr/>
        <w:t>目。</w:t>
      </w:r>
    </w:p>
    <w:p>
      <w:pPr>
        <w:pStyle w:val="BodyText"/>
        <w:spacing w:line="240" w:lineRule="auto" w:before="117"/>
        <w:ind w:left="493" w:right="0"/>
        <w:jc w:val="left"/>
      </w:pPr>
      <w:r>
        <w:rPr/>
        <w:t>本公司根据财会</w:t>
      </w:r>
      <w:r>
        <w:rPr>
          <w:rFonts w:ascii="Times New Roman" w:hAnsi="Times New Roman" w:cs="Times New Roman" w:eastAsia="Times New Roman" w:hint="default"/>
        </w:rPr>
        <w:t>[2018]15</w:t>
      </w:r>
      <w:r>
        <w:rPr>
          <w:rFonts w:ascii="Times New Roman" w:hAnsi="Times New Roman" w:cs="Times New Roman" w:eastAsia="Times New Roman" w:hint="default"/>
          <w:spacing w:val="1"/>
        </w:rPr>
        <w:t> </w:t>
      </w:r>
      <w:r>
        <w:rPr/>
        <w:t>号规定的财务报表格式编制</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spacing w:val="-3"/>
        </w:rPr>
        <w:t>年度财务报表，并采用追溯调整法变更了相关财务报表列报。</w:t>
      </w:r>
    </w:p>
    <w:p>
      <w:pPr>
        <w:pStyle w:val="BodyText"/>
        <w:spacing w:line="240" w:lineRule="auto" w:before="63"/>
        <w:ind w:left="132" w:right="1032"/>
        <w:jc w:val="left"/>
      </w:pPr>
      <w:r>
        <w:rPr/>
        <w:t>相关列报调整影响如下：</w:t>
      </w:r>
    </w:p>
    <w:p>
      <w:pPr>
        <w:pStyle w:val="BodyText"/>
        <w:spacing w:line="240" w:lineRule="auto" w:before="115"/>
        <w:ind w:left="493" w:right="1032"/>
        <w:jc w:val="left"/>
      </w:pPr>
      <w:r>
        <w:rPr>
          <w:rFonts w:ascii="Times New Roman" w:hAnsi="Times New Roman" w:cs="Times New Roman" w:eastAsia="Times New Roman" w:hint="default"/>
        </w:rPr>
        <w:t>2017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日受影响的合并资产负债表和母公司资产负债表</w:t>
      </w:r>
    </w:p>
    <w:p>
      <w:pPr>
        <w:spacing w:line="240" w:lineRule="auto" w:before="1"/>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333"/>
        <w:gridCol w:w="1961"/>
        <w:gridCol w:w="1856"/>
        <w:gridCol w:w="1685"/>
        <w:gridCol w:w="1824"/>
      </w:tblGrid>
      <w:tr>
        <w:trPr>
          <w:trHeight w:val="423" w:hRule="exact"/>
        </w:trPr>
        <w:tc>
          <w:tcPr>
            <w:tcW w:w="233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5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52" w:right="0"/>
              <w:jc w:val="left"/>
              <w:rPr>
                <w:rFonts w:ascii="宋体" w:hAnsi="宋体" w:cs="宋体" w:eastAsia="宋体" w:hint="default"/>
                <w:sz w:val="18"/>
                <w:szCs w:val="18"/>
              </w:rPr>
            </w:pPr>
            <w:r>
              <w:rPr>
                <w:rFonts w:ascii="宋体" w:hAnsi="宋体" w:cs="宋体" w:eastAsia="宋体" w:hint="default"/>
                <w:sz w:val="18"/>
                <w:szCs w:val="18"/>
              </w:rPr>
              <w:t>合并资产负债表</w:t>
            </w:r>
          </w:p>
        </w:tc>
        <w:tc>
          <w:tcPr>
            <w:tcW w:w="3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212" w:right="0"/>
              <w:jc w:val="left"/>
              <w:rPr>
                <w:rFonts w:ascii="宋体" w:hAnsi="宋体" w:cs="宋体" w:eastAsia="宋体" w:hint="default"/>
                <w:sz w:val="18"/>
                <w:szCs w:val="18"/>
              </w:rPr>
            </w:pPr>
            <w:r>
              <w:rPr>
                <w:rFonts w:ascii="宋体" w:hAnsi="宋体" w:cs="宋体" w:eastAsia="宋体" w:hint="default"/>
                <w:sz w:val="18"/>
                <w:szCs w:val="18"/>
              </w:rPr>
              <w:t>母公司资产负债表</w:t>
            </w:r>
          </w:p>
        </w:tc>
      </w:tr>
      <w:tr>
        <w:trPr>
          <w:trHeight w:val="422" w:hRule="exact"/>
        </w:trPr>
        <w:tc>
          <w:tcPr>
            <w:tcW w:w="2333" w:type="dxa"/>
            <w:vMerge/>
            <w:tcBorders>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8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48"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1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20"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1,291,677,503.25</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1,291,677,503.25</w:t>
            </w: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5"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961"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pacing w:val="-1"/>
                <w:sz w:val="18"/>
              </w:rPr>
              <w:t>1,291,677,503.25</w:t>
            </w:r>
            <w:r>
              <w:rPr>
                <w:rFonts w:ascii="Times New Roman"/>
                <w:sz w:val="18"/>
              </w:rPr>
            </w:r>
          </w:p>
        </w:tc>
        <w:tc>
          <w:tcPr>
            <w:tcW w:w="1685"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1,291,677,503.25</w:t>
            </w:r>
          </w:p>
        </w:tc>
      </w:tr>
      <w:tr>
        <w:trPr>
          <w:trHeight w:val="422"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20,000,000.00</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539,854,990.24</w:t>
            </w:r>
            <w:r>
              <w:rPr>
                <w:rFonts w:ascii="Times New Roman"/>
                <w:sz w:val="18"/>
              </w:rPr>
            </w:r>
          </w:p>
        </w:tc>
        <w:tc>
          <w:tcPr>
            <w:tcW w:w="185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534,713,176.60</w:t>
            </w: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5"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961"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559,854,990.24</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554,713,176.60</w:t>
            </w:r>
          </w:p>
        </w:tc>
      </w:tr>
      <w:tr>
        <w:trPr>
          <w:trHeight w:val="422"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122,564.10</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w w:val="95"/>
                <w:sz w:val="18"/>
              </w:rPr>
              <w:t>122,564.10</w:t>
            </w: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423"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5,273,249.95</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5,395,814.05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2"/>
                <w:sz w:val="18"/>
              </w:rPr>
              <w:t>5,018,111.35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5,140,675.45</w:t>
            </w:r>
          </w:p>
        </w:tc>
      </w:tr>
    </w:tbl>
    <w:p>
      <w:pPr>
        <w:pStyle w:val="BodyText"/>
        <w:spacing w:line="240" w:lineRule="auto" w:before="51"/>
        <w:ind w:left="493" w:right="1032"/>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年度受影响的合并利润表和母公司利润表</w:t>
      </w:r>
    </w:p>
    <w:p>
      <w:pPr>
        <w:spacing w:line="240" w:lineRule="auto" w:before="12"/>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2331"/>
        <w:gridCol w:w="1666"/>
        <w:gridCol w:w="2009"/>
        <w:gridCol w:w="1829"/>
        <w:gridCol w:w="1824"/>
      </w:tblGrid>
      <w:tr>
        <w:trPr>
          <w:trHeight w:val="422" w:hRule="exact"/>
        </w:trPr>
        <w:tc>
          <w:tcPr>
            <w:tcW w:w="233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5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563" w:right="0"/>
              <w:jc w:val="left"/>
              <w:rPr>
                <w:rFonts w:ascii="宋体" w:hAnsi="宋体" w:cs="宋体" w:eastAsia="宋体" w:hint="default"/>
                <w:sz w:val="18"/>
                <w:szCs w:val="18"/>
              </w:rPr>
            </w:pPr>
            <w:r>
              <w:rPr>
                <w:rFonts w:ascii="宋体" w:hAnsi="宋体" w:cs="宋体" w:eastAsia="宋体" w:hint="default"/>
                <w:sz w:val="18"/>
                <w:szCs w:val="18"/>
              </w:rPr>
              <w:t>合并利润表</w:t>
            </w:r>
          </w:p>
        </w:tc>
        <w:tc>
          <w:tcPr>
            <w:tcW w:w="36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62" w:right="0"/>
              <w:jc w:val="left"/>
              <w:rPr>
                <w:rFonts w:ascii="宋体" w:hAnsi="宋体" w:cs="宋体" w:eastAsia="宋体" w:hint="default"/>
                <w:sz w:val="18"/>
                <w:szCs w:val="18"/>
              </w:rPr>
            </w:pPr>
            <w:r>
              <w:rPr>
                <w:rFonts w:ascii="宋体" w:hAnsi="宋体" w:cs="宋体" w:eastAsia="宋体" w:hint="default"/>
                <w:sz w:val="18"/>
                <w:szCs w:val="18"/>
              </w:rPr>
              <w:t>母公司利润表</w:t>
            </w:r>
          </w:p>
        </w:tc>
      </w:tr>
      <w:tr>
        <w:trPr>
          <w:trHeight w:val="422" w:hRule="exact"/>
        </w:trPr>
        <w:tc>
          <w:tcPr>
            <w:tcW w:w="2331" w:type="dxa"/>
            <w:vMerge/>
            <w:tcBorders>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37"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1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2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1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20"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261,826,151.01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173,795,414.88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255,151,137.07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167,670,580.67</w:t>
            </w:r>
          </w:p>
        </w:tc>
      </w:tr>
      <w:tr>
        <w:trPr>
          <w:trHeight w:val="422"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6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88,030,736.13</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pacing w:val="-1"/>
                <w:sz w:val="18"/>
              </w:rPr>
              <w:t>87,480,556.40</w:t>
            </w:r>
          </w:p>
        </w:tc>
      </w:tr>
      <w:tr>
        <w:trPr>
          <w:trHeight w:val="422"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pacing w:val="-1"/>
                <w:sz w:val="18"/>
              </w:rPr>
              <w:t>1,131,725.27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169,736.91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1,091,744.37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pacing w:val="-1"/>
                <w:sz w:val="18"/>
              </w:rPr>
              <w:t>129,756.01</w:t>
            </w:r>
          </w:p>
        </w:tc>
      </w:tr>
      <w:tr>
        <w:trPr>
          <w:trHeight w:val="422"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10,720,600.00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11,682,588.36</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10,498,200.00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11,460,188.36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1000" w:right="0"/>
        </w:sectPr>
      </w:pPr>
    </w:p>
    <w:p>
      <w:pPr>
        <w:spacing w:line="240" w:lineRule="auto" w:before="7"/>
        <w:rPr>
          <w:rFonts w:ascii="宋体" w:hAnsi="宋体" w:cs="宋体" w:eastAsia="宋体" w:hint="default"/>
          <w:sz w:val="21"/>
          <w:szCs w:val="21"/>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本公司按照国家规定提取的安全生产费，计入相关产品的成本或当期损益，同时记入“专项储备”科目。使用提取的安</w:t>
      </w:r>
      <w:r>
        <w:rPr/>
        <w:t> </w:t>
      </w:r>
      <w:r>
        <w:rPr>
          <w:spacing w:val="-2"/>
        </w:rPr>
        <w:t>全生产费时，属于费用性支出的，直接冲减专项储备。形成固定资产的，通过“在建工程”科目归集所发生的支出，待安全</w:t>
      </w:r>
      <w:r>
        <w:rPr>
          <w:spacing w:val="-70"/>
        </w:rPr>
        <w:t> </w:t>
      </w:r>
      <w:r>
        <w:rPr>
          <w:spacing w:val="-70"/>
        </w:rPr>
      </w:r>
      <w:r>
        <w:rPr>
          <w:spacing w:val="-2"/>
        </w:rPr>
        <w:t>项目完工达到预定可使用状态时确认为固定资产；同时，按照形成固定资产的成本冲减专项储备，并确认相同金额的累计折</w:t>
      </w:r>
      <w:r>
        <w:rPr>
          <w:spacing w:val="-65"/>
        </w:rPr>
        <w:t> </w:t>
      </w:r>
      <w:r>
        <w:rPr>
          <w:spacing w:val="-65"/>
        </w:rPr>
      </w:r>
      <w:r>
        <w:rPr/>
        <w:t>旧。该固定资产在以后期间不再计提折旧。</w:t>
      </w:r>
    </w:p>
    <w:p>
      <w:pPr>
        <w:spacing w:line="240" w:lineRule="auto" w:before="12"/>
        <w:rPr>
          <w:rFonts w:ascii="宋体" w:hAnsi="宋体" w:cs="宋体" w:eastAsia="宋体" w:hint="default"/>
          <w:sz w:val="20"/>
          <w:szCs w:val="20"/>
        </w:rPr>
      </w:pPr>
    </w:p>
    <w:p>
      <w:pPr>
        <w:pStyle w:val="Heading2"/>
        <w:spacing w:line="240" w:lineRule="auto"/>
        <w:ind w:right="977"/>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77"/>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销售货物、应税服务、销售无形资产或 者不动产</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地方教育附加费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按照房产原值的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为纳税基准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w:t>
            </w:r>
          </w:p>
        </w:tc>
      </w:tr>
    </w:tbl>
    <w:p>
      <w:pPr>
        <w:pStyle w:val="BodyText"/>
        <w:spacing w:line="240" w:lineRule="auto" w:before="51"/>
        <w:ind w:right="977"/>
        <w:jc w:val="left"/>
      </w:pPr>
      <w:r>
        <w:rPr/>
        <w:t>存在不同企业所得税税率纳税主体的，披露情况说明</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广西诚本规划设计咨询有限公司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广西润联信息技术有限公司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广州卓联科技有限公司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4" w:firstLine="360"/>
        <w:jc w:val="left"/>
        <w:rPr>
          <w:rFonts w:ascii="Times New Roman" w:hAnsi="Times New Roman" w:cs="Times New Roman" w:eastAsia="Times New Roman" w:hint="default"/>
        </w:rPr>
      </w:pPr>
      <w:r>
        <w:rPr>
          <w:spacing w:val="-2"/>
        </w:rPr>
        <w:t>经广西壮族自治区科学技术厅、广西壮族自治区财政厅、广西壮族自治区国家税务局、广西壮族自治区地方税务局以桂</w:t>
      </w:r>
      <w:r>
        <w:rPr/>
        <w:t> </w:t>
      </w:r>
      <w:r>
        <w:rPr>
          <w:spacing w:val="-1"/>
        </w:rPr>
        <w:t>科高字</w:t>
      </w:r>
      <w:r>
        <w:rPr>
          <w:rFonts w:ascii="Times New Roman" w:hAnsi="Times New Roman" w:cs="Times New Roman" w:eastAsia="Times New Roman" w:hint="default"/>
          <w:spacing w:val="-1"/>
        </w:rPr>
        <w:t>[2017]5</w:t>
      </w:r>
      <w:r>
        <w:rPr>
          <w:rFonts w:ascii="Times New Roman" w:hAnsi="Times New Roman" w:cs="Times New Roman" w:eastAsia="Times New Roman" w:hint="default"/>
        </w:rPr>
        <w:t> </w:t>
      </w:r>
      <w:r>
        <w:rPr>
          <w:spacing w:val="-6"/>
        </w:rPr>
        <w:t>号《关于公布广西壮族自治区</w:t>
      </w:r>
      <w:r>
        <w:rPr/>
        <w:t> </w:t>
      </w:r>
      <w:r>
        <w:rPr>
          <w:rFonts w:ascii="Times New Roman" w:hAnsi="Times New Roman" w:cs="Times New Roman" w:eastAsia="Times New Roman" w:hint="default"/>
        </w:rPr>
        <w:t>2016 </w:t>
      </w:r>
      <w:r>
        <w:rPr>
          <w:spacing w:val="-8"/>
        </w:rPr>
        <w:t>年通过认定高新技术企业名单的通知》，认定公司为高新技术企业，自</w:t>
      </w:r>
      <w:r>
        <w:rPr>
          <w:spacing w:val="-50"/>
        </w:rPr>
        <w:t> </w:t>
      </w:r>
      <w:r>
        <w:rPr>
          <w:rFonts w:ascii="Times New Roman" w:hAnsi="Times New Roman" w:cs="Times New Roman" w:eastAsia="Times New Roman" w:hint="default"/>
          <w:spacing w:val="-1"/>
        </w:rPr>
        <w:t>2016</w:t>
      </w:r>
    </w:p>
    <w:p>
      <w:pPr>
        <w:pStyle w:val="BodyText"/>
        <w:spacing w:line="248" w:lineRule="exact"/>
        <w:ind w:right="977"/>
        <w:jc w:val="left"/>
      </w:pPr>
      <w:r>
        <w:rPr/>
        <w:t>年</w:t>
      </w:r>
      <w:r>
        <w:rPr>
          <w:spacing w:val="-45"/>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日起至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日止，有效期三年，公司按高新技术企业优惠的</w:t>
      </w:r>
      <w:r>
        <w:rPr>
          <w:spacing w:val="-46"/>
        </w:rPr>
        <w:t> </w:t>
      </w:r>
      <w:r>
        <w:rPr>
          <w:rFonts w:ascii="Times New Roman" w:hAnsi="Times New Roman" w:cs="Times New Roman" w:eastAsia="Times New Roman" w:hint="default"/>
        </w:rPr>
        <w:t>15%</w:t>
      </w:r>
      <w:r>
        <w:rPr/>
        <w:t>税率计提及缴纳企业所得税。</w:t>
      </w:r>
    </w:p>
    <w:p>
      <w:pPr>
        <w:spacing w:line="240" w:lineRule="auto" w:before="13"/>
        <w:rPr>
          <w:rFonts w:ascii="宋体" w:hAnsi="宋体" w:cs="宋体" w:eastAsia="宋体" w:hint="default"/>
          <w:sz w:val="25"/>
          <w:szCs w:val="25"/>
        </w:rPr>
      </w:pPr>
    </w:p>
    <w:p>
      <w:pPr>
        <w:pStyle w:val="Heading3"/>
        <w:spacing w:line="240" w:lineRule="auto"/>
        <w:ind w:right="977"/>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77"/>
        <w:jc w:val="left"/>
      </w:pPr>
      <w:r>
        <w:rPr/>
        <w:t>无。</w:t>
      </w:r>
    </w:p>
    <w:p>
      <w:pPr>
        <w:spacing w:after="0" w:line="240" w:lineRule="auto"/>
        <w:jc w:val="left"/>
        <w:sectPr>
          <w:footerReference w:type="default" r:id="rId28"/>
          <w:pgSz w:w="11910" w:h="16840"/>
          <w:pgMar w:footer="1013" w:header="910" w:top="1100" w:bottom="1200" w:left="1020" w:right="0"/>
          <w:pgNumType w:start="120"/>
        </w:sectPr>
      </w:pPr>
    </w:p>
    <w:p>
      <w:pPr>
        <w:spacing w:line="240" w:lineRule="auto" w:before="7"/>
        <w:rPr>
          <w:rFonts w:ascii="宋体" w:hAnsi="宋体" w:cs="宋体" w:eastAsia="宋体" w:hint="default"/>
          <w:sz w:val="20"/>
          <w:szCs w:val="20"/>
        </w:rPr>
      </w:pPr>
    </w:p>
    <w:p>
      <w:pPr>
        <w:pStyle w:val="Heading2"/>
        <w:spacing w:line="240" w:lineRule="auto" w:before="26"/>
        <w:ind w:right="977"/>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77"/>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4,664.03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4,546.46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1,197,470,075.67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160,891,006.74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176,645,122.51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72,009,077.12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1,374,119,862.21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232,904,630.32</w:t>
            </w:r>
          </w:p>
        </w:tc>
      </w:tr>
    </w:tbl>
    <w:p>
      <w:pPr>
        <w:pStyle w:val="BodyText"/>
        <w:spacing w:line="240" w:lineRule="auto" w:before="51"/>
        <w:ind w:right="977"/>
        <w:jc w:val="left"/>
      </w:pPr>
      <w:r>
        <w:rPr/>
        <w:t>其他说明</w:t>
      </w:r>
    </w:p>
    <w:p>
      <w:pPr>
        <w:spacing w:line="240" w:lineRule="auto" w:before="3"/>
        <w:rPr>
          <w:rFonts w:ascii="宋体" w:hAnsi="宋体" w:cs="宋体" w:eastAsia="宋体" w:hint="default"/>
          <w:sz w:val="15"/>
          <w:szCs w:val="15"/>
        </w:rPr>
      </w:pPr>
    </w:p>
    <w:p>
      <w:pPr>
        <w:pStyle w:val="BodyText"/>
        <w:spacing w:line="314" w:lineRule="auto"/>
        <w:ind w:left="473" w:right="977"/>
        <w:jc w:val="left"/>
        <w:rPr>
          <w:rFonts w:ascii="宋体" w:hAnsi="宋体" w:cs="宋体" w:eastAsia="宋体" w:hint="default"/>
        </w:rPr>
      </w:pPr>
      <w:r>
        <w:rPr>
          <w:rFonts w:ascii="宋体" w:hAnsi="宋体" w:cs="宋体" w:eastAsia="宋体" w:hint="default"/>
          <w:spacing w:val="-2"/>
        </w:rPr>
        <w:t>1.</w:t>
      </w:r>
      <w:r>
        <w:rPr>
          <w:spacing w:val="-2"/>
        </w:rPr>
        <w:t>其他货币资金系本公司存入的银行保函保证金及承兑汇票保证金。除此之外，期末货币资金中无其他因抵押、质押或</w:t>
      </w:r>
      <w:r>
        <w:rPr>
          <w:spacing w:val="-69"/>
        </w:rPr>
        <w:t> </w:t>
      </w:r>
      <w:r>
        <w:rPr>
          <w:spacing w:val="-69"/>
        </w:rPr>
      </w:r>
      <w:r>
        <w:rPr/>
        <w:t>冻结等对使用有限制、有潜在回收风险的款项；</w:t>
      </w:r>
      <w:r>
        <w:rPr>
          <w:rFonts w:ascii="宋体" w:hAnsi="宋体" w:cs="宋体" w:eastAsia="宋体" w:hint="default"/>
        </w:rPr>
        <w:t> </w:t>
      </w:r>
    </w:p>
    <w:p>
      <w:pPr>
        <w:pStyle w:val="BodyText"/>
        <w:spacing w:line="240" w:lineRule="auto" w:before="140"/>
        <w:ind w:left="473" w:right="977"/>
        <w:jc w:val="left"/>
        <w:rPr>
          <w:rFonts w:ascii="宋体" w:hAnsi="宋体" w:cs="宋体" w:eastAsia="宋体" w:hint="default"/>
        </w:rPr>
      </w:pPr>
      <w:r>
        <w:rPr>
          <w:rFonts w:ascii="宋体" w:hAnsi="宋体" w:cs="宋体" w:eastAsia="宋体" w:hint="default"/>
        </w:rPr>
        <w:t>2.</w:t>
      </w:r>
      <w:r>
        <w:rPr/>
        <w:t>期末货币资金较期初增加</w:t>
      </w:r>
      <w:r>
        <w:rPr>
          <w:rFonts w:ascii="宋体" w:hAnsi="宋体" w:cs="宋体" w:eastAsia="宋体" w:hint="default"/>
        </w:rPr>
        <w:t>489.99%</w:t>
      </w:r>
      <w:r>
        <w:rPr/>
        <w:t>，主要系本期首次公开发行股票募集资金到位所致。</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4</w:t>
      </w:r>
      <w:r>
        <w:rPr/>
        <w:t>、应收票据及应收账款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3,665,356.99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1,468,850,517.11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1,291,677,503.25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1,472,515,874.10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1,291,677,503.25</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ind w:right="977"/>
        <w:jc w:val="left"/>
        <w:rPr>
          <w:b w:val="0"/>
          <w:bCs w:val="0"/>
        </w:rPr>
      </w:pPr>
      <w:r>
        <w:rPr>
          <w:rFonts w:ascii="Times New Roman" w:hAnsi="Times New Roman" w:cs="Times New Roman" w:eastAsia="Times New Roman" w:hint="default"/>
        </w:rPr>
        <w:t>1)</w:t>
      </w:r>
      <w:r>
        <w:rPr/>
        <w:t>应收票据分类列示</w:t>
      </w:r>
      <w:r>
        <w:rPr>
          <w:b w:val="0"/>
          <w:bCs w:val="0"/>
        </w:rPr>
      </w:r>
    </w:p>
    <w:p>
      <w:pPr>
        <w:pStyle w:val="BodyText"/>
        <w:spacing w:line="240" w:lineRule="auto" w:before="103"/>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3,665,356.99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3,665,356.99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40" w:lineRule="auto" w:before="51"/>
        <w:ind w:right="977"/>
        <w:jc w:val="left"/>
        <w:rPr>
          <w:b w:val="0"/>
          <w:bCs w:val="0"/>
        </w:rPr>
      </w:pPr>
      <w:r>
        <w:rPr>
          <w:rFonts w:ascii="Times New Roman" w:hAnsi="Times New Roman" w:cs="Times New Roman" w:eastAsia="Times New Roman" w:hint="default"/>
        </w:rPr>
        <w:t>2)</w:t>
      </w:r>
      <w:r>
        <w:rPr/>
        <w:t>期末公司已质押的应收票据</w:t>
      </w:r>
      <w:r>
        <w:rPr>
          <w:b w:val="0"/>
          <w:bCs w:val="0"/>
        </w:rPr>
      </w:r>
    </w:p>
    <w:p>
      <w:pPr>
        <w:spacing w:after="0" w:line="240" w:lineRule="auto"/>
        <w:jc w:val="left"/>
        <w:sectPr>
          <w:headerReference w:type="default" r:id="rId29"/>
          <w:pgSz w:w="11910" w:h="16840"/>
          <w:pgMar w:header="910" w:footer="1013" w:top="1100" w:bottom="1200" w:left="1020" w:right="0"/>
        </w:sectPr>
      </w:pPr>
    </w:p>
    <w:p>
      <w:pPr>
        <w:spacing w:line="240" w:lineRule="auto" w:before="8"/>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10" w:footer="1013" w:top="1100" w:bottom="1200" w:left="600" w:right="0"/>
        </w:sectPr>
      </w:pPr>
    </w:p>
    <w:p>
      <w:pPr>
        <w:pStyle w:val="BodyText"/>
        <w:spacing w:line="240" w:lineRule="auto" w:before="44"/>
        <w:ind w:left="532" w:right="-17"/>
        <w:jc w:val="left"/>
      </w:pPr>
      <w:r>
        <w:rPr/>
        <w:t>无。</w:t>
      </w:r>
    </w:p>
    <w:p>
      <w:pPr>
        <w:pStyle w:val="Heading4"/>
        <w:spacing w:line="240" w:lineRule="auto" w:before="117"/>
        <w:ind w:left="532" w:right="-17"/>
        <w:jc w:val="left"/>
        <w:rPr>
          <w:b w:val="0"/>
          <w:bCs w:val="0"/>
        </w:rPr>
      </w:pP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1"/>
          <w:szCs w:val="21"/>
        </w:rPr>
      </w:pPr>
    </w:p>
    <w:p>
      <w:pPr>
        <w:pStyle w:val="BodyText"/>
        <w:spacing w:line="240" w:lineRule="auto"/>
        <w:ind w:left="532" w:right="0"/>
        <w:jc w:val="left"/>
      </w:pPr>
      <w:r>
        <w:rPr/>
        <w:t>单位：</w:t>
      </w:r>
      <w:r>
        <w:rPr>
          <w:spacing w:val="1"/>
        </w:rPr>
        <w:t> </w:t>
      </w:r>
      <w:r>
        <w:rPr/>
        <w:t>元</w:t>
      </w:r>
    </w:p>
    <w:p>
      <w:pPr>
        <w:spacing w:after="0" w:line="240" w:lineRule="auto"/>
        <w:jc w:val="left"/>
        <w:sectPr>
          <w:type w:val="continuous"/>
          <w:pgSz w:w="11910" w:h="16840"/>
          <w:pgMar w:top="1100" w:bottom="1200" w:left="600" w:right="0"/>
          <w:cols w:num="2" w:equalWidth="0">
            <w:col w:w="5564" w:space="3265"/>
            <w:col w:w="2481"/>
          </w:cols>
        </w:sectPr>
      </w:pPr>
    </w:p>
    <w:p>
      <w:pPr>
        <w:spacing w:line="240" w:lineRule="auto" w:before="2"/>
        <w:rPr>
          <w:rFonts w:ascii="宋体" w:hAnsi="宋体" w:cs="宋体" w:eastAsia="宋体" w:hint="default"/>
          <w:sz w:val="8"/>
          <w:szCs w:val="8"/>
        </w:rPr>
      </w:pPr>
    </w:p>
    <w:tbl>
      <w:tblPr>
        <w:tblW w:w="0" w:type="auto"/>
        <w:jc w:val="left"/>
        <w:tblInd w:w="527"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1,428,132.70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1,428,132.70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Heading4"/>
        <w:spacing w:line="338" w:lineRule="auto" w:before="51"/>
        <w:ind w:left="532" w:right="6629"/>
        <w:jc w:val="left"/>
        <w:rPr>
          <w:rFonts w:ascii="宋体" w:hAnsi="宋体" w:cs="宋体" w:eastAsia="宋体" w:hint="default"/>
          <w:b w:val="0"/>
          <w:bCs w:val="0"/>
        </w:rPr>
      </w:pPr>
      <w:r>
        <w:rPr>
          <w:rFonts w:ascii="Times New Roman" w:hAnsi="Times New Roman" w:cs="Times New Roman" w:eastAsia="Times New Roman" w:hint="default"/>
        </w:rPr>
        <w:t>4)</w:t>
      </w:r>
      <w:r>
        <w:rPr/>
        <w:t>期末公司因出票人未履约而将其转应收账款的票据</w:t>
      </w:r>
      <w:r>
        <w:rPr>
          <w:w w:val="99"/>
        </w:rPr>
        <w:t> </w:t>
      </w:r>
      <w:r>
        <w:rPr>
          <w:rFonts w:ascii="宋体" w:hAnsi="宋体" w:cs="宋体" w:eastAsia="宋体" w:hint="default"/>
          <w:b w:val="0"/>
          <w:bCs w:val="0"/>
        </w:rPr>
        <w:t>无。</w:t>
      </w:r>
    </w:p>
    <w:p>
      <w:pPr>
        <w:spacing w:line="240" w:lineRule="auto" w:before="5"/>
        <w:rPr>
          <w:rFonts w:ascii="宋体" w:hAnsi="宋体" w:cs="宋体" w:eastAsia="宋体" w:hint="default"/>
          <w:sz w:val="21"/>
          <w:szCs w:val="21"/>
        </w:rPr>
      </w:pPr>
    </w:p>
    <w:p>
      <w:pPr>
        <w:pStyle w:val="Heading3"/>
        <w:spacing w:line="240" w:lineRule="auto"/>
        <w:ind w:left="532" w:right="6629"/>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2"/>
        <w:rPr>
          <w:rFonts w:ascii="宋体" w:hAnsi="宋体" w:cs="宋体" w:eastAsia="宋体" w:hint="default"/>
          <w:b/>
          <w:bCs/>
          <w:sz w:val="23"/>
          <w:szCs w:val="23"/>
        </w:rPr>
      </w:pPr>
    </w:p>
    <w:p>
      <w:pPr>
        <w:pStyle w:val="Heading4"/>
        <w:spacing w:line="240" w:lineRule="auto"/>
        <w:ind w:left="532" w:right="6629"/>
        <w:jc w:val="left"/>
        <w:rPr>
          <w:b w:val="0"/>
          <w:bCs w:val="0"/>
        </w:rPr>
      </w:pPr>
      <w:r>
        <w:rPr>
          <w:rFonts w:ascii="Times New Roman" w:hAnsi="Times New Roman" w:cs="Times New Roman" w:eastAsia="Times New Roman" w:hint="default"/>
        </w:rPr>
        <w:t>1)</w:t>
      </w:r>
      <w:r>
        <w:rPr/>
        <w:t>应收账款分类披露</w:t>
      </w:r>
      <w:r>
        <w:rPr>
          <w:b w:val="0"/>
          <w:bCs w:val="0"/>
        </w:rPr>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421"/>
        <w:gridCol w:w="1133"/>
        <w:gridCol w:w="709"/>
        <w:gridCol w:w="1135"/>
        <w:gridCol w:w="566"/>
        <w:gridCol w:w="1136"/>
        <w:gridCol w:w="991"/>
        <w:gridCol w:w="629"/>
        <w:gridCol w:w="860"/>
        <w:gridCol w:w="986"/>
        <w:gridCol w:w="987"/>
      </w:tblGrid>
      <w:tr>
        <w:trPr>
          <w:trHeight w:val="396" w:hRule="exact"/>
        </w:trPr>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67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5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2" w:hRule="exact"/>
        </w:trPr>
        <w:tc>
          <w:tcPr>
            <w:tcW w:w="1421" w:type="dxa"/>
            <w:vMerge/>
            <w:tcBorders>
              <w:left w:val="single" w:sz="4" w:space="0" w:color="000000"/>
              <w:right w:val="single" w:sz="4" w:space="0" w:color="000000"/>
            </w:tcBorders>
            <w:shd w:val="clear" w:color="auto" w:fill="D2D2D2"/>
          </w:tcPr>
          <w:p>
            <w:pPr/>
          </w:p>
        </w:tc>
        <w:tc>
          <w:tcPr>
            <w:tcW w:w="18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4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24" w:hRule="exact"/>
        </w:trPr>
        <w:tc>
          <w:tcPr>
            <w:tcW w:w="1421"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7"/>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87"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 w:right="122"/>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w w:val="75"/>
                <w:sz w:val="18"/>
              </w:rPr>
              <w:t>1,582,268,798.66</w:t>
            </w:r>
            <w:r>
              <w:rPr>
                <w:rFonts w:ascii="Arial Narrow"/>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1" w:right="0"/>
              <w:jc w:val="left"/>
              <w:rPr>
                <w:rFonts w:ascii="Arial Narrow" w:hAnsi="Arial Narrow" w:cs="Arial Narrow" w:eastAsia="Arial Narrow" w:hint="default"/>
                <w:sz w:val="18"/>
                <w:szCs w:val="18"/>
              </w:rPr>
            </w:pPr>
            <w:r>
              <w:rPr>
                <w:rFonts w:ascii="Arial Narrow"/>
                <w:w w:val="80"/>
                <w:sz w:val="18"/>
              </w:rPr>
              <w:t>100.00%</w:t>
            </w:r>
            <w:r>
              <w:rPr>
                <w:rFonts w:ascii="Arial Narrow"/>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w w:val="75"/>
                <w:sz w:val="18"/>
              </w:rPr>
              <w:t>113,418,281.55</w:t>
            </w:r>
            <w:r>
              <w:rPr>
                <w:rFonts w:ascii="Arial Narrow"/>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w w:val="75"/>
                <w:sz w:val="18"/>
              </w:rPr>
              <w:t>7.17%</w:t>
            </w:r>
            <w:r>
              <w:rPr>
                <w:rFonts w:ascii="Arial Narrow"/>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5"/>
              <w:jc w:val="right"/>
              <w:rPr>
                <w:rFonts w:ascii="Arial Narrow" w:hAnsi="Arial Narrow" w:cs="Arial Narrow" w:eastAsia="Arial Narrow" w:hint="default"/>
                <w:sz w:val="18"/>
                <w:szCs w:val="18"/>
              </w:rPr>
            </w:pPr>
            <w:r>
              <w:rPr>
                <w:rFonts w:ascii="Arial Narrow"/>
                <w:w w:val="75"/>
                <w:sz w:val="18"/>
              </w:rPr>
              <w:t>1,468,850,517.11</w:t>
            </w:r>
            <w:r>
              <w:rPr>
                <w:rFonts w:ascii="Arial Narrow"/>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 w:right="0"/>
              <w:jc w:val="center"/>
              <w:rPr>
                <w:rFonts w:ascii="Arial Narrow" w:hAnsi="Arial Narrow" w:cs="Arial Narrow" w:eastAsia="Arial Narrow" w:hint="default"/>
                <w:sz w:val="18"/>
                <w:szCs w:val="18"/>
              </w:rPr>
            </w:pPr>
            <w:r>
              <w:rPr>
                <w:rFonts w:ascii="Arial Narrow"/>
                <w:w w:val="80"/>
                <w:sz w:val="18"/>
              </w:rPr>
              <w:t>1,376,053,880.26</w:t>
            </w:r>
            <w:r>
              <w:rPr>
                <w:rFonts w:ascii="Arial Narrow"/>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9" w:right="0"/>
              <w:jc w:val="left"/>
              <w:rPr>
                <w:rFonts w:ascii="Arial Narrow" w:hAnsi="Arial Narrow" w:cs="Arial Narrow" w:eastAsia="Arial Narrow" w:hint="default"/>
                <w:sz w:val="18"/>
                <w:szCs w:val="18"/>
              </w:rPr>
            </w:pPr>
            <w:r>
              <w:rPr>
                <w:rFonts w:ascii="Arial Narrow"/>
                <w:w w:val="80"/>
                <w:sz w:val="18"/>
              </w:rPr>
              <w:t>100.00%</w:t>
            </w:r>
            <w:r>
              <w:rPr>
                <w:rFonts w:ascii="Arial Narrow"/>
                <w:sz w:val="18"/>
              </w:rPr>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0" w:right="0"/>
              <w:jc w:val="center"/>
              <w:rPr>
                <w:rFonts w:ascii="Arial Narrow" w:hAnsi="Arial Narrow" w:cs="Arial Narrow" w:eastAsia="Arial Narrow" w:hint="default"/>
                <w:sz w:val="18"/>
                <w:szCs w:val="18"/>
              </w:rPr>
            </w:pPr>
            <w:r>
              <w:rPr>
                <w:rFonts w:ascii="Arial Narrow"/>
                <w:w w:val="80"/>
                <w:sz w:val="18"/>
              </w:rPr>
              <w:t>84,376,377.01</w:t>
            </w:r>
            <w:r>
              <w:rPr>
                <w:rFonts w:ascii="Arial Narrow"/>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w w:val="75"/>
                <w:sz w:val="18"/>
              </w:rPr>
              <w:t>6.13%</w:t>
            </w:r>
            <w:r>
              <w:rPr>
                <w:rFonts w:ascii="Arial Narrow"/>
                <w:sz w:val="18"/>
              </w:rPr>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 w:right="0"/>
              <w:jc w:val="center"/>
              <w:rPr>
                <w:rFonts w:ascii="Arial Narrow" w:hAnsi="Arial Narrow" w:cs="Arial Narrow" w:eastAsia="Arial Narrow" w:hint="default"/>
                <w:sz w:val="18"/>
                <w:szCs w:val="18"/>
              </w:rPr>
            </w:pPr>
            <w:r>
              <w:rPr>
                <w:rFonts w:ascii="Arial Narrow"/>
                <w:w w:val="80"/>
                <w:sz w:val="18"/>
              </w:rPr>
              <w:t>1,291,677,503.25</w:t>
            </w:r>
            <w:r>
              <w:rPr>
                <w:rFonts w:ascii="Arial Narrow"/>
                <w:sz w:val="18"/>
              </w:rPr>
            </w:r>
          </w:p>
        </w:tc>
      </w:tr>
      <w:tr>
        <w:trPr>
          <w:trHeight w:val="1022"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w w:val="75"/>
                <w:sz w:val="18"/>
              </w:rPr>
              <w:t>1,582,268,798.66</w:t>
            </w:r>
            <w:r>
              <w:rPr>
                <w:rFonts w:ascii="Arial Narrow"/>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1" w:right="0"/>
              <w:jc w:val="left"/>
              <w:rPr>
                <w:rFonts w:ascii="Arial Narrow" w:hAnsi="Arial Narrow" w:cs="Arial Narrow" w:eastAsia="Arial Narrow" w:hint="default"/>
                <w:sz w:val="18"/>
                <w:szCs w:val="18"/>
              </w:rPr>
            </w:pPr>
            <w:r>
              <w:rPr>
                <w:rFonts w:ascii="Arial Narrow"/>
                <w:w w:val="80"/>
                <w:sz w:val="18"/>
              </w:rPr>
              <w:t>100.00%</w:t>
            </w:r>
            <w:r>
              <w:rPr>
                <w:rFonts w:ascii="Arial Narrow"/>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6"/>
              <w:jc w:val="right"/>
              <w:rPr>
                <w:rFonts w:ascii="Arial Narrow" w:hAnsi="Arial Narrow" w:cs="Arial Narrow" w:eastAsia="Arial Narrow" w:hint="default"/>
                <w:sz w:val="18"/>
                <w:szCs w:val="18"/>
              </w:rPr>
            </w:pPr>
            <w:r>
              <w:rPr>
                <w:rFonts w:ascii="Arial Narrow"/>
                <w:w w:val="75"/>
                <w:sz w:val="18"/>
              </w:rPr>
              <w:t>113,418,281.55</w:t>
            </w:r>
            <w:r>
              <w:rPr>
                <w:rFonts w:ascii="Arial Narrow"/>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w w:val="75"/>
                <w:sz w:val="18"/>
              </w:rPr>
              <w:t>7.17%</w:t>
            </w:r>
            <w:r>
              <w:rPr>
                <w:rFonts w:ascii="Arial Narrow"/>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7"/>
              <w:jc w:val="right"/>
              <w:rPr>
                <w:rFonts w:ascii="Arial Narrow" w:hAnsi="Arial Narrow" w:cs="Arial Narrow" w:eastAsia="Arial Narrow" w:hint="default"/>
                <w:sz w:val="18"/>
                <w:szCs w:val="18"/>
              </w:rPr>
            </w:pPr>
            <w:r>
              <w:rPr>
                <w:rFonts w:ascii="Arial Narrow"/>
                <w:w w:val="75"/>
                <w:sz w:val="18"/>
              </w:rPr>
              <w:t>1,468,850,517.11</w:t>
            </w:r>
            <w:r>
              <w:rPr>
                <w:rFonts w:ascii="Arial Narrow"/>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w w:val="80"/>
                <w:sz w:val="18"/>
              </w:rPr>
              <w:t>1,376,053,880.26</w:t>
            </w:r>
            <w:r>
              <w:rPr>
                <w:rFonts w:ascii="Arial Narrow"/>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9" w:right="0"/>
              <w:jc w:val="left"/>
              <w:rPr>
                <w:rFonts w:ascii="Arial Narrow" w:hAnsi="Arial Narrow" w:cs="Arial Narrow" w:eastAsia="Arial Narrow" w:hint="default"/>
                <w:sz w:val="18"/>
                <w:szCs w:val="18"/>
              </w:rPr>
            </w:pPr>
            <w:r>
              <w:rPr>
                <w:rFonts w:ascii="Arial Narrow"/>
                <w:w w:val="80"/>
                <w:sz w:val="18"/>
              </w:rPr>
              <w:t>100.00%</w:t>
            </w:r>
            <w:r>
              <w:rPr>
                <w:rFonts w:ascii="Arial Narrow"/>
                <w:sz w:val="18"/>
              </w:rPr>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8" w:right="0"/>
              <w:jc w:val="center"/>
              <w:rPr>
                <w:rFonts w:ascii="Arial Narrow" w:hAnsi="Arial Narrow" w:cs="Arial Narrow" w:eastAsia="Arial Narrow" w:hint="default"/>
                <w:sz w:val="18"/>
                <w:szCs w:val="18"/>
              </w:rPr>
            </w:pPr>
            <w:r>
              <w:rPr>
                <w:rFonts w:ascii="Arial Narrow"/>
                <w:w w:val="80"/>
                <w:sz w:val="18"/>
              </w:rPr>
              <w:t>84,376,377.01</w:t>
            </w:r>
            <w:r>
              <w:rPr>
                <w:rFonts w:ascii="Arial Narrow"/>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w w:val="75"/>
                <w:sz w:val="18"/>
              </w:rPr>
              <w:t>6.13%</w:t>
            </w:r>
            <w:r>
              <w:rPr>
                <w:rFonts w:ascii="Arial Narrow"/>
                <w:sz w:val="18"/>
              </w:rPr>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 w:right="0"/>
              <w:jc w:val="center"/>
              <w:rPr>
                <w:rFonts w:ascii="Arial Narrow" w:hAnsi="Arial Narrow" w:cs="Arial Narrow" w:eastAsia="Arial Narrow" w:hint="default"/>
                <w:sz w:val="18"/>
                <w:szCs w:val="18"/>
              </w:rPr>
            </w:pPr>
            <w:r>
              <w:rPr>
                <w:rFonts w:ascii="Arial Narrow"/>
                <w:w w:val="80"/>
                <w:sz w:val="18"/>
              </w:rPr>
              <w:t>1,291,677,503.25</w:t>
            </w:r>
            <w:r>
              <w:rPr>
                <w:rFonts w:ascii="Arial Narrow"/>
                <w:sz w:val="18"/>
              </w:rPr>
            </w:r>
          </w:p>
        </w:tc>
      </w:tr>
    </w:tbl>
    <w:p>
      <w:pPr>
        <w:spacing w:after="0" w:line="240" w:lineRule="auto"/>
        <w:jc w:val="center"/>
        <w:rPr>
          <w:rFonts w:ascii="Arial Narrow" w:hAnsi="Arial Narrow" w:cs="Arial Narrow" w:eastAsia="Arial Narrow" w:hint="default"/>
          <w:sz w:val="18"/>
          <w:szCs w:val="18"/>
        </w:rPr>
        <w:sectPr>
          <w:type w:val="continuous"/>
          <w:pgSz w:w="11910" w:h="16840"/>
          <w:pgMar w:top="1100" w:bottom="1200" w:left="600" w:right="0"/>
        </w:sectPr>
      </w:pPr>
    </w:p>
    <w:p>
      <w:pPr>
        <w:pStyle w:val="BodyText"/>
        <w:spacing w:line="240" w:lineRule="auto" w:before="51"/>
        <w:ind w:left="532" w:right="-19"/>
        <w:jc w:val="left"/>
      </w:pPr>
      <w:r>
        <w:rPr/>
        <w:t>期末单项金额重大并单项计提坏账准备的应收账款：</w:t>
      </w:r>
    </w:p>
    <w:p>
      <w:pPr>
        <w:pStyle w:val="BodyText"/>
        <w:spacing w:line="360" w:lineRule="auto" w:before="115"/>
        <w:ind w:left="532" w:right="161"/>
        <w:jc w:val="left"/>
      </w:pPr>
      <w:r>
        <w:rPr/>
        <w:t>□ 适用 √</w:t>
      </w:r>
      <w:r>
        <w:rPr>
          <w:spacing w:val="3"/>
        </w:rPr>
        <w:t> </w:t>
      </w:r>
      <w:r>
        <w:rPr/>
        <w:t>不适用</w:t>
      </w:r>
      <w:r>
        <w:rPr/>
        <w:t> 组合中，按账龄分析法计提坏账准备的应收账款：</w:t>
      </w:r>
    </w:p>
    <w:p>
      <w:pPr>
        <w:pStyle w:val="BodyText"/>
        <w:spacing w:line="240" w:lineRule="auto" w:before="27"/>
        <w:ind w:left="532" w:right="-19"/>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532" w:right="0"/>
        <w:jc w:val="left"/>
      </w:pPr>
      <w:r>
        <w:rPr/>
        <w:t>单位：</w:t>
      </w:r>
      <w:r>
        <w:rPr>
          <w:spacing w:val="1"/>
        </w:rPr>
        <w:t> </w:t>
      </w:r>
      <w:r>
        <w:rPr/>
        <w:t>元</w:t>
      </w:r>
    </w:p>
    <w:p>
      <w:pPr>
        <w:spacing w:after="0" w:line="240" w:lineRule="auto"/>
        <w:jc w:val="left"/>
        <w:sectPr>
          <w:type w:val="continuous"/>
          <w:pgSz w:w="11910" w:h="16840"/>
          <w:pgMar w:top="1100" w:bottom="1200" w:left="600" w:right="0"/>
          <w:cols w:num="2" w:equalWidth="0">
            <w:col w:w="4674" w:space="4155"/>
            <w:col w:w="2481"/>
          </w:cols>
        </w:sectPr>
      </w:pPr>
    </w:p>
    <w:p>
      <w:pPr>
        <w:spacing w:line="240" w:lineRule="auto" w:before="2"/>
        <w:rPr>
          <w:rFonts w:ascii="宋体" w:hAnsi="宋体" w:cs="宋体" w:eastAsia="宋体" w:hint="default"/>
          <w:sz w:val="8"/>
          <w:szCs w:val="8"/>
        </w:rPr>
      </w:pPr>
    </w:p>
    <w:tbl>
      <w:tblPr>
        <w:tblW w:w="0" w:type="auto"/>
        <w:jc w:val="left"/>
        <w:tblInd w:w="527"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1,349,025,090.29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67,451,254.51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153,848,185.36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15,384,818.54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61,246,154.54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18,373,846.36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9,755,035.03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4,877,517.52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5,317,444.07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4,253,955.25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3,076,889.37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3,076,889.37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1,582,268,798.66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113,418,281.55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7.17%</w:t>
            </w:r>
          </w:p>
        </w:tc>
      </w:tr>
    </w:tbl>
    <w:p>
      <w:pPr>
        <w:pStyle w:val="BodyText"/>
        <w:spacing w:line="240" w:lineRule="auto" w:before="51"/>
        <w:ind w:left="532" w:right="6629"/>
        <w:jc w:val="left"/>
      </w:pPr>
      <w:r>
        <w:rPr/>
        <w:t>确定该组合依据的说明：</w:t>
      </w:r>
    </w:p>
    <w:p>
      <w:pPr>
        <w:spacing w:after="0" w:line="240" w:lineRule="auto"/>
        <w:jc w:val="left"/>
        <w:sectPr>
          <w:type w:val="continuous"/>
          <w:pgSz w:w="11910" w:h="16840"/>
          <w:pgMar w:top="1100" w:bottom="1200" w:left="600" w:right="0"/>
        </w:sectPr>
      </w:pPr>
    </w:p>
    <w:p>
      <w:pPr>
        <w:spacing w:line="240" w:lineRule="auto" w:before="8"/>
        <w:rPr>
          <w:rFonts w:ascii="宋体" w:hAnsi="宋体" w:cs="宋体" w:eastAsia="宋体" w:hint="default"/>
          <w:sz w:val="22"/>
          <w:szCs w:val="22"/>
        </w:rPr>
      </w:pPr>
    </w:p>
    <w:p>
      <w:pPr>
        <w:pStyle w:val="BodyText"/>
        <w:spacing w:line="240" w:lineRule="auto" w:before="44"/>
        <w:ind w:left="132" w:right="1032"/>
        <w:jc w:val="left"/>
      </w:pPr>
      <w:r>
        <w:rPr/>
        <w:t>组合中，采用余额百分比法计提坏账准备的应收账款：</w:t>
      </w:r>
    </w:p>
    <w:p>
      <w:pPr>
        <w:pStyle w:val="BodyText"/>
        <w:spacing w:line="240" w:lineRule="auto" w:before="117"/>
        <w:ind w:left="132" w:right="1032"/>
        <w:jc w:val="left"/>
      </w:pPr>
      <w:r>
        <w:rPr/>
        <w:t>□ 适用 √</w:t>
      </w:r>
      <w:r>
        <w:rPr>
          <w:spacing w:val="3"/>
        </w:rPr>
        <w:t> </w:t>
      </w:r>
      <w:r>
        <w:rPr/>
        <w:t>不适用</w:t>
      </w:r>
    </w:p>
    <w:p>
      <w:pPr>
        <w:pStyle w:val="Heading4"/>
        <w:spacing w:line="240" w:lineRule="auto" w:before="115"/>
        <w:ind w:left="132" w:right="1032"/>
        <w:jc w:val="left"/>
        <w:rPr>
          <w:b w:val="0"/>
          <w:bCs w:val="0"/>
        </w:rPr>
      </w:pP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103"/>
        <w:ind w:left="132" w:right="1032"/>
        <w:jc w:val="left"/>
      </w:pPr>
      <w:r>
        <w:rPr/>
        <w:t>本期计提坏账准备金额</w:t>
      </w:r>
      <w:r>
        <w:rPr>
          <w:spacing w:val="-46"/>
        </w:rPr>
        <w:t> </w:t>
      </w:r>
      <w:r>
        <w:rPr>
          <w:rFonts w:ascii="Times New Roman" w:hAnsi="Times New Roman" w:cs="Times New Roman" w:eastAsia="Times New Roman" w:hint="default"/>
        </w:rPr>
        <w:t>29,041,904.54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Heading4"/>
        <w:spacing w:line="338" w:lineRule="auto" w:before="103"/>
        <w:ind w:left="132" w:right="8255"/>
        <w:jc w:val="left"/>
        <w:rPr>
          <w:rFonts w:ascii="宋体" w:hAnsi="宋体" w:cs="宋体" w:eastAsia="宋体" w:hint="default"/>
          <w:b w:val="0"/>
          <w:bCs w:val="0"/>
        </w:rPr>
      </w:pPr>
      <w:r>
        <w:rPr>
          <w:rFonts w:ascii="Times New Roman" w:hAnsi="Times New Roman" w:cs="Times New Roman" w:eastAsia="Times New Roman" w:hint="default"/>
        </w:rPr>
        <w:t>3)</w:t>
      </w:r>
      <w:r>
        <w:rPr/>
        <w:t>本期实际核销的应收账款情况</w:t>
      </w:r>
      <w:r>
        <w:rPr>
          <w:w w:val="99"/>
        </w:rPr>
        <w:t> </w:t>
      </w:r>
      <w:r>
        <w:rPr>
          <w:rFonts w:ascii="宋体" w:hAnsi="宋体" w:cs="宋体" w:eastAsia="宋体" w:hint="default"/>
          <w:b w:val="0"/>
          <w:bCs w:val="0"/>
        </w:rPr>
        <w:t>无。</w:t>
      </w:r>
    </w:p>
    <w:p>
      <w:pPr>
        <w:pStyle w:val="Heading4"/>
        <w:spacing w:line="240" w:lineRule="auto" w:before="43"/>
        <w:ind w:left="132" w:right="1032"/>
        <w:jc w:val="left"/>
        <w:rPr>
          <w:b w:val="0"/>
          <w:bCs w:val="0"/>
        </w:rPr>
      </w:pP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7"/>
          <w:szCs w:val="7"/>
        </w:rPr>
      </w:pPr>
    </w:p>
    <w:tbl>
      <w:tblPr>
        <w:tblW w:w="0" w:type="auto"/>
        <w:jc w:val="left"/>
        <w:tblInd w:w="116" w:type="dxa"/>
        <w:tblLayout w:type="fixed"/>
        <w:tblCellMar>
          <w:top w:w="0" w:type="dxa"/>
          <w:left w:w="0" w:type="dxa"/>
          <w:bottom w:w="0" w:type="dxa"/>
          <w:right w:w="0" w:type="dxa"/>
        </w:tblCellMar>
        <w:tblLook w:val="01E0"/>
      </w:tblPr>
      <w:tblGrid>
        <w:gridCol w:w="3680"/>
        <w:gridCol w:w="1784"/>
        <w:gridCol w:w="2230"/>
        <w:gridCol w:w="1966"/>
      </w:tblGrid>
      <w:tr>
        <w:trPr>
          <w:trHeight w:val="658" w:hRule="exact"/>
        </w:trPr>
        <w:tc>
          <w:tcPr>
            <w:tcW w:w="3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611" w:right="26" w:hanging="584"/>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616" w:right="522"/>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348" w:hRule="exact"/>
        </w:trPr>
        <w:tc>
          <w:tcPr>
            <w:tcW w:w="3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w:t>
            </w:r>
            <w:r>
              <w:rPr>
                <w:rFonts w:ascii="宋体" w:hAnsi="宋体" w:cs="宋体" w:eastAsia="宋体" w:hint="default"/>
                <w:sz w:val="18"/>
                <w:szCs w:val="18"/>
              </w:rPr>
              <w:t> </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338,910,703.76</w:t>
            </w:r>
            <w:r>
              <w:rPr>
                <w:rFonts w:ascii="宋体"/>
                <w:sz w:val="18"/>
              </w:rPr>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z w:val="18"/>
              </w:rPr>
              <w:t>21.42</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17,809,157.89</w:t>
            </w:r>
          </w:p>
        </w:tc>
      </w:tr>
      <w:tr>
        <w:trPr>
          <w:trHeight w:val="346" w:hRule="exact"/>
        </w:trPr>
        <w:tc>
          <w:tcPr>
            <w:tcW w:w="3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中国移动通信集团广西有限公司</w:t>
            </w:r>
            <w:r>
              <w:rPr>
                <w:rFonts w:ascii="宋体" w:hAnsi="宋体" w:cs="宋体" w:eastAsia="宋体" w:hint="default"/>
                <w:sz w:val="18"/>
                <w:szCs w:val="18"/>
              </w:rPr>
              <w:t> </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194,687,927.07</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12.30</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11,295,322.68</w:t>
            </w:r>
          </w:p>
        </w:tc>
      </w:tr>
      <w:tr>
        <w:trPr>
          <w:trHeight w:val="348" w:hRule="exact"/>
        </w:trPr>
        <w:tc>
          <w:tcPr>
            <w:tcW w:w="3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中国电信股份有限公司广西分公司</w:t>
            </w:r>
            <w:r>
              <w:rPr>
                <w:rFonts w:ascii="宋体" w:hAnsi="宋体" w:cs="宋体" w:eastAsia="宋体" w:hint="default"/>
                <w:sz w:val="18"/>
                <w:szCs w:val="18"/>
              </w:rPr>
              <w:t> </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100,038,744.65</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6.32</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7,944,095.78</w:t>
            </w:r>
          </w:p>
        </w:tc>
      </w:tr>
      <w:tr>
        <w:trPr>
          <w:trHeight w:val="348" w:hRule="exact"/>
        </w:trPr>
        <w:tc>
          <w:tcPr>
            <w:tcW w:w="3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中国移动通信集团贵州有限公司</w:t>
            </w:r>
            <w:r>
              <w:rPr>
                <w:rFonts w:ascii="宋体" w:hAnsi="宋体" w:cs="宋体" w:eastAsia="宋体" w:hint="default"/>
                <w:sz w:val="18"/>
                <w:szCs w:val="18"/>
              </w:rPr>
              <w:t> </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74,703,383.95</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4.72</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6,395,782.10</w:t>
            </w:r>
          </w:p>
        </w:tc>
      </w:tr>
      <w:tr>
        <w:trPr>
          <w:trHeight w:val="346" w:hRule="exact"/>
        </w:trPr>
        <w:tc>
          <w:tcPr>
            <w:tcW w:w="3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中国铁塔股份有限公司广东分公司</w:t>
            </w:r>
            <w:r>
              <w:rPr>
                <w:rFonts w:ascii="宋体" w:hAnsi="宋体" w:cs="宋体" w:eastAsia="宋体" w:hint="default"/>
                <w:sz w:val="18"/>
                <w:szCs w:val="18"/>
              </w:rPr>
              <w:t> </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63,376,800.25</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4.01</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4,279,273.43</w:t>
            </w:r>
          </w:p>
        </w:tc>
      </w:tr>
      <w:tr>
        <w:trPr>
          <w:trHeight w:val="348" w:hRule="exact"/>
        </w:trPr>
        <w:tc>
          <w:tcPr>
            <w:tcW w:w="3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771,717,559.68</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z w:val="18"/>
              </w:rPr>
              <w:t>48.77</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47,723,631.88</w:t>
            </w:r>
          </w:p>
        </w:tc>
      </w:tr>
    </w:tbl>
    <w:p>
      <w:pPr>
        <w:pStyle w:val="Heading4"/>
        <w:spacing w:line="338" w:lineRule="auto" w:before="51"/>
        <w:ind w:left="132" w:right="7532"/>
        <w:jc w:val="left"/>
        <w:rPr>
          <w:rFonts w:ascii="宋体" w:hAnsi="宋体" w:cs="宋体" w:eastAsia="宋体" w:hint="default"/>
          <w:b w:val="0"/>
          <w:bCs w:val="0"/>
        </w:rPr>
      </w:pPr>
      <w:r>
        <w:rPr>
          <w:rFonts w:ascii="Times New Roman" w:hAnsi="Times New Roman" w:cs="Times New Roman" w:eastAsia="Times New Roman" w:hint="default"/>
        </w:rPr>
        <w:t>5)</w:t>
      </w:r>
      <w:r>
        <w:rPr/>
        <w:t>因金融资产转移而终止确认的应收账款</w:t>
      </w:r>
      <w:r>
        <w:rPr>
          <w:w w:val="99"/>
        </w:rPr>
        <w:t> </w:t>
      </w:r>
      <w:r>
        <w:rPr>
          <w:rFonts w:ascii="宋体" w:hAnsi="宋体" w:cs="宋体" w:eastAsia="宋体" w:hint="default"/>
          <w:b w:val="0"/>
          <w:bCs w:val="0"/>
        </w:rPr>
        <w:t>无。</w:t>
      </w:r>
    </w:p>
    <w:p>
      <w:pPr>
        <w:pStyle w:val="Heading4"/>
        <w:spacing w:line="340" w:lineRule="auto" w:before="43"/>
        <w:ind w:left="132" w:right="6809"/>
        <w:jc w:val="left"/>
        <w:rPr>
          <w:rFonts w:ascii="宋体" w:hAnsi="宋体" w:cs="宋体" w:eastAsia="宋体" w:hint="default"/>
          <w:b w:val="0"/>
          <w:bCs w:val="0"/>
        </w:rPr>
      </w:pPr>
      <w:r>
        <w:rPr>
          <w:rFonts w:ascii="Times New Roman" w:hAnsi="Times New Roman" w:cs="Times New Roman" w:eastAsia="Times New Roman" w:hint="default"/>
        </w:rPr>
        <w:t>6)</w:t>
      </w:r>
      <w:r>
        <w:rPr/>
        <w:t>转移应收账款且继续涉入形成的资产、负债金额</w:t>
      </w:r>
      <w:r>
        <w:rPr>
          <w:w w:val="99"/>
        </w:rPr>
        <w:t> </w:t>
      </w:r>
      <w:r>
        <w:rPr>
          <w:rFonts w:ascii="宋体" w:hAnsi="宋体" w:cs="宋体" w:eastAsia="宋体" w:hint="default"/>
          <w:b w:val="0"/>
          <w:bCs w:val="0"/>
        </w:rPr>
        <w:t>无。</w:t>
      </w:r>
    </w:p>
    <w:p>
      <w:pPr>
        <w:spacing w:line="240" w:lineRule="auto" w:before="1"/>
        <w:rPr>
          <w:rFonts w:ascii="宋体" w:hAnsi="宋体" w:cs="宋体" w:eastAsia="宋体" w:hint="default"/>
          <w:sz w:val="21"/>
          <w:szCs w:val="21"/>
        </w:rPr>
      </w:pPr>
    </w:p>
    <w:p>
      <w:pPr>
        <w:pStyle w:val="Heading3"/>
        <w:spacing w:line="240" w:lineRule="auto"/>
        <w:ind w:left="132" w:right="1032"/>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2" w:right="1032"/>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1913"/>
        <w:gridCol w:w="1916"/>
        <w:gridCol w:w="1913"/>
        <w:gridCol w:w="1916"/>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14,722,932.27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95.64%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18,904,094.95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97.83%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512,022.11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3,860.00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0.02%</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414,743.86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2.15%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159,524.79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15,394,479.17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19,322,698.81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132" w:right="1032"/>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4590"/>
        <w:gridCol w:w="1868"/>
        <w:gridCol w:w="2401"/>
      </w:tblGrid>
      <w:tr>
        <w:trPr>
          <w:trHeight w:val="658" w:hRule="exact"/>
        </w:trPr>
        <w:tc>
          <w:tcPr>
            <w:tcW w:w="4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29" w:right="289" w:hanging="46"/>
              <w:jc w:val="left"/>
              <w:rPr>
                <w:rFonts w:ascii="宋体" w:hAnsi="宋体" w:cs="宋体" w:eastAsia="宋体" w:hint="default"/>
                <w:sz w:val="18"/>
                <w:szCs w:val="18"/>
              </w:rPr>
            </w:pPr>
            <w:r>
              <w:rPr>
                <w:rFonts w:ascii="宋体" w:hAnsi="宋体" w:cs="宋体" w:eastAsia="宋体" w:hint="default"/>
                <w:sz w:val="18"/>
                <w:szCs w:val="18"/>
              </w:rPr>
              <w:t>占预付账款期末余额</w:t>
            </w:r>
            <w:r>
              <w:rPr>
                <w:rFonts w:ascii="宋体" w:hAnsi="宋体" w:cs="宋体" w:eastAsia="宋体" w:hint="default"/>
                <w:sz w:val="18"/>
                <w:szCs w:val="18"/>
              </w:rPr>
              <w:t> </w:t>
            </w:r>
            <w:r>
              <w:rPr>
                <w:rFonts w:ascii="宋体" w:hAnsi="宋体" w:cs="宋体" w:eastAsia="宋体" w:hint="default"/>
                <w:sz w:val="18"/>
                <w:szCs w:val="18"/>
              </w:rPr>
              <w:t>合计数的比例（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r>
        <w:trPr>
          <w:trHeight w:val="348" w:hRule="exact"/>
        </w:trPr>
        <w:tc>
          <w:tcPr>
            <w:tcW w:w="4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中国石化销售有限公司广西南宁石油分公司</w:t>
            </w:r>
            <w:r>
              <w:rPr>
                <w:rFonts w:ascii="宋体" w:hAnsi="宋体" w:cs="宋体" w:eastAsia="宋体" w:hint="default"/>
                <w:sz w:val="18"/>
                <w:szCs w:val="18"/>
              </w:rPr>
              <w:t> </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2,105,061.73</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13.67</w:t>
            </w:r>
          </w:p>
        </w:tc>
      </w:tr>
      <w:tr>
        <w:trPr>
          <w:trHeight w:val="348" w:hRule="exact"/>
        </w:trPr>
        <w:tc>
          <w:tcPr>
            <w:tcW w:w="4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厦门缤鸿懿贸易有限公司</w:t>
            </w:r>
            <w:r>
              <w:rPr>
                <w:rFonts w:ascii="宋体" w:hAnsi="宋体" w:cs="宋体" w:eastAsia="宋体" w:hint="default"/>
                <w:sz w:val="18"/>
                <w:szCs w:val="18"/>
              </w:rPr>
              <w:t> </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1,179,000.00</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7.66</w:t>
            </w:r>
          </w:p>
        </w:tc>
      </w:tr>
    </w:tbl>
    <w:p>
      <w:pPr>
        <w:spacing w:after="0" w:line="240" w:lineRule="auto"/>
        <w:jc w:val="right"/>
        <w:rPr>
          <w:rFonts w:ascii="宋体" w:hAnsi="宋体" w:cs="宋体" w:eastAsia="宋体" w:hint="default"/>
          <w:sz w:val="18"/>
          <w:szCs w:val="18"/>
        </w:rPr>
        <w:sectPr>
          <w:pgSz w:w="11910" w:h="16840"/>
          <w:pgMar w:header="910" w:footer="1013" w:top="1100" w:bottom="1200" w:left="1000" w:right="0"/>
        </w:sectPr>
      </w:pPr>
    </w:p>
    <w:p>
      <w:pPr>
        <w:spacing w:line="240" w:lineRule="auto" w:before="2"/>
        <w:rPr>
          <w:rFonts w:ascii="宋体" w:hAnsi="宋体" w:cs="宋体" w:eastAsia="宋体" w:hint="default"/>
          <w:b/>
          <w:bCs/>
          <w:sz w:val="25"/>
          <w:szCs w:val="25"/>
        </w:rPr>
      </w:pPr>
    </w:p>
    <w:tbl>
      <w:tblPr>
        <w:tblW w:w="0" w:type="auto"/>
        <w:jc w:val="left"/>
        <w:tblInd w:w="525" w:type="dxa"/>
        <w:tblLayout w:type="fixed"/>
        <w:tblCellMar>
          <w:top w:w="0" w:type="dxa"/>
          <w:left w:w="0" w:type="dxa"/>
          <w:bottom w:w="0" w:type="dxa"/>
          <w:right w:w="0" w:type="dxa"/>
        </w:tblCellMar>
        <w:tblLook w:val="01E0"/>
      </w:tblPr>
      <w:tblGrid>
        <w:gridCol w:w="4590"/>
        <w:gridCol w:w="1868"/>
        <w:gridCol w:w="2401"/>
      </w:tblGrid>
      <w:tr>
        <w:trPr>
          <w:trHeight w:val="660" w:hRule="exact"/>
        </w:trPr>
        <w:tc>
          <w:tcPr>
            <w:tcW w:w="4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29" w:right="289" w:hanging="46"/>
              <w:jc w:val="left"/>
              <w:rPr>
                <w:rFonts w:ascii="宋体" w:hAnsi="宋体" w:cs="宋体" w:eastAsia="宋体" w:hint="default"/>
                <w:sz w:val="18"/>
                <w:szCs w:val="18"/>
              </w:rPr>
            </w:pPr>
            <w:r>
              <w:rPr>
                <w:rFonts w:ascii="宋体" w:hAnsi="宋体" w:cs="宋体" w:eastAsia="宋体" w:hint="default"/>
                <w:sz w:val="18"/>
                <w:szCs w:val="18"/>
              </w:rPr>
              <w:t>占预付账款期末余额</w:t>
            </w:r>
            <w:r>
              <w:rPr>
                <w:rFonts w:ascii="宋体" w:hAnsi="宋体" w:cs="宋体" w:eastAsia="宋体" w:hint="default"/>
                <w:sz w:val="18"/>
                <w:szCs w:val="18"/>
              </w:rPr>
              <w:t> </w:t>
            </w:r>
            <w:r>
              <w:rPr>
                <w:rFonts w:ascii="宋体" w:hAnsi="宋体" w:cs="宋体" w:eastAsia="宋体" w:hint="default"/>
                <w:sz w:val="18"/>
                <w:szCs w:val="18"/>
              </w:rPr>
              <w:t>合计数的比例（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r>
        <w:trPr>
          <w:trHeight w:val="346" w:hRule="exact"/>
        </w:trPr>
        <w:tc>
          <w:tcPr>
            <w:tcW w:w="4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中国石化销售有限公司安徽合肥石油分公司</w:t>
            </w:r>
            <w:r>
              <w:rPr>
                <w:rFonts w:ascii="宋体" w:hAnsi="宋体" w:cs="宋体" w:eastAsia="宋体" w:hint="default"/>
                <w:sz w:val="18"/>
                <w:szCs w:val="18"/>
              </w:rPr>
              <w:t> </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713,247.12</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4.63</w:t>
            </w:r>
            <w:r>
              <w:rPr>
                <w:rFonts w:ascii="宋体"/>
                <w:sz w:val="18"/>
              </w:rPr>
            </w:r>
          </w:p>
        </w:tc>
      </w:tr>
      <w:tr>
        <w:trPr>
          <w:trHeight w:val="348" w:hRule="exact"/>
        </w:trPr>
        <w:tc>
          <w:tcPr>
            <w:tcW w:w="4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中国石化销售有限公司广东江门石油分公司</w:t>
            </w:r>
            <w:r>
              <w:rPr>
                <w:rFonts w:ascii="宋体" w:hAnsi="宋体" w:cs="宋体" w:eastAsia="宋体" w:hint="default"/>
                <w:sz w:val="18"/>
                <w:szCs w:val="18"/>
              </w:rPr>
              <w:t> </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656,124.27</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4.26</w:t>
            </w:r>
          </w:p>
        </w:tc>
      </w:tr>
      <w:tr>
        <w:trPr>
          <w:trHeight w:val="346" w:hRule="exact"/>
        </w:trPr>
        <w:tc>
          <w:tcPr>
            <w:tcW w:w="4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中国石化销售有限公司北京石油分公司</w:t>
            </w:r>
            <w:r>
              <w:rPr>
                <w:rFonts w:ascii="宋体" w:hAnsi="宋体" w:cs="宋体" w:eastAsia="宋体" w:hint="default"/>
                <w:sz w:val="18"/>
                <w:szCs w:val="18"/>
              </w:rPr>
              <w:t> </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606,329.24</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3.94</w:t>
            </w:r>
          </w:p>
        </w:tc>
      </w:tr>
      <w:tr>
        <w:trPr>
          <w:trHeight w:val="348" w:hRule="exact"/>
        </w:trPr>
        <w:tc>
          <w:tcPr>
            <w:tcW w:w="4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5,259,762.36</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34.17</w:t>
            </w:r>
          </w:p>
        </w:tc>
      </w:tr>
    </w:tbl>
    <w:p>
      <w:pPr>
        <w:spacing w:line="240" w:lineRule="auto" w:before="3"/>
        <w:rPr>
          <w:rFonts w:ascii="宋体" w:hAnsi="宋体" w:cs="宋体" w:eastAsia="宋体" w:hint="default"/>
          <w:b/>
          <w:bCs/>
          <w:sz w:val="19"/>
          <w:szCs w:val="19"/>
        </w:rPr>
      </w:pPr>
    </w:p>
    <w:p>
      <w:pPr>
        <w:pStyle w:val="Heading3"/>
        <w:spacing w:line="240" w:lineRule="auto" w:before="36"/>
        <w:ind w:left="532" w:right="6629"/>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527"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100,404,456.02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106,701,861.52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100,404,456.02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106,701,861.52</w:t>
            </w:r>
          </w:p>
        </w:tc>
      </w:tr>
    </w:tbl>
    <w:p>
      <w:pPr>
        <w:spacing w:line="240" w:lineRule="auto" w:before="3"/>
        <w:rPr>
          <w:rFonts w:ascii="宋体" w:hAnsi="宋体" w:cs="宋体" w:eastAsia="宋体" w:hint="default"/>
          <w:sz w:val="19"/>
          <w:szCs w:val="19"/>
        </w:rPr>
      </w:pPr>
    </w:p>
    <w:p>
      <w:pPr>
        <w:pStyle w:val="Heading3"/>
        <w:spacing w:line="240" w:lineRule="auto" w:before="36"/>
        <w:ind w:left="532" w:right="6629"/>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2" w:right="6629"/>
        <w:jc w:val="left"/>
      </w:pPr>
      <w:r>
        <w:rPr/>
        <w:t>无。</w:t>
      </w:r>
    </w:p>
    <w:p>
      <w:pPr>
        <w:spacing w:line="240" w:lineRule="auto" w:before="11"/>
        <w:rPr>
          <w:rFonts w:ascii="宋体" w:hAnsi="宋体" w:cs="宋体" w:eastAsia="宋体" w:hint="default"/>
          <w:sz w:val="26"/>
          <w:szCs w:val="26"/>
        </w:rPr>
      </w:pPr>
    </w:p>
    <w:p>
      <w:pPr>
        <w:pStyle w:val="Heading3"/>
        <w:spacing w:line="240" w:lineRule="auto"/>
        <w:ind w:left="532" w:right="6629"/>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2" w:right="6629"/>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532" w:right="6629"/>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
        <w:rPr>
          <w:rFonts w:ascii="宋体" w:hAnsi="宋体" w:cs="宋体" w:eastAsia="宋体" w:hint="default"/>
          <w:b/>
          <w:bCs/>
          <w:sz w:val="23"/>
          <w:szCs w:val="23"/>
        </w:rPr>
      </w:pPr>
    </w:p>
    <w:p>
      <w:pPr>
        <w:pStyle w:val="Heading4"/>
        <w:spacing w:line="240" w:lineRule="auto"/>
        <w:ind w:left="532" w:right="6629"/>
        <w:jc w:val="left"/>
        <w:rPr>
          <w:b w:val="0"/>
          <w:bCs w:val="0"/>
        </w:rPr>
      </w:pPr>
      <w:r>
        <w:rPr>
          <w:rFonts w:ascii="Times New Roman" w:hAnsi="Times New Roman" w:cs="Times New Roman" w:eastAsia="Times New Roman" w:hint="default"/>
        </w:rPr>
        <w:t>1)</w:t>
      </w:r>
      <w:r>
        <w:rPr/>
        <w:t>其他应收款分类披露</w:t>
      </w:r>
      <w:r>
        <w:rPr>
          <w:b w:val="0"/>
          <w:bCs w:val="0"/>
        </w:rPr>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062"/>
        <w:gridCol w:w="917"/>
        <w:gridCol w:w="607"/>
        <w:gridCol w:w="953"/>
        <w:gridCol w:w="566"/>
        <w:gridCol w:w="994"/>
        <w:gridCol w:w="991"/>
        <w:gridCol w:w="569"/>
        <w:gridCol w:w="992"/>
        <w:gridCol w:w="566"/>
        <w:gridCol w:w="1136"/>
      </w:tblGrid>
      <w:tr>
        <w:trPr>
          <w:trHeight w:val="396" w:hRule="exact"/>
        </w:trPr>
        <w:tc>
          <w:tcPr>
            <w:tcW w:w="2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03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2062"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2062" w:type="dxa"/>
            <w:vMerge/>
            <w:tcBorders>
              <w:left w:val="single" w:sz="4" w:space="0" w:color="000000"/>
              <w:bottom w:val="single" w:sz="4" w:space="0" w:color="000000"/>
              <w:right w:val="single" w:sz="4" w:space="0" w:color="000000"/>
            </w:tcBorders>
            <w:shd w:val="clear" w:color="auto" w:fill="D2D2D2"/>
          </w:tcPr>
          <w:p>
            <w:pP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2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6" w:right="45"/>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坏账准备的其他应收款</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center"/>
              <w:rPr>
                <w:rFonts w:ascii="Arial Narrow" w:hAnsi="Arial Narrow" w:cs="Arial Narrow" w:eastAsia="Arial Narrow" w:hint="default"/>
                <w:sz w:val="18"/>
                <w:szCs w:val="18"/>
              </w:rPr>
            </w:pPr>
            <w:r>
              <w:rPr>
                <w:rFonts w:ascii="Arial Narrow"/>
                <w:w w:val="80"/>
                <w:sz w:val="18"/>
              </w:rPr>
              <w:t>124,769,999.31</w:t>
            </w:r>
            <w:r>
              <w:rPr>
                <w:rFonts w:ascii="Arial Narrow"/>
                <w:sz w:val="18"/>
              </w:rPr>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Arial Narrow" w:hAnsi="Arial Narrow" w:cs="Arial Narrow" w:eastAsia="Arial Narrow" w:hint="default"/>
                <w:sz w:val="18"/>
                <w:szCs w:val="18"/>
              </w:rPr>
            </w:pPr>
            <w:r>
              <w:rPr>
                <w:rFonts w:ascii="Arial Narrow"/>
                <w:w w:val="80"/>
                <w:sz w:val="18"/>
              </w:rPr>
              <w:t>100.00%</w:t>
            </w:r>
            <w:r>
              <w:rPr>
                <w:rFonts w:ascii="Arial Narrow"/>
                <w:sz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6" w:right="0"/>
              <w:jc w:val="center"/>
              <w:rPr>
                <w:rFonts w:ascii="Arial Narrow" w:hAnsi="Arial Narrow" w:cs="Arial Narrow" w:eastAsia="Arial Narrow" w:hint="default"/>
                <w:sz w:val="18"/>
                <w:szCs w:val="18"/>
              </w:rPr>
            </w:pPr>
            <w:r>
              <w:rPr>
                <w:rFonts w:ascii="Arial Narrow"/>
                <w:w w:val="80"/>
                <w:sz w:val="18"/>
              </w:rPr>
              <w:t>24,365,543.29</w:t>
            </w:r>
            <w:r>
              <w:rPr>
                <w:rFonts w:ascii="Arial Narrow"/>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8" w:right="0"/>
              <w:jc w:val="center"/>
              <w:rPr>
                <w:rFonts w:ascii="Arial Narrow" w:hAnsi="Arial Narrow" w:cs="Arial Narrow" w:eastAsia="Arial Narrow" w:hint="default"/>
                <w:sz w:val="18"/>
                <w:szCs w:val="18"/>
              </w:rPr>
            </w:pPr>
            <w:r>
              <w:rPr>
                <w:rFonts w:ascii="Arial Narrow"/>
                <w:w w:val="80"/>
                <w:sz w:val="18"/>
              </w:rPr>
              <w:t>19.53%</w:t>
            </w:r>
            <w:r>
              <w:rPr>
                <w:rFonts w:ascii="Arial Narrow"/>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Arial Narrow" w:hAnsi="Arial Narrow" w:cs="Arial Narrow" w:eastAsia="Arial Narrow" w:hint="default"/>
                <w:sz w:val="18"/>
                <w:szCs w:val="18"/>
              </w:rPr>
            </w:pPr>
            <w:r>
              <w:rPr>
                <w:rFonts w:ascii="Arial Narrow"/>
                <w:w w:val="75"/>
                <w:sz w:val="18"/>
              </w:rPr>
              <w:t>100,404,456.02</w:t>
            </w:r>
            <w:r>
              <w:rPr>
                <w:rFonts w:ascii="Arial Narrow"/>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2" w:right="0"/>
              <w:jc w:val="center"/>
              <w:rPr>
                <w:rFonts w:ascii="Arial Narrow" w:hAnsi="Arial Narrow" w:cs="Arial Narrow" w:eastAsia="Arial Narrow" w:hint="default"/>
                <w:sz w:val="18"/>
                <w:szCs w:val="18"/>
              </w:rPr>
            </w:pPr>
            <w:r>
              <w:rPr>
                <w:rFonts w:ascii="Arial Narrow"/>
                <w:w w:val="80"/>
                <w:sz w:val="18"/>
              </w:rPr>
              <w:t>122,861,748.08</w:t>
            </w:r>
            <w:r>
              <w:rPr>
                <w:rFonts w:ascii="Arial Narrow"/>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 w:right="0"/>
              <w:jc w:val="center"/>
              <w:rPr>
                <w:rFonts w:ascii="Arial Narrow" w:hAnsi="Arial Narrow" w:cs="Arial Narrow" w:eastAsia="Arial Narrow" w:hint="default"/>
                <w:sz w:val="18"/>
                <w:szCs w:val="18"/>
              </w:rPr>
            </w:pPr>
            <w:r>
              <w:rPr>
                <w:rFonts w:ascii="Arial Narrow"/>
                <w:w w:val="80"/>
                <w:sz w:val="18"/>
              </w:rPr>
              <w:t>100.00%</w:t>
            </w:r>
            <w:r>
              <w:rPr>
                <w:rFonts w:ascii="Arial Narrow"/>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w w:val="75"/>
                <w:sz w:val="18"/>
              </w:rPr>
              <w:t>16,159,886.56</w:t>
            </w:r>
            <w:r>
              <w:rPr>
                <w:rFonts w:ascii="Arial Narrow"/>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w w:val="75"/>
                <w:sz w:val="18"/>
              </w:rPr>
              <w:t>13.15%</w:t>
            </w:r>
            <w:r>
              <w:rPr>
                <w:rFonts w:ascii="Arial Narrow"/>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7"/>
              <w:jc w:val="right"/>
              <w:rPr>
                <w:rFonts w:ascii="Arial Narrow" w:hAnsi="Arial Narrow" w:cs="Arial Narrow" w:eastAsia="Arial Narrow" w:hint="default"/>
                <w:sz w:val="18"/>
                <w:szCs w:val="18"/>
              </w:rPr>
            </w:pPr>
            <w:r>
              <w:rPr>
                <w:rFonts w:ascii="Arial Narrow"/>
                <w:w w:val="75"/>
                <w:sz w:val="18"/>
              </w:rPr>
              <w:t>106,701,861.52</w:t>
            </w:r>
            <w:r>
              <w:rPr>
                <w:rFonts w:ascii="Arial Narrow"/>
                <w:sz w:val="18"/>
              </w:rPr>
            </w:r>
          </w:p>
        </w:tc>
      </w:tr>
      <w:tr>
        <w:trPr>
          <w:trHeight w:val="403" w:hRule="exact"/>
        </w:trPr>
        <w:tc>
          <w:tcPr>
            <w:tcW w:w="2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9" w:right="0"/>
              <w:jc w:val="center"/>
              <w:rPr>
                <w:rFonts w:ascii="Arial Narrow" w:hAnsi="Arial Narrow" w:cs="Arial Narrow" w:eastAsia="Arial Narrow" w:hint="default"/>
                <w:sz w:val="18"/>
                <w:szCs w:val="18"/>
              </w:rPr>
            </w:pPr>
            <w:r>
              <w:rPr>
                <w:rFonts w:ascii="Arial Narrow"/>
                <w:w w:val="80"/>
                <w:sz w:val="18"/>
              </w:rPr>
              <w:t>124,769,999.31</w:t>
            </w:r>
            <w:r>
              <w:rPr>
                <w:rFonts w:ascii="Arial Narrow"/>
                <w:sz w:val="18"/>
              </w:rPr>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0" w:right="0"/>
              <w:jc w:val="left"/>
              <w:rPr>
                <w:rFonts w:ascii="Arial Narrow" w:hAnsi="Arial Narrow" w:cs="Arial Narrow" w:eastAsia="Arial Narrow" w:hint="default"/>
                <w:sz w:val="18"/>
                <w:szCs w:val="18"/>
              </w:rPr>
            </w:pPr>
            <w:r>
              <w:rPr>
                <w:rFonts w:ascii="Arial Narrow"/>
                <w:w w:val="80"/>
                <w:sz w:val="18"/>
              </w:rPr>
              <w:t>100.00%</w:t>
            </w:r>
            <w:r>
              <w:rPr>
                <w:rFonts w:ascii="Arial Narrow"/>
                <w:sz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6" w:right="0"/>
              <w:jc w:val="center"/>
              <w:rPr>
                <w:rFonts w:ascii="Arial Narrow" w:hAnsi="Arial Narrow" w:cs="Arial Narrow" w:eastAsia="Arial Narrow" w:hint="default"/>
                <w:sz w:val="18"/>
                <w:szCs w:val="18"/>
              </w:rPr>
            </w:pPr>
            <w:r>
              <w:rPr>
                <w:rFonts w:ascii="Arial Narrow"/>
                <w:w w:val="80"/>
                <w:sz w:val="18"/>
              </w:rPr>
              <w:t>24,365,543.29</w:t>
            </w:r>
            <w:r>
              <w:rPr>
                <w:rFonts w:ascii="Arial Narrow"/>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8" w:right="0"/>
              <w:jc w:val="center"/>
              <w:rPr>
                <w:rFonts w:ascii="Arial Narrow" w:hAnsi="Arial Narrow" w:cs="Arial Narrow" w:eastAsia="Arial Narrow" w:hint="default"/>
                <w:sz w:val="18"/>
                <w:szCs w:val="18"/>
              </w:rPr>
            </w:pPr>
            <w:r>
              <w:rPr>
                <w:rFonts w:ascii="Arial Narrow"/>
                <w:w w:val="80"/>
                <w:sz w:val="18"/>
              </w:rPr>
              <w:t>19.53%</w:t>
            </w:r>
            <w:r>
              <w:rPr>
                <w:rFonts w:ascii="Arial Narrow"/>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Arial Narrow" w:hAnsi="Arial Narrow" w:cs="Arial Narrow" w:eastAsia="Arial Narrow" w:hint="default"/>
                <w:sz w:val="18"/>
                <w:szCs w:val="18"/>
              </w:rPr>
            </w:pPr>
            <w:r>
              <w:rPr>
                <w:rFonts w:ascii="Arial Narrow"/>
                <w:w w:val="75"/>
                <w:sz w:val="18"/>
              </w:rPr>
              <w:t>100,404,456.02</w:t>
            </w:r>
            <w:r>
              <w:rPr>
                <w:rFonts w:ascii="Arial Narrow"/>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3" w:right="0"/>
              <w:jc w:val="center"/>
              <w:rPr>
                <w:rFonts w:ascii="Arial Narrow" w:hAnsi="Arial Narrow" w:cs="Arial Narrow" w:eastAsia="Arial Narrow" w:hint="default"/>
                <w:sz w:val="18"/>
                <w:szCs w:val="18"/>
              </w:rPr>
            </w:pPr>
            <w:r>
              <w:rPr>
                <w:rFonts w:ascii="Arial Narrow"/>
                <w:w w:val="80"/>
                <w:sz w:val="18"/>
              </w:rPr>
              <w:t>122,861,748.08</w:t>
            </w:r>
            <w:r>
              <w:rPr>
                <w:rFonts w:ascii="Arial Narrow"/>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1" w:right="0"/>
              <w:jc w:val="center"/>
              <w:rPr>
                <w:rFonts w:ascii="Arial Narrow" w:hAnsi="Arial Narrow" w:cs="Arial Narrow" w:eastAsia="Arial Narrow" w:hint="default"/>
                <w:sz w:val="18"/>
                <w:szCs w:val="18"/>
              </w:rPr>
            </w:pPr>
            <w:r>
              <w:rPr>
                <w:rFonts w:ascii="Arial Narrow"/>
                <w:w w:val="80"/>
                <w:sz w:val="18"/>
              </w:rPr>
              <w:t>100.00%</w:t>
            </w:r>
            <w:r>
              <w:rPr>
                <w:rFonts w:ascii="Arial Narrow"/>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Arial Narrow" w:hAnsi="Arial Narrow" w:cs="Arial Narrow" w:eastAsia="Arial Narrow" w:hint="default"/>
                <w:sz w:val="18"/>
                <w:szCs w:val="18"/>
              </w:rPr>
            </w:pPr>
            <w:r>
              <w:rPr>
                <w:rFonts w:ascii="Arial Narrow"/>
                <w:w w:val="75"/>
                <w:sz w:val="18"/>
              </w:rPr>
              <w:t>16,159,886.56</w:t>
            </w:r>
            <w:r>
              <w:rPr>
                <w:rFonts w:ascii="Arial Narrow"/>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Arial Narrow" w:hAnsi="Arial Narrow" w:cs="Arial Narrow" w:eastAsia="Arial Narrow" w:hint="default"/>
                <w:sz w:val="18"/>
                <w:szCs w:val="18"/>
              </w:rPr>
            </w:pPr>
            <w:r>
              <w:rPr>
                <w:rFonts w:ascii="Arial Narrow"/>
                <w:w w:val="75"/>
                <w:sz w:val="18"/>
              </w:rPr>
              <w:t>13.15%</w:t>
            </w:r>
            <w:r>
              <w:rPr>
                <w:rFonts w:ascii="Arial Narrow"/>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6"/>
              <w:jc w:val="right"/>
              <w:rPr>
                <w:rFonts w:ascii="Arial Narrow" w:hAnsi="Arial Narrow" w:cs="Arial Narrow" w:eastAsia="Arial Narrow" w:hint="default"/>
                <w:sz w:val="18"/>
                <w:szCs w:val="18"/>
              </w:rPr>
            </w:pPr>
            <w:r>
              <w:rPr>
                <w:rFonts w:ascii="Arial Narrow"/>
                <w:w w:val="75"/>
                <w:sz w:val="18"/>
              </w:rPr>
              <w:t>106,701,861.52</w:t>
            </w:r>
            <w:r>
              <w:rPr>
                <w:rFonts w:ascii="Arial Narrow"/>
                <w:sz w:val="18"/>
              </w:rPr>
            </w:r>
          </w:p>
        </w:tc>
      </w:tr>
    </w:tbl>
    <w:p>
      <w:pPr>
        <w:pStyle w:val="BodyText"/>
        <w:spacing w:line="240" w:lineRule="auto" w:before="51"/>
        <w:ind w:left="532" w:right="0"/>
        <w:jc w:val="left"/>
      </w:pPr>
      <w:r>
        <w:rPr/>
        <w:t>期末单项金额重大并单项计提坏账准备的其他应收款：</w:t>
      </w:r>
    </w:p>
    <w:p>
      <w:pPr>
        <w:pStyle w:val="BodyText"/>
        <w:spacing w:line="360" w:lineRule="auto" w:before="115"/>
        <w:ind w:left="532" w:right="6614"/>
        <w:jc w:val="left"/>
      </w:pPr>
      <w:r>
        <w:rPr/>
        <w:t>□ 适用 √</w:t>
      </w:r>
      <w:r>
        <w:rPr>
          <w:spacing w:val="3"/>
        </w:rPr>
        <w:t> </w:t>
      </w:r>
      <w:r>
        <w:rPr/>
        <w:t>不适用</w:t>
      </w:r>
      <w:r>
        <w:rPr/>
        <w:t> 组合中，按账龄分析法计提坏账准备的其他应收款：</w:t>
      </w:r>
    </w:p>
    <w:p>
      <w:pPr>
        <w:pStyle w:val="BodyText"/>
        <w:spacing w:line="240" w:lineRule="auto" w:before="25"/>
        <w:ind w:left="532" w:right="6629"/>
        <w:jc w:val="left"/>
      </w:pPr>
      <w:r>
        <w:rPr/>
        <w:t>√ 适用 □</w:t>
      </w:r>
      <w:r>
        <w:rPr>
          <w:spacing w:val="3"/>
        </w:rPr>
        <w:t> </w:t>
      </w:r>
      <w:r>
        <w:rPr/>
        <w:t>不适用</w:t>
      </w:r>
    </w:p>
    <w:p>
      <w:pPr>
        <w:spacing w:after="0" w:line="240" w:lineRule="auto"/>
        <w:jc w:val="left"/>
        <w:sectPr>
          <w:pgSz w:w="11910" w:h="16840"/>
          <w:pgMar w:header="910" w:footer="1013" w:top="1100" w:bottom="1200" w:left="600" w:right="0"/>
        </w:sectPr>
      </w:pPr>
    </w:p>
    <w:p>
      <w:pPr>
        <w:spacing w:line="240" w:lineRule="auto" w:before="8"/>
        <w:rPr>
          <w:rFonts w:ascii="宋体" w:hAnsi="宋体" w:cs="宋体" w:eastAsia="宋体" w:hint="default"/>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54,106,446.92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2,705,322.35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20,959,126.61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2,095,912.66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34,011,810.54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10,203,543.16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11,965,700.24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5,982,850.12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1,745,000.00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1,981,915.00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1,981,915.00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124,769,999.31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24,365,543.29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19.53%</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1020" w:right="0"/>
        </w:sectPr>
      </w:pPr>
    </w:p>
    <w:p>
      <w:pPr>
        <w:pStyle w:val="BodyText"/>
        <w:spacing w:line="360" w:lineRule="auto" w:before="51"/>
        <w:ind w:right="1787"/>
        <w:jc w:val="left"/>
      </w:pPr>
      <w:r>
        <w:rPr/>
        <w:t>确定该组合依据的说明： 组合中，采用余额百分比法计提坏账准备的其他应收款：</w:t>
      </w:r>
    </w:p>
    <w:p>
      <w:pPr>
        <w:pStyle w:val="BodyText"/>
        <w:spacing w:line="360" w:lineRule="auto" w:before="25"/>
        <w:ind w:right="2147"/>
        <w:jc w:val="left"/>
      </w:pPr>
      <w:r>
        <w:rPr/>
        <w:t>□ 适用 √</w:t>
      </w:r>
      <w:r>
        <w:rPr>
          <w:spacing w:val="3"/>
        </w:rPr>
        <w:t> </w:t>
      </w:r>
      <w:r>
        <w:rPr/>
        <w:t>不适用</w:t>
      </w:r>
      <w:r>
        <w:rPr/>
        <w:t> 组合中，采用其他方法计提坏账准备的其他应收款：</w:t>
      </w:r>
    </w:p>
    <w:p>
      <w:pPr>
        <w:pStyle w:val="BodyText"/>
        <w:spacing w:line="240" w:lineRule="auto" w:before="27"/>
        <w:ind w:right="1787"/>
        <w:jc w:val="left"/>
      </w:pPr>
      <w:r>
        <w:rPr/>
        <w:t>□ 适用 √</w:t>
      </w:r>
      <w:r>
        <w:rPr>
          <w:spacing w:val="3"/>
        </w:rPr>
        <w:t> </w:t>
      </w:r>
      <w:r>
        <w:rPr/>
        <w:t>不适用</w:t>
      </w:r>
    </w:p>
    <w:p>
      <w:pPr>
        <w:pStyle w:val="Heading4"/>
        <w:spacing w:line="240" w:lineRule="auto" w:before="115"/>
        <w:ind w:right="1787"/>
        <w:jc w:val="left"/>
        <w:rPr>
          <w:b w:val="0"/>
          <w:bCs w:val="0"/>
        </w:rPr>
      </w:pP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103"/>
        <w:ind w:right="-11"/>
        <w:jc w:val="left"/>
      </w:pPr>
      <w:r>
        <w:rPr/>
        <w:t>本期计提坏账准备金额</w:t>
      </w:r>
      <w:r>
        <w:rPr>
          <w:spacing w:val="-46"/>
        </w:rPr>
        <w:t> </w:t>
      </w:r>
      <w:r>
        <w:rPr>
          <w:rFonts w:ascii="Times New Roman" w:hAnsi="Times New Roman" w:cs="Times New Roman" w:eastAsia="Times New Roman" w:hint="default"/>
        </w:rPr>
        <w:t>8,205,656.73</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Heading4"/>
        <w:spacing w:line="348" w:lineRule="auto" w:before="103"/>
        <w:ind w:right="3607"/>
        <w:jc w:val="left"/>
        <w:rPr>
          <w:b w:val="0"/>
          <w:bCs w:val="0"/>
        </w:rPr>
      </w:pPr>
      <w:r>
        <w:rPr>
          <w:rFonts w:ascii="Times New Roman" w:hAnsi="Times New Roman" w:cs="Times New Roman" w:eastAsia="Times New Roman" w:hint="default"/>
        </w:rPr>
        <w:t>3)</w:t>
      </w:r>
      <w:r>
        <w:rPr/>
        <w:t>本期实际核销的其他应收款情况</w:t>
      </w:r>
      <w:r>
        <w:rPr>
          <w:w w:val="99"/>
        </w:rPr>
        <w:t> </w:t>
      </w:r>
      <w:r>
        <w:rPr>
          <w:rFonts w:ascii="宋体" w:hAnsi="宋体" w:cs="宋体" w:eastAsia="宋体" w:hint="default"/>
          <w:b w:val="0"/>
          <w:bCs w:val="0"/>
        </w:rPr>
        <w:t>无。 </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00" w:left="1020" w:right="0"/>
          <w:cols w:num="2" w:equalWidth="0">
            <w:col w:w="6420" w:space="2410"/>
            <w:col w:w="2060"/>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109,672,521.47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95,740,341.56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13,787,531.26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17,940,006.12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1,251,004.16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3,401,439.56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代扣代缴款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58,942.42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5,779,960.84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124,769,999.31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122,861,748.08</w:t>
            </w:r>
          </w:p>
        </w:tc>
      </w:tr>
    </w:tbl>
    <w:p>
      <w:pPr>
        <w:pStyle w:val="Heading4"/>
        <w:spacing w:line="240" w:lineRule="auto" w:before="51"/>
        <w:ind w:right="977"/>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pStyle w:val="BodyText"/>
        <w:spacing w:line="240" w:lineRule="auto" w:before="103"/>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6"/>
        <w:gridCol w:w="1594"/>
        <w:gridCol w:w="1846"/>
        <w:gridCol w:w="1344"/>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88" w:right="107" w:hanging="180"/>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578" w:right="35"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中国移动通信集团 贵州有限公司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15,794,481.53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12.66%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3,909,678.25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18"/>
              <w:jc w:val="left"/>
              <w:rPr>
                <w:rFonts w:ascii="宋体" w:hAnsi="宋体" w:cs="宋体" w:eastAsia="宋体" w:hint="default"/>
                <w:sz w:val="18"/>
                <w:szCs w:val="18"/>
              </w:rPr>
            </w:pPr>
            <w:r>
              <w:rPr>
                <w:rFonts w:ascii="宋体" w:hAnsi="宋体" w:cs="宋体" w:eastAsia="宋体" w:hint="default"/>
                <w:sz w:val="18"/>
                <w:szCs w:val="18"/>
              </w:rPr>
              <w:t>中招国际招标有限 公司江苏分公司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11.02%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687,500.00</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中国移动通信集团 北京有限公司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10,831,500.00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4,283,150.00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2"/>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6"/>
        <w:gridCol w:w="1594"/>
        <w:gridCol w:w="1846"/>
        <w:gridCol w:w="134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7" w:hanging="180"/>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78" w:right="35"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4" w:right="118"/>
              <w:jc w:val="left"/>
              <w:rPr>
                <w:rFonts w:ascii="宋体" w:hAnsi="宋体" w:cs="宋体" w:eastAsia="宋体" w:hint="default"/>
                <w:sz w:val="18"/>
                <w:szCs w:val="18"/>
              </w:rPr>
            </w:pPr>
            <w:r>
              <w:rPr>
                <w:rFonts w:ascii="宋体" w:hAnsi="宋体" w:cs="宋体" w:eastAsia="宋体" w:hint="default"/>
                <w:sz w:val="18"/>
                <w:szCs w:val="18"/>
              </w:rPr>
              <w:t>中国移动通信集团 广西有限公司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 w:right="0"/>
              <w:jc w:val="center"/>
              <w:rPr>
                <w:rFonts w:ascii="宋体" w:hAnsi="宋体" w:cs="宋体" w:eastAsia="宋体" w:hint="default"/>
                <w:sz w:val="18"/>
                <w:szCs w:val="18"/>
              </w:rPr>
            </w:pPr>
            <w:r>
              <w:rPr>
                <w:rFonts w:ascii="宋体" w:hAnsi="宋体" w:cs="宋体" w:eastAsia="宋体" w:hint="default"/>
                <w:sz w:val="18"/>
                <w:szCs w:val="18"/>
              </w:rPr>
              <w:t>保证金押金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0" w:lineRule="auto" w:before="60"/>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4-5 </w:t>
            </w:r>
            <w:r>
              <w:rPr>
                <w:rFonts w:ascii="宋体" w:hAnsi="宋体" w:cs="宋体" w:eastAsia="宋体" w:hint="default"/>
                <w:sz w:val="18"/>
                <w:szCs w:val="18"/>
              </w:rPr>
              <w:t>年</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1,881,000.00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中国移动通信集团 宁夏有限公司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3,764,070.00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796,381.00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49,690,051.53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39.83%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11,557,709.25</w:t>
            </w:r>
          </w:p>
        </w:tc>
      </w:tr>
    </w:tbl>
    <w:p>
      <w:pPr>
        <w:pStyle w:val="Heading4"/>
        <w:spacing w:line="338" w:lineRule="auto" w:before="51"/>
        <w:ind w:right="8616"/>
        <w:jc w:val="left"/>
        <w:rPr>
          <w:rFonts w:ascii="宋体" w:hAnsi="宋体" w:cs="宋体" w:eastAsia="宋体" w:hint="default"/>
          <w:b w:val="0"/>
          <w:bCs w:val="0"/>
        </w:rPr>
      </w:pPr>
      <w:r>
        <w:rPr>
          <w:rFonts w:ascii="Times New Roman" w:hAnsi="Times New Roman" w:cs="Times New Roman" w:eastAsia="Times New Roman" w:hint="default"/>
        </w:rPr>
        <w:t>6)</w:t>
      </w:r>
      <w:r>
        <w:rPr/>
        <w:t>涉及政府补助的应收款项</w:t>
      </w:r>
      <w:r>
        <w:rPr>
          <w:w w:val="99"/>
        </w:rPr>
        <w:t> </w:t>
      </w:r>
      <w:r>
        <w:rPr>
          <w:rFonts w:ascii="宋体" w:hAnsi="宋体" w:cs="宋体" w:eastAsia="宋体" w:hint="default"/>
          <w:b w:val="0"/>
          <w:bCs w:val="0"/>
        </w:rPr>
        <w:t>无。</w:t>
      </w:r>
    </w:p>
    <w:p>
      <w:pPr>
        <w:pStyle w:val="Heading4"/>
        <w:spacing w:line="340" w:lineRule="auto"/>
        <w:ind w:right="7351"/>
        <w:jc w:val="left"/>
        <w:rPr>
          <w:rFonts w:ascii="宋体" w:hAnsi="宋体" w:cs="宋体" w:eastAsia="宋体" w:hint="default"/>
          <w:b w:val="0"/>
          <w:bCs w:val="0"/>
        </w:rPr>
      </w:pPr>
      <w:r>
        <w:rPr>
          <w:rFonts w:ascii="Times New Roman" w:hAnsi="Times New Roman" w:cs="Times New Roman" w:eastAsia="Times New Roman" w:hint="default"/>
        </w:rPr>
        <w:t>7)</w:t>
      </w:r>
      <w:r>
        <w:rPr/>
        <w:t>因金融资产转移而终止确认的其他应收款</w:t>
      </w:r>
      <w:r>
        <w:rPr>
          <w:w w:val="99"/>
        </w:rPr>
        <w:t> </w:t>
      </w:r>
      <w:r>
        <w:rPr>
          <w:rFonts w:ascii="宋体" w:hAnsi="宋体" w:cs="宋体" w:eastAsia="宋体" w:hint="default"/>
          <w:b w:val="0"/>
          <w:bCs w:val="0"/>
        </w:rPr>
        <w:t>无。</w:t>
      </w:r>
    </w:p>
    <w:p>
      <w:pPr>
        <w:pStyle w:val="Heading4"/>
        <w:spacing w:line="340" w:lineRule="auto" w:before="39"/>
        <w:ind w:right="6629"/>
        <w:jc w:val="left"/>
        <w:rPr>
          <w:rFonts w:ascii="宋体" w:hAnsi="宋体" w:cs="宋体" w:eastAsia="宋体" w:hint="default"/>
          <w:b w:val="0"/>
          <w:bCs w:val="0"/>
        </w:rPr>
      </w:pPr>
      <w:r>
        <w:rPr>
          <w:rFonts w:ascii="Times New Roman" w:hAnsi="Times New Roman" w:cs="Times New Roman" w:eastAsia="Times New Roman" w:hint="default"/>
        </w:rPr>
        <w:t>8)</w:t>
      </w:r>
      <w:r>
        <w:rPr/>
        <w:t>转移其他应收款且继续涉入形成的资产、负债金额</w:t>
      </w:r>
      <w:r>
        <w:rPr>
          <w:w w:val="99"/>
        </w:rPr>
        <w:t> </w:t>
      </w:r>
      <w:r>
        <w:rPr>
          <w:rFonts w:ascii="宋体" w:hAnsi="宋体" w:cs="宋体" w:eastAsia="宋体" w:hint="default"/>
          <w:b w:val="0"/>
          <w:bCs w:val="0"/>
        </w:rPr>
        <w:t>无。</w:t>
      </w:r>
    </w:p>
    <w:p>
      <w:pPr>
        <w:spacing w:line="240" w:lineRule="auto" w:before="3"/>
        <w:rPr>
          <w:rFonts w:ascii="宋体" w:hAnsi="宋体" w:cs="宋体" w:eastAsia="宋体" w:hint="default"/>
          <w:sz w:val="21"/>
          <w:szCs w:val="21"/>
        </w:rPr>
      </w:pPr>
    </w:p>
    <w:p>
      <w:pPr>
        <w:pStyle w:val="Heading3"/>
        <w:spacing w:line="240" w:lineRule="auto"/>
        <w:ind w:right="977"/>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514"/>
        <w:jc w:val="left"/>
      </w:pPr>
      <w:r>
        <w:rPr/>
        <w:t>公司是否需要遵守房地产行业的披露要求 否</w:t>
      </w:r>
    </w:p>
    <w:p>
      <w:pPr>
        <w:spacing w:line="240" w:lineRule="auto" w:before="4"/>
        <w:rPr>
          <w:rFonts w:ascii="宋体" w:hAnsi="宋体" w:cs="宋体" w:eastAsia="宋体" w:hint="default"/>
          <w:sz w:val="20"/>
          <w:szCs w:val="20"/>
        </w:rPr>
      </w:pPr>
    </w:p>
    <w:p>
      <w:pPr>
        <w:pStyle w:val="Heading3"/>
        <w:spacing w:line="240" w:lineRule="auto"/>
        <w:ind w:right="977"/>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10,474,057.02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10,474,057.02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14,984,173.42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14,984,173.42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68,353.45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68,353.45</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616,614,500.26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3,789,817.16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612,824,683.10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566,394,560.97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566,394,560.97</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9,861,459.74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9,861,459.74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13,297,857.47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13,297,857.47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636,950,017.02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3,789,817.16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633,160,199.86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594,744,945.31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594,744,945.31</w:t>
            </w:r>
          </w:p>
        </w:tc>
      </w:tr>
    </w:tbl>
    <w:p>
      <w:pPr>
        <w:pStyle w:val="BodyText"/>
        <w:spacing w:line="340" w:lineRule="auto" w:before="51"/>
        <w:ind w:right="2477"/>
        <w:jc w:val="left"/>
      </w:pPr>
      <w:r>
        <w:rPr/>
        <w:t>公司是否需遵守《深圳证券交易所行业信息披露指引第</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号—上市公司从事种业、种植业务》的披露要求 否</w:t>
      </w:r>
    </w:p>
    <w:p>
      <w:pPr>
        <w:pStyle w:val="BodyText"/>
        <w:spacing w:line="340" w:lineRule="auto" w:before="39"/>
        <w:ind w:right="2752"/>
        <w:jc w:val="left"/>
      </w:pPr>
      <w:r>
        <w:rPr/>
        <w:t>公司需遵守《深圳证券交易所行业信息披露指引第</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号——上市公司从事珠宝相关业务》的披露要求 否</w:t>
      </w:r>
    </w:p>
    <w:p>
      <w:pPr>
        <w:spacing w:line="240" w:lineRule="auto" w:before="3"/>
        <w:rPr>
          <w:rFonts w:ascii="宋体" w:hAnsi="宋体" w:cs="宋体" w:eastAsia="宋体" w:hint="default"/>
          <w:sz w:val="21"/>
          <w:szCs w:val="21"/>
        </w:rPr>
      </w:pPr>
    </w:p>
    <w:p>
      <w:pPr>
        <w:pStyle w:val="Heading3"/>
        <w:spacing w:line="240" w:lineRule="auto"/>
        <w:ind w:right="977"/>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after="0" w:line="240" w:lineRule="auto"/>
        <w:jc w:val="left"/>
        <w:sectPr>
          <w:pgSz w:w="11910" w:h="16840"/>
          <w:pgMar w:header="910" w:footer="1013" w:top="1100" w:bottom="1200" w:left="1020" w:right="0"/>
        </w:sectPr>
      </w:pPr>
    </w:p>
    <w:p>
      <w:pPr>
        <w:spacing w:line="240" w:lineRule="auto" w:before="8"/>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3,789,817.16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3,789,817.16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3,789,817.16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3,789,817.16</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8</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149,768,601.26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30,103,183.74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25,585,259.25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758,220.49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659,883.67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留抵税额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2,197.28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1,917.28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180,632,202.77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26,247,060.20</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77"/>
        <w:jc w:val="left"/>
      </w:pPr>
      <w:r>
        <w:rPr/>
        <w:t>无。</w:t>
      </w:r>
    </w:p>
    <w:p>
      <w:pPr>
        <w:spacing w:after="0" w:line="240" w:lineRule="auto"/>
        <w:jc w:val="left"/>
        <w:sectPr>
          <w:pgSz w:w="11910" w:h="16840"/>
          <w:pgMar w:header="910" w:footer="1013" w:top="1100" w:bottom="1200" w:left="1020" w:right="0"/>
        </w:sectPr>
      </w:pPr>
    </w:p>
    <w:p>
      <w:pPr>
        <w:spacing w:line="240" w:lineRule="auto" w:before="7"/>
        <w:rPr>
          <w:rFonts w:ascii="宋体" w:hAnsi="宋体" w:cs="宋体" w:eastAsia="宋体" w:hint="default"/>
          <w:sz w:val="21"/>
          <w:szCs w:val="21"/>
        </w:rPr>
      </w:pPr>
    </w:p>
    <w:p>
      <w:pPr>
        <w:pStyle w:val="Heading3"/>
        <w:spacing w:line="240" w:lineRule="auto" w:before="36"/>
        <w:ind w:left="152"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2"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152"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124"/>
        <w:gridCol w:w="478"/>
        <w:gridCol w:w="1001"/>
        <w:gridCol w:w="478"/>
        <w:gridCol w:w="1375"/>
        <w:gridCol w:w="802"/>
        <w:gridCol w:w="638"/>
        <w:gridCol w:w="1042"/>
        <w:gridCol w:w="641"/>
        <w:gridCol w:w="317"/>
        <w:gridCol w:w="1001"/>
        <w:gridCol w:w="802"/>
      </w:tblGrid>
      <w:tr>
        <w:trPr>
          <w:trHeight w:val="401" w:hRule="exact"/>
        </w:trPr>
        <w:tc>
          <w:tcPr>
            <w:tcW w:w="11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4" w:lineRule="auto"/>
              <w:ind w:left="55" w:right="50"/>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629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8" w:hRule="exact"/>
        </w:trPr>
        <w:tc>
          <w:tcPr>
            <w:tcW w:w="1124" w:type="dxa"/>
            <w:vMerge/>
            <w:tcBorders>
              <w:left w:val="single" w:sz="4" w:space="0" w:color="000000"/>
              <w:bottom w:val="single" w:sz="4" w:space="0" w:color="000000"/>
              <w:right w:val="single" w:sz="4" w:space="0" w:color="000000"/>
            </w:tcBorders>
            <w:shd w:val="clear" w:color="auto" w:fill="D2D2D2"/>
          </w:tcPr>
          <w:p>
            <w:pPr/>
          </w:p>
        </w:tc>
        <w:tc>
          <w:tcPr>
            <w:tcW w:w="478" w:type="dxa"/>
            <w:vMerge/>
            <w:tcBorders>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5" w:right="50"/>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21" w:right="50" w:hanging="269"/>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 w:right="34"/>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7" w:right="62"/>
              <w:jc w:val="center"/>
              <w:rPr>
                <w:rFonts w:ascii="宋体" w:hAnsi="宋体" w:cs="宋体" w:eastAsia="宋体" w:hint="default"/>
                <w:sz w:val="18"/>
                <w:szCs w:val="18"/>
              </w:rPr>
            </w:pPr>
            <w:r>
              <w:rPr>
                <w:rFonts w:ascii="宋体" w:hAnsi="宋体" w:cs="宋体" w:eastAsia="宋体" w:hint="default"/>
                <w:sz w:val="18"/>
                <w:szCs w:val="18"/>
              </w:rPr>
              <w:t>宣告发放现 金股利或利 润</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 w:right="44"/>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60"/>
              <w:jc w:val="left"/>
              <w:rPr>
                <w:rFonts w:ascii="宋体" w:hAnsi="宋体" w:cs="宋体" w:eastAsia="宋体" w:hint="default"/>
                <w:sz w:val="18"/>
                <w:szCs w:val="18"/>
              </w:rPr>
            </w:pPr>
            <w:r>
              <w:rPr>
                <w:rFonts w:ascii="宋体" w:hAnsi="宋体" w:cs="宋体" w:eastAsia="宋体" w:hint="default"/>
                <w:sz w:val="18"/>
                <w:szCs w:val="18"/>
              </w:rPr>
              <w:t>其 他</w:t>
            </w:r>
          </w:p>
        </w:tc>
        <w:tc>
          <w:tcPr>
            <w:tcW w:w="1001"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6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6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both"/>
              <w:rPr>
                <w:rFonts w:ascii="宋体" w:hAnsi="宋体" w:cs="宋体" w:eastAsia="宋体" w:hint="default"/>
                <w:sz w:val="18"/>
                <w:szCs w:val="18"/>
              </w:rPr>
            </w:pPr>
            <w:r>
              <w:rPr>
                <w:rFonts w:ascii="宋体" w:hAnsi="宋体" w:cs="宋体" w:eastAsia="宋体" w:hint="default"/>
                <w:sz w:val="18"/>
                <w:szCs w:val="18"/>
              </w:rPr>
              <w:t>云南安润盛 达科技有限 公司</w:t>
            </w:r>
          </w:p>
        </w:tc>
        <w:tc>
          <w:tcPr>
            <w:tcW w:w="4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1,500,000.00</w:t>
            </w:r>
          </w:p>
        </w:tc>
        <w:tc>
          <w:tcPr>
            <w:tcW w:w="478"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-89,896.14</w:t>
            </w:r>
          </w:p>
        </w:tc>
        <w:tc>
          <w:tcPr>
            <w:tcW w:w="802"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1,410,103.86</w:t>
            </w: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1,500,000.00</w:t>
            </w:r>
          </w:p>
        </w:tc>
        <w:tc>
          <w:tcPr>
            <w:tcW w:w="478"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-89,896.14</w:t>
            </w:r>
          </w:p>
        </w:tc>
        <w:tc>
          <w:tcPr>
            <w:tcW w:w="802"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1,410,103.86</w:t>
            </w: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1,500,000.00</w:t>
            </w:r>
          </w:p>
        </w:tc>
        <w:tc>
          <w:tcPr>
            <w:tcW w:w="478"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-89,896.14</w:t>
            </w:r>
          </w:p>
        </w:tc>
        <w:tc>
          <w:tcPr>
            <w:tcW w:w="802"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1,410,103.86</w:t>
            </w:r>
          </w:p>
        </w:tc>
        <w:tc>
          <w:tcPr>
            <w:tcW w:w="8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152"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2"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left="152"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5"/>
        <w:gridCol w:w="3188"/>
        <w:gridCol w:w="3188"/>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63,840,044.46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62,077,360.08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63,840,044.46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62,077,360.08</w:t>
            </w:r>
          </w:p>
        </w:tc>
      </w:tr>
    </w:tbl>
    <w:p>
      <w:pPr>
        <w:spacing w:line="240" w:lineRule="auto" w:before="3"/>
        <w:rPr>
          <w:rFonts w:ascii="宋体" w:hAnsi="宋体" w:cs="宋体" w:eastAsia="宋体" w:hint="default"/>
          <w:sz w:val="19"/>
          <w:szCs w:val="19"/>
        </w:rPr>
      </w:pPr>
    </w:p>
    <w:p>
      <w:pPr>
        <w:pStyle w:val="Heading3"/>
        <w:spacing w:line="240" w:lineRule="auto" w:before="36"/>
        <w:ind w:left="152"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shape style="position:absolute;margin-left:92.543999pt;margin-top:39.951717pt;width:83.55pt;height:19.6pt;mso-position-horizontal-relative:page;mso-position-vertical-relative:paragraph;z-index:-742432" type="#_x0000_t202" filled="false" stroked="false">
            <v:textbox inset="0,0,0,0">
              <w:txbxContent>
                <w:p>
                  <w:pPr>
                    <w:pStyle w:val="BodyText"/>
                    <w:spacing w:line="240" w:lineRule="auto" w:before="51"/>
                    <w:ind w:left="0" w:right="0"/>
                    <w:jc w:val="left"/>
                  </w:pPr>
                  <w:r>
                    <w:rPr/>
                    <w:t>原值：</w:t>
                  </w:r>
                </w:p>
              </w:txbxContent>
            </v:textbox>
            <w10:wrap type="none"/>
          </v:shape>
        </w:pict>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19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一、账面</w:t>
            </w:r>
          </w:p>
        </w:tc>
        <w:tc>
          <w:tcPr>
            <w:tcW w:w="1198" w:type="dxa"/>
            <w:tcBorders>
              <w:top w:val="single" w:sz="4" w:space="0" w:color="000000"/>
              <w:left w:val="single" w:sz="13" w:space="0" w:color="FFFFFF"/>
              <w:bottom w:val="single" w:sz="4" w:space="0" w:color="000000"/>
              <w:right w:val="single" w:sz="13" w:space="0" w:color="FFFFFF"/>
            </w:tcBorders>
          </w:tcPr>
          <w:p>
            <w:pPr/>
          </w:p>
        </w:tc>
        <w:tc>
          <w:tcPr>
            <w:tcW w:w="1196" w:type="dxa"/>
            <w:tcBorders>
              <w:top w:val="single" w:sz="4" w:space="0" w:color="000000"/>
              <w:left w:val="single" w:sz="13" w:space="0" w:color="FFFFFF"/>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center"/>
              <w:rPr>
                <w:rFonts w:ascii="Times New Roman" w:hAnsi="Times New Roman" w:cs="Times New Roman" w:eastAsia="Times New Roman" w:hint="default"/>
                <w:sz w:val="18"/>
                <w:szCs w:val="18"/>
              </w:rPr>
            </w:pPr>
            <w:r>
              <w:rPr>
                <w:rFonts w:ascii="Times New Roman"/>
                <w:sz w:val="18"/>
              </w:rPr>
              <w:t>36,460,684.01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center"/>
              <w:rPr>
                <w:rFonts w:ascii="Times New Roman" w:hAnsi="Times New Roman" w:cs="Times New Roman" w:eastAsia="Times New Roman" w:hint="default"/>
                <w:sz w:val="18"/>
                <w:szCs w:val="18"/>
              </w:rPr>
            </w:pPr>
            <w:r>
              <w:rPr>
                <w:rFonts w:ascii="Times New Roman"/>
                <w:sz w:val="18"/>
              </w:rPr>
              <w:t>56,841,497.47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5,684,790.27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17,632,753.44</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4,824,472.49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2,789,859.48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124,234,057.16</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8" w:right="0"/>
              <w:jc w:val="center"/>
              <w:rPr>
                <w:rFonts w:ascii="Times New Roman" w:hAnsi="Times New Roman" w:cs="Times New Roman" w:eastAsia="Times New Roman" w:hint="default"/>
                <w:sz w:val="18"/>
                <w:szCs w:val="18"/>
              </w:rPr>
            </w:pPr>
            <w:r>
              <w:rPr>
                <w:rFonts w:ascii="Times New Roman"/>
                <w:sz w:val="18"/>
              </w:rPr>
              <w:t>17,191,473.85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768,869.85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644,720.74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1,836,125.03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434,060.07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20,875,249.54</w:t>
            </w:r>
          </w:p>
        </w:tc>
      </w:tr>
      <w:tr>
        <w:trPr>
          <w:trHeight w:val="40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center"/>
              <w:rPr>
                <w:rFonts w:ascii="Times New Roman" w:hAnsi="Times New Roman" w:cs="Times New Roman" w:eastAsia="Times New Roman" w:hint="default"/>
                <w:sz w:val="18"/>
                <w:szCs w:val="18"/>
              </w:rPr>
            </w:pPr>
            <w:r>
              <w:rPr>
                <w:rFonts w:ascii="Times New Roman"/>
                <w:sz w:val="18"/>
              </w:rPr>
              <w:t>17,191,473.85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768,869.85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644,720.74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1,836,125.03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434,060.07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20,875,249.54</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980" w:right="0"/>
        </w:sectPr>
      </w:pPr>
    </w:p>
    <w:p>
      <w:pPr>
        <w:spacing w:line="240" w:lineRule="auto" w:before="8"/>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r>
              <w:rPr>
                <w:rFonts w:ascii="宋体" w:hAnsi="宋体" w:cs="宋体" w:eastAsia="宋体" w:hint="default"/>
                <w:sz w:val="18"/>
                <w:szCs w:val="18"/>
              </w:rPr>
              <w:t> 工程转入</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8,408,079.99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962,317.94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4,314,379.91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250,403.52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136,740.49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14,071,921.85</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8,408,079.99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962,317.94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4,314,379.91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250,403.52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136,740.49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14,071,921.85</w:t>
            </w:r>
          </w:p>
        </w:tc>
      </w:tr>
      <w:tr>
        <w:trPr>
          <w:trHeight w:val="40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9"/>
              <w:jc w:val="center"/>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center"/>
              <w:rPr>
                <w:rFonts w:ascii="Times New Roman" w:hAnsi="Times New Roman" w:cs="Times New Roman" w:eastAsia="Times New Roman" w:hint="default"/>
                <w:sz w:val="18"/>
                <w:szCs w:val="18"/>
              </w:rPr>
            </w:pPr>
            <w:r>
              <w:rPr>
                <w:rFonts w:ascii="Times New Roman"/>
                <w:sz w:val="18"/>
              </w:rPr>
              <w:t>36,460,684.01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65,624,891.33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5,491,342.18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13,963,094.27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6,410,194.00</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3,087,179.06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131,037,384.85</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9"/>
              <w:jc w:val="center"/>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5" w:right="0"/>
              <w:jc w:val="center"/>
              <w:rPr>
                <w:rFonts w:ascii="Times New Roman" w:hAnsi="Times New Roman" w:cs="Times New Roman" w:eastAsia="Times New Roman" w:hint="default"/>
                <w:sz w:val="18"/>
                <w:szCs w:val="18"/>
              </w:rPr>
            </w:pPr>
            <w:r>
              <w:rPr>
                <w:rFonts w:ascii="Times New Roman"/>
                <w:sz w:val="18"/>
              </w:rPr>
              <w:t>3,463,764.98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35,870,806.72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5,135,455.43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14,339,860.87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2,666,626.35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680,182.73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62,156,697.08</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1,731,882.48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11,701,419.06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784,834.30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769,057.05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1,207,682.32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223,265.99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16,418,141.20</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5" w:right="0"/>
              <w:jc w:val="center"/>
              <w:rPr>
                <w:rFonts w:ascii="Times New Roman" w:hAnsi="Times New Roman" w:cs="Times New Roman" w:eastAsia="Times New Roman" w:hint="default"/>
                <w:sz w:val="18"/>
                <w:szCs w:val="18"/>
              </w:rPr>
            </w:pPr>
            <w:r>
              <w:rPr>
                <w:rFonts w:ascii="Times New Roman"/>
                <w:sz w:val="18"/>
              </w:rPr>
              <w:t>1,731,882.48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11,701,419.06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784,834.30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769,057.05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1,207,682.32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223,265.99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16,418,141.20</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6,949,944.61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905,752.93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3,181,654.84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231,378.72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108,766.79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11,377,497.89</w:t>
            </w:r>
            <w:r>
              <w:rPr>
                <w:rFonts w:ascii="Times New Roman"/>
                <w:sz w:val="18"/>
              </w:rPr>
            </w: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6,949,944.61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905,752.93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3,181,654.84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231,378.72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108,766.79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11,377,497.89</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9"/>
              <w:jc w:val="center"/>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5,195,647.46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40,622,281.17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5,014,536.80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11,927,263.08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3,642,929.95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794,681.93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67,197,340.39</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7"/>
              <w:jc w:val="center"/>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9"/>
              <w:jc w:val="center"/>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9"/>
              <w:jc w:val="center"/>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31,265,036.55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25,002,610.16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476,805.38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2,035,831.19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2,767,264.05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2,292,497.13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63,840,044.46</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32,996,919.03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20,970,690.75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549,334.84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3,292,892.57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2,157,846.14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2,109,676.75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62,077,360.08</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1020" w:right="0"/>
        </w:sectPr>
      </w:pPr>
    </w:p>
    <w:p>
      <w:pPr>
        <w:spacing w:line="240" w:lineRule="auto" w:before="5"/>
        <w:rPr>
          <w:rFonts w:ascii="Times New Roman" w:hAnsi="Times New Roman" w:cs="Times New Roman" w:eastAsia="Times New Roman" w:hint="default"/>
          <w:sz w:val="24"/>
          <w:szCs w:val="24"/>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31,265,036.56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新增办公写字楼、权证正在办理中</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18</w:t>
      </w:r>
      <w:r>
        <w:rPr/>
        <w:t>、生产性生物资产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rFonts w:ascii="Times New Roman" w:hAnsi="Times New Roman" w:cs="Times New Roman" w:eastAsia="Times New Roman" w:hint="default"/>
        </w:rPr>
        <w:t>19</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77"/>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2,051,727.06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4" w:right="0"/>
              <w:jc w:val="left"/>
              <w:rPr>
                <w:rFonts w:ascii="Times New Roman" w:hAnsi="Times New Roman" w:cs="Times New Roman" w:eastAsia="Times New Roman" w:hint="default"/>
                <w:sz w:val="18"/>
                <w:szCs w:val="18"/>
              </w:rPr>
            </w:pPr>
            <w:r>
              <w:rPr>
                <w:rFonts w:ascii="Times New Roman"/>
                <w:sz w:val="18"/>
              </w:rPr>
              <w:t>20,000.00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3,171,727.06</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607,629.31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1,307,629.31</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1020" w:right="0"/>
        </w:sectPr>
      </w:pPr>
    </w:p>
    <w:p>
      <w:pPr>
        <w:spacing w:line="240" w:lineRule="auto" w:before="2"/>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607,629.31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1,307,629.31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r>
              <w:rPr>
                <w:rFonts w:ascii="宋体" w:hAnsi="宋体" w:cs="宋体" w:eastAsia="宋体" w:hint="default"/>
                <w:sz w:val="18"/>
                <w:szCs w:val="18"/>
              </w:rPr>
              <w:t> 研发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2,659,356.37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4,479,356.37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552,499.99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410,553.86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983,053.85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175,185.08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615,128.67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790,313.75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175,185.08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615,128.67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790,313.75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727,685.07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1,025,682.53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1,773,367.60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1,072,314.93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1,633,673.84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2,705,988.77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547,500.01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1,641,173.20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2,188,673.21</w:t>
            </w:r>
          </w:p>
        </w:tc>
      </w:tr>
    </w:tbl>
    <w:p>
      <w:pPr>
        <w:pStyle w:val="BodyText"/>
        <w:spacing w:line="240" w:lineRule="auto" w:before="51"/>
        <w:ind w:right="977"/>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after="0" w:line="240" w:lineRule="auto"/>
        <w:jc w:val="left"/>
        <w:sectPr>
          <w:pgSz w:w="11910" w:h="16840"/>
          <w:pgMar w:header="910" w:footer="1013" w:top="1100" w:bottom="1200" w:left="1020" w:right="0"/>
        </w:sectPr>
      </w:pPr>
    </w:p>
    <w:p>
      <w:pPr>
        <w:spacing w:line="240" w:lineRule="auto" w:before="7"/>
        <w:rPr>
          <w:rFonts w:ascii="宋体" w:hAnsi="宋体" w:cs="宋体" w:eastAsia="宋体" w:hint="default"/>
          <w:sz w:val="21"/>
          <w:szCs w:val="21"/>
        </w:rPr>
      </w:pPr>
    </w:p>
    <w:p>
      <w:pPr>
        <w:pStyle w:val="Heading3"/>
        <w:spacing w:line="240" w:lineRule="auto" w:before="36"/>
        <w:ind w:left="152"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2"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152" w:right="0"/>
        <w:jc w:val="left"/>
        <w:rPr>
          <w:b w:val="0"/>
          <w:bCs w:val="0"/>
        </w:rPr>
      </w:pPr>
      <w:r>
        <w:rPr>
          <w:rFonts w:ascii="Times New Roman" w:hAnsi="Times New Roman" w:cs="Times New Roman" w:eastAsia="Times New Roman" w:hint="default"/>
        </w:rPr>
        <w:t>21</w:t>
      </w:r>
      <w:r>
        <w:rPr/>
        <w:t>、开发支出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858"/>
        <w:gridCol w:w="566"/>
        <w:gridCol w:w="1560"/>
        <w:gridCol w:w="538"/>
        <w:gridCol w:w="1448"/>
        <w:gridCol w:w="1274"/>
        <w:gridCol w:w="454"/>
      </w:tblGrid>
      <w:tr>
        <w:trPr>
          <w:trHeight w:val="401" w:hRule="exact"/>
        </w:trPr>
        <w:tc>
          <w:tcPr>
            <w:tcW w:w="38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98" w:right="96"/>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6"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45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40" w:right="41"/>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403" w:hRule="exact"/>
        </w:trPr>
        <w:tc>
          <w:tcPr>
            <w:tcW w:w="385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45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GSM/LTE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干扰排查智能分析系统研究和应用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17,230,224.03</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17,230,224.03</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42"/>
              <w:jc w:val="left"/>
              <w:rPr>
                <w:rFonts w:ascii="宋体" w:hAnsi="宋体" w:cs="宋体" w:eastAsia="宋体" w:hint="default"/>
                <w:sz w:val="18"/>
                <w:szCs w:val="18"/>
              </w:rPr>
            </w:pPr>
            <w:r>
              <w:rPr>
                <w:rFonts w:ascii="宋体" w:hAnsi="宋体" w:cs="宋体" w:eastAsia="宋体" w:hint="default"/>
                <w:sz w:val="18"/>
                <w:szCs w:val="18"/>
              </w:rPr>
              <w:t>基于大数据的身份信息核查与分析监管平台研究 与应用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9,562,471.73</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9,562,471.73</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智能机器应答管理平台研究与应用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7,851,951.96</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7,851,951.96</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基于三维视频的通信行业培训管理平台研究与应 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6,618,224.30</w:t>
            </w:r>
            <w:r>
              <w:rPr>
                <w:rFonts w:ascii="Times New Roman"/>
                <w:sz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6,618,224.30</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LTE-MR</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综合分析平台研究与应用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6,318,258.22</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6,318,258.22</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施工现场智能调度业务支撑体系研究与应用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5,870,262.48</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5,870,262.48</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财务共享服务体系建设研究与应用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5,297,660.78</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5,297,660.78</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网优大数据平台研究与应用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5,245,851.79</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5,245,851.79</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全国支付中心与现金流一体化监管平台研究与应 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4,695,402.42</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4,695,402.42</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智能资产与材料调度管理体系研究与应用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4,683,839.90</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4,683,839.90</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工程验收标准体系与信息化平台研究与应用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4,157,477.91</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4,157,477.91</w:t>
            </w:r>
            <w:r>
              <w:rPr>
                <w:rFonts w:ascii="Times New Roman"/>
                <w:sz w:val="18"/>
              </w:rPr>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2"/>
              <w:jc w:val="left"/>
              <w:rPr>
                <w:rFonts w:ascii="宋体" w:hAnsi="宋体" w:cs="宋体" w:eastAsia="宋体" w:hint="default"/>
                <w:sz w:val="18"/>
                <w:szCs w:val="18"/>
              </w:rPr>
            </w:pPr>
            <w:r>
              <w:rPr>
                <w:rFonts w:ascii="宋体" w:hAnsi="宋体" w:cs="宋体" w:eastAsia="宋体" w:hint="default"/>
                <w:sz w:val="18"/>
                <w:szCs w:val="18"/>
              </w:rPr>
              <w:t>基于大数据的视频监控领域的图像质量分析研究 与应用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3,600,541.11</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3,600,541.11</w:t>
            </w:r>
            <w:r>
              <w:rPr>
                <w:rFonts w:ascii="Times New Roman"/>
                <w:sz w:val="18"/>
              </w:rPr>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铁塔智能代维平台研究与应用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3,472,671.73</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3,472,671.73</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基于大数据挖掘的无线网络质量评估及优化系统</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2,740,116.33</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2,740,116.33</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无线网络（</w:t>
            </w:r>
            <w:r>
              <w:rPr>
                <w:rFonts w:ascii="Times New Roman" w:hAnsi="Times New Roman" w:cs="Times New Roman" w:eastAsia="Times New Roman" w:hint="default"/>
                <w:sz w:val="18"/>
                <w:szCs w:val="18"/>
              </w:rPr>
              <w:t>2/3/4G</w:t>
            </w:r>
            <w:r>
              <w:rPr>
                <w:rFonts w:ascii="宋体" w:hAnsi="宋体" w:cs="宋体" w:eastAsia="宋体" w:hint="default"/>
                <w:sz w:val="18"/>
                <w:szCs w:val="18"/>
              </w:rPr>
              <w:t>）性能监控系统研究和应用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2,534,775.04</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2,534,775.04</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通信维护领域的互联网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相关技术的研究和应用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2,132,439.59</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2,132,439.59</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业务系统云化服务支撑体系研究与应用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2,100,155.59</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2,100,155.59</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通信工程领域的互联网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相关技术的研究和应用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2,064,268.61</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2,064,268.61</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数据通信相关技术的研究和应用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1,979,813.52</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1,979,813.52</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电力智能化管理分析系统研究与应用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1,848,840.53</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1,848,840.53</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组织过程资产体系与知识管理系统研究和应用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1,707,906.00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1,707,906.00</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施工安全与质量管理体系研究与应用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1,688,073.56</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1,688,073.56</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通信服务领域云课堂双创平台研究与应用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1,592,801.64</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1,592,801.64</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物联网产品开发及相关技术研究</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1,221,961.14</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1,221,961.14</w:t>
            </w:r>
          </w:p>
        </w:tc>
        <w:tc>
          <w:tcPr>
            <w:tcW w:w="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0" w:footer="1013" w:top="1100" w:bottom="1200" w:left="980" w:right="0"/>
        </w:sectPr>
      </w:pPr>
    </w:p>
    <w:p>
      <w:pPr>
        <w:spacing w:line="240" w:lineRule="auto" w:before="2"/>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3858"/>
        <w:gridCol w:w="566"/>
        <w:gridCol w:w="1560"/>
        <w:gridCol w:w="538"/>
        <w:gridCol w:w="1448"/>
        <w:gridCol w:w="1274"/>
        <w:gridCol w:w="454"/>
      </w:tblGrid>
      <w:tr>
        <w:trPr>
          <w:trHeight w:val="402" w:hRule="exact"/>
        </w:trPr>
        <w:tc>
          <w:tcPr>
            <w:tcW w:w="38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98" w:right="96"/>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6"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45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0" w:right="41"/>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402" w:hRule="exact"/>
        </w:trPr>
        <w:tc>
          <w:tcPr>
            <w:tcW w:w="385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45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大数据平台及行业应用研究</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1,060,505.19</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1,060,505.19</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通信网络疑难弱覆盖解决方案</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744,435.97</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744,435.97</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基于大数据深度挖掘的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网络质量评估及优化 方案</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715,269.21</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715,269.21</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重点场景网络智能分析与保障系统研发与应用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688,622.16</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688,622.16</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通信基站智能节电平台研发与应用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403,522.37</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403,522.37</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无线大数据优化平台研发与应用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285,452.25</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285,452.25</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OTT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的手机精准定位与排查解决方案</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275,046.32</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275,046.32</w:t>
            </w:r>
          </w:p>
        </w:tc>
        <w:tc>
          <w:tcPr>
            <w:tcW w:w="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110,388,843.38</w:t>
            </w:r>
          </w:p>
        </w:tc>
        <w:tc>
          <w:tcPr>
            <w:tcW w:w="53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110,388,843.38</w:t>
            </w:r>
          </w:p>
        </w:tc>
        <w:tc>
          <w:tcPr>
            <w:tcW w:w="4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152" w:right="0"/>
        <w:jc w:val="left"/>
        <w:rPr>
          <w:b w:val="0"/>
          <w:bCs w:val="0"/>
        </w:rPr>
      </w:pP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2"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297"/>
        <w:gridCol w:w="1582"/>
        <w:gridCol w:w="1940"/>
        <w:gridCol w:w="1940"/>
        <w:gridCol w:w="1939"/>
      </w:tblGrid>
      <w:tr>
        <w:trPr>
          <w:trHeight w:val="402" w:hRule="exact"/>
        </w:trPr>
        <w:tc>
          <w:tcPr>
            <w:tcW w:w="22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874" w:right="60" w:hanging="810"/>
              <w:jc w:val="left"/>
              <w:rPr>
                <w:rFonts w:ascii="宋体" w:hAnsi="宋体" w:cs="宋体" w:eastAsia="宋体" w:hint="default"/>
                <w:sz w:val="18"/>
                <w:szCs w:val="18"/>
              </w:rPr>
            </w:pPr>
            <w:r>
              <w:rPr>
                <w:rFonts w:ascii="宋体" w:hAnsi="宋体" w:cs="宋体" w:eastAsia="宋体" w:hint="default"/>
                <w:sz w:val="18"/>
                <w:szCs w:val="18"/>
              </w:rPr>
              <w:t>被投资单位名称或形成商誉 的事项</w:t>
            </w:r>
          </w:p>
        </w:tc>
        <w:tc>
          <w:tcPr>
            <w:tcW w:w="15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9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297" w:type="dxa"/>
            <w:vMerge/>
            <w:tcBorders>
              <w:left w:val="single" w:sz="4" w:space="0" w:color="000000"/>
              <w:bottom w:val="single" w:sz="4" w:space="0" w:color="000000"/>
              <w:right w:val="single" w:sz="4" w:space="0" w:color="000000"/>
            </w:tcBorders>
            <w:shd w:val="clear" w:color="auto" w:fill="D2D2D2"/>
          </w:tcPr>
          <w:p>
            <w:pPr/>
          </w:p>
        </w:tc>
        <w:tc>
          <w:tcPr>
            <w:tcW w:w="1582" w:type="dxa"/>
            <w:vMerge/>
            <w:tcBorders>
              <w:left w:val="single" w:sz="4" w:space="0" w:color="000000"/>
              <w:bottom w:val="single" w:sz="4" w:space="0" w:color="000000"/>
              <w:right w:val="single" w:sz="4" w:space="0" w:color="000000"/>
            </w:tcBorders>
            <w:shd w:val="clear" w:color="auto" w:fill="D2D2D2"/>
          </w:tcPr>
          <w:p>
            <w:pP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本企业合成的</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93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宋体" w:hAnsi="宋体" w:cs="宋体" w:eastAsia="宋体" w:hint="default"/>
                <w:sz w:val="18"/>
                <w:szCs w:val="18"/>
              </w:rPr>
              <w:t>广州逸信电子科技有限公司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10,212,316.57</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10,212,316.57</w:t>
            </w: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10,212,316.57</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10,212,316.57</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left="152"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2" w:right="7514"/>
        <w:jc w:val="left"/>
      </w:pPr>
      <w:r>
        <w:rPr/>
        <w:t>资产负债日，本公司商誉无减值准备。 商誉所在资产组或资产组组合的相关信息</w:t>
      </w:r>
    </w:p>
    <w:tbl>
      <w:tblPr>
        <w:tblW w:w="0" w:type="auto"/>
        <w:jc w:val="left"/>
        <w:tblInd w:w="148" w:type="dxa"/>
        <w:tblLayout w:type="fixed"/>
        <w:tblCellMar>
          <w:top w:w="0" w:type="dxa"/>
          <w:left w:w="0" w:type="dxa"/>
          <w:bottom w:w="0" w:type="dxa"/>
          <w:right w:w="0" w:type="dxa"/>
        </w:tblCellMar>
        <w:tblLook w:val="01E0"/>
      </w:tblPr>
      <w:tblGrid>
        <w:gridCol w:w="4784"/>
        <w:gridCol w:w="4074"/>
      </w:tblGrid>
      <w:tr>
        <w:trPr>
          <w:trHeight w:val="34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08"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w:t>
            </w:r>
            <w:r>
              <w:rPr>
                <w:rFonts w:ascii="宋体" w:hAnsi="宋体" w:cs="宋体" w:eastAsia="宋体" w:hint="default"/>
                <w:sz w:val="18"/>
                <w:szCs w:val="18"/>
              </w:rPr>
              <w:t> </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50" w:right="0"/>
              <w:jc w:val="left"/>
              <w:rPr>
                <w:rFonts w:ascii="宋体" w:hAnsi="宋体" w:cs="宋体" w:eastAsia="宋体" w:hint="default"/>
                <w:sz w:val="18"/>
                <w:szCs w:val="18"/>
              </w:rPr>
            </w:pPr>
            <w:r>
              <w:rPr>
                <w:rFonts w:ascii="宋体" w:hAnsi="宋体" w:cs="宋体" w:eastAsia="宋体" w:hint="default"/>
                <w:sz w:val="18"/>
                <w:szCs w:val="18"/>
              </w:rPr>
              <w:t>广州逸信电子科技有限公司</w:t>
            </w:r>
            <w:r>
              <w:rPr>
                <w:rFonts w:ascii="宋体" w:hAnsi="宋体" w:cs="宋体" w:eastAsia="宋体" w:hint="default"/>
                <w:sz w:val="18"/>
                <w:szCs w:val="18"/>
              </w:rPr>
              <w:t> </w:t>
            </w:r>
          </w:p>
        </w:tc>
      </w:tr>
      <w:tr>
        <w:trPr>
          <w:trHeight w:val="34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w:t>
            </w:r>
            <w:r>
              <w:rPr>
                <w:rFonts w:ascii="宋体" w:hAnsi="宋体" w:cs="宋体" w:eastAsia="宋体" w:hint="default"/>
                <w:sz w:val="18"/>
                <w:szCs w:val="18"/>
              </w:rPr>
              <w:t> </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1,442,354.79</w:t>
            </w:r>
          </w:p>
        </w:tc>
      </w:tr>
      <w:tr>
        <w:trPr>
          <w:trHeight w:val="34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分摊至本资产组或资产组组合的商誉账面价值</w:t>
            </w:r>
            <w:r>
              <w:rPr>
                <w:rFonts w:ascii="宋体" w:hAnsi="宋体" w:cs="宋体" w:eastAsia="宋体" w:hint="default"/>
                <w:sz w:val="18"/>
                <w:szCs w:val="18"/>
              </w:rPr>
              <w:t> </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10,212,316.57</w:t>
            </w:r>
          </w:p>
        </w:tc>
      </w:tr>
      <w:tr>
        <w:trPr>
          <w:trHeight w:val="34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包含商誉的资产组或资产组组合的账面价值</w:t>
            </w:r>
            <w:r>
              <w:rPr>
                <w:rFonts w:ascii="宋体" w:hAnsi="宋体" w:cs="宋体" w:eastAsia="宋体" w:hint="default"/>
                <w:sz w:val="18"/>
                <w:szCs w:val="18"/>
              </w:rPr>
              <w:t> </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11,654,671.36</w:t>
            </w:r>
            <w:r>
              <w:rPr>
                <w:rFonts w:ascii="宋体"/>
                <w:sz w:val="18"/>
              </w:rPr>
            </w:r>
          </w:p>
        </w:tc>
      </w:tr>
      <w:tr>
        <w:trPr>
          <w:trHeight w:val="65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9"/>
              <w:jc w:val="left"/>
              <w:rPr>
                <w:rFonts w:ascii="宋体" w:hAnsi="宋体" w:cs="宋体" w:eastAsia="宋体" w:hint="default"/>
                <w:sz w:val="18"/>
                <w:szCs w:val="18"/>
              </w:rPr>
            </w:pPr>
            <w:r>
              <w:rPr>
                <w:rFonts w:ascii="宋体" w:hAnsi="宋体" w:cs="宋体" w:eastAsia="宋体" w:hint="default"/>
                <w:spacing w:val="2"/>
                <w:sz w:val="18"/>
                <w:szCs w:val="18"/>
              </w:rPr>
              <w:t>资产组或资产组组合是否与购买日、以前年度商誉减值测试</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时所确定的资产组或资产组组合一致</w:t>
            </w:r>
            <w:r>
              <w:rPr>
                <w:rFonts w:ascii="宋体" w:hAnsi="宋体" w:cs="宋体" w:eastAsia="宋体" w:hint="default"/>
                <w:sz w:val="18"/>
                <w:szCs w:val="18"/>
              </w:rPr>
              <w:t> </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9"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pStyle w:val="BodyText"/>
        <w:spacing w:line="314" w:lineRule="auto" w:before="70"/>
        <w:ind w:left="152" w:right="0"/>
        <w:jc w:val="left"/>
      </w:pPr>
      <w:r>
        <w:rPr>
          <w:spacing w:val="-2"/>
        </w:rPr>
        <w:t>说明商誉减值测试过程、关键参数（如预计未来现金流量现值时的预测期增长率、稳定期增长率、利润率、折现率、预测期</w:t>
      </w:r>
      <w:r>
        <w:rPr>
          <w:spacing w:val="-69"/>
        </w:rPr>
        <w:t> </w:t>
      </w:r>
      <w:r>
        <w:rPr>
          <w:spacing w:val="-69"/>
        </w:rPr>
      </w:r>
      <w:r>
        <w:rPr/>
        <w:t>等）及商誉减值损失的确认方法：</w:t>
      </w:r>
    </w:p>
    <w:p>
      <w:pPr>
        <w:pStyle w:val="BodyText"/>
        <w:spacing w:line="316" w:lineRule="auto" w:before="143"/>
        <w:ind w:left="152" w:right="1132" w:firstLine="360"/>
        <w:jc w:val="both"/>
        <w:rPr>
          <w:rFonts w:ascii="宋体" w:hAnsi="宋体" w:cs="宋体" w:eastAsia="宋体" w:hint="default"/>
        </w:rPr>
      </w:pPr>
      <w:r>
        <w:rPr/>
        <w:t>商誉的可收回金额按照预计未来现金流量的现值计算，其预计现金流量根据公司批准的</w:t>
      </w:r>
      <w:r>
        <w:rPr>
          <w:rFonts w:ascii="宋体" w:hAnsi="宋体" w:cs="宋体" w:eastAsia="宋体" w:hint="default"/>
        </w:rPr>
        <w:t>5</w:t>
      </w:r>
      <w:r>
        <w:rPr/>
        <w:t>年期现金流量预测为基础，现 </w:t>
      </w:r>
      <w:r>
        <w:rPr>
          <w:spacing w:val="-2"/>
        </w:rPr>
        <w:t>金流量预测使用的折现率</w:t>
      </w:r>
      <w:r>
        <w:rPr>
          <w:rFonts w:ascii="宋体" w:hAnsi="宋体" w:cs="宋体" w:eastAsia="宋体" w:hint="default"/>
          <w:spacing w:val="-2"/>
        </w:rPr>
        <w:t>15.26%</w:t>
      </w:r>
      <w:r>
        <w:rPr>
          <w:spacing w:val="-2"/>
        </w:rPr>
        <w:t>，预测期以后的现金流量与最后一期持平，该增长率和通信服务行业总体长期平均增长率基</w:t>
      </w:r>
      <w:r>
        <w:rPr>
          <w:spacing w:val="-60"/>
        </w:rPr>
        <w:t> </w:t>
      </w:r>
      <w:r>
        <w:rPr>
          <w:spacing w:val="-60"/>
        </w:rPr>
      </w:r>
      <w:r>
        <w:rPr/>
        <w:t>本相当。</w:t>
      </w:r>
      <w:r>
        <w:rPr>
          <w:rFonts w:ascii="宋体" w:hAnsi="宋体" w:cs="宋体" w:eastAsia="宋体" w:hint="default"/>
        </w:rPr>
        <w:t> </w:t>
      </w:r>
    </w:p>
    <w:p>
      <w:pPr>
        <w:pStyle w:val="BodyText"/>
        <w:spacing w:line="240" w:lineRule="auto" w:before="139"/>
        <w:ind w:left="513"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10" w:h="16840"/>
          <w:pgMar w:header="910" w:footer="1013" w:top="1100" w:bottom="1200" w:left="980" w:right="0"/>
        </w:sectPr>
      </w:pPr>
    </w:p>
    <w:p>
      <w:pPr>
        <w:spacing w:line="240" w:lineRule="auto" w:before="2"/>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1167"/>
        <w:gridCol w:w="1964"/>
        <w:gridCol w:w="1699"/>
        <w:gridCol w:w="857"/>
        <w:gridCol w:w="1981"/>
        <w:gridCol w:w="1992"/>
      </w:tblGrid>
      <w:tr>
        <w:trPr>
          <w:trHeight w:val="344" w:hRule="exact"/>
        </w:trPr>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84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0" w:right="0"/>
              <w:jc w:val="center"/>
              <w:rPr>
                <w:rFonts w:ascii="宋体" w:hAnsi="宋体" w:cs="宋体" w:eastAsia="宋体" w:hint="default"/>
                <w:sz w:val="18"/>
                <w:szCs w:val="18"/>
              </w:rPr>
            </w:pPr>
            <w:r>
              <w:rPr>
                <w:rFonts w:ascii="宋体" w:hAnsi="宋体" w:cs="宋体" w:eastAsia="宋体" w:hint="default"/>
                <w:sz w:val="18"/>
                <w:szCs w:val="18"/>
              </w:rPr>
              <w:t>关键参数</w:t>
            </w:r>
            <w:r>
              <w:rPr>
                <w:rFonts w:ascii="宋体" w:hAnsi="宋体" w:cs="宋体" w:eastAsia="宋体" w:hint="default"/>
                <w:sz w:val="18"/>
                <w:szCs w:val="18"/>
              </w:rPr>
              <w:t> </w:t>
            </w:r>
          </w:p>
        </w:tc>
      </w:tr>
      <w:tr>
        <w:trPr>
          <w:trHeight w:val="653" w:hRule="exact"/>
        </w:trPr>
        <w:tc>
          <w:tcPr>
            <w:tcW w:w="1167" w:type="dxa"/>
            <w:vMerge/>
            <w:tcBorders>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sz w:val="18"/>
                <w:szCs w:val="18"/>
              </w:rPr>
              <w:t>预测期</w:t>
            </w:r>
            <w:r>
              <w:rPr>
                <w:rFonts w:ascii="宋体" w:hAnsi="宋体" w:cs="宋体" w:eastAsia="宋体" w:hint="default"/>
                <w:sz w:val="18"/>
                <w:szCs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预测期增长率</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45" w:right="60" w:hanging="181"/>
              <w:jc w:val="left"/>
              <w:rPr>
                <w:rFonts w:ascii="宋体" w:hAnsi="宋体" w:cs="宋体" w:eastAsia="宋体" w:hint="default"/>
                <w:sz w:val="18"/>
                <w:szCs w:val="18"/>
              </w:rPr>
            </w:pPr>
            <w:r>
              <w:rPr>
                <w:rFonts w:ascii="宋体" w:hAnsi="宋体" w:cs="宋体" w:eastAsia="宋体" w:hint="default"/>
                <w:sz w:val="18"/>
                <w:szCs w:val="18"/>
              </w:rPr>
              <w:t>稳定期增 长率</w:t>
            </w:r>
            <w:r>
              <w:rPr>
                <w:rFonts w:ascii="宋体" w:hAnsi="宋体" w:cs="宋体" w:eastAsia="宋体" w:hint="default"/>
                <w:sz w:val="18"/>
                <w:szCs w:val="18"/>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利润率</w:t>
            </w:r>
            <w:r>
              <w:rPr>
                <w:rFonts w:ascii="宋体" w:hAnsi="宋体" w:cs="宋体" w:eastAsia="宋体" w:hint="default"/>
                <w:sz w:val="18"/>
                <w:szCs w:val="18"/>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05" w:right="2" w:hanging="401"/>
              <w:jc w:val="left"/>
              <w:rPr>
                <w:rFonts w:ascii="宋体" w:hAnsi="宋体" w:cs="宋体" w:eastAsia="宋体" w:hint="default"/>
                <w:sz w:val="18"/>
                <w:szCs w:val="18"/>
              </w:rPr>
            </w:pPr>
            <w:r>
              <w:rPr>
                <w:rFonts w:ascii="宋体" w:hAnsi="宋体" w:cs="宋体" w:eastAsia="宋体" w:hint="default"/>
                <w:sz w:val="18"/>
                <w:szCs w:val="18"/>
              </w:rPr>
              <w:t>折现率（税前加权平均资 本成本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WACC</w:t>
            </w:r>
            <w:r>
              <w:rPr>
                <w:rFonts w:ascii="宋体" w:hAnsi="宋体" w:cs="宋体" w:eastAsia="宋体" w:hint="default"/>
                <w:sz w:val="18"/>
                <w:szCs w:val="18"/>
              </w:rPr>
              <w:t>）</w:t>
            </w:r>
            <w:r>
              <w:rPr>
                <w:rFonts w:ascii="宋体" w:hAnsi="宋体" w:cs="宋体" w:eastAsia="宋体" w:hint="default"/>
                <w:sz w:val="18"/>
                <w:szCs w:val="18"/>
              </w:rPr>
              <w:t> </w:t>
            </w:r>
          </w:p>
        </w:tc>
      </w:tr>
      <w:tr>
        <w:trPr>
          <w:trHeight w:val="655" w:hRule="exact"/>
        </w:trPr>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逸信科技</w:t>
            </w:r>
            <w:r>
              <w:rPr>
                <w:rFonts w:ascii="宋体" w:hAnsi="宋体" w:cs="宋体" w:eastAsia="宋体" w:hint="default"/>
                <w:sz w:val="18"/>
                <w:szCs w:val="18"/>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25" w:right="27" w:hanging="495"/>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w:t>
            </w:r>
            <w:r>
              <w:rPr>
                <w:rFonts w:ascii="宋体" w:hAnsi="宋体" w:cs="宋体" w:eastAsia="宋体" w:hint="default"/>
                <w:sz w:val="18"/>
                <w:szCs w:val="18"/>
              </w:rPr>
              <w:t>-2023</w:t>
            </w:r>
            <w:r>
              <w:rPr>
                <w:rFonts w:ascii="宋体" w:hAnsi="宋体" w:cs="宋体" w:eastAsia="宋体" w:hint="default"/>
                <w:spacing w:val="-1"/>
                <w:sz w:val="18"/>
                <w:szCs w:val="18"/>
              </w:rPr>
              <w:t> </w:t>
            </w:r>
            <w:r>
              <w:rPr>
                <w:rFonts w:ascii="宋体" w:hAnsi="宋体" w:cs="宋体" w:eastAsia="宋体" w:hint="default"/>
                <w:sz w:val="18"/>
                <w:szCs w:val="18"/>
              </w:rPr>
              <w:t>年（后续 为稳定期）</w:t>
            </w:r>
            <w:r>
              <w:rPr>
                <w:rFonts w:ascii="宋体" w:hAnsi="宋体" w:cs="宋体" w:eastAsia="宋体" w:hint="default"/>
                <w:sz w:val="18"/>
                <w:szCs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67" w:right="0"/>
              <w:jc w:val="left"/>
              <w:rPr>
                <w:rFonts w:ascii="宋体" w:hAnsi="宋体" w:cs="宋体" w:eastAsia="宋体" w:hint="default"/>
                <w:sz w:val="18"/>
                <w:szCs w:val="18"/>
              </w:rPr>
            </w:pPr>
            <w:r>
              <w:rPr>
                <w:rFonts w:ascii="宋体" w:hAnsi="宋体" w:cs="宋体" w:eastAsia="宋体" w:hint="default"/>
                <w:sz w:val="18"/>
                <w:szCs w:val="18"/>
              </w:rPr>
              <w:t>2019-2012</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w:t>
            </w:r>
          </w:p>
          <w:p>
            <w:pPr>
              <w:pStyle w:val="TableParagraph"/>
              <w:spacing w:line="240" w:lineRule="auto" w:before="76"/>
              <w:ind w:left="259" w:right="0"/>
              <w:jc w:val="left"/>
              <w:rPr>
                <w:rFonts w:ascii="宋体" w:hAnsi="宋体" w:cs="宋体" w:eastAsia="宋体" w:hint="default"/>
                <w:sz w:val="18"/>
                <w:szCs w:val="18"/>
              </w:rPr>
            </w:pPr>
            <w:r>
              <w:rPr>
                <w:rFonts w:ascii="宋体" w:hAnsi="宋体" w:cs="宋体" w:eastAsia="宋体" w:hint="default"/>
                <w:sz w:val="18"/>
                <w:szCs w:val="18"/>
              </w:rPr>
              <w:t>2022-2023</w:t>
            </w:r>
            <w:r>
              <w:rPr>
                <w:rFonts w:ascii="宋体" w:hAnsi="宋体" w:cs="宋体" w:eastAsia="宋体" w:hint="default"/>
                <w:sz w:val="18"/>
                <w:szCs w:val="18"/>
              </w:rPr>
              <w:t>年</w:t>
            </w:r>
            <w:r>
              <w:rPr>
                <w:rFonts w:ascii="宋体" w:hAnsi="宋体" w:cs="宋体" w:eastAsia="宋体" w:hint="default"/>
                <w:sz w:val="18"/>
                <w:szCs w:val="18"/>
              </w:rPr>
              <w:t>2%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持平</w:t>
            </w:r>
            <w:r>
              <w:rPr>
                <w:rFonts w:ascii="宋体" w:hAnsi="宋体" w:cs="宋体" w:eastAsia="宋体" w:hint="default"/>
                <w:sz w:val="18"/>
                <w:szCs w:val="18"/>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35" w:right="-14" w:hanging="531"/>
              <w:jc w:val="left"/>
              <w:rPr>
                <w:rFonts w:ascii="宋体" w:hAnsi="宋体" w:cs="宋体" w:eastAsia="宋体" w:hint="default"/>
                <w:sz w:val="18"/>
                <w:szCs w:val="18"/>
              </w:rPr>
            </w:pPr>
            <w:r>
              <w:rPr>
                <w:rFonts w:ascii="宋体" w:hAnsi="宋体" w:cs="宋体" w:eastAsia="宋体" w:hint="default"/>
                <w:sz w:val="18"/>
                <w:szCs w:val="18"/>
              </w:rPr>
              <w:t>根据预测的收入、成本、 费用等计算</w:t>
            </w:r>
            <w:r>
              <w:rPr>
                <w:rFonts w:ascii="宋体" w:hAnsi="宋体" w:cs="宋体" w:eastAsia="宋体" w:hint="default"/>
                <w:sz w:val="18"/>
                <w:szCs w:val="18"/>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19" w:right="0"/>
              <w:jc w:val="left"/>
              <w:rPr>
                <w:rFonts w:ascii="宋体" w:hAnsi="宋体" w:cs="宋体" w:eastAsia="宋体" w:hint="default"/>
                <w:sz w:val="18"/>
                <w:szCs w:val="18"/>
              </w:rPr>
            </w:pPr>
            <w:r>
              <w:rPr>
                <w:rFonts w:ascii="宋体"/>
                <w:sz w:val="18"/>
              </w:rPr>
              <w:t>15.26% </w:t>
            </w:r>
          </w:p>
        </w:tc>
      </w:tr>
    </w:tbl>
    <w:p>
      <w:pPr>
        <w:spacing w:line="240" w:lineRule="auto" w:before="8"/>
        <w:rPr>
          <w:rFonts w:ascii="宋体" w:hAnsi="宋体" w:cs="宋体" w:eastAsia="宋体" w:hint="default"/>
          <w:sz w:val="6"/>
          <w:szCs w:val="6"/>
        </w:rPr>
      </w:pPr>
    </w:p>
    <w:p>
      <w:pPr>
        <w:pStyle w:val="BodyText"/>
        <w:spacing w:line="316" w:lineRule="auto" w:before="44"/>
        <w:ind w:left="132" w:right="1126" w:firstLine="360"/>
        <w:jc w:val="both"/>
        <w:rPr>
          <w:rFonts w:ascii="宋体" w:hAnsi="宋体" w:cs="宋体" w:eastAsia="宋体" w:hint="default"/>
        </w:rPr>
      </w:pPr>
      <w:r>
        <w:rPr>
          <w:spacing w:val="-1"/>
        </w:rPr>
        <w:t>根据本公司聘请的中水致远资产评估有限公司于</w:t>
      </w:r>
      <w:r>
        <w:rPr>
          <w:rFonts w:ascii="宋体" w:hAnsi="宋体" w:cs="宋体" w:eastAsia="宋体" w:hint="default"/>
          <w:spacing w:val="-1"/>
        </w:rPr>
        <w:t>2019</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19</w:t>
      </w:r>
      <w:r>
        <w:rPr>
          <w:spacing w:val="-1"/>
        </w:rPr>
        <w:t>日出具的中水致远评报字</w:t>
      </w:r>
      <w:r>
        <w:rPr>
          <w:rFonts w:ascii="宋体" w:hAnsi="宋体" w:cs="宋体" w:eastAsia="宋体" w:hint="default"/>
          <w:spacing w:val="-1"/>
        </w:rPr>
        <w:t>[2019]</w:t>
      </w:r>
      <w:r>
        <w:rPr>
          <w:spacing w:val="-1"/>
        </w:rPr>
        <w:t>第</w:t>
      </w:r>
      <w:r>
        <w:rPr>
          <w:rFonts w:ascii="宋体" w:hAnsi="宋体" w:cs="宋体" w:eastAsia="宋体" w:hint="default"/>
          <w:spacing w:val="-1"/>
        </w:rPr>
        <w:t>020138</w:t>
      </w:r>
      <w:r>
        <w:rPr>
          <w:rFonts w:ascii="宋体" w:hAnsi="宋体" w:cs="宋体" w:eastAsia="宋体" w:hint="default"/>
          <w:spacing w:val="46"/>
        </w:rPr>
        <w:t> </w:t>
      </w:r>
      <w:r>
        <w:rPr>
          <w:spacing w:val="-12"/>
        </w:rPr>
        <w:t>号《润建股份有</w:t>
      </w:r>
      <w:r>
        <w:rPr/>
        <w:t> </w:t>
      </w:r>
      <w:r>
        <w:rPr>
          <w:spacing w:val="-2"/>
        </w:rPr>
        <w:t>限公司并购广州逸信电子科技有限公司所涉及的以财务报告为目的的商誉减值测试项目资产评估报告》的评估结果，包含商</w:t>
      </w:r>
      <w:r>
        <w:rPr>
          <w:spacing w:val="-63"/>
        </w:rPr>
        <w:t> </w:t>
      </w:r>
      <w:r>
        <w:rPr>
          <w:spacing w:val="-63"/>
        </w:rPr>
      </w:r>
      <w:r>
        <w:rPr/>
        <w:t>誉的资产组的可收回金额为</w:t>
      </w:r>
      <w:r>
        <w:rPr>
          <w:rFonts w:ascii="宋体" w:hAnsi="宋体" w:cs="宋体" w:eastAsia="宋体" w:hint="default"/>
        </w:rPr>
        <w:t>1,340.00</w:t>
      </w:r>
      <w:r>
        <w:rPr/>
        <w:t>万元，无需计提商誉减值准备。</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3"/>
        <w:spacing w:line="240" w:lineRule="auto"/>
        <w:ind w:left="132" w:right="1032"/>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房屋装修费用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1,298,583.29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380,595.24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917,988.05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1,298,583.29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380,595.24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917,988.05</w:t>
            </w:r>
          </w:p>
        </w:tc>
      </w:tr>
    </w:tbl>
    <w:p>
      <w:pPr>
        <w:spacing w:line="240" w:lineRule="auto" w:before="3"/>
        <w:rPr>
          <w:rFonts w:ascii="宋体" w:hAnsi="宋体" w:cs="宋体" w:eastAsia="宋体" w:hint="default"/>
          <w:sz w:val="19"/>
          <w:szCs w:val="19"/>
        </w:rPr>
      </w:pPr>
    </w:p>
    <w:p>
      <w:pPr>
        <w:pStyle w:val="Heading3"/>
        <w:spacing w:line="240" w:lineRule="auto" w:before="36"/>
        <w:ind w:left="132" w:right="1032"/>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32" w:right="1032"/>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2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141,573,642.00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21,237,613.30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100,536,263.57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15,083,052.48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1,123,271.56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280,817.89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11,440.80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2,860.20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111,405,237.56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16,838,438.66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156,016,761.03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23,721,901.34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254,102,151.12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38,356,869.85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256,564,465.40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38,807,814.02</w:t>
            </w:r>
          </w:p>
        </w:tc>
      </w:tr>
    </w:tbl>
    <w:p>
      <w:pPr>
        <w:spacing w:line="240" w:lineRule="auto" w:before="3"/>
        <w:rPr>
          <w:rFonts w:ascii="宋体" w:hAnsi="宋体" w:cs="宋体" w:eastAsia="宋体" w:hint="default"/>
          <w:sz w:val="19"/>
          <w:szCs w:val="19"/>
        </w:rPr>
      </w:pPr>
    </w:p>
    <w:p>
      <w:pPr>
        <w:pStyle w:val="Heading3"/>
        <w:spacing w:line="240" w:lineRule="auto" w:before="36"/>
        <w:ind w:left="132" w:right="1032"/>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1032"/>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32" w:right="1032"/>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38,356,869.85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38,807,814.02</w:t>
            </w:r>
          </w:p>
        </w:tc>
      </w:tr>
    </w:tbl>
    <w:p>
      <w:pPr>
        <w:spacing w:after="0" w:line="240" w:lineRule="auto"/>
        <w:jc w:val="left"/>
        <w:rPr>
          <w:rFonts w:ascii="Times New Roman" w:hAnsi="Times New Roman" w:cs="Times New Roman" w:eastAsia="Times New Roman" w:hint="default"/>
          <w:sz w:val="18"/>
          <w:szCs w:val="18"/>
        </w:rPr>
        <w:sectPr>
          <w:pgSz w:w="11910" w:h="16840"/>
          <w:pgMar w:header="910" w:footer="1013" w:top="1100" w:bottom="1200" w:left="1000" w:right="0"/>
        </w:sectPr>
      </w:pPr>
    </w:p>
    <w:p>
      <w:pPr>
        <w:spacing w:line="240" w:lineRule="auto" w:before="7"/>
        <w:rPr>
          <w:rFonts w:ascii="宋体" w:hAnsi="宋体" w:cs="宋体" w:eastAsia="宋体" w:hint="default"/>
          <w:sz w:val="21"/>
          <w:szCs w:val="21"/>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12,485.48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12,485.48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393"/>
        <w:gridCol w:w="2393"/>
      </w:tblGrid>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3,900.95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4,343.14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3,679.53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1,044.68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12,968.30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rFonts w:ascii="Times New Roman" w:hAnsi="Times New Roman" w:cs="Times New Roman" w:eastAsia="Times New Roman" w:hint="default"/>
        </w:rPr>
        <w:t>25</w:t>
      </w:r>
      <w:r>
        <w:rPr/>
        <w:t>、其他非流动资产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预付购置固定资产款项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656,341.88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招商银行大额存单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656,341.88</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rFonts w:ascii="Times New Roman" w:hAnsi="Times New Roman" w:cs="Times New Roman" w:eastAsia="Times New Roman" w:hint="default"/>
        </w:rPr>
        <w:t>26</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77"/>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122,300,000.00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152,300,000.00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77"/>
        <w:jc w:val="left"/>
      </w:pPr>
      <w:r>
        <w:rPr/>
        <w:t>本期末已逾期未偿还的短期借款总额为</w:t>
      </w:r>
      <w:r>
        <w:rPr>
          <w:spacing w:val="-45"/>
        </w:rPr>
        <w:t> </w:t>
      </w:r>
      <w:r>
        <w:rPr>
          <w:rFonts w:ascii="Times New Roman" w:hAnsi="Times New Roman" w:cs="Times New Roman" w:eastAsia="Times New Roman" w:hint="default"/>
        </w:rPr>
        <w:t>0.00 </w:t>
      </w:r>
      <w:r>
        <w:rPr/>
        <w:t>元。</w:t>
      </w:r>
    </w:p>
    <w:p>
      <w:pPr>
        <w:spacing w:after="0" w:line="240" w:lineRule="auto"/>
        <w:jc w:val="left"/>
        <w:sectPr>
          <w:pgSz w:w="11910" w:h="16840"/>
          <w:pgMar w:header="910" w:footer="1013" w:top="1100" w:bottom="1200" w:left="1020" w:right="0"/>
        </w:sectPr>
      </w:pPr>
    </w:p>
    <w:p>
      <w:pPr>
        <w:spacing w:line="240" w:lineRule="auto" w:before="7"/>
        <w:rPr>
          <w:rFonts w:ascii="宋体" w:hAnsi="宋体" w:cs="宋体" w:eastAsia="宋体" w:hint="default"/>
          <w:sz w:val="21"/>
          <w:szCs w:val="21"/>
        </w:rPr>
      </w:pPr>
    </w:p>
    <w:p>
      <w:pPr>
        <w:pStyle w:val="Heading3"/>
        <w:spacing w:line="240" w:lineRule="auto" w:before="36"/>
        <w:ind w:right="977"/>
        <w:jc w:val="left"/>
        <w:rPr>
          <w:b w:val="0"/>
          <w:bCs w:val="0"/>
        </w:rPr>
      </w:pP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rFonts w:ascii="Times New Roman" w:hAnsi="Times New Roman" w:cs="Times New Roman" w:eastAsia="Times New Roman" w:hint="default"/>
        </w:rPr>
        <w:t>28</w:t>
      </w:r>
      <w:r>
        <w:rPr/>
        <w:t>、衍生金融负债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29</w:t>
      </w:r>
      <w:r>
        <w:rPr/>
        <w:t>、应付票据及应付账款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593,392,685.27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539,854,990.24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823,392,685.27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559,854,990.24</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r>
    </w:tbl>
    <w:p>
      <w:pPr>
        <w:pStyle w:val="BodyText"/>
        <w:spacing w:line="240" w:lineRule="auto" w:before="51"/>
        <w:ind w:right="977"/>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977"/>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应付劳务费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422,697,628.75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424,144,488.93</w:t>
            </w:r>
            <w:r>
              <w:rPr>
                <w:rFonts w:ascii="Times New Roman"/>
                <w:sz w:val="18"/>
              </w:rPr>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应付暂估款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127,351,825.19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86,406,343.14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20,520,749.38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16,336,680.73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15,812,462.13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9,974,507.61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应付固定资产购置款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6,991,909.99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2,974,860.00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应付技术服务费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18,109.83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18,109.83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593,392,685.27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539,854,990.24</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910" w:footer="1013" w:top="1100" w:bottom="1200" w:left="1020" w:right="0"/>
        </w:sectPr>
      </w:pPr>
    </w:p>
    <w:p>
      <w:pPr>
        <w:spacing w:line="240" w:lineRule="auto" w:before="2"/>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广西展飞建筑劳务有限公司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2,649,341.56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广东邮电人才服务有限公司中山分公司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497,179.02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3,146,520.58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77"/>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预收工程款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160,046,575.92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127,250,149.79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预收设计服务费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4,096,397.38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2,465,323.18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164,142,973.30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129,715,472.97</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687"/>
        <w:gridCol w:w="2693"/>
        <w:gridCol w:w="3190"/>
      </w:tblGrid>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中国移动通信集团福建有限公司南平分公司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8,389,010.74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广东联通通信建设有限公司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5,996,286.74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中移建设有限公司广西分公司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4,652,849.40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广西天昌投资有限公司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3,021,576.34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中国铁塔股份有限公司成都市分公司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2,084,155.03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24,143,878.25</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77"/>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0"/>
              <w:jc w:val="right"/>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97"/>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249,112,182.46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720,564,133.18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802,081,378.04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167,594,937.60</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1,351,097.38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61,573,887.06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62,591,681.85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333,302.59</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1020" w:right="0"/>
        </w:sectPr>
      </w:pPr>
    </w:p>
    <w:p>
      <w:pPr>
        <w:spacing w:line="240" w:lineRule="auto" w:before="2"/>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377,862.90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377,862.90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250,463,279.84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782,515,883.14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865,050,922.79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167,928,240.19</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248,528,360.85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643,858,179.37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724,979,213.08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167,407,327.14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35,059,349.46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35,059,349.46</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w w:val="95"/>
                <w:sz w:val="18"/>
              </w:rPr>
              <w:t>557,128.29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28,998,604.49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29,385,146.64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170,586.14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499,883.30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24,560,803.31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24,893,294.40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167,392.21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8,935.59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1,541,483.31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1,550,214.42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204.48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48,309.40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2,896,317.87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2,941,637.82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2,989.45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26,693.32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6,745,150.58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6,754,819.58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17,024.32</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5,902,849.28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5,902,849.28</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249,112,182.46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720,564,133.18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802,081,378.04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167,594,937.60</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1,330,266.74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59,495,462.33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60,500,162.83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325,566.24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20,830.64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2,078,424.73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2,091,519.02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7,736.35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1,351,097.38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61,573,887.06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62,591,681.85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333,302.59</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rFonts w:ascii="Times New Roman" w:hAnsi="Times New Roman" w:cs="Times New Roman" w:eastAsia="Times New Roman" w:hint="default"/>
        </w:rPr>
        <w:t>32</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87,777,813.11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47,496,422.06</w:t>
            </w:r>
            <w:r>
              <w:rPr>
                <w:rFonts w:ascii="Times New Roman"/>
                <w:sz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13,143,306.85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31,992,854.74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497,828.92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1,966,960.35</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1020" w:right="0"/>
        </w:sectPr>
      </w:pPr>
    </w:p>
    <w:p>
      <w:pPr>
        <w:spacing w:line="240" w:lineRule="auto" w:before="2"/>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3,440,988.55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1,783,040.31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73,550.43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2,189,042.16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2,611,414.26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107,048,979.59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85,924,242.15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rFonts w:ascii="Times New Roman" w:hAnsi="Times New Roman" w:cs="Times New Roman" w:eastAsia="Times New Roman" w:hint="default"/>
        </w:rPr>
        <w:t>33</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122,564.10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20,847,536.84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5,273,249.95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20,847,536.84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5,395,814.05</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29,422.90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93,141.20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122,564.10</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77"/>
        <w:jc w:val="left"/>
      </w:pPr>
      <w:r>
        <w:rPr>
          <w:rFonts w:ascii="Times New Roman" w:hAnsi="Times New Roman" w:cs="Times New Roman" w:eastAsia="Times New Roman" w:hint="default"/>
        </w:rPr>
        <w:t>1)</w:t>
      </w:r>
      <w:r>
        <w:rPr/>
        <w:t>按款项性质列示其他应付款</w:t>
      </w:r>
    </w:p>
    <w:p>
      <w:pPr>
        <w:pStyle w:val="BodyText"/>
        <w:spacing w:line="240" w:lineRule="auto" w:before="10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19,940,319.37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1,906,992.35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459,606.00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1,158,591.93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447,611.47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代扣代缴社保金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1,016,600.31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1,191,065.36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20,847,536.84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5,273,249.95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1020" w:right="0"/>
        </w:sectPr>
      </w:pPr>
    </w:p>
    <w:p>
      <w:pPr>
        <w:spacing w:line="240" w:lineRule="auto" w:before="7"/>
        <w:rPr>
          <w:rFonts w:ascii="宋体" w:hAnsi="宋体" w:cs="宋体" w:eastAsia="宋体" w:hint="default"/>
          <w:sz w:val="21"/>
          <w:szCs w:val="21"/>
        </w:rPr>
      </w:pPr>
    </w:p>
    <w:p>
      <w:pPr>
        <w:pStyle w:val="Heading3"/>
        <w:spacing w:line="240" w:lineRule="auto" w:before="36"/>
        <w:ind w:right="977"/>
        <w:jc w:val="left"/>
        <w:rPr>
          <w:b w:val="0"/>
          <w:bCs w:val="0"/>
        </w:rPr>
      </w:pPr>
      <w:r>
        <w:rPr>
          <w:rFonts w:ascii="Times New Roman" w:hAnsi="Times New Roman" w:cs="Times New Roman" w:eastAsia="Times New Roman" w:hint="default"/>
        </w:rPr>
        <w:t>34</w:t>
      </w:r>
      <w:r>
        <w:rPr/>
        <w:t>、持有待售负债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rFonts w:ascii="Times New Roman" w:hAnsi="Times New Roman" w:cs="Times New Roman" w:eastAsia="Times New Roman" w:hint="default"/>
        </w:rPr>
        <w:t>35</w:t>
      </w:r>
      <w:r>
        <w:rPr/>
        <w:t>、一年内到期的非流动负债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1,508,247.22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1,508,247.22</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rFonts w:ascii="Times New Roman" w:hAnsi="Times New Roman" w:cs="Times New Roman" w:eastAsia="Times New Roman" w:hint="default"/>
        </w:rPr>
        <w:t>36</w:t>
      </w:r>
      <w:r>
        <w:rPr/>
        <w:t>、其他流动负债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108,521.85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108,521.85</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77"/>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12,029,483.06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12,029,483.06</w:t>
            </w:r>
          </w:p>
        </w:tc>
      </w:tr>
    </w:tbl>
    <w:p>
      <w:pPr>
        <w:spacing w:line="240" w:lineRule="auto" w:before="8"/>
        <w:rPr>
          <w:rFonts w:ascii="宋体" w:hAnsi="宋体" w:cs="宋体" w:eastAsia="宋体" w:hint="default"/>
          <w:sz w:val="6"/>
          <w:szCs w:val="6"/>
        </w:rPr>
      </w:pPr>
    </w:p>
    <w:p>
      <w:pPr>
        <w:pStyle w:val="BodyText"/>
        <w:spacing w:line="316" w:lineRule="auto" w:before="44"/>
        <w:ind w:right="1034" w:firstLine="360"/>
        <w:jc w:val="left"/>
        <w:rPr>
          <w:rFonts w:ascii="宋体" w:hAnsi="宋体" w:cs="宋体" w:eastAsia="宋体" w:hint="default"/>
        </w:rPr>
      </w:pPr>
      <w:r>
        <w:rPr/>
        <w:t>公司以房产及建筑物为抵押资产，取得桂林银行南宁分行借款</w:t>
      </w:r>
      <w:r>
        <w:rPr>
          <w:rFonts w:ascii="宋体" w:hAnsi="宋体" w:cs="宋体" w:eastAsia="宋体" w:hint="default"/>
        </w:rPr>
        <w:t>16,980,000.00</w:t>
      </w:r>
      <w:r>
        <w:rPr/>
        <w:t>元，期限自</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w:t>
      </w:r>
      <w:r>
        <w:rPr/>
        <w:t>日至</w:t>
      </w:r>
      <w:r>
        <w:rPr>
          <w:rFonts w:ascii="宋体" w:hAnsi="宋体" w:cs="宋体" w:eastAsia="宋体" w:hint="default"/>
        </w:rPr>
        <w:t>2025</w:t>
      </w:r>
      <w:r>
        <w:rPr/>
        <w:t>年</w:t>
      </w:r>
      <w:r>
        <w:rPr>
          <w:rFonts w:ascii="宋体" w:hAnsi="宋体" w:cs="宋体" w:eastAsia="宋体" w:hint="default"/>
        </w:rPr>
        <w:t>5</w:t>
      </w:r>
      <w:r>
        <w:rPr/>
        <w:t>月</w:t>
      </w:r>
      <w:r>
        <w:rPr>
          <w:rFonts w:ascii="宋体" w:hAnsi="宋体" w:cs="宋体" w:eastAsia="宋体" w:hint="default"/>
        </w:rPr>
        <w:t>20</w:t>
      </w:r>
      <w:r>
        <w:rPr>
          <w:rFonts w:ascii="宋体" w:hAnsi="宋体" w:cs="宋体" w:eastAsia="宋体" w:hint="default"/>
          <w:spacing w:val="1"/>
        </w:rPr>
        <w:t> </w:t>
      </w:r>
      <w:r>
        <w:rPr/>
        <w:t>日，年利率为</w:t>
      </w:r>
      <w:r>
        <w:rPr>
          <w:rFonts w:ascii="宋体" w:hAnsi="宋体" w:cs="宋体" w:eastAsia="宋体" w:hint="default"/>
        </w:rPr>
        <w:t>6.49%</w:t>
      </w:r>
      <w:r>
        <w:rPr/>
        <w:t>，采取等额本息方式还款，公司已于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28</w:t>
      </w:r>
      <w:r>
        <w:rPr/>
        <w:t>日全额偿还借款，截至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日借款余额为零， 债务履行完毕。</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3"/>
        <w:spacing w:line="240" w:lineRule="auto"/>
        <w:ind w:right="977"/>
        <w:jc w:val="left"/>
        <w:rPr>
          <w:b w:val="0"/>
          <w:bCs w:val="0"/>
        </w:rPr>
      </w:pPr>
      <w:r>
        <w:rPr>
          <w:rFonts w:ascii="Times New Roman" w:hAnsi="Times New Roman" w:cs="Times New Roman" w:eastAsia="Times New Roman" w:hint="default"/>
        </w:rPr>
        <w:t>38</w:t>
      </w:r>
      <w:r>
        <w:rPr/>
        <w:t>、应付债券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39</w:t>
      </w:r>
      <w:r>
        <w:rPr/>
        <w:t>、长期应付款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rFonts w:ascii="Times New Roman" w:hAnsi="Times New Roman" w:cs="Times New Roman" w:eastAsia="Times New Roman" w:hint="default"/>
        </w:rPr>
        <w:t>40</w:t>
      </w:r>
      <w:r>
        <w:rPr/>
        <w:t>、长期应付职工薪酬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after="0" w:line="240" w:lineRule="auto"/>
        <w:jc w:val="left"/>
        <w:sectPr>
          <w:pgSz w:w="11910" w:h="16840"/>
          <w:pgMar w:header="910" w:footer="1013" w:top="1100" w:bottom="1200" w:left="1020" w:right="0"/>
        </w:sectPr>
      </w:pPr>
    </w:p>
    <w:p>
      <w:pPr>
        <w:spacing w:line="240" w:lineRule="auto" w:before="7"/>
        <w:rPr>
          <w:rFonts w:ascii="宋体" w:hAnsi="宋体" w:cs="宋体" w:eastAsia="宋体" w:hint="default"/>
          <w:sz w:val="21"/>
          <w:szCs w:val="21"/>
        </w:rPr>
      </w:pPr>
    </w:p>
    <w:p>
      <w:pPr>
        <w:pStyle w:val="Heading3"/>
        <w:spacing w:line="240" w:lineRule="auto" w:before="36"/>
        <w:ind w:right="977"/>
        <w:jc w:val="left"/>
        <w:rPr>
          <w:b w:val="0"/>
          <w:bCs w:val="0"/>
        </w:rPr>
      </w:pPr>
      <w:r>
        <w:rPr>
          <w:rFonts w:ascii="Times New Roman" w:hAnsi="Times New Roman" w:cs="Times New Roman" w:eastAsia="Times New Roman" w:hint="default"/>
        </w:rPr>
        <w:t>41</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rFonts w:ascii="Times New Roman" w:hAnsi="Times New Roman" w:cs="Times New Roman" w:eastAsia="Times New Roman" w:hint="default"/>
        </w:rPr>
        <w:t>42</w:t>
      </w:r>
      <w:r>
        <w:rPr/>
        <w:t>、递延收益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43</w:t>
      </w:r>
      <w:r>
        <w:rPr/>
        <w:t>、其他非流动负债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rFonts w:ascii="Times New Roman" w:hAnsi="Times New Roman" w:cs="Times New Roman" w:eastAsia="Times New Roman" w:hint="default"/>
        </w:rPr>
        <w:t>44</w:t>
      </w:r>
      <w:r>
        <w:rPr/>
        <w:t>、股本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4"/>
        <w:gridCol w:w="1640"/>
        <w:gridCol w:w="1418"/>
        <w:gridCol w:w="711"/>
        <w:gridCol w:w="1274"/>
        <w:gridCol w:w="566"/>
        <w:gridCol w:w="1277"/>
        <w:gridCol w:w="1488"/>
      </w:tblGrid>
      <w:tr>
        <w:trPr>
          <w:trHeight w:val="401" w:hRule="exact"/>
        </w:trPr>
        <w:tc>
          <w:tcPr>
            <w:tcW w:w="11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24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8"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640"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8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2" w:right="0"/>
              <w:jc w:val="left"/>
              <w:rPr>
                <w:rFonts w:ascii="Times New Roman" w:hAnsi="Times New Roman" w:cs="Times New Roman" w:eastAsia="Times New Roman" w:hint="default"/>
                <w:sz w:val="18"/>
                <w:szCs w:val="18"/>
              </w:rPr>
            </w:pPr>
            <w:r>
              <w:rPr>
                <w:rFonts w:ascii="Times New Roman"/>
                <w:sz w:val="18"/>
              </w:rPr>
              <w:t>165,559,747.00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2" w:right="0"/>
              <w:jc w:val="left"/>
              <w:rPr>
                <w:rFonts w:ascii="Times New Roman" w:hAnsi="Times New Roman" w:cs="Times New Roman" w:eastAsia="Times New Roman" w:hint="default"/>
                <w:sz w:val="18"/>
                <w:szCs w:val="18"/>
              </w:rPr>
            </w:pPr>
            <w:r>
              <w:rPr>
                <w:rFonts w:ascii="Times New Roman"/>
                <w:sz w:val="18"/>
              </w:rPr>
              <w:t>55,186,600.00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55,186,600.00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1" w:right="0"/>
              <w:jc w:val="left"/>
              <w:rPr>
                <w:rFonts w:ascii="Times New Roman" w:hAnsi="Times New Roman" w:cs="Times New Roman" w:eastAsia="Times New Roman" w:hint="default"/>
                <w:sz w:val="18"/>
                <w:szCs w:val="18"/>
              </w:rPr>
            </w:pPr>
            <w:r>
              <w:rPr>
                <w:rFonts w:ascii="Times New Roman"/>
                <w:sz w:val="18"/>
              </w:rPr>
              <w:t>220,746,347.00</w:t>
            </w:r>
          </w:p>
        </w:tc>
      </w:tr>
    </w:tbl>
    <w:p>
      <w:pPr>
        <w:pStyle w:val="BodyText"/>
        <w:spacing w:line="240" w:lineRule="auto" w:before="51"/>
        <w:ind w:right="977"/>
        <w:jc w:val="left"/>
      </w:pPr>
      <w:r>
        <w:rPr/>
        <w:t>其他说明：</w:t>
      </w:r>
    </w:p>
    <w:p>
      <w:pPr>
        <w:spacing w:line="240" w:lineRule="auto" w:before="3"/>
        <w:rPr>
          <w:rFonts w:ascii="宋体" w:hAnsi="宋体" w:cs="宋体" w:eastAsia="宋体" w:hint="default"/>
          <w:sz w:val="15"/>
          <w:szCs w:val="15"/>
        </w:rPr>
      </w:pPr>
    </w:p>
    <w:p>
      <w:pPr>
        <w:pStyle w:val="BodyText"/>
        <w:spacing w:line="297" w:lineRule="auto"/>
        <w:ind w:right="977"/>
        <w:jc w:val="left"/>
      </w:pP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26</w:t>
      </w:r>
      <w:r>
        <w:rPr>
          <w:spacing w:val="-1"/>
        </w:rPr>
        <w:t>日向社会公众投资者定价发行人民币普通股（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55,186,600.00</w:t>
      </w:r>
      <w:r>
        <w:rPr>
          <w:spacing w:val="-1"/>
        </w:rPr>
        <w:t>股，每股面值人民币</w:t>
      </w:r>
      <w:r>
        <w:rPr>
          <w:rFonts w:ascii="Times New Roman" w:hAnsi="Times New Roman" w:cs="Times New Roman" w:eastAsia="Times New Roman" w:hint="default"/>
          <w:spacing w:val="-1"/>
        </w:rPr>
        <w:t>1.00</w:t>
      </w:r>
      <w:r>
        <w:rPr>
          <w:spacing w:val="-1"/>
        </w:rPr>
        <w:t>元，每股发行</w:t>
      </w:r>
      <w:r>
        <w:rPr>
          <w:spacing w:val="-69"/>
        </w:rPr>
        <w:t> </w:t>
      </w:r>
      <w:r>
        <w:rPr>
          <w:spacing w:val="-69"/>
        </w:rPr>
      </w:r>
      <w:r>
        <w:rPr/>
        <w:t>认购价格为人民币</w:t>
      </w:r>
      <w:r>
        <w:rPr>
          <w:rFonts w:ascii="Times New Roman" w:hAnsi="Times New Roman" w:cs="Times New Roman" w:eastAsia="Times New Roman" w:hint="default"/>
        </w:rPr>
        <w:t>23.95</w:t>
      </w:r>
      <w:r>
        <w:rPr/>
        <w:t>元，经此发行，注册资本变更为人民币</w:t>
      </w:r>
      <w:r>
        <w:rPr>
          <w:rFonts w:ascii="Times New Roman" w:hAnsi="Times New Roman" w:cs="Times New Roman" w:eastAsia="Times New Roman" w:hint="default"/>
        </w:rPr>
        <w:t>220,746,347.00</w:t>
      </w:r>
      <w:r>
        <w:rPr/>
        <w:t>元。</w:t>
      </w:r>
    </w:p>
    <w:p>
      <w:pPr>
        <w:spacing w:line="240" w:lineRule="auto" w:before="4"/>
        <w:rPr>
          <w:rFonts w:ascii="宋体" w:hAnsi="宋体" w:cs="宋体" w:eastAsia="宋体" w:hint="default"/>
          <w:sz w:val="22"/>
          <w:szCs w:val="22"/>
        </w:rPr>
      </w:pPr>
    </w:p>
    <w:p>
      <w:pPr>
        <w:pStyle w:val="Heading3"/>
        <w:spacing w:line="240" w:lineRule="auto"/>
        <w:ind w:right="977"/>
        <w:jc w:val="left"/>
        <w:rPr>
          <w:b w:val="0"/>
          <w:bCs w:val="0"/>
        </w:rPr>
      </w:pPr>
      <w:r>
        <w:rPr>
          <w:rFonts w:ascii="Times New Roman" w:hAnsi="Times New Roman" w:cs="Times New Roman" w:eastAsia="Times New Roman" w:hint="default"/>
        </w:rPr>
        <w:t>45</w:t>
      </w:r>
      <w:r>
        <w:rPr/>
        <w:t>、其他权益工具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rFonts w:ascii="Times New Roman" w:hAnsi="Times New Roman" w:cs="Times New Roman" w:eastAsia="Times New Roman" w:hint="default"/>
        </w:rPr>
        <w:t>46</w:t>
      </w:r>
      <w:r>
        <w:rPr/>
        <w:t>、资本公积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205,531,891.95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1" w:right="0"/>
              <w:jc w:val="left"/>
              <w:rPr>
                <w:rFonts w:ascii="Times New Roman" w:hAnsi="Times New Roman" w:cs="Times New Roman" w:eastAsia="Times New Roman" w:hint="default"/>
                <w:sz w:val="18"/>
                <w:szCs w:val="18"/>
              </w:rPr>
            </w:pPr>
            <w:r>
              <w:rPr>
                <w:rFonts w:ascii="Times New Roman"/>
                <w:sz w:val="18"/>
              </w:rPr>
              <w:t>1,200,773,979.43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1" w:right="0"/>
              <w:jc w:val="left"/>
              <w:rPr>
                <w:rFonts w:ascii="Times New Roman" w:hAnsi="Times New Roman" w:cs="Times New Roman" w:eastAsia="Times New Roman" w:hint="default"/>
                <w:sz w:val="18"/>
                <w:szCs w:val="18"/>
              </w:rPr>
            </w:pPr>
            <w:r>
              <w:rPr>
                <w:rFonts w:ascii="Times New Roman"/>
                <w:sz w:val="18"/>
              </w:rPr>
              <w:t>1,406,305,871.38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205,531,891.95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1" w:right="0"/>
              <w:jc w:val="left"/>
              <w:rPr>
                <w:rFonts w:ascii="Times New Roman" w:hAnsi="Times New Roman" w:cs="Times New Roman" w:eastAsia="Times New Roman" w:hint="default"/>
                <w:sz w:val="18"/>
                <w:szCs w:val="18"/>
              </w:rPr>
            </w:pPr>
            <w:r>
              <w:rPr>
                <w:rFonts w:ascii="Times New Roman"/>
                <w:sz w:val="18"/>
              </w:rPr>
              <w:t>1,200,773,979.43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1" w:right="0"/>
              <w:jc w:val="left"/>
              <w:rPr>
                <w:rFonts w:ascii="Times New Roman" w:hAnsi="Times New Roman" w:cs="Times New Roman" w:eastAsia="Times New Roman" w:hint="default"/>
                <w:sz w:val="18"/>
                <w:szCs w:val="18"/>
              </w:rPr>
            </w:pPr>
            <w:r>
              <w:rPr>
                <w:rFonts w:ascii="Times New Roman"/>
                <w:sz w:val="18"/>
              </w:rPr>
              <w:t>1,406,305,871.38</w:t>
            </w:r>
          </w:p>
        </w:tc>
      </w:tr>
    </w:tbl>
    <w:p>
      <w:pPr>
        <w:pStyle w:val="BodyText"/>
        <w:spacing w:line="357" w:lineRule="auto" w:before="51"/>
        <w:ind w:right="1399"/>
        <w:jc w:val="left"/>
      </w:pPr>
      <w:r>
        <w:rPr/>
        <w:t>其他说明，包括本期增减变动情况、变动原因说明：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日向社会公众投资者定价发行人民币普通股（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55,186,600.00</w:t>
      </w:r>
      <w:r>
        <w:rPr/>
        <w:t>股，共收到募集资金净额为人民币</w:t>
      </w:r>
    </w:p>
    <w:p>
      <w:pPr>
        <w:pStyle w:val="BodyText"/>
        <w:spacing w:line="214" w:lineRule="exact"/>
        <w:ind w:right="977"/>
        <w:jc w:val="left"/>
      </w:pPr>
      <w:r>
        <w:rPr>
          <w:rFonts w:ascii="Times New Roman" w:hAnsi="Times New Roman" w:cs="Times New Roman" w:eastAsia="Times New Roman" w:hint="default"/>
        </w:rPr>
        <w:t>1,255,960,579.43</w:t>
      </w:r>
      <w:r>
        <w:rPr/>
        <w:t>元，其中计入</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55,186,600.00</w:t>
      </w:r>
      <w:r>
        <w:rPr/>
        <w:t>元，计入</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1,200,773,979.43</w:t>
      </w:r>
      <w:r>
        <w:rPr/>
        <w:t>元。</w:t>
      </w:r>
    </w:p>
    <w:p>
      <w:pPr>
        <w:spacing w:line="240" w:lineRule="auto" w:before="13"/>
        <w:rPr>
          <w:rFonts w:ascii="宋体" w:hAnsi="宋体" w:cs="宋体" w:eastAsia="宋体" w:hint="default"/>
          <w:sz w:val="25"/>
          <w:szCs w:val="25"/>
        </w:rPr>
      </w:pPr>
    </w:p>
    <w:p>
      <w:pPr>
        <w:pStyle w:val="Heading3"/>
        <w:spacing w:line="240" w:lineRule="auto"/>
        <w:ind w:right="977"/>
        <w:jc w:val="left"/>
        <w:rPr>
          <w:b w:val="0"/>
          <w:bCs w:val="0"/>
        </w:rPr>
      </w:pPr>
      <w:r>
        <w:rPr>
          <w:rFonts w:ascii="Times New Roman" w:hAnsi="Times New Roman" w:cs="Times New Roman" w:eastAsia="Times New Roman" w:hint="default"/>
        </w:rPr>
        <w:t>47</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77"/>
        <w:jc w:val="left"/>
      </w:pPr>
      <w:r>
        <w:rPr/>
        <w:t>无。</w:t>
      </w:r>
    </w:p>
    <w:p>
      <w:pPr>
        <w:spacing w:after="0" w:line="240" w:lineRule="auto"/>
        <w:jc w:val="left"/>
        <w:sectPr>
          <w:pgSz w:w="11910" w:h="16840"/>
          <w:pgMar w:header="910" w:footer="1013" w:top="1100" w:bottom="1200" w:left="1020" w:right="0"/>
        </w:sectPr>
      </w:pPr>
    </w:p>
    <w:p>
      <w:pPr>
        <w:spacing w:line="240" w:lineRule="auto" w:before="7"/>
        <w:rPr>
          <w:rFonts w:ascii="宋体" w:hAnsi="宋体" w:cs="宋体" w:eastAsia="宋体" w:hint="default"/>
          <w:sz w:val="21"/>
          <w:szCs w:val="21"/>
        </w:rPr>
      </w:pPr>
    </w:p>
    <w:p>
      <w:pPr>
        <w:pStyle w:val="Heading3"/>
        <w:spacing w:line="240" w:lineRule="auto" w:before="36"/>
        <w:ind w:right="977"/>
        <w:jc w:val="left"/>
        <w:rPr>
          <w:b w:val="0"/>
          <w:bCs w:val="0"/>
        </w:rPr>
      </w:pPr>
      <w:r>
        <w:rPr>
          <w:rFonts w:ascii="Times New Roman" w:hAnsi="Times New Roman" w:cs="Times New Roman" w:eastAsia="Times New Roman" w:hint="default"/>
        </w:rPr>
        <w:t>48</w:t>
      </w:r>
      <w:r>
        <w:rPr/>
        <w:t>、其他综合收益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33,509,270.36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25,705,586.00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20,284,084.01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38,930,772.35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33,509,270.36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25,705,586.00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20,284,084.01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38,930,772.35</w:t>
            </w:r>
          </w:p>
        </w:tc>
      </w:tr>
    </w:tbl>
    <w:p>
      <w:pPr>
        <w:pStyle w:val="BodyText"/>
        <w:spacing w:line="441" w:lineRule="auto" w:before="52"/>
        <w:ind w:right="977"/>
        <w:jc w:val="left"/>
        <w:rPr>
          <w:rFonts w:ascii="宋体" w:hAnsi="宋体" w:cs="宋体" w:eastAsia="宋体" w:hint="default"/>
        </w:rPr>
      </w:pPr>
      <w:r>
        <w:rPr/>
        <w:t>其他说明，包括本期增减变动情况、变动原因说明： 专项储备本期增加额系依据通信网络建设服务收入计提安全生产费，</w:t>
      </w:r>
      <w:r>
        <w:rPr>
          <w:rFonts w:ascii="宋体" w:hAnsi="宋体" w:cs="宋体" w:eastAsia="宋体" w:hint="default"/>
        </w:rPr>
        <w:t>2018</w:t>
      </w:r>
      <w:r>
        <w:rPr/>
        <w:t>年实际使用</w:t>
      </w:r>
      <w:r>
        <w:rPr>
          <w:rFonts w:ascii="宋体" w:hAnsi="宋体" w:cs="宋体" w:eastAsia="宋体" w:hint="default"/>
        </w:rPr>
        <w:t>20,284,084.01</w:t>
      </w:r>
      <w:r>
        <w:rPr/>
        <w:t>元。</w:t>
      </w:r>
      <w:r>
        <w:rPr>
          <w:rFonts w:ascii="宋体" w:hAnsi="宋体" w:cs="宋体" w:eastAsia="宋体" w:hint="default"/>
        </w:rPr>
        <w:t> </w:t>
      </w:r>
    </w:p>
    <w:p>
      <w:pPr>
        <w:spacing w:line="240" w:lineRule="auto" w:before="4"/>
        <w:rPr>
          <w:rFonts w:ascii="宋体" w:hAnsi="宋体" w:cs="宋体" w:eastAsia="宋体" w:hint="default"/>
          <w:sz w:val="15"/>
          <w:szCs w:val="15"/>
        </w:rPr>
      </w:pPr>
    </w:p>
    <w:p>
      <w:pPr>
        <w:pStyle w:val="Heading3"/>
        <w:spacing w:line="240" w:lineRule="auto"/>
        <w:ind w:right="977"/>
        <w:jc w:val="left"/>
        <w:rPr>
          <w:b w:val="0"/>
          <w:bCs w:val="0"/>
        </w:rPr>
      </w:pPr>
      <w:r>
        <w:rPr>
          <w:rFonts w:ascii="Times New Roman" w:hAnsi="Times New Roman" w:cs="Times New Roman" w:eastAsia="Times New Roman" w:hint="default"/>
        </w:rPr>
        <w:t>50</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84,268,329.48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20,543,459.68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104,811,789.16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84,268,329.48</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20,543,459.68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104,811,789.16</w:t>
            </w:r>
          </w:p>
        </w:tc>
      </w:tr>
    </w:tbl>
    <w:p>
      <w:pPr>
        <w:pStyle w:val="BodyText"/>
        <w:spacing w:line="439" w:lineRule="auto" w:before="51"/>
        <w:ind w:right="2294"/>
        <w:jc w:val="left"/>
      </w:pPr>
      <w:r>
        <w:rPr/>
        <w:t>盈余公积说明，包括本期增减变动情况、变动原因说明： 本期盈余公积增加系本公司按《公司法》及本公司章程有关规定，按本期净利润</w:t>
      </w:r>
      <w:r>
        <w:rPr>
          <w:rFonts w:ascii="宋体" w:hAnsi="宋体" w:cs="宋体" w:eastAsia="宋体" w:hint="default"/>
        </w:rPr>
        <w:t>10</w:t>
      </w:r>
      <w:r>
        <w:rPr/>
        <w:t>％提取法定盈余公积金。</w:t>
      </w:r>
    </w:p>
    <w:p>
      <w:pPr>
        <w:spacing w:line="240" w:lineRule="auto" w:before="8"/>
        <w:rPr>
          <w:rFonts w:ascii="宋体" w:hAnsi="宋体" w:cs="宋体" w:eastAsia="宋体" w:hint="default"/>
          <w:sz w:val="15"/>
          <w:szCs w:val="15"/>
        </w:rPr>
      </w:pPr>
    </w:p>
    <w:p>
      <w:pPr>
        <w:pStyle w:val="Heading3"/>
        <w:spacing w:line="240" w:lineRule="auto"/>
        <w:ind w:right="977"/>
        <w:jc w:val="left"/>
        <w:rPr>
          <w:b w:val="0"/>
          <w:bCs w:val="0"/>
        </w:rPr>
      </w:pPr>
      <w:r>
        <w:rPr>
          <w:rFonts w:ascii="Times New Roman" w:hAnsi="Times New Roman" w:cs="Times New Roman" w:eastAsia="Times New Roman" w:hint="default"/>
        </w:rPr>
        <w:t>51</w:t>
      </w:r>
      <w:r>
        <w:rPr/>
        <w:t>、未分配利润</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726"/>
        <w:gridCol w:w="2924"/>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700,670,498.29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484,718,197.77</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700,670,498.29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484,718,197.77</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205,877,713.64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239,400,030.68</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20,543,459.68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23,447,730.16</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26,489,561.64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859,515,190.61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700,670,498.29</w:t>
            </w:r>
          </w:p>
        </w:tc>
      </w:tr>
    </w:tbl>
    <w:p>
      <w:pPr>
        <w:pStyle w:val="BodyText"/>
        <w:spacing w:line="240" w:lineRule="auto" w:before="51"/>
        <w:ind w:right="977"/>
        <w:jc w:val="left"/>
      </w:pPr>
      <w:r>
        <w:rPr/>
        <w:t>调整期初未分配利润明细：</w:t>
      </w:r>
    </w:p>
    <w:p>
      <w:pPr>
        <w:pStyle w:val="BodyText"/>
        <w:spacing w:line="240" w:lineRule="auto" w:before="115"/>
        <w:ind w:right="977"/>
        <w:jc w:val="left"/>
      </w:pPr>
      <w:r>
        <w:rPr>
          <w:rFonts w:ascii="Times New Roman" w:hAnsi="Times New Roman" w:cs="Times New Roman" w:eastAsia="Times New Roman" w:hint="default"/>
        </w:rPr>
        <w:t>1)</w:t>
      </w:r>
      <w:r>
        <w:rPr/>
        <w:t>、由于《企业会计准则》及其相关新规定进行追溯调整，影响期初未分配利润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77"/>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 </w:t>
      </w:r>
      <w:r>
        <w:rPr/>
        <w:t>元。</w:t>
      </w:r>
    </w:p>
    <w:p>
      <w:pPr>
        <w:pStyle w:val="BodyText"/>
        <w:spacing w:line="240" w:lineRule="auto" w:before="101"/>
        <w:ind w:right="977"/>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910" w:footer="1013" w:top="1100" w:bottom="1200" w:left="1020" w:right="0"/>
        </w:sectPr>
      </w:pPr>
    </w:p>
    <w:p>
      <w:pPr>
        <w:spacing w:line="240" w:lineRule="auto" w:before="8"/>
        <w:rPr>
          <w:rFonts w:ascii="宋体" w:hAnsi="宋体" w:cs="宋体" w:eastAsia="宋体" w:hint="default"/>
          <w:sz w:val="22"/>
          <w:szCs w:val="22"/>
        </w:rPr>
      </w:pPr>
    </w:p>
    <w:p>
      <w:pPr>
        <w:pStyle w:val="BodyText"/>
        <w:spacing w:line="240" w:lineRule="auto" w:before="44"/>
        <w:ind w:right="977"/>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77"/>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977"/>
        <w:jc w:val="left"/>
        <w:rPr>
          <w:b w:val="0"/>
          <w:bCs w:val="0"/>
        </w:rPr>
      </w:pPr>
      <w:r>
        <w:rPr>
          <w:rFonts w:ascii="Times New Roman" w:hAnsi="Times New Roman" w:cs="Times New Roman" w:eastAsia="Times New Roman" w:hint="default"/>
        </w:rPr>
        <w:t>52</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3,231,680,137.02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2,585,299,525.16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2,778,394,660.03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2,074,977,730.03</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3,231,680,137.02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2,585,299,525.16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2,778,394,660.03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2,074,977,730.03</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rFonts w:ascii="Times New Roman" w:hAnsi="Times New Roman" w:cs="Times New Roman" w:eastAsia="Times New Roman" w:hint="default"/>
        </w:rPr>
        <w:t>53</w:t>
      </w:r>
      <w:r>
        <w:rPr/>
        <w:t>、税金及附加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6,696,275.53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6,055,902.49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2,894,273.26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2,622,568.51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294,201.72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294,201.72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1,930,056.56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1,758,982.78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1,135,035.15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2,198,427.78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12,949,842.22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12,930,083.28</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rFonts w:ascii="Times New Roman" w:hAnsi="Times New Roman" w:cs="Times New Roman" w:eastAsia="Times New Roman" w:hint="default"/>
        </w:rPr>
        <w:t>54</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57,153,043.42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55,467,627.35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14,125,579.53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11,380,641.89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10,567,539.11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11,640,682.63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11,454,107.41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8,712,281.29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6,779,280.51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5,182,817.80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2,818,931.62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2,665,056.86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1,340,825.58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1,634,517.76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194,162.83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366,603.49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100,097.88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117,955.24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5,660.38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1,368,401.37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104,539,228.27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98,536,585.68</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1020" w:right="0"/>
        </w:sectPr>
      </w:pPr>
    </w:p>
    <w:p>
      <w:pPr>
        <w:spacing w:line="240" w:lineRule="auto" w:before="7"/>
        <w:rPr>
          <w:rFonts w:ascii="宋体" w:hAnsi="宋体" w:cs="宋体" w:eastAsia="宋体" w:hint="default"/>
          <w:sz w:val="21"/>
          <w:szCs w:val="21"/>
        </w:rPr>
      </w:pPr>
    </w:p>
    <w:p>
      <w:pPr>
        <w:pStyle w:val="Heading3"/>
        <w:spacing w:line="240" w:lineRule="auto" w:before="36"/>
        <w:ind w:right="977"/>
        <w:jc w:val="left"/>
        <w:rPr>
          <w:b w:val="0"/>
          <w:bCs w:val="0"/>
        </w:rPr>
      </w:pPr>
      <w:r>
        <w:rPr>
          <w:rFonts w:ascii="Times New Roman" w:hAnsi="Times New Roman" w:cs="Times New Roman" w:eastAsia="Times New Roman" w:hint="default"/>
        </w:rPr>
        <w:t>55</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95,931,382.28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113,639,342.62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17,020,454.26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13,696,650.09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11,508,428.47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14,713,707.69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11,433,430.09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9,782,187.65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8,367,873.40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9,269,359.18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7,505,107.42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2,476,095.61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2,915,708.27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1,753,228.68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2,408,164.65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3,670,463.85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589,326.99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340,716.09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330,487.26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1,392,304.83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318,369.08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685,814.46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财产保险费摊销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73,303.23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161,706.58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1,029.56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1,084,867.80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搬运费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1,128,969.75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158,403,064.96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173,795,414.88</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rFonts w:ascii="Times New Roman" w:hAnsi="Times New Roman" w:cs="Times New Roman" w:eastAsia="Times New Roman" w:hint="default"/>
        </w:rPr>
        <w:t>56</w:t>
      </w:r>
      <w:r>
        <w:rPr/>
        <w:t>、研发费用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96,891,644.55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76,212,319.53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3,924,665.19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2,941,389.47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3,299,879.00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2,096,644.19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2,386,026.20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1,782,417.16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2,188,454.78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2,775,945.50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1,095,960.68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2,026,993.05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200,986.76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105,940.11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149,226.22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89,087.12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110,388,843.38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88,030,736.13</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1020" w:right="0"/>
        </w:sectPr>
      </w:pPr>
    </w:p>
    <w:p>
      <w:pPr>
        <w:spacing w:line="240" w:lineRule="auto" w:before="7"/>
        <w:rPr>
          <w:rFonts w:ascii="宋体" w:hAnsi="宋体" w:cs="宋体" w:eastAsia="宋体" w:hint="default"/>
          <w:sz w:val="21"/>
          <w:szCs w:val="21"/>
        </w:rPr>
      </w:pPr>
    </w:p>
    <w:p>
      <w:pPr>
        <w:pStyle w:val="Heading3"/>
        <w:spacing w:line="240" w:lineRule="auto" w:before="36"/>
        <w:ind w:left="152" w:right="0"/>
        <w:jc w:val="left"/>
        <w:rPr>
          <w:b w:val="0"/>
          <w:bCs w:val="0"/>
        </w:rPr>
      </w:pPr>
      <w:r>
        <w:rPr>
          <w:rFonts w:ascii="Times New Roman" w:hAnsi="Times New Roman" w:cs="Times New Roman" w:eastAsia="Times New Roman" w:hint="default"/>
        </w:rPr>
        <w:t>57</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11,531,247.63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16,527,966.09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3,988,261.48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942,737.86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7,542,986.15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15,585,228.23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2,114,673.53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1,997,158.92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9,657,659.68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17,582,387.15</w:t>
            </w:r>
          </w:p>
        </w:tc>
      </w:tr>
    </w:tbl>
    <w:p>
      <w:pPr>
        <w:spacing w:line="240" w:lineRule="auto" w:before="3"/>
        <w:rPr>
          <w:rFonts w:ascii="宋体" w:hAnsi="宋体" w:cs="宋体" w:eastAsia="宋体" w:hint="default"/>
          <w:sz w:val="19"/>
          <w:szCs w:val="19"/>
        </w:rPr>
      </w:pPr>
    </w:p>
    <w:p>
      <w:pPr>
        <w:pStyle w:val="Heading3"/>
        <w:spacing w:line="240" w:lineRule="auto" w:before="36"/>
        <w:ind w:left="152" w:right="0"/>
        <w:jc w:val="left"/>
        <w:rPr>
          <w:b w:val="0"/>
          <w:bCs w:val="0"/>
        </w:rPr>
      </w:pPr>
      <w:r>
        <w:rPr>
          <w:rFonts w:ascii="Times New Roman" w:hAnsi="Times New Roman" w:cs="Times New Roman" w:eastAsia="Times New Roman" w:hint="default"/>
        </w:rPr>
        <w:t>58</w:t>
      </w:r>
      <w:r>
        <w:rPr/>
        <w:t>、资产减值损失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37,247,561.27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38,354,275.01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3,789,817.16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41,037,378.43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38,354,275.01</w:t>
            </w:r>
          </w:p>
        </w:tc>
      </w:tr>
    </w:tbl>
    <w:p>
      <w:pPr>
        <w:spacing w:line="240" w:lineRule="auto" w:before="3"/>
        <w:rPr>
          <w:rFonts w:ascii="宋体" w:hAnsi="宋体" w:cs="宋体" w:eastAsia="宋体" w:hint="default"/>
          <w:sz w:val="19"/>
          <w:szCs w:val="19"/>
        </w:rPr>
      </w:pPr>
    </w:p>
    <w:p>
      <w:pPr>
        <w:pStyle w:val="Heading3"/>
        <w:spacing w:line="240" w:lineRule="auto" w:before="36"/>
        <w:ind w:left="152" w:right="0"/>
        <w:jc w:val="left"/>
        <w:rPr>
          <w:b w:val="0"/>
          <w:bCs w:val="0"/>
        </w:rPr>
      </w:pPr>
      <w:r>
        <w:rPr>
          <w:rFonts w:ascii="Times New Roman" w:hAnsi="Times New Roman" w:cs="Times New Roman" w:eastAsia="Times New Roman" w:hint="default"/>
        </w:rPr>
        <w:t>59</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5029"/>
        <w:gridCol w:w="2297"/>
        <w:gridCol w:w="2372"/>
      </w:tblGrid>
      <w:tr>
        <w:trPr>
          <w:trHeight w:val="401"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第三产业发展的奖励</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9,673,800.00</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7,725,000.00</w:t>
            </w:r>
          </w:p>
        </w:tc>
      </w:tr>
      <w:tr>
        <w:trPr>
          <w:trHeight w:val="401"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南宁市劳动就业服务管理中心</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1,391,400.00</w:t>
            </w:r>
          </w:p>
        </w:tc>
        <w:tc>
          <w:tcPr>
            <w:tcW w:w="2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1,095,354.83</w:t>
            </w:r>
          </w:p>
        </w:tc>
        <w:tc>
          <w:tcPr>
            <w:tcW w:w="2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年南宁市商贸服务业发展专项资金</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440,000.00</w:t>
            </w:r>
          </w:p>
        </w:tc>
        <w:tc>
          <w:tcPr>
            <w:tcW w:w="2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年南宁市科技项目经费后补助</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年信息服务业发展专项扶持资金</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党组织工作和党组织活动经费</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16,200.00</w:t>
            </w:r>
          </w:p>
        </w:tc>
        <w:tc>
          <w:tcPr>
            <w:tcW w:w="2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南宁市统计局资产补贴</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6,850.00</w:t>
            </w:r>
          </w:p>
        </w:tc>
        <w:tc>
          <w:tcPr>
            <w:tcW w:w="2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南宁市高新技术产业开发区财政局基层建设补贴</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2,000.00</w:t>
            </w:r>
          </w:p>
        </w:tc>
        <w:tc>
          <w:tcPr>
            <w:tcW w:w="2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收到个税手续费返还</w:t>
            </w:r>
          </w:p>
        </w:tc>
        <w:tc>
          <w:tcPr>
            <w:tcW w:w="2297"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961,988.36</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年南宁市服务外包产业发展专项资金</w:t>
            </w:r>
          </w:p>
        </w:tc>
        <w:tc>
          <w:tcPr>
            <w:tcW w:w="2297"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893,200.00</w:t>
            </w:r>
          </w:p>
        </w:tc>
      </w:tr>
      <w:tr>
        <w:trPr>
          <w:trHeight w:val="401"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年南宁市信息服务业发展专项资金</w:t>
            </w:r>
          </w:p>
        </w:tc>
        <w:tc>
          <w:tcPr>
            <w:tcW w:w="2297"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年中央外经贸专项资金服务外包项目</w:t>
            </w:r>
          </w:p>
        </w:tc>
        <w:tc>
          <w:tcPr>
            <w:tcW w:w="2297"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320,000.00</w:t>
            </w:r>
          </w:p>
        </w:tc>
      </w:tr>
      <w:tr>
        <w:trPr>
          <w:trHeight w:val="404"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年度外经贸发展专项资金</w:t>
            </w:r>
          </w:p>
        </w:tc>
        <w:tc>
          <w:tcPr>
            <w:tcW w:w="2297"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310,000.00</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980" w:right="0"/>
        </w:sectPr>
      </w:pPr>
    </w:p>
    <w:p>
      <w:pPr>
        <w:spacing w:line="240" w:lineRule="auto" w:before="2"/>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5029"/>
        <w:gridCol w:w="2297"/>
        <w:gridCol w:w="2372"/>
      </w:tblGrid>
      <w:tr>
        <w:trPr>
          <w:trHeight w:val="401"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广州市企业研发经费投入后补助区级经费</w:t>
            </w:r>
          </w:p>
        </w:tc>
        <w:tc>
          <w:tcPr>
            <w:tcW w:w="2297"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w w:val="95"/>
                <w:sz w:val="18"/>
              </w:rPr>
              <w:t>222,400.00</w:t>
            </w:r>
          </w:p>
        </w:tc>
      </w:tr>
      <w:tr>
        <w:trPr>
          <w:trHeight w:val="401"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发展专项资金</w:t>
            </w:r>
          </w:p>
        </w:tc>
        <w:tc>
          <w:tcPr>
            <w:tcW w:w="2297"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广州市科技创新委员会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年专利补助</w:t>
            </w:r>
          </w:p>
        </w:tc>
        <w:tc>
          <w:tcPr>
            <w:tcW w:w="2297"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187,000.00</w:t>
            </w:r>
          </w:p>
        </w:tc>
      </w:tr>
      <w:tr>
        <w:trPr>
          <w:trHeight w:val="401"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高新技术企业补助资金</w:t>
            </w:r>
          </w:p>
        </w:tc>
        <w:tc>
          <w:tcPr>
            <w:tcW w:w="2297"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自主知识产权奖励</w:t>
            </w:r>
          </w:p>
        </w:tc>
        <w:tc>
          <w:tcPr>
            <w:tcW w:w="2297"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6,000.00</w:t>
            </w:r>
          </w:p>
        </w:tc>
      </w:tr>
      <w:tr>
        <w:trPr>
          <w:trHeight w:val="401"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自主知识产权奖励润建</w:t>
            </w:r>
          </w:p>
        </w:tc>
        <w:tc>
          <w:tcPr>
            <w:tcW w:w="2297"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5,000.00</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南宁高新技术产业开发区管理委员会党组织启动资金</w:t>
            </w:r>
          </w:p>
        </w:tc>
        <w:tc>
          <w:tcPr>
            <w:tcW w:w="2297"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2,000.00</w:t>
            </w:r>
          </w:p>
        </w:tc>
      </w:tr>
      <w:tr>
        <w:trPr>
          <w:trHeight w:val="404"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1" w:right="0"/>
              <w:jc w:val="left"/>
              <w:rPr>
                <w:rFonts w:ascii="Times New Roman" w:hAnsi="Times New Roman" w:cs="Times New Roman" w:eastAsia="Times New Roman" w:hint="default"/>
                <w:sz w:val="18"/>
                <w:szCs w:val="18"/>
              </w:rPr>
            </w:pPr>
            <w:r>
              <w:rPr>
                <w:rFonts w:ascii="Times New Roman"/>
                <w:sz w:val="18"/>
              </w:rPr>
              <w:t>13,125,604.83</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11,682,588.36</w:t>
            </w:r>
          </w:p>
        </w:tc>
      </w:tr>
    </w:tbl>
    <w:p>
      <w:pPr>
        <w:spacing w:line="240" w:lineRule="auto" w:before="3"/>
        <w:rPr>
          <w:rFonts w:ascii="宋体" w:hAnsi="宋体" w:cs="宋体" w:eastAsia="宋体" w:hint="default"/>
          <w:sz w:val="19"/>
          <w:szCs w:val="19"/>
        </w:rPr>
      </w:pPr>
    </w:p>
    <w:p>
      <w:pPr>
        <w:pStyle w:val="Heading3"/>
        <w:spacing w:line="240" w:lineRule="auto" w:before="36"/>
        <w:ind w:left="152" w:right="0"/>
        <w:jc w:val="left"/>
        <w:rPr>
          <w:b w:val="0"/>
          <w:bCs w:val="0"/>
        </w:rPr>
      </w:pPr>
      <w:r>
        <w:rPr>
          <w:rFonts w:ascii="Times New Roman" w:hAnsi="Times New Roman" w:cs="Times New Roman" w:eastAsia="Times New Roman" w:hint="default"/>
        </w:rPr>
        <w:t>60</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-89,896.14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14,735,225.37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1,553.42</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14,645,329.23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1,553.42</w:t>
            </w:r>
          </w:p>
        </w:tc>
      </w:tr>
    </w:tbl>
    <w:p>
      <w:pPr>
        <w:spacing w:line="240" w:lineRule="auto" w:before="3"/>
        <w:rPr>
          <w:rFonts w:ascii="宋体" w:hAnsi="宋体" w:cs="宋体" w:eastAsia="宋体" w:hint="default"/>
          <w:sz w:val="19"/>
          <w:szCs w:val="19"/>
        </w:rPr>
      </w:pPr>
    </w:p>
    <w:p>
      <w:pPr>
        <w:pStyle w:val="Heading3"/>
        <w:spacing w:line="240" w:lineRule="auto" w:before="36"/>
        <w:ind w:left="152" w:right="0"/>
        <w:jc w:val="left"/>
        <w:rPr>
          <w:b w:val="0"/>
          <w:bCs w:val="0"/>
        </w:rPr>
      </w:pPr>
      <w:r>
        <w:rPr>
          <w:rFonts w:ascii="Times New Roman" w:hAnsi="Times New Roman" w:cs="Times New Roman" w:eastAsia="Times New Roman" w:hint="default"/>
        </w:rPr>
        <w:t>61</w:t>
      </w:r>
      <w:r>
        <w:rPr/>
        <w:t>、公允价值变动收益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2"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152" w:right="0"/>
        <w:jc w:val="left"/>
        <w:rPr>
          <w:b w:val="0"/>
          <w:bCs w:val="0"/>
        </w:rPr>
      </w:pPr>
      <w:r>
        <w:rPr>
          <w:rFonts w:ascii="Times New Roman" w:hAnsi="Times New Roman" w:cs="Times New Roman" w:eastAsia="Times New Roman" w:hint="default"/>
        </w:rPr>
        <w:t>62</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4851"/>
        <w:gridCol w:w="2410"/>
        <w:gridCol w:w="2437"/>
      </w:tblGrid>
      <w:tr>
        <w:trPr>
          <w:trHeight w:val="401" w:hRule="exact"/>
        </w:trPr>
        <w:tc>
          <w:tcPr>
            <w:tcW w:w="4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3"/>
                <w:sz w:val="18"/>
                <w:szCs w:val="18"/>
              </w:rPr>
              <w:t>处置未划分为持有待售的固定资产、在建工程、生产性生物资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产及无形资产的处置利得或损失：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399,206.59</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-719,221.49</w:t>
            </w:r>
          </w:p>
        </w:tc>
      </w:tr>
      <w:tr>
        <w:trPr>
          <w:trHeight w:val="401"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399,206.59</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-719,221.49</w:t>
            </w:r>
          </w:p>
        </w:tc>
      </w:tr>
    </w:tbl>
    <w:p>
      <w:pPr>
        <w:spacing w:line="240" w:lineRule="auto" w:before="3"/>
        <w:rPr>
          <w:rFonts w:ascii="宋体" w:hAnsi="宋体" w:cs="宋体" w:eastAsia="宋体" w:hint="default"/>
          <w:sz w:val="19"/>
          <w:szCs w:val="19"/>
        </w:rPr>
      </w:pPr>
    </w:p>
    <w:p>
      <w:pPr>
        <w:pStyle w:val="Heading3"/>
        <w:spacing w:line="240" w:lineRule="auto" w:before="36"/>
        <w:ind w:left="152"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6,200,000.00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6,200,000.00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3,996.36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169,736.91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3,996.36</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6,203,996.36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169,736.91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6,203,996.36</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980" w:right="0"/>
        </w:sectPr>
      </w:pPr>
    </w:p>
    <w:p>
      <w:pPr>
        <w:spacing w:line="240" w:lineRule="auto" w:before="8"/>
        <w:rPr>
          <w:rFonts w:ascii="宋体" w:hAnsi="宋体" w:cs="宋体" w:eastAsia="宋体" w:hint="default"/>
          <w:sz w:val="22"/>
          <w:szCs w:val="22"/>
        </w:rPr>
      </w:pPr>
    </w:p>
    <w:p>
      <w:pPr>
        <w:pStyle w:val="BodyText"/>
        <w:spacing w:line="240" w:lineRule="auto" w:before="44"/>
        <w:ind w:left="152" w:right="0"/>
        <w:jc w:val="left"/>
      </w:pPr>
      <w:r>
        <w:rPr/>
        <w:t>计入当期损益的政府补助：</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421"/>
        <w:gridCol w:w="1539"/>
        <w:gridCol w:w="538"/>
        <w:gridCol w:w="1339"/>
        <w:gridCol w:w="1140"/>
        <w:gridCol w:w="737"/>
        <w:gridCol w:w="1078"/>
        <w:gridCol w:w="737"/>
        <w:gridCol w:w="1169"/>
      </w:tblGrid>
      <w:tr>
        <w:trPr>
          <w:trHeight w:val="715"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4" w:right="83"/>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4" w:right="24" w:hanging="181"/>
              <w:jc w:val="left"/>
              <w:rPr>
                <w:rFonts w:ascii="宋体" w:hAnsi="宋体" w:cs="宋体" w:eastAsia="宋体" w:hint="default"/>
                <w:sz w:val="18"/>
                <w:szCs w:val="18"/>
              </w:rPr>
            </w:pPr>
            <w:r>
              <w:rPr>
                <w:rFonts w:ascii="宋体" w:hAnsi="宋体" w:cs="宋体" w:eastAsia="宋体" w:hint="default"/>
                <w:sz w:val="18"/>
                <w:szCs w:val="18"/>
              </w:rPr>
              <w:t>补贴是否影响 当年盈亏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6" w:right="80"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left"/>
              <w:rPr>
                <w:rFonts w:ascii="宋体" w:hAnsi="宋体" w:cs="宋体" w:eastAsia="宋体" w:hint="default"/>
                <w:sz w:val="18"/>
                <w:szCs w:val="18"/>
              </w:rPr>
            </w:pPr>
            <w:r>
              <w:rPr>
                <w:rFonts w:ascii="宋体" w:hAnsi="宋体" w:cs="宋体" w:eastAsia="宋体" w:hint="default"/>
                <w:sz w:val="18"/>
                <w:szCs w:val="18"/>
              </w:rPr>
              <w:t>上期发 生金额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29" w:right="105"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center"/>
              <w:rPr>
                <w:rFonts w:ascii="宋体" w:hAnsi="宋体" w:cs="宋体" w:eastAsia="宋体" w:hint="default"/>
                <w:sz w:val="18"/>
                <w:szCs w:val="18"/>
              </w:rPr>
            </w:pPr>
            <w:r>
              <w:rPr>
                <w:rFonts w:ascii="宋体" w:hAnsi="宋体" w:cs="宋体" w:eastAsia="宋体" w:hint="default"/>
                <w:sz w:val="18"/>
                <w:szCs w:val="18"/>
              </w:rPr>
              <w:t>上市补贴奖励款</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南宁市金融工作办 公室</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奖励上市而给予 的政府补助</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5,200,000.00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10"/>
                <w:sz w:val="18"/>
                <w:szCs w:val="18"/>
              </w:rPr>
              <w:t>“新三板”转主板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奖励资金</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南宁高新技术产业 开发区财政局</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奖励上市而给予 的政府补助</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3"/>
        <w:rPr>
          <w:rFonts w:ascii="宋体" w:hAnsi="宋体" w:cs="宋体" w:eastAsia="宋体" w:hint="default"/>
          <w:sz w:val="19"/>
          <w:szCs w:val="19"/>
        </w:rPr>
      </w:pPr>
    </w:p>
    <w:p>
      <w:pPr>
        <w:pStyle w:val="Heading3"/>
        <w:spacing w:line="240" w:lineRule="auto" w:before="36"/>
        <w:ind w:left="152"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1,018,307.88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1,018,307.88</w:t>
            </w:r>
            <w:r>
              <w:rPr>
                <w:rFonts w:ascii="Times New Roman"/>
                <w:sz w:val="18"/>
              </w:rPr>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公益性捐赠支出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760,000.00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32,353.39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29,791.72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27,398.11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29,791.72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1,808,299.60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59,751.50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1,808,299.60</w:t>
            </w:r>
          </w:p>
        </w:tc>
      </w:tr>
    </w:tbl>
    <w:p>
      <w:pPr>
        <w:spacing w:line="240" w:lineRule="auto" w:before="3"/>
        <w:rPr>
          <w:rFonts w:ascii="宋体" w:hAnsi="宋体" w:cs="宋体" w:eastAsia="宋体" w:hint="default"/>
          <w:sz w:val="19"/>
          <w:szCs w:val="19"/>
        </w:rPr>
      </w:pPr>
    </w:p>
    <w:p>
      <w:pPr>
        <w:pStyle w:val="Heading3"/>
        <w:spacing w:line="240" w:lineRule="auto" w:before="36"/>
        <w:ind w:left="152"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2"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35,641,774.52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54,262,720.58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450,944.17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-8,400,397.69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36,092,718.69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45,862,322.89</w:t>
            </w:r>
          </w:p>
        </w:tc>
      </w:tr>
    </w:tbl>
    <w:p>
      <w:pPr>
        <w:spacing w:line="240" w:lineRule="auto" w:before="3"/>
        <w:rPr>
          <w:rFonts w:ascii="宋体" w:hAnsi="宋体" w:cs="宋体" w:eastAsia="宋体" w:hint="default"/>
          <w:sz w:val="19"/>
          <w:szCs w:val="19"/>
        </w:rPr>
      </w:pPr>
    </w:p>
    <w:p>
      <w:pPr>
        <w:pStyle w:val="Heading3"/>
        <w:spacing w:line="240" w:lineRule="auto" w:before="36"/>
        <w:ind w:left="152"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241,970,432.33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36,295,564.85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64,710.94</w:t>
            </w:r>
            <w:r>
              <w:rPr>
                <w:rFonts w:ascii="Times New Roman"/>
                <w:sz w:val="18"/>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spacing w:val="-1"/>
                <w:sz w:val="18"/>
              </w:rPr>
              <w:t>-4,613,121.08</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980" w:right="0"/>
        </w:sectPr>
      </w:pPr>
    </w:p>
    <w:p>
      <w:pPr>
        <w:spacing w:line="240" w:lineRule="auto" w:before="2"/>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4,342,442.61</w:t>
            </w:r>
          </w:p>
        </w:tc>
      </w:tr>
      <w:tr>
        <w:trPr>
          <w:trHeight w:val="714"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3,121.37</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36,092,718.69</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rFonts w:ascii="Times New Roman" w:hAnsi="Times New Roman" w:cs="Times New Roman" w:eastAsia="Times New Roman" w:hint="default"/>
        </w:rPr>
        <w:t>66</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77"/>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投标保证金及押金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76,032,942.01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60,399,423.95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63,531,142.56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29,337,562.99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19,325,604.83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10,720,600.00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3,988,261.48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942,737.86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447,611.47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收回代垫款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5,915,927.85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2,067.10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1,131,725.27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163,327,629.45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108,447,977.92</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办公费、差旅费等支出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113,282,638.95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158,240,379.92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90,664,107.85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102,768,785.98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93,005,374.93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59,378,667.70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38,882,339.90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2,114,673.53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1,997,158.92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支付代垫款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32,759,182.91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789,866.22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59,751.50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359,235,329.18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334,707,599.13</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1020" w:right="0"/>
        </w:sectPr>
      </w:pPr>
    </w:p>
    <w:p>
      <w:pPr>
        <w:spacing w:line="240" w:lineRule="auto" w:before="7"/>
        <w:rPr>
          <w:rFonts w:ascii="宋体" w:hAnsi="宋体" w:cs="宋体" w:eastAsia="宋体" w:hint="default"/>
          <w:sz w:val="21"/>
          <w:szCs w:val="21"/>
        </w:rPr>
      </w:pPr>
      <w:r>
        <w:rPr/>
        <w:pict>
          <v:shape style="position:absolute;margin-left:190.214005pt;margin-top:671.5pt;width:185.5pt;height:19.6pt;mso-position-horizontal-relative:page;mso-position-vertical-relative:page;z-index:-742408" type="#_x0000_t202" filled="false" stroked="false">
            <v:textbox inset="0,0,0,0">
              <w:txbxContent>
                <w:p>
                  <w:pPr>
                    <w:pStyle w:val="BodyText"/>
                    <w:spacing w:line="240" w:lineRule="auto" w:before="51"/>
                    <w:ind w:left="0" w:right="0"/>
                    <w:jc w:val="left"/>
                  </w:pPr>
                  <w:r>
                    <w:rPr/>
                    <w:t>号填列）</w:t>
                  </w:r>
                </w:p>
              </w:txbxContent>
            </v:textbox>
            <w10:wrap type="none"/>
          </v:shape>
        </w:pict>
      </w:r>
    </w:p>
    <w:p>
      <w:pPr>
        <w:pStyle w:val="Heading3"/>
        <w:spacing w:line="240" w:lineRule="auto" w:before="36"/>
        <w:ind w:right="977"/>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银行保函手续费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11,630,670.46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发行股份、债券相关费用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19,878,490.57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31,509,161.03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77"/>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7"/>
        <w:gridCol w:w="1074"/>
        <w:gridCol w:w="1984"/>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205,877,713.64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239,400,030.68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41,037,378.43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38,354,275.01</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16,418,141.20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12,934,071.62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790,313.75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446,656.20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380,595.24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385,692.92</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-399,206.59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719,221.49</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3"/>
                <w:sz w:val="18"/>
                <w:szCs w:val="18"/>
              </w:rPr>
              <w:t>固定资产报废损失（收益以“－”</w:t>
            </w:r>
          </w:p>
        </w:tc>
        <w:tc>
          <w:tcPr>
            <w:tcW w:w="1074" w:type="dxa"/>
            <w:tcBorders>
              <w:top w:val="single" w:sz="4" w:space="0" w:color="000000"/>
              <w:left w:val="single" w:sz="13" w:space="0" w:color="FFFFFF"/>
              <w:bottom w:val="single" w:sz="4" w:space="0" w:color="000000"/>
              <w:right w:val="nil" w:sz="6" w:space="0" w:color="auto"/>
            </w:tcBorders>
          </w:tcPr>
          <w:p>
            <w:pPr/>
          </w:p>
        </w:tc>
        <w:tc>
          <w:tcPr>
            <w:tcW w:w="1984"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1009" w:right="0"/>
              <w:jc w:val="left"/>
              <w:rPr>
                <w:rFonts w:ascii="Times New Roman" w:hAnsi="Times New Roman" w:cs="Times New Roman" w:eastAsia="Times New Roman" w:hint="default"/>
                <w:sz w:val="18"/>
                <w:szCs w:val="18"/>
              </w:rPr>
            </w:pPr>
            <w:r>
              <w:rPr>
                <w:rFonts w:ascii="Times New Roman"/>
                <w:sz w:val="18"/>
              </w:rPr>
              <w:t>1,018,307.88</w:t>
            </w:r>
          </w:p>
        </w:tc>
        <w:tc>
          <w:tcPr>
            <w:tcW w:w="3185" w:type="dxa"/>
            <w:tcBorders>
              <w:top w:val="single" w:sz="4" w:space="0" w:color="000000"/>
              <w:left w:val="single" w:sz="12" w:space="0" w:color="FFFFFF"/>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4" w:right="0"/>
              <w:jc w:val="left"/>
              <w:rPr>
                <w:rFonts w:ascii="Times New Roman" w:hAnsi="Times New Roman" w:cs="Times New Roman" w:eastAsia="Times New Roman" w:hint="default"/>
                <w:sz w:val="18"/>
                <w:szCs w:val="18"/>
              </w:rPr>
            </w:pPr>
            <w:r>
              <w:rPr>
                <w:rFonts w:ascii="Times New Roman"/>
                <w:sz w:val="18"/>
              </w:rPr>
              <w:t>11,531,247.63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16,527,966.09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30" w:right="0"/>
              <w:jc w:val="left"/>
              <w:rPr>
                <w:rFonts w:ascii="Times New Roman" w:hAnsi="Times New Roman" w:cs="Times New Roman" w:eastAsia="Times New Roman" w:hint="default"/>
                <w:sz w:val="18"/>
                <w:szCs w:val="18"/>
              </w:rPr>
            </w:pPr>
            <w:r>
              <w:rPr>
                <w:rFonts w:ascii="Times New Roman"/>
                <w:sz w:val="18"/>
              </w:rPr>
              <w:t>-14,645,329.23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-1,553.42</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450,944.17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-8,400,397.69</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1020" w:right="0"/>
        </w:sectPr>
      </w:pPr>
    </w:p>
    <w:p>
      <w:pPr>
        <w:spacing w:line="240" w:lineRule="auto" w:before="2"/>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-42,205,071.71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-54,055,548.33</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-213,890,243.74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-597,869,628.28</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252,149,336.05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163,481,134.43</w:t>
            </w:r>
            <w:r>
              <w:rPr>
                <w:rFonts w:ascii="Times New Roman"/>
                <w:sz w:val="18"/>
              </w:rPr>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-87,583,872.94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170,930,253.78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-188,078,079.28</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27" w:type="dxa"/>
            <w:vMerge/>
            <w:tcBorders>
              <w:left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1,197,474,739.70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160,895,553.20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160,895,553.20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335,187,233.96</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1,036,579,186.50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-174,291,680.76</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1,197,474,739.70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160,895,553.20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4,664.03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4,546.46</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1,197,470,075.67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160,891,006.74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1,197,474,739.70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160,895,553.20</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rFonts w:ascii="Times New Roman" w:hAnsi="Times New Roman" w:cs="Times New Roman" w:eastAsia="Times New Roman" w:hint="default"/>
        </w:rPr>
        <w:t>69</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70</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910" w:footer="1013" w:top="1100" w:bottom="1200" w:left="1020" w:right="0"/>
        </w:sectPr>
      </w:pPr>
    </w:p>
    <w:p>
      <w:pPr>
        <w:spacing w:line="240" w:lineRule="auto" w:before="2"/>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176,645,122.51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176,645,122.51</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977"/>
        <w:jc w:val="left"/>
      </w:pPr>
      <w:r>
        <w:rPr/>
        <w:t>其他说明： </w:t>
      </w:r>
      <w:r>
        <w:rPr>
          <w:spacing w:val="-2"/>
        </w:rPr>
        <w:t>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日，公司为开立国内非金融保函，在银行对应保函保证金余额为</w:t>
      </w:r>
      <w:r>
        <w:rPr>
          <w:rFonts w:ascii="宋体" w:hAnsi="宋体" w:cs="宋体" w:eastAsia="宋体" w:hint="default"/>
          <w:spacing w:val="-2"/>
        </w:rPr>
        <w:t>63,639,747.58</w:t>
      </w:r>
      <w:r>
        <w:rPr>
          <w:spacing w:val="-2"/>
        </w:rPr>
        <w:t>元；公司因办理银行汇票，</w:t>
      </w:r>
      <w:r>
        <w:rPr>
          <w:spacing w:val="-51"/>
        </w:rPr>
        <w:t> </w:t>
      </w:r>
      <w:r>
        <w:rPr>
          <w:spacing w:val="-51"/>
        </w:rPr>
      </w:r>
      <w:r>
        <w:rPr/>
        <w:t>在银行对应开立保证金账户，账户余额为</w:t>
      </w:r>
      <w:r>
        <w:rPr>
          <w:rFonts w:ascii="宋体" w:hAnsi="宋体" w:cs="宋体" w:eastAsia="宋体" w:hint="default"/>
        </w:rPr>
        <w:t>113,005,374.93</w:t>
      </w:r>
      <w:r>
        <w:rPr/>
        <w:t>元。</w:t>
      </w:r>
    </w:p>
    <w:p>
      <w:pPr>
        <w:spacing w:line="240" w:lineRule="auto" w:before="5"/>
        <w:rPr>
          <w:rFonts w:ascii="宋体" w:hAnsi="宋体" w:cs="宋体" w:eastAsia="宋体" w:hint="default"/>
          <w:sz w:val="21"/>
          <w:szCs w:val="21"/>
        </w:rPr>
      </w:pPr>
    </w:p>
    <w:p>
      <w:pPr>
        <w:pStyle w:val="Heading3"/>
        <w:spacing w:line="240" w:lineRule="auto"/>
        <w:ind w:right="977"/>
        <w:jc w:val="left"/>
        <w:rPr>
          <w:b w:val="0"/>
          <w:bCs w:val="0"/>
        </w:rPr>
      </w:pPr>
      <w:r>
        <w:rPr>
          <w:rFonts w:ascii="Times New Roman" w:hAnsi="Times New Roman" w:cs="Times New Roman" w:eastAsia="Times New Roman" w:hint="default"/>
        </w:rPr>
        <w:t>71</w:t>
      </w:r>
      <w:r>
        <w:rPr/>
        <w:t>、外币货币性项目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rFonts w:ascii="Times New Roman" w:hAnsi="Times New Roman" w:cs="Times New Roman" w:eastAsia="Times New Roman" w:hint="default"/>
        </w:rPr>
        <w:t>72</w:t>
      </w:r>
      <w:r>
        <w:rPr/>
        <w:t>、套期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77"/>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13,125,604.83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13,125,604.83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19,325,604.83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19,325,604.83</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rFonts w:ascii="Times New Roman" w:hAnsi="Times New Roman" w:cs="Times New Roman" w:eastAsia="Times New Roman" w:hint="default"/>
        </w:rPr>
        <w:t>74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3"/>
        <w:rPr>
          <w:rFonts w:ascii="宋体" w:hAnsi="宋体" w:cs="宋体" w:eastAsia="宋体" w:hint="default"/>
          <w:sz w:val="25"/>
          <w:szCs w:val="25"/>
        </w:rPr>
      </w:pPr>
    </w:p>
    <w:p>
      <w:pPr>
        <w:pStyle w:val="Heading2"/>
        <w:spacing w:line="240" w:lineRule="auto"/>
        <w:ind w:right="977"/>
        <w:jc w:val="left"/>
        <w:rPr>
          <w:b w:val="0"/>
          <w:bCs w:val="0"/>
        </w:rPr>
      </w:pPr>
      <w:r>
        <w:rPr/>
        <w:t>八、合并范围的变更</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77"/>
        <w:jc w:val="left"/>
      </w:pPr>
      <w:r>
        <w:rPr/>
        <w:t>无。</w:t>
      </w:r>
    </w:p>
    <w:p>
      <w:pPr>
        <w:spacing w:after="0" w:line="240" w:lineRule="auto"/>
        <w:jc w:val="left"/>
        <w:sectPr>
          <w:pgSz w:w="11910" w:h="16840"/>
          <w:pgMar w:header="910" w:footer="1013" w:top="1100" w:bottom="1200" w:left="1020" w:right="0"/>
        </w:sectPr>
      </w:pPr>
    </w:p>
    <w:p>
      <w:pPr>
        <w:spacing w:line="240" w:lineRule="auto" w:before="7"/>
        <w:rPr>
          <w:rFonts w:ascii="宋体" w:hAnsi="宋体" w:cs="宋体" w:eastAsia="宋体" w:hint="default"/>
          <w:sz w:val="20"/>
          <w:szCs w:val="20"/>
        </w:rPr>
      </w:pPr>
    </w:p>
    <w:p>
      <w:pPr>
        <w:pStyle w:val="Heading2"/>
        <w:spacing w:line="240" w:lineRule="auto" w:before="26"/>
        <w:ind w:left="152" w:right="0"/>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2"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2"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3032"/>
        <w:gridCol w:w="1126"/>
        <w:gridCol w:w="912"/>
        <w:gridCol w:w="1339"/>
        <w:gridCol w:w="826"/>
        <w:gridCol w:w="493"/>
        <w:gridCol w:w="1970"/>
      </w:tblGrid>
      <w:tr>
        <w:trPr>
          <w:trHeight w:val="401" w:hRule="exact"/>
        </w:trPr>
        <w:tc>
          <w:tcPr>
            <w:tcW w:w="30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1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9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3032"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shd w:val="clear" w:color="auto" w:fill="D2D2D2"/>
          </w:tcPr>
          <w:p>
            <w:pPr/>
          </w:p>
        </w:tc>
        <w:tc>
          <w:tcPr>
            <w:tcW w:w="912" w:type="dxa"/>
            <w:vMerge/>
            <w:tcBorders>
              <w:left w:val="single" w:sz="4" w:space="0" w:color="000000"/>
              <w:bottom w:val="single" w:sz="4" w:space="0" w:color="000000"/>
              <w:right w:val="single" w:sz="4" w:space="0" w:color="000000"/>
            </w:tcBorders>
            <w:shd w:val="clear" w:color="auto" w:fill="D2D2D2"/>
          </w:tcPr>
          <w:p>
            <w:pPr/>
          </w:p>
        </w:tc>
        <w:tc>
          <w:tcPr>
            <w:tcW w:w="1339" w:type="dxa"/>
            <w:vMerge/>
            <w:tcBorders>
              <w:left w:val="single" w:sz="4" w:space="0" w:color="000000"/>
              <w:bottom w:val="single" w:sz="4" w:space="0" w:color="000000"/>
              <w:right w:val="single" w:sz="4" w:space="0" w:color="000000"/>
            </w:tcBorders>
            <w:shd w:val="clear" w:color="auto" w:fill="D2D2D2"/>
          </w:tcPr>
          <w:p>
            <w:pP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97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广西诚本规划设计咨询有限公司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广西南宁</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工程监理咨询</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center"/>
              <w:rPr>
                <w:rFonts w:ascii="Times New Roman" w:hAnsi="Times New Roman" w:cs="Times New Roman" w:eastAsia="Times New Roman" w:hint="default"/>
                <w:sz w:val="18"/>
                <w:szCs w:val="18"/>
              </w:rPr>
            </w:pPr>
            <w:r>
              <w:rPr>
                <w:rFonts w:ascii="Times New Roman"/>
                <w:sz w:val="18"/>
              </w:rPr>
              <w:t>100.00%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广西润联信息技术有限公司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广西南宁</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信息技术服务</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center"/>
              <w:rPr>
                <w:rFonts w:ascii="Times New Roman" w:hAnsi="Times New Roman" w:cs="Times New Roman" w:eastAsia="Times New Roman" w:hint="default"/>
                <w:sz w:val="18"/>
                <w:szCs w:val="18"/>
              </w:rPr>
            </w:pPr>
            <w:r>
              <w:rPr>
                <w:rFonts w:ascii="Times New Roman"/>
                <w:sz w:val="18"/>
              </w:rPr>
              <w:t>100.00%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广州卓联科技有限公司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6"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广东广州</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信息技术服务</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7" w:right="0"/>
              <w:jc w:val="center"/>
              <w:rPr>
                <w:rFonts w:ascii="Times New Roman" w:hAnsi="Times New Roman" w:cs="Times New Roman" w:eastAsia="Times New Roman" w:hint="default"/>
                <w:sz w:val="18"/>
                <w:szCs w:val="18"/>
              </w:rPr>
            </w:pPr>
            <w:r>
              <w:rPr>
                <w:rFonts w:ascii="Times New Roman"/>
                <w:sz w:val="18"/>
              </w:rPr>
              <w:t>100.00%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认缴设立</w:t>
            </w:r>
          </w:p>
        </w:tc>
      </w:tr>
    </w:tbl>
    <w:p>
      <w:pPr>
        <w:spacing w:line="240" w:lineRule="auto" w:before="3"/>
        <w:rPr>
          <w:rFonts w:ascii="宋体" w:hAnsi="宋体" w:cs="宋体" w:eastAsia="宋体" w:hint="default"/>
          <w:b/>
          <w:bCs/>
          <w:sz w:val="19"/>
          <w:szCs w:val="19"/>
        </w:rPr>
      </w:pPr>
    </w:p>
    <w:p>
      <w:pPr>
        <w:pStyle w:val="Heading3"/>
        <w:spacing w:line="240" w:lineRule="auto" w:before="36"/>
        <w:ind w:left="152"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2"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152"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52"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52"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5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52"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52"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2"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5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52"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2" w:right="0"/>
        <w:jc w:val="left"/>
      </w:pPr>
      <w:r>
        <w:rPr/>
        <w:t>无。</w:t>
      </w:r>
    </w:p>
    <w:p>
      <w:pPr>
        <w:spacing w:after="0" w:line="240" w:lineRule="auto"/>
        <w:jc w:val="left"/>
        <w:sectPr>
          <w:pgSz w:w="11910" w:h="16840"/>
          <w:pgMar w:header="910" w:footer="1013" w:top="1100" w:bottom="1200" w:left="980" w:right="0"/>
        </w:sectPr>
      </w:pPr>
    </w:p>
    <w:p>
      <w:pPr>
        <w:spacing w:line="240" w:lineRule="auto" w:before="1"/>
        <w:rPr>
          <w:rFonts w:ascii="宋体" w:hAnsi="宋体" w:cs="宋体" w:eastAsia="宋体" w:hint="default"/>
          <w:sz w:val="23"/>
          <w:szCs w:val="23"/>
        </w:rPr>
      </w:pPr>
    </w:p>
    <w:p>
      <w:pPr>
        <w:pStyle w:val="BodyText"/>
        <w:spacing w:line="240" w:lineRule="auto" w:before="44"/>
        <w:ind w:right="97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1,410,103.86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-89,896.14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-89,896.14</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after="0" w:line="240" w:lineRule="auto"/>
        <w:jc w:val="left"/>
        <w:sectPr>
          <w:headerReference w:type="default" r:id="rId30"/>
          <w:pgSz w:w="11910" w:h="16840"/>
          <w:pgMar w:header="921" w:footer="1013" w:top="1700" w:bottom="1200" w:left="1020" w:right="0"/>
        </w:sectPr>
      </w:pPr>
    </w:p>
    <w:p>
      <w:pPr>
        <w:spacing w:line="240" w:lineRule="auto" w:before="7"/>
        <w:rPr>
          <w:rFonts w:ascii="宋体" w:hAnsi="宋体" w:cs="宋体" w:eastAsia="宋体" w:hint="default"/>
          <w:sz w:val="20"/>
          <w:szCs w:val="20"/>
        </w:rPr>
      </w:pPr>
    </w:p>
    <w:p>
      <w:pPr>
        <w:pStyle w:val="Heading2"/>
        <w:spacing w:line="240" w:lineRule="auto" w:before="26"/>
        <w:ind w:left="132" w:right="1032"/>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32" w:right="1129" w:firstLine="360"/>
        <w:jc w:val="both"/>
        <w:rPr>
          <w:rFonts w:ascii="宋体" w:hAnsi="宋体" w:cs="宋体" w:eastAsia="宋体" w:hint="default"/>
        </w:rPr>
      </w:pPr>
      <w:r>
        <w:rPr>
          <w:spacing w:val="-2"/>
        </w:rPr>
        <w:t>本公司与金融工具相关的风险源于本公司在经营过程中所确认的各类金融资产和金融负债，包括：信用风险、流动性风</w:t>
      </w:r>
      <w:r>
        <w:rPr/>
        <w:t> 险和市场风险。</w:t>
      </w:r>
      <w:r>
        <w:rPr>
          <w:rFonts w:ascii="宋体" w:hAnsi="宋体" w:cs="宋体" w:eastAsia="宋体" w:hint="default"/>
        </w:rPr>
        <w:t> </w:t>
      </w:r>
    </w:p>
    <w:p>
      <w:pPr>
        <w:pStyle w:val="BodyText"/>
        <w:spacing w:line="316" w:lineRule="auto" w:before="139"/>
        <w:ind w:left="132" w:right="1131" w:firstLine="360"/>
        <w:jc w:val="both"/>
        <w:rPr>
          <w:rFonts w:ascii="宋体" w:hAnsi="宋体" w:cs="宋体" w:eastAsia="宋体" w:hint="default"/>
        </w:rPr>
      </w:pPr>
      <w:r>
        <w:rPr>
          <w:spacing w:val="-2"/>
        </w:rPr>
        <w:t>本公司与金融工具相关的各类风险的管理目标和政策的制度由本公司管理层负责。经营管理层通过职能部门负责日常的</w:t>
      </w:r>
      <w:r>
        <w:rPr/>
        <w:t> </w:t>
      </w:r>
      <w:r>
        <w:rPr>
          <w:spacing w:val="-2"/>
        </w:rPr>
        <w:t>风险管理。本公司内部审计部门对公司风险管理的政策和程序的执行情况进行日常监督，并且将有关发现及时报告给本公司</w:t>
      </w:r>
      <w:r>
        <w:rPr>
          <w:spacing w:val="-63"/>
        </w:rPr>
        <w:t> </w:t>
      </w:r>
      <w:r>
        <w:rPr>
          <w:spacing w:val="-63"/>
        </w:rPr>
      </w:r>
      <w:r>
        <w:rPr/>
        <w:t>审计委员会。</w:t>
      </w:r>
      <w:r>
        <w:rPr>
          <w:rFonts w:ascii="宋体" w:hAnsi="宋体" w:cs="宋体" w:eastAsia="宋体" w:hint="default"/>
        </w:rPr>
        <w:t> </w:t>
      </w:r>
    </w:p>
    <w:p>
      <w:pPr>
        <w:pStyle w:val="BodyText"/>
        <w:spacing w:line="316" w:lineRule="auto" w:before="139"/>
        <w:ind w:left="132" w:right="1131" w:firstLine="360"/>
        <w:jc w:val="both"/>
        <w:rPr>
          <w:rFonts w:ascii="宋体" w:hAnsi="宋体" w:cs="宋体" w:eastAsia="宋体" w:hint="default"/>
        </w:rPr>
      </w:pPr>
      <w:r>
        <w:rPr>
          <w:spacing w:val="-2"/>
        </w:rPr>
        <w:t>本公司风险管理的总体目标是在不过度影响公司竞争力和应变力的情况下，制定尽可能降低各类与金融工具相关风险的</w:t>
      </w:r>
      <w:r>
        <w:rPr/>
        <w:t> 风险管理政策。</w:t>
      </w:r>
      <w:r>
        <w:rPr>
          <w:rFonts w:ascii="宋体" w:hAnsi="宋体" w:cs="宋体" w:eastAsia="宋体" w:hint="default"/>
        </w:rPr>
        <w:t> </w:t>
      </w:r>
    </w:p>
    <w:p>
      <w:pPr>
        <w:pStyle w:val="BodyText"/>
        <w:spacing w:line="240" w:lineRule="auto" w:before="139"/>
        <w:ind w:left="493" w:right="1032"/>
        <w:jc w:val="left"/>
        <w:rPr>
          <w:rFonts w:ascii="宋体" w:hAnsi="宋体" w:cs="宋体" w:eastAsia="宋体" w:hint="default"/>
        </w:rPr>
      </w:pPr>
      <w:r>
        <w:rPr>
          <w:rFonts w:ascii="宋体" w:hAnsi="宋体" w:cs="宋体" w:eastAsia="宋体" w:hint="default"/>
        </w:rPr>
        <w:t>1.</w:t>
      </w:r>
      <w:r>
        <w:rPr/>
        <w:t>信用风险</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316" w:lineRule="auto"/>
        <w:ind w:left="132" w:right="1131" w:firstLine="360"/>
        <w:jc w:val="both"/>
        <w:rPr>
          <w:rFonts w:ascii="宋体" w:hAnsi="宋体" w:cs="宋体" w:eastAsia="宋体" w:hint="default"/>
        </w:rPr>
      </w:pPr>
      <w:r>
        <w:rPr>
          <w:spacing w:val="-2"/>
        </w:rPr>
        <w:t>信用风险，是指金融工具的一方未能履行义务从而导致另一方发生财务损失的风险。本公司的信用风险主要产生于货币</w:t>
      </w:r>
      <w:r>
        <w:rPr/>
        <w:t> </w:t>
      </w:r>
      <w:r>
        <w:rPr>
          <w:spacing w:val="-2"/>
        </w:rPr>
        <w:t>资金、应收票据、应收账款、其他应收款等，这些金融资产的信用风险源自交易对手违约，最大的风险敞口等于这些工具的</w:t>
      </w:r>
      <w:r>
        <w:rPr>
          <w:spacing w:val="-65"/>
        </w:rPr>
        <w:t> </w:t>
      </w:r>
      <w:r>
        <w:rPr>
          <w:spacing w:val="-65"/>
        </w:rPr>
      </w:r>
      <w:r>
        <w:rPr/>
        <w:t>账面金额。</w:t>
      </w:r>
      <w:r>
        <w:rPr>
          <w:rFonts w:ascii="宋体" w:hAnsi="宋体" w:cs="宋体" w:eastAsia="宋体" w:hint="default"/>
        </w:rPr>
        <w:t> </w:t>
      </w:r>
    </w:p>
    <w:p>
      <w:pPr>
        <w:pStyle w:val="BodyText"/>
        <w:spacing w:line="316" w:lineRule="auto" w:before="139"/>
        <w:ind w:left="132" w:right="1131" w:firstLine="360"/>
        <w:jc w:val="both"/>
        <w:rPr>
          <w:rFonts w:ascii="宋体" w:hAnsi="宋体" w:cs="宋体" w:eastAsia="宋体" w:hint="default"/>
        </w:rPr>
      </w:pPr>
      <w:r>
        <w:rPr>
          <w:spacing w:val="-2"/>
        </w:rPr>
        <w:t>本公司货币资金主要存放于商业银行等金融机构，本公司认为这些商业银行具备较高信誉和资产状况，存在较低的信用</w:t>
      </w:r>
      <w:r>
        <w:rPr/>
        <w:t> 风险。</w:t>
      </w:r>
      <w:r>
        <w:rPr>
          <w:rFonts w:ascii="宋体" w:hAnsi="宋体" w:cs="宋体" w:eastAsia="宋体" w:hint="default"/>
        </w:rPr>
        <w:t> </w:t>
      </w:r>
    </w:p>
    <w:p>
      <w:pPr>
        <w:pStyle w:val="BodyText"/>
        <w:spacing w:line="316" w:lineRule="auto" w:before="139"/>
        <w:ind w:left="132" w:right="1128" w:firstLine="360"/>
        <w:jc w:val="both"/>
        <w:rPr>
          <w:rFonts w:ascii="宋体" w:hAnsi="宋体" w:cs="宋体" w:eastAsia="宋体" w:hint="default"/>
        </w:rPr>
      </w:pPr>
      <w:r>
        <w:rPr>
          <w:spacing w:val="-2"/>
        </w:rPr>
        <w:t>对于应收票据、应收账款、其他应收款，本公司设定相关政策以控制信用风险敞口。本公司基于对客户的财务状况、从</w:t>
      </w:r>
      <w:r>
        <w:rPr/>
        <w:t> </w:t>
      </w:r>
      <w:r>
        <w:rPr>
          <w:spacing w:val="-2"/>
        </w:rPr>
        <w:t>第三方获取担保的可能性、信用记录及其他因素诸如目前市场状况等评估客户的信用资质并设置相应信用期。本公司会定期</w:t>
      </w:r>
      <w:r>
        <w:rPr>
          <w:spacing w:val="-63"/>
        </w:rPr>
        <w:t> </w:t>
      </w:r>
      <w:r>
        <w:rPr>
          <w:spacing w:val="-63"/>
        </w:rPr>
      </w:r>
      <w:r>
        <w:rPr>
          <w:spacing w:val="-2"/>
        </w:rPr>
        <w:t>对客户信用记录进行监控，对于信用记录不良的客户，本公司会采用书面催款、缩短信用期或取消信用期等方式，以确保本</w:t>
      </w:r>
      <w:r>
        <w:rPr>
          <w:spacing w:val="-63"/>
        </w:rPr>
        <w:t> </w:t>
      </w:r>
      <w:r>
        <w:rPr>
          <w:spacing w:val="-63"/>
        </w:rPr>
      </w:r>
      <w:r>
        <w:rPr/>
        <w:t>公司的整体信用风险在可控的范围内。</w:t>
      </w:r>
      <w:r>
        <w:rPr>
          <w:rFonts w:ascii="宋体" w:hAnsi="宋体" w:cs="宋体" w:eastAsia="宋体" w:hint="default"/>
        </w:rPr>
        <w:t> </w:t>
      </w:r>
    </w:p>
    <w:p>
      <w:pPr>
        <w:pStyle w:val="BodyText"/>
        <w:spacing w:line="316" w:lineRule="auto" w:before="139"/>
        <w:ind w:left="132" w:right="1126" w:firstLine="360"/>
        <w:jc w:val="both"/>
        <w:rPr>
          <w:rFonts w:ascii="宋体" w:hAnsi="宋体" w:cs="宋体" w:eastAsia="宋体" w:hint="default"/>
        </w:rPr>
      </w:pPr>
      <w:r>
        <w:rPr>
          <w:spacing w:val="-2"/>
        </w:rPr>
        <w:t>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日，本公司应收账款中，欠款金额前五大客户的应收账款占本公司应收账款总额的</w:t>
      </w:r>
      <w:r>
        <w:rPr>
          <w:rFonts w:ascii="宋体" w:hAnsi="宋体" w:cs="宋体" w:eastAsia="宋体" w:hint="default"/>
          <w:spacing w:val="-2"/>
        </w:rPr>
        <w:t>48.77%</w:t>
      </w:r>
      <w:r>
        <w:rPr>
          <w:spacing w:val="-2"/>
        </w:rPr>
        <w:t>；本公司其</w:t>
      </w:r>
      <w:r>
        <w:rPr/>
        <w:t> 他应收款中，欠款金额前五大公司的其他应收款占本公司其他应收款总额的</w:t>
      </w:r>
      <w:r>
        <w:rPr>
          <w:rFonts w:ascii="宋体" w:hAnsi="宋体" w:cs="宋体" w:eastAsia="宋体" w:hint="default"/>
        </w:rPr>
        <w:t>39.83%</w:t>
      </w:r>
      <w:r>
        <w:rPr/>
        <w:t>。</w:t>
      </w:r>
      <w:r>
        <w:rPr>
          <w:rFonts w:ascii="宋体" w:hAnsi="宋体" w:cs="宋体" w:eastAsia="宋体" w:hint="default"/>
        </w:rPr>
        <w:t> </w:t>
      </w:r>
    </w:p>
    <w:p>
      <w:pPr>
        <w:pStyle w:val="BodyText"/>
        <w:spacing w:line="240" w:lineRule="auto" w:before="139"/>
        <w:ind w:left="493" w:right="1032"/>
        <w:jc w:val="left"/>
        <w:rPr>
          <w:rFonts w:ascii="宋体" w:hAnsi="宋体" w:cs="宋体" w:eastAsia="宋体" w:hint="default"/>
        </w:rPr>
      </w:pPr>
      <w:r>
        <w:rPr>
          <w:rFonts w:ascii="宋体" w:hAnsi="宋体" w:cs="宋体" w:eastAsia="宋体" w:hint="default"/>
        </w:rPr>
        <w:t>2.</w:t>
      </w:r>
      <w:r>
        <w:rPr/>
        <w:t>流动性风险</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left="132" w:right="1131" w:firstLine="360"/>
        <w:jc w:val="both"/>
        <w:rPr>
          <w:rFonts w:ascii="宋体" w:hAnsi="宋体" w:cs="宋体" w:eastAsia="宋体" w:hint="default"/>
        </w:rPr>
      </w:pPr>
      <w:r>
        <w:rPr>
          <w:spacing w:val="-2"/>
        </w:rPr>
        <w:t>流动性风险，是指企业在履行以交付现金或其他金融资产的方式结算的义务时发生资金短缺的风险。本公司统筹负责集</w:t>
      </w:r>
      <w:r>
        <w:rPr/>
        <w:t> </w:t>
      </w:r>
      <w:r>
        <w:rPr>
          <w:spacing w:val="-2"/>
        </w:rPr>
        <w:t>团内各子公司的现金管理工作，包括现金盈余的短期投资和筹措贷款以应付预计现金需求。本公司的政策是定期监控短期和</w:t>
      </w:r>
      <w:r>
        <w:rPr>
          <w:spacing w:val="-64"/>
        </w:rPr>
        <w:t> </w:t>
      </w:r>
      <w:r>
        <w:rPr>
          <w:spacing w:val="-64"/>
        </w:rPr>
      </w:r>
      <w:r>
        <w:rPr/>
        <w:t>长期的流动资金需求，以及是否符合借款协议的规定，以确保维持充裕的现金储备和可供随时变现的有价证券。</w:t>
      </w:r>
      <w:r>
        <w:rPr>
          <w:rFonts w:ascii="宋体" w:hAnsi="宋体" w:cs="宋体" w:eastAsia="宋体" w:hint="default"/>
        </w:rPr>
        <w:t> </w:t>
      </w:r>
    </w:p>
    <w:p>
      <w:pPr>
        <w:pStyle w:val="BodyText"/>
        <w:spacing w:line="240" w:lineRule="auto" w:before="139"/>
        <w:ind w:left="493" w:right="1032"/>
        <w:jc w:val="left"/>
        <w:rPr>
          <w:rFonts w:ascii="宋体" w:hAnsi="宋体" w:cs="宋体" w:eastAsia="宋体" w:hint="default"/>
        </w:rPr>
      </w:pPr>
      <w:r>
        <w:rPr/>
        <w:t>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日，本公司金融负债到期期限如下：</w:t>
      </w:r>
      <w:r>
        <w:rPr>
          <w:rFonts w:ascii="宋体" w:hAnsi="宋体" w:cs="宋体" w:eastAsia="宋体" w:hint="default"/>
        </w:rPr>
        <w:t> </w:t>
      </w:r>
    </w:p>
    <w:p>
      <w:pPr>
        <w:spacing w:line="240" w:lineRule="auto" w:before="0"/>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278"/>
        <w:gridCol w:w="2365"/>
        <w:gridCol w:w="1673"/>
        <w:gridCol w:w="1671"/>
        <w:gridCol w:w="1673"/>
      </w:tblGrid>
      <w:tr>
        <w:trPr>
          <w:trHeight w:val="341" w:hRule="exact"/>
        </w:trPr>
        <w:tc>
          <w:tcPr>
            <w:tcW w:w="227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73"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73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8"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343" w:hRule="exact"/>
        </w:trPr>
        <w:tc>
          <w:tcPr>
            <w:tcW w:w="2278" w:type="dxa"/>
            <w:vMerge/>
            <w:tcBorders>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4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r>
              <w:rPr>
                <w:rFonts w:ascii="宋体" w:hAnsi="宋体" w:cs="宋体" w:eastAsia="宋体" w:hint="default"/>
                <w:sz w:val="18"/>
                <w:szCs w:val="18"/>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7"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r>
              <w:rPr>
                <w:rFonts w:ascii="宋体" w:hAnsi="宋体" w:cs="宋体" w:eastAsia="宋体" w:hint="default"/>
                <w:sz w:val="18"/>
                <w:szCs w:val="18"/>
              </w:rPr>
              <w:t> </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9"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r>
              <w:rPr>
                <w:rFonts w:ascii="宋体" w:hAnsi="宋体" w:cs="宋体" w:eastAsia="宋体" w:hint="default"/>
                <w:sz w:val="18"/>
                <w:szCs w:val="18"/>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4"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r>
              <w:rPr>
                <w:rFonts w:ascii="宋体" w:hAnsi="宋体" w:cs="宋体" w:eastAsia="宋体" w:hint="default"/>
                <w:sz w:val="18"/>
                <w:szCs w:val="18"/>
              </w:rPr>
              <w:t> </w:t>
            </w:r>
          </w:p>
        </w:tc>
      </w:tr>
      <w:tr>
        <w:trPr>
          <w:trHeight w:val="34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230,000,000.00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7" w:right="0"/>
              <w:jc w:val="center"/>
              <w:rPr>
                <w:rFonts w:ascii="宋体" w:hAnsi="宋体" w:cs="宋体" w:eastAsia="宋体" w:hint="default"/>
                <w:sz w:val="18"/>
                <w:szCs w:val="18"/>
              </w:rPr>
            </w:pPr>
            <w:r>
              <w:rPr>
                <w:rFonts w:ascii="宋体"/>
                <w:sz w:val="18"/>
              </w:rPr>
              <w:t> </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0" w:right="0"/>
              <w:jc w:val="center"/>
              <w:rPr>
                <w:rFonts w:ascii="宋体" w:hAnsi="宋体" w:cs="宋体" w:eastAsia="宋体" w:hint="default"/>
                <w:sz w:val="18"/>
                <w:szCs w:val="18"/>
              </w:rPr>
            </w:pPr>
            <w:r>
              <w:rPr>
                <w:rFonts w:ascii="宋体"/>
                <w:sz w:val="18"/>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2" w:right="0"/>
              <w:jc w:val="center"/>
              <w:rPr>
                <w:rFonts w:ascii="宋体" w:hAnsi="宋体" w:cs="宋体" w:eastAsia="宋体" w:hint="default"/>
                <w:sz w:val="18"/>
                <w:szCs w:val="18"/>
              </w:rPr>
            </w:pPr>
            <w:r>
              <w:rPr>
                <w:rFonts w:ascii="宋体"/>
                <w:sz w:val="18"/>
              </w:rPr>
              <w:t> </w:t>
            </w:r>
          </w:p>
        </w:tc>
      </w:tr>
      <w:tr>
        <w:trPr>
          <w:trHeight w:val="46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593,392,685.27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47" w:right="0"/>
              <w:jc w:val="center"/>
              <w:rPr>
                <w:rFonts w:ascii="宋体" w:hAnsi="宋体" w:cs="宋体" w:eastAsia="宋体" w:hint="default"/>
                <w:sz w:val="18"/>
                <w:szCs w:val="18"/>
              </w:rPr>
            </w:pPr>
            <w:r>
              <w:rPr>
                <w:rFonts w:ascii="宋体"/>
                <w:sz w:val="18"/>
              </w:rPr>
              <w:t> </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50" w:right="0"/>
              <w:jc w:val="center"/>
              <w:rPr>
                <w:rFonts w:ascii="宋体" w:hAnsi="宋体" w:cs="宋体" w:eastAsia="宋体" w:hint="default"/>
                <w:sz w:val="18"/>
                <w:szCs w:val="18"/>
              </w:rPr>
            </w:pPr>
            <w:r>
              <w:rPr>
                <w:rFonts w:ascii="宋体"/>
                <w:sz w:val="18"/>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52" w:right="0"/>
              <w:jc w:val="center"/>
              <w:rPr>
                <w:rFonts w:ascii="宋体" w:hAnsi="宋体" w:cs="宋体" w:eastAsia="宋体" w:hint="default"/>
                <w:sz w:val="18"/>
                <w:szCs w:val="18"/>
              </w:rPr>
            </w:pPr>
            <w:r>
              <w:rPr>
                <w:rFonts w:ascii="宋体"/>
                <w:sz w:val="18"/>
              </w:rPr>
              <w:t> </w:t>
            </w:r>
          </w:p>
        </w:tc>
      </w:tr>
      <w:tr>
        <w:trPr>
          <w:trHeight w:val="46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20,847,536.84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47" w:right="0"/>
              <w:jc w:val="center"/>
              <w:rPr>
                <w:rFonts w:ascii="宋体" w:hAnsi="宋体" w:cs="宋体" w:eastAsia="宋体" w:hint="default"/>
                <w:sz w:val="18"/>
                <w:szCs w:val="18"/>
              </w:rPr>
            </w:pPr>
            <w:r>
              <w:rPr>
                <w:rFonts w:ascii="宋体"/>
                <w:sz w:val="18"/>
              </w:rPr>
              <w:t> </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50" w:right="0"/>
              <w:jc w:val="center"/>
              <w:rPr>
                <w:rFonts w:ascii="宋体" w:hAnsi="宋体" w:cs="宋体" w:eastAsia="宋体" w:hint="default"/>
                <w:sz w:val="18"/>
                <w:szCs w:val="18"/>
              </w:rPr>
            </w:pPr>
            <w:r>
              <w:rPr>
                <w:rFonts w:ascii="宋体"/>
                <w:sz w:val="18"/>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52" w:right="0"/>
              <w:jc w:val="center"/>
              <w:rPr>
                <w:rFonts w:ascii="宋体" w:hAnsi="宋体" w:cs="宋体" w:eastAsia="宋体" w:hint="default"/>
                <w:sz w:val="18"/>
                <w:szCs w:val="18"/>
              </w:rPr>
            </w:pPr>
            <w:r>
              <w:rPr>
                <w:rFonts w:ascii="宋体"/>
                <w:sz w:val="18"/>
              </w:rPr>
              <w:t> </w:t>
            </w:r>
          </w:p>
        </w:tc>
      </w:tr>
      <w:tr>
        <w:trPr>
          <w:trHeight w:val="34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3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844,240,222.11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7" w:right="0"/>
              <w:jc w:val="center"/>
              <w:rPr>
                <w:rFonts w:ascii="宋体" w:hAnsi="宋体" w:cs="宋体" w:eastAsia="宋体" w:hint="default"/>
                <w:sz w:val="18"/>
                <w:szCs w:val="18"/>
              </w:rPr>
            </w:pPr>
            <w:r>
              <w:rPr>
                <w:rFonts w:ascii="宋体"/>
                <w:sz w:val="18"/>
              </w:rPr>
              <w:t> </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0" w:right="0"/>
              <w:jc w:val="center"/>
              <w:rPr>
                <w:rFonts w:ascii="宋体" w:hAnsi="宋体" w:cs="宋体" w:eastAsia="宋体" w:hint="default"/>
                <w:sz w:val="18"/>
                <w:szCs w:val="18"/>
              </w:rPr>
            </w:pPr>
            <w:r>
              <w:rPr>
                <w:rFonts w:ascii="宋体"/>
                <w:sz w:val="18"/>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2" w:right="0"/>
              <w:jc w:val="center"/>
              <w:rPr>
                <w:rFonts w:ascii="宋体" w:hAnsi="宋体" w:cs="宋体" w:eastAsia="宋体" w:hint="default"/>
                <w:sz w:val="18"/>
                <w:szCs w:val="18"/>
              </w:rPr>
            </w:pPr>
            <w:r>
              <w:rPr>
                <w:rFonts w:ascii="宋体"/>
                <w:sz w:val="18"/>
              </w:rPr>
              <w:t> </w:t>
            </w:r>
          </w:p>
        </w:tc>
      </w:tr>
    </w:tbl>
    <w:p>
      <w:pPr>
        <w:spacing w:line="240" w:lineRule="auto" w:before="8"/>
        <w:rPr>
          <w:rFonts w:ascii="宋体" w:hAnsi="宋体" w:cs="宋体" w:eastAsia="宋体" w:hint="default"/>
          <w:sz w:val="6"/>
          <w:szCs w:val="6"/>
        </w:rPr>
      </w:pPr>
    </w:p>
    <w:p>
      <w:pPr>
        <w:pStyle w:val="BodyText"/>
        <w:spacing w:line="240" w:lineRule="auto" w:before="44"/>
        <w:ind w:left="493" w:right="1032"/>
        <w:jc w:val="left"/>
        <w:rPr>
          <w:rFonts w:ascii="宋体" w:hAnsi="宋体" w:cs="宋体" w:eastAsia="宋体" w:hint="default"/>
        </w:rPr>
      </w:pPr>
      <w:r>
        <w:rPr>
          <w:rFonts w:ascii="宋体" w:hAnsi="宋体" w:cs="宋体" w:eastAsia="宋体" w:hint="default"/>
        </w:rPr>
        <w:t>3.</w:t>
      </w:r>
      <w:r>
        <w:rPr/>
        <w:t>市场风险</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left="132" w:right="1032" w:firstLine="360"/>
        <w:jc w:val="left"/>
        <w:rPr>
          <w:rFonts w:ascii="宋体" w:hAnsi="宋体" w:cs="宋体" w:eastAsia="宋体" w:hint="default"/>
        </w:rPr>
      </w:pPr>
      <w:r>
        <w:rPr>
          <w:spacing w:val="-2"/>
        </w:rPr>
        <w:t>金融工具的市场风险，是指金融工具的公允价值或未来现金流量因市场价格变动而发生波动的风险，本公司的主要市场</w:t>
      </w:r>
      <w:r>
        <w:rPr/>
        <w:t> 风险为利率风险。</w:t>
      </w:r>
      <w:r>
        <w:rPr>
          <w:rFonts w:ascii="宋体" w:hAnsi="宋体" w:cs="宋体" w:eastAsia="宋体" w:hint="default"/>
        </w:rPr>
        <w:t> </w:t>
      </w:r>
    </w:p>
    <w:p>
      <w:pPr>
        <w:pStyle w:val="BodyText"/>
        <w:spacing w:line="316" w:lineRule="auto" w:before="139"/>
        <w:ind w:left="132" w:right="1032" w:firstLine="360"/>
        <w:jc w:val="left"/>
        <w:rPr>
          <w:rFonts w:ascii="宋体" w:hAnsi="宋体" w:cs="宋体" w:eastAsia="宋体" w:hint="default"/>
        </w:rPr>
      </w:pPr>
      <w:r>
        <w:rPr>
          <w:spacing w:val="-2"/>
        </w:rPr>
        <w:t>利率风险，是指金融工具的公允价值或未来现金流量因市场利率变动而发生波动的风险。利率风险可源于已确认的计息</w:t>
      </w:r>
      <w:r>
        <w:rPr/>
        <w:t> 金融工具和未确认的金融工具。</w:t>
      </w:r>
      <w:r>
        <w:rPr>
          <w:rFonts w:ascii="宋体" w:hAnsi="宋体" w:cs="宋体" w:eastAsia="宋体" w:hint="default"/>
        </w:rPr>
        <w:t> </w:t>
      </w:r>
    </w:p>
    <w:p>
      <w:pPr>
        <w:pStyle w:val="BodyText"/>
        <w:spacing w:line="240" w:lineRule="auto" w:before="139"/>
        <w:ind w:left="493" w:right="0"/>
        <w:jc w:val="left"/>
      </w:pPr>
      <w:r>
        <w:rPr/>
        <w:t>本公司密切关注利率变动对本公司利率风险的影响。本公司目前并未采取利率对冲政策。但管理层负责监控利率风险，</w:t>
      </w:r>
    </w:p>
    <w:p>
      <w:pPr>
        <w:spacing w:after="0" w:line="240" w:lineRule="auto"/>
        <w:jc w:val="left"/>
        <w:sectPr>
          <w:headerReference w:type="default" r:id="rId31"/>
          <w:pgSz w:w="11910" w:h="16840"/>
          <w:pgMar w:header="910" w:footer="1013" w:top="1100" w:bottom="1200" w:left="1000" w:right="0"/>
        </w:sectPr>
      </w:pPr>
    </w:p>
    <w:p>
      <w:pPr>
        <w:spacing w:line="240" w:lineRule="auto" w:before="8"/>
        <w:rPr>
          <w:rFonts w:ascii="宋体" w:hAnsi="宋体" w:cs="宋体" w:eastAsia="宋体" w:hint="default"/>
          <w:sz w:val="22"/>
          <w:szCs w:val="22"/>
        </w:rPr>
      </w:pPr>
    </w:p>
    <w:p>
      <w:pPr>
        <w:pStyle w:val="BodyText"/>
        <w:spacing w:line="240" w:lineRule="auto" w:before="44"/>
        <w:ind w:right="977"/>
        <w:jc w:val="left"/>
        <w:rPr>
          <w:rFonts w:ascii="宋体" w:hAnsi="宋体" w:cs="宋体" w:eastAsia="宋体" w:hint="default"/>
        </w:rPr>
      </w:pPr>
      <w:r>
        <w:rPr/>
        <w:t>并将于需要时考虑对冲重大利率风险。</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2"/>
        <w:spacing w:line="240" w:lineRule="auto"/>
        <w:ind w:right="977"/>
        <w:jc w:val="left"/>
        <w:rPr>
          <w:b w:val="0"/>
          <w:bCs w:val="0"/>
        </w:rPr>
      </w:pPr>
      <w:r>
        <w:rPr/>
        <w:t>十一、公允价值的披露</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1"/>
        <w:rPr>
          <w:rFonts w:ascii="宋体" w:hAnsi="宋体" w:cs="宋体" w:eastAsia="宋体" w:hint="default"/>
          <w:sz w:val="25"/>
          <w:szCs w:val="25"/>
        </w:rPr>
      </w:pPr>
    </w:p>
    <w:p>
      <w:pPr>
        <w:pStyle w:val="Heading2"/>
        <w:spacing w:line="240" w:lineRule="auto"/>
        <w:ind w:right="977"/>
        <w:jc w:val="left"/>
        <w:rPr>
          <w:b w:val="0"/>
          <w:bCs w:val="0"/>
        </w:rPr>
      </w:pP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77"/>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4"/>
        <w:jc w:val="left"/>
      </w:pPr>
      <w:r>
        <w:rPr/>
        <w:t>无。 本企业最终控制方是李建国、蒋鹂北。</w:t>
      </w:r>
    </w:p>
    <w:p>
      <w:pPr>
        <w:spacing w:line="240" w:lineRule="auto" w:before="3"/>
        <w:rPr>
          <w:rFonts w:ascii="宋体" w:hAnsi="宋体" w:cs="宋体" w:eastAsia="宋体" w:hint="default"/>
          <w:sz w:val="20"/>
          <w:szCs w:val="20"/>
        </w:rPr>
      </w:pPr>
    </w:p>
    <w:p>
      <w:pPr>
        <w:pStyle w:val="Heading3"/>
        <w:spacing w:line="240" w:lineRule="auto"/>
        <w:ind w:right="977"/>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本企业子公司的情况详见附注本节九、其他主体中的权益。</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2294"/>
        <w:jc w:val="left"/>
      </w:pPr>
      <w:r>
        <w:rPr/>
        <w:t>报告期内本企业无重要的合营或联营企业。 本期与本公司发生关联方交易，或前期与本公司发生关联方交易形成余额的其他合营或联营企业情况如下： 无。</w:t>
      </w:r>
    </w:p>
    <w:p>
      <w:pPr>
        <w:spacing w:line="240" w:lineRule="auto" w:before="13"/>
        <w:rPr>
          <w:rFonts w:ascii="宋体" w:hAnsi="宋体" w:cs="宋体" w:eastAsia="宋体" w:hint="default"/>
          <w:sz w:val="19"/>
          <w:szCs w:val="19"/>
        </w:rPr>
      </w:pPr>
    </w:p>
    <w:p>
      <w:pPr>
        <w:pStyle w:val="Heading3"/>
        <w:spacing w:line="240" w:lineRule="auto"/>
        <w:ind w:right="977"/>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许文杰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梁姬</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董事、财务总监</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沈湘平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董事、副总经理、董事会秘书</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方培豪</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胡永乐</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李胜兰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马英华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万海斌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唐敏</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陶秋鸿</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欧宇菲</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杨兆云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r>
    </w:tbl>
    <w:p>
      <w:pPr>
        <w:spacing w:after="0" w:line="240" w:lineRule="auto"/>
        <w:jc w:val="left"/>
        <w:rPr>
          <w:rFonts w:ascii="宋体" w:hAnsi="宋体" w:cs="宋体" w:eastAsia="宋体" w:hint="default"/>
          <w:sz w:val="18"/>
          <w:szCs w:val="18"/>
        </w:rPr>
        <w:sectPr>
          <w:pgSz w:w="11910" w:h="16840"/>
          <w:pgMar w:header="910" w:footer="1013" w:top="1100" w:bottom="1200" w:left="1020" w:right="0"/>
        </w:sectPr>
      </w:pPr>
    </w:p>
    <w:p>
      <w:pPr>
        <w:spacing w:line="240" w:lineRule="auto" w:before="7"/>
        <w:rPr>
          <w:rFonts w:ascii="宋体" w:hAnsi="宋体" w:cs="宋体" w:eastAsia="宋体" w:hint="default"/>
          <w:b/>
          <w:bCs/>
          <w:sz w:val="21"/>
          <w:szCs w:val="21"/>
        </w:rPr>
      </w:pPr>
    </w:p>
    <w:p>
      <w:pPr>
        <w:pStyle w:val="Heading3"/>
        <w:spacing w:line="240" w:lineRule="auto" w:before="36"/>
        <w:ind w:left="152"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2"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5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52"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2"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152"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52"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0" w:footer="1013" w:top="1100" w:bottom="1200" w:left="980" w:right="0"/>
        </w:sectPr>
      </w:pPr>
    </w:p>
    <w:p>
      <w:pPr>
        <w:pStyle w:val="BodyText"/>
        <w:spacing w:line="357" w:lineRule="auto" w:before="44"/>
        <w:ind w:left="152" w:right="-20"/>
        <w:jc w:val="left"/>
      </w:pPr>
      <w:r>
        <w:rPr/>
        <w:t>本公司作为担保方 无。 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2" w:right="0"/>
        <w:jc w:val="left"/>
      </w:pPr>
      <w:r>
        <w:rPr/>
        <w:t>单位：</w:t>
      </w:r>
      <w:r>
        <w:rPr>
          <w:spacing w:val="1"/>
        </w:rPr>
        <w:t> </w:t>
      </w:r>
      <w:r>
        <w:rPr/>
        <w:t>元</w:t>
      </w:r>
    </w:p>
    <w:p>
      <w:pPr>
        <w:spacing w:after="0" w:line="240" w:lineRule="auto"/>
        <w:jc w:val="left"/>
        <w:sectPr>
          <w:type w:val="continuous"/>
          <w:pgSz w:w="11910" w:h="16840"/>
          <w:pgMar w:top="1100" w:bottom="1200" w:left="980" w:right="0"/>
          <w:cols w:num="2" w:equalWidth="0">
            <w:col w:w="1773" w:space="7056"/>
            <w:col w:w="2101"/>
          </w:cols>
        </w:sectPr>
      </w:pP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397"/>
        <w:gridCol w:w="1452"/>
        <w:gridCol w:w="1844"/>
        <w:gridCol w:w="1844"/>
        <w:gridCol w:w="1162"/>
      </w:tblGrid>
      <w:tr>
        <w:trPr>
          <w:trHeight w:val="714" w:hRule="exact"/>
        </w:trPr>
        <w:tc>
          <w:tcPr>
            <w:tcW w:w="3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5" w:right="35" w:hanging="180"/>
              <w:jc w:val="left"/>
              <w:rPr>
                <w:rFonts w:ascii="宋体" w:hAnsi="宋体" w:cs="宋体" w:eastAsia="宋体" w:hint="default"/>
                <w:sz w:val="18"/>
                <w:szCs w:val="18"/>
              </w:rPr>
            </w:pPr>
            <w:r>
              <w:rPr>
                <w:rFonts w:ascii="宋体" w:hAnsi="宋体" w:cs="宋体" w:eastAsia="宋体" w:hint="default"/>
                <w:sz w:val="18"/>
                <w:szCs w:val="18"/>
              </w:rPr>
              <w:t>担保是否已经 履行完毕</w:t>
            </w:r>
          </w:p>
        </w:tc>
      </w:tr>
      <w:tr>
        <w:trPr>
          <w:trHeight w:val="40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580,000,000.00</w:t>
            </w:r>
            <w:r>
              <w:rPr>
                <w:rFonts w:ascii="Times New Roman"/>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蒋鹂北</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胡永乐</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梁姬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沈湘平</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许文杰</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杨兆云</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广西威克德力投资管理中心（有限合伙）</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广西盛欧投资管理中心（有限合伙）</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珠海弘泽熙元投资管理中心（有限合伙）</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蒋鹂北</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珠海弘泽熙元投资管理中心（有限合伙）</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200,000,000.00</w:t>
            </w:r>
            <w:r>
              <w:rPr>
                <w:rFonts w:ascii="Times New Roman"/>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2" w:right="0"/>
        <w:jc w:val="left"/>
      </w:pPr>
      <w:r>
        <w:rPr/>
        <w:t>关联担保情况说明</w:t>
      </w:r>
    </w:p>
    <w:p>
      <w:pPr>
        <w:pStyle w:val="BodyText"/>
        <w:spacing w:line="240" w:lineRule="auto" w:before="115"/>
        <w:ind w:left="152" w:right="0"/>
        <w:jc w:val="left"/>
      </w:pPr>
      <w:r>
        <w:rPr>
          <w:rFonts w:ascii="Times New Roman" w:hAnsi="Times New Roman" w:cs="Times New Roman" w:eastAsia="Times New Roman" w:hint="default"/>
        </w:rPr>
        <w:t>1</w:t>
      </w:r>
      <w:r>
        <w:rPr/>
        <w:t>、招商银行股份有限公司南宁分行于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日同意对本公司提供</w:t>
      </w:r>
      <w:r>
        <w:rPr>
          <w:rFonts w:ascii="Times New Roman" w:hAnsi="Times New Roman" w:cs="Times New Roman" w:eastAsia="Times New Roman" w:hint="default"/>
        </w:rPr>
        <w:t>5,000</w:t>
      </w:r>
      <w:r>
        <w:rPr/>
        <w:t>万元授信额度，授信协议编号为</w:t>
      </w:r>
    </w:p>
    <w:p>
      <w:pPr>
        <w:pStyle w:val="BodyText"/>
        <w:spacing w:line="240" w:lineRule="auto" w:before="63"/>
        <w:ind w:left="152" w:right="0"/>
        <w:jc w:val="left"/>
      </w:pPr>
      <w:r>
        <w:rPr/>
        <w:t>【</w:t>
      </w:r>
      <w:r>
        <w:rPr>
          <w:rFonts w:ascii="Times New Roman" w:hAnsi="Times New Roman" w:cs="Times New Roman" w:eastAsia="Times New Roman" w:hint="default"/>
        </w:rPr>
        <w:t>771XY2018004588</w:t>
      </w:r>
      <w:r>
        <w:rPr/>
        <w:t>】</w:t>
      </w:r>
      <w:r>
        <w:rPr>
          <w:rFonts w:ascii="Times New Roman" w:hAnsi="Times New Roman" w:cs="Times New Roman" w:eastAsia="Times New Roman" w:hint="default"/>
        </w:rPr>
        <w:t>,</w:t>
      </w:r>
      <w:r>
        <w:rPr/>
        <w:t>约定授信期限为</w:t>
      </w:r>
      <w:r>
        <w:rPr>
          <w:rFonts w:ascii="Times New Roman" w:hAnsi="Times New Roman" w:cs="Times New Roman" w:eastAsia="Times New Roman" w:hint="default"/>
        </w:rPr>
        <w:t>12</w:t>
      </w:r>
      <w:r>
        <w:rPr/>
        <w:t>月，即从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日止。自然人李建国出具编号为</w:t>
      </w:r>
    </w:p>
    <w:p>
      <w:pPr>
        <w:pStyle w:val="BodyText"/>
        <w:spacing w:line="240" w:lineRule="auto" w:before="63"/>
        <w:ind w:left="152" w:right="0"/>
        <w:jc w:val="left"/>
      </w:pPr>
      <w:r>
        <w:rPr/>
        <w:t>【</w:t>
      </w:r>
      <w:r>
        <w:rPr>
          <w:rFonts w:ascii="Times New Roman" w:hAnsi="Times New Roman" w:cs="Times New Roman" w:eastAsia="Times New Roman" w:hint="default"/>
        </w:rPr>
        <w:t>771XY2018004588(</w:t>
      </w:r>
      <w:r>
        <w:rPr/>
        <w:t>保</w:t>
      </w:r>
      <w:r>
        <w:rPr>
          <w:rFonts w:ascii="Times New Roman" w:hAnsi="Times New Roman" w:cs="Times New Roman" w:eastAsia="Times New Roman" w:hint="default"/>
        </w:rPr>
        <w:t>1</w:t>
      </w:r>
      <w:r>
        <w:rPr/>
        <w:t>）】的最高额不可撤销担保书，自愿为授信申请人在《授信协议》项下所欠所有债务承担连带保证</w:t>
      </w:r>
    </w:p>
    <w:p>
      <w:pPr>
        <w:spacing w:after="0" w:line="240" w:lineRule="auto"/>
        <w:jc w:val="left"/>
        <w:sectPr>
          <w:type w:val="continuous"/>
          <w:pgSz w:w="11910" w:h="16840"/>
          <w:pgMar w:top="1100" w:bottom="1200" w:left="980" w:right="0"/>
        </w:sectPr>
      </w:pPr>
    </w:p>
    <w:p>
      <w:pPr>
        <w:spacing w:line="240" w:lineRule="auto" w:before="8"/>
        <w:rPr>
          <w:rFonts w:ascii="宋体" w:hAnsi="宋体" w:cs="宋体" w:eastAsia="宋体" w:hint="default"/>
          <w:sz w:val="22"/>
          <w:szCs w:val="22"/>
        </w:rPr>
      </w:pPr>
    </w:p>
    <w:p>
      <w:pPr>
        <w:pStyle w:val="BodyText"/>
        <w:spacing w:line="302" w:lineRule="auto" w:before="44"/>
        <w:ind w:right="1039"/>
        <w:jc w:val="left"/>
      </w:pPr>
      <w:r>
        <w:rPr/>
        <w:t>责任，自然人蒋鹂北出具编号为【</w:t>
      </w:r>
      <w:r>
        <w:rPr>
          <w:rFonts w:ascii="Times New Roman" w:hAnsi="Times New Roman" w:cs="Times New Roman" w:eastAsia="Times New Roman" w:hint="default"/>
        </w:rPr>
        <w:t>771XY2018004588(</w:t>
      </w:r>
      <w:r>
        <w:rPr/>
        <w:t>保</w:t>
      </w:r>
      <w:r>
        <w:rPr>
          <w:rFonts w:ascii="Times New Roman" w:hAnsi="Times New Roman" w:cs="Times New Roman" w:eastAsia="Times New Roman" w:hint="default"/>
        </w:rPr>
        <w:t>2</w:t>
      </w:r>
      <w:r>
        <w:rPr/>
        <w:t>）】的最高额不可撤销担保书，自愿为授信申请人在《授信协议》 项下所欠所有债务承担连带保证责任。同时公司质押价值</w:t>
      </w:r>
      <w:r>
        <w:rPr>
          <w:rFonts w:ascii="Times New Roman" w:hAnsi="Times New Roman" w:cs="Times New Roman" w:eastAsia="Times New Roman" w:hint="default"/>
        </w:rPr>
        <w:t>9,337</w:t>
      </w:r>
      <w:r>
        <w:rPr/>
        <w:t>万元的应收账款与银行签订编号为【</w:t>
      </w:r>
      <w:r>
        <w:rPr>
          <w:rFonts w:ascii="Times New Roman" w:hAnsi="Times New Roman" w:cs="Times New Roman" w:eastAsia="Times New Roman" w:hint="default"/>
        </w:rPr>
        <w:t>771XY2018004588(</w:t>
      </w:r>
      <w:r>
        <w:rPr/>
        <w:t>质</w:t>
      </w:r>
      <w:r>
        <w:rPr>
          <w:rFonts w:ascii="Times New Roman" w:hAnsi="Times New Roman" w:cs="Times New Roman" w:eastAsia="Times New Roman" w:hint="default"/>
        </w:rPr>
        <w:t>)</w:t>
      </w:r>
      <w:r>
        <w:rPr/>
        <w:t>】 </w:t>
      </w:r>
      <w:r>
        <w:rPr>
          <w:spacing w:val="-2"/>
        </w:rPr>
        <w:t>的最高额质押合同。在该授信额度下，本公司与招商银行股份有限公司南宁分行签订编号为【</w:t>
      </w:r>
      <w:r>
        <w:rPr>
          <w:rFonts w:ascii="Times New Roman" w:hAnsi="Times New Roman" w:cs="Times New Roman" w:eastAsia="Times New Roman" w:hint="default"/>
          <w:spacing w:val="-2"/>
        </w:rPr>
        <w:t>7710702018001</w:t>
      </w:r>
      <w:r>
        <w:rPr>
          <w:spacing w:val="-2"/>
        </w:rPr>
        <w:t>】的借款合同，</w:t>
      </w:r>
      <w:r>
        <w:rPr>
          <w:spacing w:val="-55"/>
        </w:rPr>
        <w:t> </w:t>
      </w:r>
      <w:r>
        <w:rPr>
          <w:spacing w:val="-55"/>
        </w:rPr>
      </w:r>
      <w:r>
        <w:rPr/>
        <w:t>约定借款金额</w:t>
      </w:r>
      <w:r>
        <w:rPr>
          <w:rFonts w:ascii="Times New Roman" w:hAnsi="Times New Roman" w:cs="Times New Roman" w:eastAsia="Times New Roman" w:hint="default"/>
        </w:rPr>
        <w:t>3,000</w:t>
      </w:r>
      <w:r>
        <w:rPr/>
        <w:t>万元用于支付上游劳务费，借款期限为自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日起至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日止。本公司已与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 </w:t>
      </w:r>
      <w:r>
        <w:rPr/>
        <w:t>日全额偿还，截至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日该借款余额为零，债务履行完毕。 </w:t>
      </w:r>
      <w:r>
        <w:rPr>
          <w:rFonts w:ascii="Times New Roman" w:hAnsi="Times New Roman" w:cs="Times New Roman" w:eastAsia="Times New Roman" w:hint="default"/>
        </w:rPr>
        <w:t>2</w:t>
      </w:r>
      <w:r>
        <w:rPr/>
        <w:t>、公司与上海浦东发展银行股份有限公司南宁分行签订合同编号为【</w:t>
      </w:r>
      <w:r>
        <w:rPr>
          <w:rFonts w:ascii="Times New Roman" w:hAnsi="Times New Roman" w:cs="Times New Roman" w:eastAsia="Times New Roman" w:hint="default"/>
        </w:rPr>
        <w:t>63082015280008-2017-1</w:t>
      </w:r>
      <w:r>
        <w:rPr/>
        <w:t>】的《应收账款池融资业务合 </w:t>
      </w:r>
      <w:r>
        <w:rPr>
          <w:spacing w:val="-2"/>
        </w:rPr>
        <w:t>同》，银行根据公司质押给银行的合格应收账款所形成的应收账款池，在该应收账款池保持稳定的前提下，为公司提供短期</w:t>
      </w:r>
      <w:r>
        <w:rPr>
          <w:spacing w:val="-64"/>
        </w:rPr>
        <w:t> </w:t>
      </w:r>
      <w:r>
        <w:rPr>
          <w:spacing w:val="-64"/>
        </w:rPr>
      </w:r>
      <w:r>
        <w:rPr>
          <w:spacing w:val="-2"/>
        </w:rPr>
        <w:t>借款，同时由珠海弘泽熙元投资管理中心（有限合伙）及自然人李建国为借款提供连带责任担保。珠海弘泽熙元投资管理中</w:t>
      </w:r>
      <w:r>
        <w:rPr>
          <w:spacing w:val="-62"/>
        </w:rPr>
        <w:t> </w:t>
      </w:r>
      <w:r>
        <w:rPr>
          <w:spacing w:val="-62"/>
        </w:rPr>
      </w:r>
      <w:r>
        <w:rPr/>
        <w:t>心（有限合伙）与上海浦东发展银行股份有限公司南宁分行签订合同编号为【</w:t>
      </w:r>
      <w:r>
        <w:rPr>
          <w:rFonts w:ascii="Times New Roman" w:hAnsi="Times New Roman" w:cs="Times New Roman" w:eastAsia="Times New Roman" w:hint="default"/>
        </w:rPr>
        <w:t>ZB6308201500000005-1</w:t>
      </w:r>
      <w:r>
        <w:rPr/>
        <w:t>】的最高额保证合同 补充协议，合同约定担保期限为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日，最高额度</w:t>
      </w:r>
      <w:r>
        <w:rPr>
          <w:rFonts w:ascii="Times New Roman" w:hAnsi="Times New Roman" w:cs="Times New Roman" w:eastAsia="Times New Roman" w:hint="default"/>
        </w:rPr>
        <w:t>20,000</w:t>
      </w:r>
      <w:r>
        <w:rPr/>
        <w:t>万；自然人李建国与上海浦东发展银行股 份有限公司南宁分行签订合同编号为【</w:t>
      </w:r>
      <w:r>
        <w:rPr>
          <w:rFonts w:ascii="Times New Roman" w:hAnsi="Times New Roman" w:cs="Times New Roman" w:eastAsia="Times New Roman" w:hint="default"/>
        </w:rPr>
        <w:t>ZB6308201600000006-1</w:t>
      </w:r>
      <w:r>
        <w:rPr/>
        <w:t>】的最高额保证合同补充协议，合同约定担保期限为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 </w:t>
      </w:r>
      <w:r>
        <w:rPr>
          <w:spacing w:val="-1"/>
        </w:rPr>
        <w:t>月</w:t>
      </w:r>
      <w:r>
        <w:rPr>
          <w:rFonts w:ascii="Times New Roman" w:hAnsi="Times New Roman" w:cs="Times New Roman" w:eastAsia="Times New Roman" w:hint="default"/>
          <w:spacing w:val="-1"/>
        </w:rPr>
        <w:t>30</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日，最高额度</w:t>
      </w:r>
      <w:r>
        <w:rPr>
          <w:rFonts w:ascii="Times New Roman" w:hAnsi="Times New Roman" w:cs="Times New Roman" w:eastAsia="Times New Roman" w:hint="default"/>
          <w:spacing w:val="-1"/>
        </w:rPr>
        <w:t>20,000</w:t>
      </w:r>
      <w:r>
        <w:rPr>
          <w:spacing w:val="-1"/>
        </w:rPr>
        <w:t>万；该应收账款池融资业务合同签订日期为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16</w:t>
      </w:r>
      <w:r>
        <w:rPr>
          <w:spacing w:val="-1"/>
        </w:rPr>
        <w:t>日，根据上述担保合同，</w:t>
      </w:r>
      <w:r>
        <w:rPr>
          <w:spacing w:val="-72"/>
        </w:rPr>
        <w:t> </w:t>
      </w:r>
      <w:r>
        <w:rPr>
          <w:spacing w:val="-72"/>
        </w:rPr>
      </w:r>
      <w:r>
        <w:rPr/>
        <w:t>应收账款池融资额度</w:t>
      </w:r>
      <w:r>
        <w:rPr>
          <w:rFonts w:ascii="Times New Roman" w:hAnsi="Times New Roman" w:cs="Times New Roman" w:eastAsia="Times New Roman" w:hint="default"/>
        </w:rPr>
        <w:t>20,000</w:t>
      </w:r>
      <w:r>
        <w:rPr/>
        <w:t>万，有效期</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日，自然人李建国与上海浦东发展银行股份有限公司南宁分行签订 合同编号为【</w:t>
      </w:r>
      <w:r>
        <w:rPr>
          <w:rFonts w:ascii="Times New Roman" w:hAnsi="Times New Roman" w:cs="Times New Roman" w:eastAsia="Times New Roman" w:hint="default"/>
        </w:rPr>
        <w:t>ZZ6308201800000001</w:t>
      </w:r>
      <w:r>
        <w:rPr/>
        <w:t>】的《权利最高额质押合同》，质押</w:t>
      </w:r>
      <w:r>
        <w:rPr>
          <w:rFonts w:ascii="Times New Roman" w:hAnsi="Times New Roman" w:cs="Times New Roman" w:eastAsia="Times New Roman" w:hint="default"/>
        </w:rPr>
        <w:t>2,800</w:t>
      </w:r>
      <w:r>
        <w:rPr/>
        <w:t>万股润建通信股票为润建通信股份有限公司提 </w:t>
      </w:r>
      <w:r>
        <w:rPr>
          <w:spacing w:val="-4"/>
        </w:rPr>
        <w:t>供担保，合同约定担保期限为</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10</w:t>
      </w:r>
      <w:r>
        <w:rPr>
          <w:spacing w:val="-4"/>
        </w:rPr>
        <w:t>日至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10</w:t>
      </w:r>
      <w:r>
        <w:rPr>
          <w:spacing w:val="-4"/>
        </w:rPr>
        <w:t>日，最高额度为</w:t>
      </w:r>
      <w:r>
        <w:rPr>
          <w:rFonts w:ascii="Times New Roman" w:hAnsi="Times New Roman" w:cs="Times New Roman" w:eastAsia="Times New Roman" w:hint="default"/>
          <w:spacing w:val="-4"/>
        </w:rPr>
        <w:t>30,000</w:t>
      </w:r>
      <w:r>
        <w:rPr>
          <w:spacing w:val="-4"/>
        </w:rPr>
        <w:t>万元，该应收账款池融资额度根据上述《权</w:t>
      </w:r>
      <w:r>
        <w:rPr>
          <w:spacing w:val="-59"/>
        </w:rPr>
        <w:t> </w:t>
      </w:r>
      <w:r>
        <w:rPr>
          <w:spacing w:val="-59"/>
        </w:rPr>
      </w:r>
      <w:r>
        <w:rPr/>
        <w:t>利最高额质押合同》更新为</w:t>
      </w:r>
      <w:r>
        <w:rPr>
          <w:rFonts w:ascii="Times New Roman" w:hAnsi="Times New Roman" w:cs="Times New Roman" w:eastAsia="Times New Roman" w:hint="default"/>
        </w:rPr>
        <w:t>30,000</w:t>
      </w:r>
      <w:r>
        <w:rPr/>
        <w:t>万，有效期</w:t>
      </w:r>
      <w:r>
        <w:rPr>
          <w:rFonts w:ascii="Times New Roman" w:hAnsi="Times New Roman" w:cs="Times New Roman" w:eastAsia="Times New Roman" w:hint="default"/>
        </w:rPr>
        <w:t>1</w:t>
      </w:r>
      <w:r>
        <w:rPr/>
        <w:t>年，截至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日，该授信下的借款余额为零，债务履行完毕。 </w:t>
      </w:r>
      <w:r>
        <w:rPr>
          <w:rFonts w:ascii="Times New Roman" w:hAnsi="Times New Roman" w:cs="Times New Roman" w:eastAsia="Times New Roman" w:hint="default"/>
        </w:rPr>
        <w:t>3</w:t>
      </w:r>
      <w:r>
        <w:rPr/>
        <w:t>、公司与桂林银行股份有公司南宁分行签订合同编号为【</w:t>
      </w:r>
      <w:r>
        <w:rPr>
          <w:rFonts w:ascii="Times New Roman" w:hAnsi="Times New Roman" w:cs="Times New Roman" w:eastAsia="Times New Roman" w:hint="default"/>
        </w:rPr>
        <w:t>020010201700122</w:t>
      </w:r>
      <w:r>
        <w:rPr/>
        <w:t>】的综合授信合同，银行提供授信额度</w:t>
      </w:r>
      <w:r>
        <w:rPr>
          <w:rFonts w:ascii="Times New Roman" w:hAnsi="Times New Roman" w:cs="Times New Roman" w:eastAsia="Times New Roman" w:hint="default"/>
        </w:rPr>
        <w:t>67,069</w:t>
      </w:r>
      <w:r>
        <w:rPr/>
        <w:t>万 </w:t>
      </w:r>
      <w:r>
        <w:rPr>
          <w:spacing w:val="-2"/>
        </w:rPr>
        <w:t>元，授信期限自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23</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23</w:t>
      </w:r>
      <w:r>
        <w:rPr>
          <w:spacing w:val="-2"/>
        </w:rPr>
        <w:t>日，该授信由珠海弘泽熙元投资管理中心（有限合伙）、广西威克德力投资管</w:t>
      </w:r>
      <w:r>
        <w:rPr>
          <w:spacing w:val="-58"/>
        </w:rPr>
        <w:t> </w:t>
      </w:r>
      <w:r>
        <w:rPr>
          <w:spacing w:val="-58"/>
        </w:rPr>
      </w:r>
      <w:r>
        <w:rPr>
          <w:spacing w:val="-4"/>
        </w:rPr>
        <w:t>理中心（有限合伙）、广西盛欧投资管理中心（有限合伙）提供保证担保，自然人李建国、蒋鹂北、梁姬、杨兆云、沈湘平、</w:t>
      </w:r>
      <w:r>
        <w:rPr>
          <w:spacing w:val="-43"/>
        </w:rPr>
        <w:t> </w:t>
      </w:r>
      <w:r>
        <w:rPr>
          <w:spacing w:val="-43"/>
        </w:rPr>
      </w:r>
      <w:r>
        <w:rPr/>
        <w:t>胡永乐、许文杰提供保证担保，担保额度各为</w:t>
      </w:r>
      <w:r>
        <w:rPr>
          <w:rFonts w:ascii="Times New Roman" w:hAnsi="Times New Roman" w:cs="Times New Roman" w:eastAsia="Times New Roman" w:hint="default"/>
        </w:rPr>
        <w:t>58,000</w:t>
      </w:r>
      <w:r>
        <w:rPr/>
        <w:t>万元。在该授信下，公司与桂林银行股份有限公司南宁分行签订合同编 号为【</w:t>
      </w:r>
      <w:r>
        <w:rPr>
          <w:rFonts w:ascii="Times New Roman" w:hAnsi="Times New Roman" w:cs="Times New Roman" w:eastAsia="Times New Roman" w:hint="default"/>
        </w:rPr>
        <w:t>020010201702523</w:t>
      </w:r>
      <w:r>
        <w:rPr/>
        <w:t>】的《流动资金借款合同》，约定借款金额</w:t>
      </w:r>
      <w:r>
        <w:rPr>
          <w:rFonts w:ascii="Times New Roman" w:hAnsi="Times New Roman" w:cs="Times New Roman" w:eastAsia="Times New Roman" w:hint="default"/>
        </w:rPr>
        <w:t>3,000</w:t>
      </w:r>
      <w:r>
        <w:rPr/>
        <w:t>万元，借款期限为自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日起至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 </w:t>
      </w:r>
      <w:r>
        <w:rPr>
          <w:rFonts w:ascii="Times New Roman" w:hAnsi="Times New Roman" w:cs="Times New Roman" w:eastAsia="Times New Roman" w:hint="default"/>
        </w:rPr>
        <w:t>26</w:t>
      </w:r>
      <w:r>
        <w:rPr/>
        <w:t>日止，已于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日全额偿还；于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日签订《流动资金借款合同》，取得借款</w:t>
      </w:r>
      <w:r>
        <w:rPr>
          <w:rFonts w:ascii="Times New Roman" w:hAnsi="Times New Roman" w:cs="Times New Roman" w:eastAsia="Times New Roman" w:hint="default"/>
        </w:rPr>
        <w:t>23,000</w:t>
      </w:r>
      <w:r>
        <w:rPr/>
        <w:t>万元，借款期限为</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日全额偿还</w:t>
      </w:r>
      <w:r>
        <w:rPr>
          <w:rFonts w:ascii="Times New Roman" w:hAnsi="Times New Roman" w:cs="Times New Roman" w:eastAsia="Times New Roman" w:hint="default"/>
        </w:rPr>
        <w:t>,</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日该授信下的借款余额为零，债务履行完毕。</w:t>
      </w:r>
    </w:p>
    <w:p>
      <w:pPr>
        <w:spacing w:line="240" w:lineRule="auto" w:before="0"/>
        <w:rPr>
          <w:rFonts w:ascii="宋体" w:hAnsi="宋体" w:cs="宋体" w:eastAsia="宋体" w:hint="default"/>
          <w:sz w:val="22"/>
          <w:szCs w:val="22"/>
        </w:rPr>
      </w:pPr>
    </w:p>
    <w:p>
      <w:pPr>
        <w:pStyle w:val="Heading3"/>
        <w:spacing w:line="240" w:lineRule="auto"/>
        <w:ind w:right="977"/>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BodyText"/>
        <w:spacing w:line="240" w:lineRule="auto" w:before="18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3,577,560.36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3,562,279.74</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77"/>
        <w:jc w:val="left"/>
      </w:pPr>
      <w:r>
        <w:rPr/>
        <w:t>无。</w:t>
      </w:r>
    </w:p>
    <w:p>
      <w:pPr>
        <w:spacing w:after="0" w:line="240" w:lineRule="auto"/>
        <w:jc w:val="left"/>
        <w:sectPr>
          <w:footerReference w:type="default" r:id="rId32"/>
          <w:pgSz w:w="11910" w:h="16840"/>
          <w:pgMar w:footer="1013" w:header="910" w:top="1100" w:bottom="1200" w:left="1020" w:right="0"/>
          <w:pgNumType w:start="157"/>
        </w:sectPr>
      </w:pPr>
    </w:p>
    <w:p>
      <w:pPr>
        <w:spacing w:line="240" w:lineRule="auto" w:before="7"/>
        <w:rPr>
          <w:rFonts w:ascii="宋体" w:hAnsi="宋体" w:cs="宋体" w:eastAsia="宋体" w:hint="default"/>
          <w:sz w:val="21"/>
          <w:szCs w:val="21"/>
        </w:rPr>
      </w:pPr>
    </w:p>
    <w:p>
      <w:pPr>
        <w:pStyle w:val="Heading3"/>
        <w:spacing w:line="240" w:lineRule="auto" w:before="36"/>
        <w:ind w:right="977"/>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4"/>
        <w:rPr>
          <w:rFonts w:ascii="宋体" w:hAnsi="宋体" w:cs="宋体" w:eastAsia="宋体" w:hint="default"/>
          <w:sz w:val="25"/>
          <w:szCs w:val="25"/>
        </w:rPr>
      </w:pPr>
    </w:p>
    <w:p>
      <w:pPr>
        <w:pStyle w:val="Heading2"/>
        <w:spacing w:line="240" w:lineRule="auto"/>
        <w:ind w:right="977"/>
        <w:jc w:val="left"/>
        <w:rPr>
          <w:b w:val="0"/>
          <w:bCs w:val="0"/>
        </w:rPr>
      </w:pPr>
      <w:r>
        <w:rPr/>
        <w:t>十三、股份支付</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77"/>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 适用 √</w:t>
      </w:r>
      <w:r>
        <w:rPr>
          <w:spacing w:val="3"/>
        </w:rPr>
        <w:t> </w:t>
      </w:r>
      <w:r>
        <w:rPr/>
        <w:t>不适用</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4"/>
        <w:rPr>
          <w:rFonts w:ascii="宋体" w:hAnsi="宋体" w:cs="宋体" w:eastAsia="宋体" w:hint="default"/>
          <w:sz w:val="25"/>
          <w:szCs w:val="25"/>
        </w:rPr>
      </w:pPr>
    </w:p>
    <w:p>
      <w:pPr>
        <w:pStyle w:val="Heading2"/>
        <w:spacing w:line="240" w:lineRule="auto"/>
        <w:ind w:right="977"/>
        <w:jc w:val="left"/>
        <w:rPr>
          <w:b w:val="0"/>
          <w:bCs w:val="0"/>
        </w:rPr>
      </w:pPr>
      <w:r>
        <w:rPr/>
        <w:t>十四、承诺及或有事项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77"/>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77"/>
        <w:jc w:val="left"/>
      </w:pPr>
      <w:r>
        <w:rPr/>
        <w:t>无。</w:t>
      </w:r>
    </w:p>
    <w:p>
      <w:pPr>
        <w:spacing w:after="0" w:line="240" w:lineRule="auto"/>
        <w:jc w:val="left"/>
        <w:sectPr>
          <w:pgSz w:w="11910" w:h="16840"/>
          <w:pgMar w:header="910" w:footer="1013" w:top="1100" w:bottom="1200" w:left="1020" w:right="0"/>
        </w:sectPr>
      </w:pPr>
    </w:p>
    <w:p>
      <w:pPr>
        <w:spacing w:line="240" w:lineRule="auto" w:before="7"/>
        <w:rPr>
          <w:rFonts w:ascii="宋体" w:hAnsi="宋体" w:cs="宋体" w:eastAsia="宋体" w:hint="default"/>
          <w:sz w:val="21"/>
          <w:szCs w:val="21"/>
        </w:rPr>
      </w:pPr>
    </w:p>
    <w:p>
      <w:pPr>
        <w:pStyle w:val="Heading3"/>
        <w:spacing w:line="240" w:lineRule="auto" w:before="36"/>
        <w:ind w:right="977"/>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3"/>
        <w:rPr>
          <w:rFonts w:ascii="宋体" w:hAnsi="宋体" w:cs="宋体" w:eastAsia="宋体" w:hint="default"/>
          <w:sz w:val="25"/>
          <w:szCs w:val="25"/>
        </w:rPr>
      </w:pPr>
    </w:p>
    <w:p>
      <w:pPr>
        <w:pStyle w:val="Heading2"/>
        <w:spacing w:line="240" w:lineRule="auto"/>
        <w:ind w:right="977"/>
        <w:jc w:val="left"/>
        <w:rPr>
          <w:b w:val="0"/>
          <w:bCs w:val="0"/>
        </w:rPr>
      </w:pPr>
      <w:r>
        <w:rPr/>
        <w:t>十五、资产负债表日后事项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77"/>
        <w:jc w:val="left"/>
        <w:rPr>
          <w:b w:val="0"/>
          <w:bCs w:val="0"/>
        </w:rPr>
      </w:pPr>
      <w:r>
        <w:rPr>
          <w:rFonts w:ascii="Times New Roman" w:hAnsi="Times New Roman" w:cs="Times New Roman" w:eastAsia="Times New Roman" w:hint="default"/>
        </w:rPr>
        <w:t>1</w:t>
      </w:r>
      <w:r>
        <w:rPr/>
        <w:t>、</w:t>
      </w:r>
      <w:r>
        <w:rPr>
          <w:spacing w:val="-60"/>
        </w:rPr>
        <w:t> </w:t>
      </w:r>
      <w:r>
        <w:rPr/>
        <w:t>重要的非调整事项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3" w:right="97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26,489,561.64</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26,489,561.64</w:t>
            </w:r>
          </w:p>
        </w:tc>
      </w:tr>
    </w:tbl>
    <w:p>
      <w:pPr>
        <w:spacing w:line="240" w:lineRule="auto" w:before="3"/>
        <w:rPr>
          <w:rFonts w:ascii="宋体" w:hAnsi="宋体" w:cs="宋体" w:eastAsia="宋体" w:hint="default"/>
          <w:sz w:val="19"/>
          <w:szCs w:val="19"/>
        </w:rPr>
      </w:pPr>
    </w:p>
    <w:p>
      <w:pPr>
        <w:pStyle w:val="Heading3"/>
        <w:spacing w:line="240" w:lineRule="auto" w:before="36"/>
        <w:ind w:right="977"/>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3"/>
        <w:rPr>
          <w:rFonts w:ascii="宋体" w:hAnsi="宋体" w:cs="宋体" w:eastAsia="宋体" w:hint="default"/>
          <w:sz w:val="25"/>
          <w:szCs w:val="25"/>
        </w:rPr>
      </w:pPr>
    </w:p>
    <w:p>
      <w:pPr>
        <w:spacing w:line="506" w:lineRule="auto" w:before="0"/>
        <w:ind w:left="112" w:right="8585" w:firstLine="0"/>
        <w:jc w:val="left"/>
        <w:rPr>
          <w:rFonts w:ascii="宋体" w:hAnsi="宋体" w:cs="宋体" w:eastAsia="宋体" w:hint="default"/>
          <w:sz w:val="18"/>
          <w:szCs w:val="18"/>
        </w:rPr>
      </w:pP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2"/>
          <w:sz w:val="21"/>
          <w:szCs w:val="21"/>
        </w:rPr>
        <w:t> </w:t>
      </w:r>
      <w:r>
        <w:rPr>
          <w:rFonts w:ascii="宋体" w:hAnsi="宋体" w:cs="宋体" w:eastAsia="宋体" w:hint="default"/>
          <w:b/>
          <w:bCs/>
          <w:sz w:val="21"/>
          <w:szCs w:val="21"/>
        </w:rPr>
        <w:t>前期会计差错更正</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18"/>
          <w:szCs w:val="18"/>
        </w:rPr>
        <w:t>无。</w:t>
      </w:r>
    </w:p>
    <w:p>
      <w:pPr>
        <w:pStyle w:val="Heading3"/>
        <w:spacing w:line="240" w:lineRule="auto" w:before="153"/>
        <w:ind w:right="977"/>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77"/>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after="0" w:line="240" w:lineRule="auto"/>
        <w:jc w:val="left"/>
        <w:sectPr>
          <w:pgSz w:w="11910" w:h="16840"/>
          <w:pgMar w:header="910" w:footer="1013" w:top="1100" w:bottom="1200" w:left="1020" w:right="0"/>
        </w:sectPr>
      </w:pPr>
    </w:p>
    <w:p>
      <w:pPr>
        <w:spacing w:line="240" w:lineRule="auto" w:before="7"/>
        <w:rPr>
          <w:rFonts w:ascii="宋体" w:hAnsi="宋体" w:cs="宋体" w:eastAsia="宋体" w:hint="default"/>
          <w:sz w:val="21"/>
          <w:szCs w:val="21"/>
        </w:rPr>
      </w:pPr>
    </w:p>
    <w:p>
      <w:pPr>
        <w:pStyle w:val="Heading3"/>
        <w:spacing w:line="240" w:lineRule="auto" w:before="36"/>
        <w:ind w:left="532" w:right="6629"/>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2" w:right="6629"/>
        <w:jc w:val="left"/>
      </w:pPr>
      <w:r>
        <w:rPr/>
        <w:t>无。</w:t>
      </w:r>
    </w:p>
    <w:p>
      <w:pPr>
        <w:spacing w:line="240" w:lineRule="auto" w:before="11"/>
        <w:rPr>
          <w:rFonts w:ascii="宋体" w:hAnsi="宋体" w:cs="宋体" w:eastAsia="宋体" w:hint="default"/>
          <w:sz w:val="26"/>
          <w:szCs w:val="26"/>
        </w:rPr>
      </w:pPr>
    </w:p>
    <w:p>
      <w:pPr>
        <w:pStyle w:val="Heading3"/>
        <w:spacing w:line="240" w:lineRule="auto"/>
        <w:ind w:left="532" w:right="6629"/>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32" w:right="1131" w:firstLine="360"/>
        <w:jc w:val="both"/>
        <w:rPr>
          <w:rFonts w:ascii="宋体" w:hAnsi="宋体" w:cs="宋体" w:eastAsia="宋体" w:hint="default"/>
        </w:rPr>
      </w:pPr>
      <w:r>
        <w:rPr>
          <w:spacing w:val="-2"/>
        </w:rPr>
        <w:t>经营分部是本公司可赚取收入及产生费用的商业活动的组成部分，本公司的经营分部是以主要经营决策者定期审阅的以</w:t>
      </w:r>
      <w:r>
        <w:rPr/>
        <w:t> </w:t>
      </w:r>
      <w:r>
        <w:rPr>
          <w:spacing w:val="-2"/>
        </w:rPr>
        <w:t>进行资源分配及业绩评估为目的内部财务报告为基础而确定。本公司是一家专注于提供通信技术服务的综合供应商，本公司</w:t>
      </w:r>
      <w:r>
        <w:rPr>
          <w:spacing w:val="-63"/>
        </w:rPr>
        <w:t> </w:t>
      </w:r>
      <w:r>
        <w:rPr>
          <w:spacing w:val="-63"/>
        </w:rPr>
      </w:r>
      <w:r>
        <w:rPr/>
        <w:t>的管理要求和内部报告制度未涉及经营分部，因此，本公司整体作为一个营业分部进行披露。</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3"/>
        <w:spacing w:line="240" w:lineRule="auto"/>
        <w:ind w:left="532"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2" w:right="6629"/>
        <w:jc w:val="left"/>
      </w:pPr>
      <w:r>
        <w:rPr/>
        <w:t>无。</w:t>
      </w:r>
    </w:p>
    <w:p>
      <w:pPr>
        <w:spacing w:line="240" w:lineRule="auto" w:before="11"/>
        <w:rPr>
          <w:rFonts w:ascii="宋体" w:hAnsi="宋体" w:cs="宋体" w:eastAsia="宋体" w:hint="default"/>
          <w:sz w:val="26"/>
          <w:szCs w:val="26"/>
        </w:rPr>
      </w:pPr>
    </w:p>
    <w:p>
      <w:pPr>
        <w:pStyle w:val="Heading3"/>
        <w:spacing w:line="240" w:lineRule="auto"/>
        <w:ind w:left="532" w:right="6629"/>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2" w:right="6629"/>
        <w:jc w:val="left"/>
      </w:pPr>
      <w:r>
        <w:rPr/>
        <w:t>无。</w:t>
      </w:r>
    </w:p>
    <w:p>
      <w:pPr>
        <w:spacing w:line="240" w:lineRule="auto" w:before="3"/>
        <w:rPr>
          <w:rFonts w:ascii="宋体" w:hAnsi="宋体" w:cs="宋体" w:eastAsia="宋体" w:hint="default"/>
          <w:sz w:val="25"/>
          <w:szCs w:val="25"/>
        </w:rPr>
      </w:pPr>
    </w:p>
    <w:p>
      <w:pPr>
        <w:pStyle w:val="Heading2"/>
        <w:spacing w:line="240" w:lineRule="auto"/>
        <w:ind w:left="532" w:right="6629"/>
        <w:jc w:val="left"/>
        <w:rPr>
          <w:b w:val="0"/>
          <w:bCs w:val="0"/>
        </w:rPr>
      </w:pP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532" w:right="6629"/>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527"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3,665,356.99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2"/>
                <w:sz w:val="18"/>
              </w:rPr>
              <w:t>1,468,850,517.11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1,291,677,503.25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1,472,515,874.10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1,291,677,503.25</w:t>
            </w:r>
          </w:p>
        </w:tc>
      </w:tr>
    </w:tbl>
    <w:p>
      <w:pPr>
        <w:spacing w:line="240" w:lineRule="auto" w:before="3"/>
        <w:rPr>
          <w:rFonts w:ascii="宋体" w:hAnsi="宋体" w:cs="宋体" w:eastAsia="宋体" w:hint="default"/>
          <w:sz w:val="19"/>
          <w:szCs w:val="19"/>
        </w:rPr>
      </w:pPr>
    </w:p>
    <w:p>
      <w:pPr>
        <w:pStyle w:val="Heading3"/>
        <w:spacing w:line="240" w:lineRule="auto" w:before="36"/>
        <w:ind w:left="532" w:right="6629"/>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
        <w:rPr>
          <w:rFonts w:ascii="宋体" w:hAnsi="宋体" w:cs="宋体" w:eastAsia="宋体" w:hint="default"/>
          <w:b/>
          <w:bCs/>
          <w:sz w:val="23"/>
          <w:szCs w:val="23"/>
        </w:rPr>
      </w:pPr>
    </w:p>
    <w:p>
      <w:pPr>
        <w:pStyle w:val="Heading4"/>
        <w:spacing w:line="240" w:lineRule="auto"/>
        <w:ind w:left="532" w:right="6629"/>
        <w:jc w:val="left"/>
        <w:rPr>
          <w:b w:val="0"/>
          <w:bCs w:val="0"/>
        </w:rPr>
      </w:pPr>
      <w:r>
        <w:rPr>
          <w:rFonts w:ascii="Times New Roman" w:hAnsi="Times New Roman" w:cs="Times New Roman" w:eastAsia="Times New Roman" w:hint="default"/>
        </w:rPr>
        <w:t>1)</w:t>
      </w:r>
      <w:r>
        <w:rPr/>
        <w:t>应收票据分类列示</w:t>
      </w:r>
      <w:r>
        <w:rPr>
          <w:b w:val="0"/>
          <w:bCs w:val="0"/>
        </w:rPr>
      </w:r>
    </w:p>
    <w:p>
      <w:pPr>
        <w:pStyle w:val="BodyText"/>
        <w:spacing w:line="240" w:lineRule="auto" w:before="102"/>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527"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3,665,356.99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3,665,356.99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532" w:right="6629"/>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ind w:left="532" w:right="6629"/>
        <w:jc w:val="left"/>
        <w:rPr>
          <w:b w:val="0"/>
          <w:bCs w:val="0"/>
        </w:rPr>
      </w:pPr>
      <w:r>
        <w:rPr>
          <w:rFonts w:ascii="Times New Roman" w:hAnsi="Times New Roman" w:cs="Times New Roman" w:eastAsia="Times New Roman" w:hint="default"/>
        </w:rPr>
        <w:t>1)</w:t>
      </w:r>
      <w:r>
        <w:rPr/>
        <w:t>应收账款分类披露</w:t>
      </w:r>
      <w:r>
        <w:rPr>
          <w:b w:val="0"/>
          <w:bCs w:val="0"/>
        </w:rPr>
      </w:r>
    </w:p>
    <w:p>
      <w:pPr>
        <w:pStyle w:val="BodyText"/>
        <w:spacing w:line="240" w:lineRule="auto" w:before="103"/>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703"/>
        <w:gridCol w:w="4395"/>
        <w:gridCol w:w="4395"/>
      </w:tblGrid>
      <w:tr>
        <w:trPr>
          <w:trHeight w:val="402"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10" w:footer="1013" w:top="1100" w:bottom="1200" w:left="600" w:right="0"/>
        </w:sectPr>
      </w:pPr>
    </w:p>
    <w:p>
      <w:pPr>
        <w:spacing w:line="240" w:lineRule="auto" w:before="2"/>
        <w:rPr>
          <w:rFonts w:ascii="宋体" w:hAnsi="宋体" w:cs="宋体" w:eastAsia="宋体"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1704"/>
        <w:gridCol w:w="1133"/>
        <w:gridCol w:w="567"/>
        <w:gridCol w:w="994"/>
        <w:gridCol w:w="566"/>
        <w:gridCol w:w="1136"/>
        <w:gridCol w:w="1133"/>
        <w:gridCol w:w="709"/>
        <w:gridCol w:w="994"/>
        <w:gridCol w:w="566"/>
        <w:gridCol w:w="994"/>
      </w:tblGrid>
      <w:tr>
        <w:trPr>
          <w:trHeight w:val="402" w:hRule="exact"/>
        </w:trPr>
        <w:tc>
          <w:tcPr>
            <w:tcW w:w="17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7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6"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9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45"/>
              <w:jc w:val="both"/>
              <w:rPr>
                <w:rFonts w:ascii="宋体" w:hAnsi="宋体" w:cs="宋体" w:eastAsia="宋体" w:hint="default"/>
                <w:sz w:val="18"/>
                <w:szCs w:val="18"/>
              </w:rPr>
            </w:pPr>
            <w:r>
              <w:rPr>
                <w:rFonts w:ascii="宋体" w:hAnsi="宋体" w:cs="宋体" w:eastAsia="宋体" w:hint="default"/>
                <w:sz w:val="18"/>
                <w:szCs w:val="18"/>
              </w:rPr>
              <w:t>按信用风险特征组合 计提坏账准备的应收 账款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w w:val="75"/>
                <w:sz w:val="18"/>
              </w:rPr>
              <w:t>1,582,268,798.66</w:t>
            </w:r>
            <w:r>
              <w:rPr>
                <w:rFonts w:ascii="Arial Narrow"/>
                <w:sz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 w:right="0"/>
              <w:jc w:val="center"/>
              <w:rPr>
                <w:rFonts w:ascii="Arial Narrow" w:hAnsi="Arial Narrow" w:cs="Arial Narrow" w:eastAsia="Arial Narrow" w:hint="default"/>
                <w:sz w:val="18"/>
                <w:szCs w:val="18"/>
              </w:rPr>
            </w:pPr>
            <w:r>
              <w:rPr>
                <w:rFonts w:ascii="Arial Narrow"/>
                <w:w w:val="80"/>
                <w:sz w:val="18"/>
              </w:rPr>
              <w:t>100.00%</w:t>
            </w:r>
            <w:r>
              <w:rPr>
                <w:rFonts w:ascii="Arial Narrow"/>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5" w:right="0"/>
              <w:jc w:val="center"/>
              <w:rPr>
                <w:rFonts w:ascii="Arial Narrow" w:hAnsi="Arial Narrow" w:cs="Arial Narrow" w:eastAsia="Arial Narrow" w:hint="default"/>
                <w:sz w:val="18"/>
                <w:szCs w:val="18"/>
              </w:rPr>
            </w:pPr>
            <w:r>
              <w:rPr>
                <w:rFonts w:ascii="Arial Narrow"/>
                <w:w w:val="80"/>
                <w:sz w:val="18"/>
              </w:rPr>
              <w:t>113,418,281.55</w:t>
            </w:r>
            <w:r>
              <w:rPr>
                <w:rFonts w:ascii="Arial Narrow"/>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w w:val="75"/>
                <w:sz w:val="18"/>
              </w:rPr>
              <w:t>7.17%</w:t>
            </w:r>
            <w:r>
              <w:rPr>
                <w:rFonts w:ascii="Arial Narrow"/>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7"/>
              <w:jc w:val="right"/>
              <w:rPr>
                <w:rFonts w:ascii="Arial Narrow" w:hAnsi="Arial Narrow" w:cs="Arial Narrow" w:eastAsia="Arial Narrow" w:hint="default"/>
                <w:sz w:val="18"/>
                <w:szCs w:val="18"/>
              </w:rPr>
            </w:pPr>
            <w:r>
              <w:rPr>
                <w:rFonts w:ascii="Arial Narrow"/>
                <w:w w:val="75"/>
                <w:sz w:val="18"/>
              </w:rPr>
              <w:t>1,468,850,517.11</w:t>
            </w:r>
            <w:r>
              <w:rPr>
                <w:rFonts w:ascii="Arial Narrow"/>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w w:val="75"/>
                <w:sz w:val="18"/>
              </w:rPr>
              <w:t>1,376,053,880.26</w:t>
            </w:r>
            <w:r>
              <w:rPr>
                <w:rFonts w:ascii="Arial Narrow"/>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1" w:right="0"/>
              <w:jc w:val="left"/>
              <w:rPr>
                <w:rFonts w:ascii="Arial Narrow" w:hAnsi="Arial Narrow" w:cs="Arial Narrow" w:eastAsia="Arial Narrow" w:hint="default"/>
                <w:sz w:val="18"/>
                <w:szCs w:val="18"/>
              </w:rPr>
            </w:pPr>
            <w:r>
              <w:rPr>
                <w:rFonts w:ascii="Arial Narrow"/>
                <w:w w:val="80"/>
                <w:sz w:val="18"/>
              </w:rPr>
              <w:t>100.00%</w:t>
            </w:r>
            <w:r>
              <w:rPr>
                <w:rFonts w:ascii="Arial Narrow"/>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w w:val="75"/>
                <w:sz w:val="18"/>
              </w:rPr>
              <w:t>84,376,377.01</w:t>
            </w:r>
            <w:r>
              <w:rPr>
                <w:rFonts w:ascii="Arial Narrow"/>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w w:val="75"/>
                <w:sz w:val="18"/>
              </w:rPr>
              <w:t>6.13%</w:t>
            </w:r>
            <w:r>
              <w:rPr>
                <w:rFonts w:ascii="Arial Narrow"/>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 w:right="0"/>
              <w:jc w:val="center"/>
              <w:rPr>
                <w:rFonts w:ascii="Arial Narrow" w:hAnsi="Arial Narrow" w:cs="Arial Narrow" w:eastAsia="Arial Narrow" w:hint="default"/>
                <w:sz w:val="18"/>
                <w:szCs w:val="18"/>
              </w:rPr>
            </w:pPr>
            <w:r>
              <w:rPr>
                <w:rFonts w:ascii="Arial Narrow"/>
                <w:w w:val="80"/>
                <w:sz w:val="18"/>
              </w:rPr>
              <w:t>1,291,677,503.25</w:t>
            </w:r>
            <w:r>
              <w:rPr>
                <w:rFonts w:ascii="Arial Narrow"/>
                <w:sz w:val="18"/>
              </w:rPr>
            </w:r>
          </w:p>
        </w:tc>
      </w:tr>
      <w:tr>
        <w:trPr>
          <w:trHeight w:val="403"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Arial Narrow" w:hAnsi="Arial Narrow" w:cs="Arial Narrow" w:eastAsia="Arial Narrow" w:hint="default"/>
                <w:sz w:val="18"/>
                <w:szCs w:val="18"/>
              </w:rPr>
            </w:pPr>
            <w:r>
              <w:rPr>
                <w:rFonts w:ascii="Arial Narrow"/>
                <w:w w:val="75"/>
                <w:sz w:val="18"/>
              </w:rPr>
              <w:t>1,582,268,798.66</w:t>
            </w:r>
            <w:r>
              <w:rPr>
                <w:rFonts w:ascii="Arial Narrow"/>
                <w:sz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center"/>
              <w:rPr>
                <w:rFonts w:ascii="Arial Narrow" w:hAnsi="Arial Narrow" w:cs="Arial Narrow" w:eastAsia="Arial Narrow" w:hint="default"/>
                <w:sz w:val="18"/>
                <w:szCs w:val="18"/>
              </w:rPr>
            </w:pPr>
            <w:r>
              <w:rPr>
                <w:rFonts w:ascii="Arial Narrow"/>
                <w:w w:val="80"/>
                <w:sz w:val="18"/>
              </w:rPr>
              <w:t>100.00%</w:t>
            </w:r>
            <w:r>
              <w:rPr>
                <w:rFonts w:ascii="Arial Narrow"/>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center"/>
              <w:rPr>
                <w:rFonts w:ascii="Arial Narrow" w:hAnsi="Arial Narrow" w:cs="Arial Narrow" w:eastAsia="Arial Narrow" w:hint="default"/>
                <w:sz w:val="18"/>
                <w:szCs w:val="18"/>
              </w:rPr>
            </w:pPr>
            <w:r>
              <w:rPr>
                <w:rFonts w:ascii="Arial Narrow"/>
                <w:w w:val="75"/>
                <w:sz w:val="18"/>
              </w:rPr>
              <w:t>113,418,281.55</w:t>
            </w:r>
            <w:r>
              <w:rPr>
                <w:rFonts w:ascii="Arial Narrow"/>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Arial Narrow" w:hAnsi="Arial Narrow" w:cs="Arial Narrow" w:eastAsia="Arial Narrow" w:hint="default"/>
                <w:sz w:val="18"/>
                <w:szCs w:val="18"/>
              </w:rPr>
            </w:pPr>
            <w:r>
              <w:rPr>
                <w:rFonts w:ascii="Arial Narrow"/>
                <w:w w:val="75"/>
                <w:sz w:val="18"/>
              </w:rPr>
              <w:t>7.17%</w:t>
            </w:r>
            <w:r>
              <w:rPr>
                <w:rFonts w:ascii="Arial Narrow"/>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7"/>
              <w:jc w:val="right"/>
              <w:rPr>
                <w:rFonts w:ascii="Arial Narrow" w:hAnsi="Arial Narrow" w:cs="Arial Narrow" w:eastAsia="Arial Narrow" w:hint="default"/>
                <w:sz w:val="18"/>
                <w:szCs w:val="18"/>
              </w:rPr>
            </w:pPr>
            <w:r>
              <w:rPr>
                <w:rFonts w:ascii="Arial Narrow"/>
                <w:w w:val="75"/>
                <w:sz w:val="18"/>
              </w:rPr>
              <w:t>1,468,850,517.11</w:t>
            </w:r>
            <w:r>
              <w:rPr>
                <w:rFonts w:ascii="Arial Narrow"/>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Arial Narrow" w:hAnsi="Arial Narrow" w:cs="Arial Narrow" w:eastAsia="Arial Narrow" w:hint="default"/>
                <w:sz w:val="18"/>
                <w:szCs w:val="18"/>
              </w:rPr>
            </w:pPr>
            <w:r>
              <w:rPr>
                <w:rFonts w:ascii="Arial Narrow"/>
                <w:w w:val="75"/>
                <w:sz w:val="18"/>
              </w:rPr>
              <w:t>1,376,053,880.26</w:t>
            </w:r>
            <w:r>
              <w:rPr>
                <w:rFonts w:ascii="Arial Narrow"/>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Arial Narrow" w:hAnsi="Arial Narrow" w:cs="Arial Narrow" w:eastAsia="Arial Narrow" w:hint="default"/>
                <w:sz w:val="18"/>
                <w:szCs w:val="18"/>
              </w:rPr>
            </w:pPr>
            <w:r>
              <w:rPr>
                <w:rFonts w:ascii="Arial Narrow"/>
                <w:w w:val="80"/>
                <w:sz w:val="18"/>
              </w:rPr>
              <w:t>100.00%</w:t>
            </w:r>
            <w:r>
              <w:rPr>
                <w:rFonts w:ascii="Arial Narrow"/>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Arial Narrow" w:hAnsi="Arial Narrow" w:cs="Arial Narrow" w:eastAsia="Arial Narrow" w:hint="default"/>
                <w:sz w:val="18"/>
                <w:szCs w:val="18"/>
              </w:rPr>
            </w:pPr>
            <w:r>
              <w:rPr>
                <w:rFonts w:ascii="Arial Narrow"/>
                <w:w w:val="75"/>
                <w:sz w:val="18"/>
              </w:rPr>
              <w:t>84,376,377.01</w:t>
            </w:r>
            <w:r>
              <w:rPr>
                <w:rFonts w:ascii="Arial Narrow"/>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Arial Narrow" w:hAnsi="Arial Narrow" w:cs="Arial Narrow" w:eastAsia="Arial Narrow" w:hint="default"/>
                <w:sz w:val="18"/>
                <w:szCs w:val="18"/>
              </w:rPr>
            </w:pPr>
            <w:r>
              <w:rPr>
                <w:rFonts w:ascii="Arial Narrow"/>
                <w:w w:val="75"/>
                <w:sz w:val="18"/>
              </w:rPr>
              <w:t>6.13%</w:t>
            </w:r>
            <w:r>
              <w:rPr>
                <w:rFonts w:ascii="Arial Narrow"/>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Arial Narrow" w:hAnsi="Arial Narrow" w:cs="Arial Narrow" w:eastAsia="Arial Narrow" w:hint="default"/>
                <w:sz w:val="18"/>
                <w:szCs w:val="18"/>
              </w:rPr>
            </w:pPr>
            <w:r>
              <w:rPr>
                <w:rFonts w:ascii="Arial Narrow"/>
                <w:w w:val="80"/>
                <w:sz w:val="18"/>
              </w:rPr>
              <w:t>1,291,677,503.25</w:t>
            </w:r>
            <w:r>
              <w:rPr>
                <w:rFonts w:ascii="Arial Narrow"/>
                <w:sz w:val="18"/>
              </w:rPr>
            </w:r>
          </w:p>
        </w:tc>
      </w:tr>
    </w:tbl>
    <w:p>
      <w:pPr>
        <w:spacing w:after="0" w:line="240" w:lineRule="auto"/>
        <w:jc w:val="center"/>
        <w:rPr>
          <w:rFonts w:ascii="Arial Narrow" w:hAnsi="Arial Narrow" w:cs="Arial Narrow" w:eastAsia="Arial Narrow" w:hint="default"/>
          <w:sz w:val="18"/>
          <w:szCs w:val="18"/>
        </w:rPr>
        <w:sectPr>
          <w:pgSz w:w="11910" w:h="16840"/>
          <w:pgMar w:header="910" w:footer="1013" w:top="1100" w:bottom="1200" w:left="600" w:right="0"/>
        </w:sectPr>
      </w:pPr>
    </w:p>
    <w:p>
      <w:pPr>
        <w:pStyle w:val="BodyText"/>
        <w:spacing w:line="240" w:lineRule="auto" w:before="51"/>
        <w:ind w:left="532" w:right="-19"/>
        <w:jc w:val="left"/>
      </w:pPr>
      <w:r>
        <w:rPr/>
        <w:t>期末单项金额重大并单项计提坏账准备的应收账款：</w:t>
      </w:r>
    </w:p>
    <w:p>
      <w:pPr>
        <w:pStyle w:val="BodyText"/>
        <w:spacing w:line="360" w:lineRule="auto" w:before="115"/>
        <w:ind w:left="532" w:right="161"/>
        <w:jc w:val="left"/>
      </w:pPr>
      <w:r>
        <w:rPr/>
        <w:t>□ 适用 √</w:t>
      </w:r>
      <w:r>
        <w:rPr>
          <w:spacing w:val="3"/>
        </w:rPr>
        <w:t> </w:t>
      </w:r>
      <w:r>
        <w:rPr/>
        <w:t>不适用</w:t>
      </w:r>
      <w:r>
        <w:rPr/>
        <w:t> 组合中，按账龄分析法计提坏账准备的应收账款：</w:t>
      </w:r>
    </w:p>
    <w:p>
      <w:pPr>
        <w:pStyle w:val="BodyText"/>
        <w:spacing w:line="240" w:lineRule="auto" w:before="28"/>
        <w:ind w:left="532" w:right="-19"/>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532" w:right="0"/>
        <w:jc w:val="left"/>
      </w:pPr>
      <w:r>
        <w:rPr/>
        <w:t>单位：</w:t>
      </w:r>
      <w:r>
        <w:rPr>
          <w:spacing w:val="1"/>
        </w:rPr>
        <w:t> </w:t>
      </w:r>
      <w:r>
        <w:rPr/>
        <w:t>元</w:t>
      </w:r>
    </w:p>
    <w:p>
      <w:pPr>
        <w:spacing w:after="0" w:line="240" w:lineRule="auto"/>
        <w:jc w:val="left"/>
        <w:sectPr>
          <w:type w:val="continuous"/>
          <w:pgSz w:w="11910" w:h="16840"/>
          <w:pgMar w:top="1100" w:bottom="1200" w:left="600" w:right="0"/>
          <w:cols w:num="2" w:equalWidth="0">
            <w:col w:w="4674" w:space="4155"/>
            <w:col w:w="2481"/>
          </w:cols>
        </w:sectPr>
      </w:pPr>
    </w:p>
    <w:p>
      <w:pPr>
        <w:spacing w:line="240" w:lineRule="auto" w:before="2"/>
        <w:rPr>
          <w:rFonts w:ascii="宋体" w:hAnsi="宋体" w:cs="宋体" w:eastAsia="宋体" w:hint="default"/>
          <w:sz w:val="8"/>
          <w:szCs w:val="8"/>
        </w:rPr>
      </w:pPr>
    </w:p>
    <w:tbl>
      <w:tblPr>
        <w:tblW w:w="0" w:type="auto"/>
        <w:jc w:val="left"/>
        <w:tblInd w:w="527" w:type="dxa"/>
        <w:tblLayout w:type="fixed"/>
        <w:tblCellMar>
          <w:top w:w="0" w:type="dxa"/>
          <w:left w:w="0" w:type="dxa"/>
          <w:bottom w:w="0" w:type="dxa"/>
          <w:right w:w="0" w:type="dxa"/>
        </w:tblCellMar>
        <w:tblLook w:val="01E0"/>
      </w:tblPr>
      <w:tblGrid>
        <w:gridCol w:w="2495"/>
        <w:gridCol w:w="2294"/>
        <w:gridCol w:w="2391"/>
        <w:gridCol w:w="2391"/>
      </w:tblGrid>
      <w:tr>
        <w:trPr>
          <w:trHeight w:val="206" w:hRule="exact"/>
        </w:trPr>
        <w:tc>
          <w:tcPr>
            <w:tcW w:w="24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2495" w:type="dxa"/>
            <w:vMerge/>
            <w:tcBorders>
              <w:left w:val="single" w:sz="4" w:space="0" w:color="000000"/>
              <w:bottom w:val="nil" w:sz="6" w:space="0" w:color="auto"/>
              <w:right w:val="single" w:sz="4" w:space="0" w:color="000000"/>
            </w:tcBorders>
            <w:shd w:val="clear" w:color="auto" w:fill="D2D2D2"/>
          </w:tcPr>
          <w:p>
            <w:pPr/>
          </w:p>
        </w:tc>
        <w:tc>
          <w:tcPr>
            <w:tcW w:w="22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4"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1,349,025,090.29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67,451,254.51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153,848,185.36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15,384,818.54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61,246,154.54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18,373,846.36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9,755,035.03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4,877,517.52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5,317,444.07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4,253,955.25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3,076,889.37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3,076,889.37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1,582,268,798.66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113,418,281.55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7.17%</w:t>
            </w:r>
          </w:p>
        </w:tc>
      </w:tr>
    </w:tbl>
    <w:p>
      <w:pPr>
        <w:pStyle w:val="BodyText"/>
        <w:spacing w:line="357" w:lineRule="auto" w:before="51"/>
        <w:ind w:left="532" w:right="6434"/>
        <w:jc w:val="left"/>
      </w:pPr>
      <w:r>
        <w:rPr/>
        <w:t>确定该组合依据的说明： 组合中，采用余额百分比法计提坏账准备的应收账款：</w:t>
      </w:r>
    </w:p>
    <w:p>
      <w:pPr>
        <w:spacing w:line="357" w:lineRule="auto" w:before="29"/>
        <w:ind w:left="532" w:right="67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组合中，采用其他方法计提坏账准备的应收账款：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本期计提、收回或转回的坏账准备情况</w:t>
      </w:r>
      <w:r>
        <w:rPr>
          <w:rFonts w:ascii="宋体" w:hAnsi="宋体" w:cs="宋体" w:eastAsia="宋体" w:hint="default"/>
          <w:sz w:val="18"/>
          <w:szCs w:val="18"/>
        </w:rPr>
      </w:r>
    </w:p>
    <w:p>
      <w:pPr>
        <w:pStyle w:val="BodyText"/>
        <w:spacing w:line="240" w:lineRule="auto" w:before="6"/>
        <w:ind w:left="532" w:right="0"/>
        <w:jc w:val="left"/>
      </w:pPr>
      <w:r>
        <w:rPr/>
        <w:t>本期计提坏账准备金额</w:t>
      </w:r>
      <w:r>
        <w:rPr>
          <w:spacing w:val="-46"/>
        </w:rPr>
        <w:t> </w:t>
      </w:r>
      <w:r>
        <w:rPr>
          <w:rFonts w:ascii="Times New Roman" w:hAnsi="Times New Roman" w:cs="Times New Roman" w:eastAsia="Times New Roman" w:hint="default"/>
        </w:rPr>
        <w:t>29,041,904.54</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Heading4"/>
        <w:spacing w:line="340" w:lineRule="auto" w:before="102"/>
        <w:ind w:left="532" w:right="8255"/>
        <w:jc w:val="left"/>
        <w:rPr>
          <w:rFonts w:ascii="宋体" w:hAnsi="宋体" w:cs="宋体" w:eastAsia="宋体" w:hint="default"/>
          <w:b w:val="0"/>
          <w:bCs w:val="0"/>
        </w:rPr>
      </w:pPr>
      <w:r>
        <w:rPr>
          <w:rFonts w:ascii="Times New Roman" w:hAnsi="Times New Roman" w:cs="Times New Roman" w:eastAsia="Times New Roman" w:hint="default"/>
        </w:rPr>
        <w:t>3)</w:t>
      </w:r>
      <w:r>
        <w:rPr/>
        <w:t>本期实际核销的应收账款情况</w:t>
      </w:r>
      <w:r>
        <w:rPr>
          <w:w w:val="99"/>
        </w:rPr>
        <w:t> </w:t>
      </w:r>
      <w:r>
        <w:rPr>
          <w:rFonts w:ascii="宋体" w:hAnsi="宋体" w:cs="宋体" w:eastAsia="宋体" w:hint="default"/>
          <w:b w:val="0"/>
          <w:bCs w:val="0"/>
        </w:rPr>
        <w:t>无。</w:t>
      </w:r>
    </w:p>
    <w:p>
      <w:pPr>
        <w:pStyle w:val="Heading4"/>
        <w:spacing w:line="240" w:lineRule="auto" w:before="41"/>
        <w:ind w:left="532" w:right="6629"/>
        <w:jc w:val="left"/>
        <w:rPr>
          <w:b w:val="0"/>
          <w:bCs w:val="0"/>
        </w:rPr>
      </w:pP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6"/>
          <w:szCs w:val="6"/>
        </w:rPr>
      </w:pPr>
    </w:p>
    <w:tbl>
      <w:tblPr>
        <w:tblW w:w="0" w:type="auto"/>
        <w:jc w:val="left"/>
        <w:tblInd w:w="515" w:type="dxa"/>
        <w:tblLayout w:type="fixed"/>
        <w:tblCellMar>
          <w:top w:w="0" w:type="dxa"/>
          <w:left w:w="0" w:type="dxa"/>
          <w:bottom w:w="0" w:type="dxa"/>
          <w:right w:w="0" w:type="dxa"/>
        </w:tblCellMar>
        <w:tblLook w:val="01E0"/>
      </w:tblPr>
      <w:tblGrid>
        <w:gridCol w:w="3747"/>
        <w:gridCol w:w="1839"/>
        <w:gridCol w:w="1837"/>
        <w:gridCol w:w="2237"/>
      </w:tblGrid>
      <w:tr>
        <w:trPr>
          <w:trHeight w:val="660" w:hRule="exact"/>
        </w:trPr>
        <w:tc>
          <w:tcPr>
            <w:tcW w:w="3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35" w:right="8" w:hanging="224"/>
              <w:jc w:val="left"/>
              <w:rPr>
                <w:rFonts w:ascii="宋体" w:hAnsi="宋体" w:cs="宋体" w:eastAsia="宋体" w:hint="default"/>
                <w:sz w:val="18"/>
                <w:szCs w:val="18"/>
              </w:rPr>
            </w:pPr>
            <w:r>
              <w:rPr>
                <w:rFonts w:ascii="宋体" w:hAnsi="宋体" w:cs="宋体" w:eastAsia="宋体" w:hint="default"/>
                <w:sz w:val="18"/>
                <w:szCs w:val="18"/>
              </w:rPr>
              <w:t>占应收账款期末余额合 计数的比例（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753" w:right="656"/>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348" w:hRule="exact"/>
        </w:trPr>
        <w:tc>
          <w:tcPr>
            <w:tcW w:w="3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w:t>
            </w:r>
            <w:r>
              <w:rPr>
                <w:rFonts w:ascii="宋体" w:hAnsi="宋体" w:cs="宋体" w:eastAsia="宋体" w:hint="default"/>
                <w:sz w:val="18"/>
                <w:szCs w:val="18"/>
              </w:rPr>
              <w:t> </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338,910,703.76</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21.42</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17,809,157.89</w:t>
            </w:r>
          </w:p>
        </w:tc>
      </w:tr>
      <w:tr>
        <w:trPr>
          <w:trHeight w:val="346" w:hRule="exact"/>
        </w:trPr>
        <w:tc>
          <w:tcPr>
            <w:tcW w:w="3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中国移动通信集团广西有限公司</w:t>
            </w:r>
            <w:r>
              <w:rPr>
                <w:rFonts w:ascii="宋体" w:hAnsi="宋体" w:cs="宋体" w:eastAsia="宋体" w:hint="default"/>
                <w:sz w:val="18"/>
                <w:szCs w:val="18"/>
              </w:rPr>
              <w:t> </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194,687,927.07</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12.30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11,295,322.68</w:t>
            </w:r>
            <w:r>
              <w:rPr>
                <w:rFonts w:ascii="宋体"/>
                <w:sz w:val="18"/>
              </w:rPr>
            </w:r>
          </w:p>
        </w:tc>
      </w:tr>
      <w:tr>
        <w:trPr>
          <w:trHeight w:val="348" w:hRule="exact"/>
        </w:trPr>
        <w:tc>
          <w:tcPr>
            <w:tcW w:w="3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中国电信股份有限公司广西分公司</w:t>
            </w:r>
            <w:r>
              <w:rPr>
                <w:rFonts w:ascii="宋体" w:hAnsi="宋体" w:cs="宋体" w:eastAsia="宋体" w:hint="default"/>
                <w:sz w:val="18"/>
                <w:szCs w:val="18"/>
              </w:rPr>
              <w:t> </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100,038,744.65</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z w:val="18"/>
              </w:rPr>
              <w:t>6.32</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7,944,095.78</w:t>
            </w:r>
          </w:p>
        </w:tc>
      </w:tr>
      <w:tr>
        <w:trPr>
          <w:trHeight w:val="346" w:hRule="exact"/>
        </w:trPr>
        <w:tc>
          <w:tcPr>
            <w:tcW w:w="3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中国移动通信集团贵州有限公司</w:t>
            </w:r>
            <w:r>
              <w:rPr>
                <w:rFonts w:ascii="宋体" w:hAnsi="宋体" w:cs="宋体" w:eastAsia="宋体" w:hint="default"/>
                <w:sz w:val="18"/>
                <w:szCs w:val="18"/>
              </w:rPr>
              <w:t> </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74,703,383.95</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4.72</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6,395,782.10</w:t>
            </w:r>
          </w:p>
        </w:tc>
      </w:tr>
      <w:tr>
        <w:trPr>
          <w:trHeight w:val="348" w:hRule="exact"/>
        </w:trPr>
        <w:tc>
          <w:tcPr>
            <w:tcW w:w="3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z w:val="18"/>
                <w:szCs w:val="18"/>
              </w:rPr>
              <w:t>中国铁塔股份有限公司广东分公司</w:t>
            </w:r>
            <w:r>
              <w:rPr>
                <w:rFonts w:ascii="宋体" w:hAnsi="宋体" w:cs="宋体" w:eastAsia="宋体" w:hint="default"/>
                <w:sz w:val="18"/>
                <w:szCs w:val="18"/>
              </w:rPr>
              <w:t> </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right"/>
              <w:rPr>
                <w:rFonts w:ascii="宋体" w:hAnsi="宋体" w:cs="宋体" w:eastAsia="宋体" w:hint="default"/>
                <w:sz w:val="18"/>
                <w:szCs w:val="18"/>
              </w:rPr>
            </w:pPr>
            <w:r>
              <w:rPr>
                <w:rFonts w:ascii="宋体"/>
                <w:spacing w:val="-1"/>
                <w:sz w:val="18"/>
              </w:rPr>
              <w:t>63,376,800.25</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sz w:val="18"/>
              </w:rPr>
              <w:t>4.01</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2"/>
              <w:jc w:val="right"/>
              <w:rPr>
                <w:rFonts w:ascii="宋体" w:hAnsi="宋体" w:cs="宋体" w:eastAsia="宋体" w:hint="default"/>
                <w:sz w:val="18"/>
                <w:szCs w:val="18"/>
              </w:rPr>
            </w:pPr>
            <w:r>
              <w:rPr>
                <w:rFonts w:ascii="宋体"/>
                <w:spacing w:val="-1"/>
                <w:sz w:val="18"/>
              </w:rPr>
              <w:t>4,279,273.43</w:t>
            </w:r>
          </w:p>
        </w:tc>
      </w:tr>
      <w:tr>
        <w:trPr>
          <w:trHeight w:val="348" w:hRule="exact"/>
        </w:trPr>
        <w:tc>
          <w:tcPr>
            <w:tcW w:w="3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771,717,559.68</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48.77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47,723,631.88</w:t>
            </w:r>
          </w:p>
        </w:tc>
      </w:tr>
    </w:tbl>
    <w:p>
      <w:pPr>
        <w:spacing w:after="0" w:line="240" w:lineRule="auto"/>
        <w:jc w:val="right"/>
        <w:rPr>
          <w:rFonts w:ascii="宋体" w:hAnsi="宋体" w:cs="宋体" w:eastAsia="宋体" w:hint="default"/>
          <w:sz w:val="18"/>
          <w:szCs w:val="18"/>
        </w:rPr>
        <w:sectPr>
          <w:type w:val="continuous"/>
          <w:pgSz w:w="11910" w:h="16840"/>
          <w:pgMar w:top="1100" w:bottom="1200" w:left="600" w:right="0"/>
        </w:sectPr>
      </w:pPr>
    </w:p>
    <w:p>
      <w:pPr>
        <w:spacing w:line="240" w:lineRule="auto" w:before="8"/>
        <w:rPr>
          <w:rFonts w:ascii="宋体" w:hAnsi="宋体" w:cs="宋体" w:eastAsia="宋体" w:hint="default"/>
          <w:b/>
          <w:bCs/>
          <w:sz w:val="22"/>
          <w:szCs w:val="22"/>
        </w:rPr>
      </w:pPr>
    </w:p>
    <w:p>
      <w:pPr>
        <w:pStyle w:val="Heading4"/>
        <w:spacing w:line="340" w:lineRule="auto"/>
        <w:ind w:left="532" w:right="7532"/>
        <w:jc w:val="left"/>
        <w:rPr>
          <w:rFonts w:ascii="宋体" w:hAnsi="宋体" w:cs="宋体" w:eastAsia="宋体" w:hint="default"/>
          <w:b w:val="0"/>
          <w:bCs w:val="0"/>
        </w:rPr>
      </w:pPr>
      <w:r>
        <w:rPr>
          <w:rFonts w:ascii="Times New Roman" w:hAnsi="Times New Roman" w:cs="Times New Roman" w:eastAsia="Times New Roman" w:hint="default"/>
        </w:rPr>
        <w:t>5)</w:t>
      </w:r>
      <w:r>
        <w:rPr/>
        <w:t>因金融资产转移而终止确认的应收账款</w:t>
      </w:r>
      <w:r>
        <w:rPr>
          <w:w w:val="99"/>
        </w:rPr>
        <w:t> </w:t>
      </w:r>
      <w:r>
        <w:rPr>
          <w:rFonts w:ascii="宋体" w:hAnsi="宋体" w:cs="宋体" w:eastAsia="宋体" w:hint="default"/>
          <w:b w:val="0"/>
          <w:bCs w:val="0"/>
        </w:rPr>
        <w:t>无。</w:t>
      </w:r>
    </w:p>
    <w:p>
      <w:pPr>
        <w:pStyle w:val="Heading4"/>
        <w:spacing w:line="340" w:lineRule="auto" w:before="39"/>
        <w:ind w:left="532" w:right="6809"/>
        <w:jc w:val="left"/>
        <w:rPr>
          <w:rFonts w:ascii="宋体" w:hAnsi="宋体" w:cs="宋体" w:eastAsia="宋体" w:hint="default"/>
          <w:b w:val="0"/>
          <w:bCs w:val="0"/>
        </w:rPr>
      </w:pPr>
      <w:r>
        <w:rPr>
          <w:rFonts w:ascii="Times New Roman" w:hAnsi="Times New Roman" w:cs="Times New Roman" w:eastAsia="Times New Roman" w:hint="default"/>
        </w:rPr>
        <w:t>6)</w:t>
      </w:r>
      <w:r>
        <w:rPr/>
        <w:t>转移应收账款且继续涉入形成的资产、负债金额</w:t>
      </w:r>
      <w:r>
        <w:rPr>
          <w:w w:val="99"/>
        </w:rPr>
        <w:t> </w:t>
      </w:r>
      <w:r>
        <w:rPr>
          <w:rFonts w:ascii="宋体" w:hAnsi="宋体" w:cs="宋体" w:eastAsia="宋体" w:hint="default"/>
          <w:b w:val="0"/>
          <w:bCs w:val="0"/>
        </w:rPr>
        <w:t>无。</w:t>
      </w:r>
    </w:p>
    <w:p>
      <w:pPr>
        <w:spacing w:line="240" w:lineRule="auto" w:before="3"/>
        <w:rPr>
          <w:rFonts w:ascii="宋体" w:hAnsi="宋体" w:cs="宋体" w:eastAsia="宋体" w:hint="default"/>
          <w:sz w:val="21"/>
          <w:szCs w:val="21"/>
        </w:rPr>
      </w:pPr>
    </w:p>
    <w:p>
      <w:pPr>
        <w:pStyle w:val="Heading3"/>
        <w:spacing w:line="240" w:lineRule="auto"/>
        <w:ind w:left="532" w:right="6629"/>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527"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101,149,828.45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106,305,902.16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101,149,828.45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106,305,902.16</w:t>
            </w:r>
          </w:p>
        </w:tc>
      </w:tr>
    </w:tbl>
    <w:p>
      <w:pPr>
        <w:spacing w:line="240" w:lineRule="auto" w:before="3"/>
        <w:rPr>
          <w:rFonts w:ascii="宋体" w:hAnsi="宋体" w:cs="宋体" w:eastAsia="宋体" w:hint="default"/>
          <w:sz w:val="19"/>
          <w:szCs w:val="19"/>
        </w:rPr>
      </w:pPr>
    </w:p>
    <w:p>
      <w:pPr>
        <w:pStyle w:val="Heading3"/>
        <w:spacing w:line="240" w:lineRule="auto" w:before="36"/>
        <w:ind w:left="532" w:right="6629"/>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2" w:right="6629"/>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532" w:right="6629"/>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2" w:right="6629"/>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532" w:right="6629"/>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ind w:left="532" w:right="6629"/>
        <w:jc w:val="left"/>
        <w:rPr>
          <w:b w:val="0"/>
          <w:bCs w:val="0"/>
        </w:rPr>
      </w:pPr>
      <w:r>
        <w:rPr>
          <w:rFonts w:ascii="Times New Roman" w:hAnsi="Times New Roman" w:cs="Times New Roman" w:eastAsia="Times New Roman" w:hint="default"/>
        </w:rPr>
        <w:t>1)</w:t>
      </w:r>
      <w:r>
        <w:rPr/>
        <w:t>其他应收款分类披露</w:t>
      </w:r>
      <w:r>
        <w:rPr>
          <w:b w:val="0"/>
          <w:bCs w:val="0"/>
        </w:rPr>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846"/>
        <w:gridCol w:w="1133"/>
        <w:gridCol w:w="607"/>
        <w:gridCol w:w="953"/>
        <w:gridCol w:w="574"/>
        <w:gridCol w:w="987"/>
        <w:gridCol w:w="991"/>
        <w:gridCol w:w="709"/>
        <w:gridCol w:w="1135"/>
        <w:gridCol w:w="566"/>
        <w:gridCol w:w="994"/>
      </w:tblGrid>
      <w:tr>
        <w:trPr>
          <w:trHeight w:val="396" w:hRule="exact"/>
        </w:trPr>
        <w:tc>
          <w:tcPr>
            <w:tcW w:w="18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2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846" w:type="dxa"/>
            <w:vMerge/>
            <w:tcBorders>
              <w:left w:val="single" w:sz="4" w:space="0" w:color="000000"/>
              <w:right w:val="single" w:sz="4" w:space="0" w:color="000000"/>
            </w:tcBorders>
            <w:shd w:val="clear" w:color="auto" w:fill="D2D2D2"/>
          </w:tcPr>
          <w:p>
            <w:pPr/>
          </w:p>
        </w:tc>
        <w:tc>
          <w:tcPr>
            <w:tcW w:w="17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846"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 w:right="101"/>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87"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94"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 w:right="187"/>
              <w:jc w:val="both"/>
              <w:rPr>
                <w:rFonts w:ascii="宋体" w:hAnsi="宋体" w:cs="宋体" w:eastAsia="宋体" w:hint="default"/>
                <w:sz w:val="18"/>
                <w:szCs w:val="18"/>
              </w:rPr>
            </w:pPr>
            <w:r>
              <w:rPr>
                <w:rFonts w:ascii="宋体" w:hAnsi="宋体" w:cs="宋体" w:eastAsia="宋体" w:hint="default"/>
                <w:sz w:val="18"/>
                <w:szCs w:val="18"/>
              </w:rPr>
              <w:t>按信用风险特征组合 计提坏账准备的其他 应收款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5"/>
              <w:jc w:val="right"/>
              <w:rPr>
                <w:rFonts w:ascii="Arial Narrow" w:hAnsi="Arial Narrow" w:cs="Arial Narrow" w:eastAsia="Arial Narrow" w:hint="default"/>
                <w:sz w:val="18"/>
                <w:szCs w:val="18"/>
              </w:rPr>
            </w:pPr>
            <w:r>
              <w:rPr>
                <w:rFonts w:ascii="Arial Narrow"/>
                <w:w w:val="75"/>
                <w:sz w:val="18"/>
              </w:rPr>
              <w:t>125,499,701.74</w:t>
            </w:r>
            <w:r>
              <w:rPr>
                <w:rFonts w:ascii="Arial Narrow"/>
                <w:sz w:val="18"/>
              </w:rPr>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0" w:right="0"/>
              <w:jc w:val="left"/>
              <w:rPr>
                <w:rFonts w:ascii="Arial Narrow" w:hAnsi="Arial Narrow" w:cs="Arial Narrow" w:eastAsia="Arial Narrow" w:hint="default"/>
                <w:sz w:val="18"/>
                <w:szCs w:val="18"/>
              </w:rPr>
            </w:pPr>
            <w:r>
              <w:rPr>
                <w:rFonts w:ascii="Arial Narrow"/>
                <w:w w:val="80"/>
                <w:sz w:val="18"/>
              </w:rPr>
              <w:t>100.00%</w:t>
            </w:r>
            <w:r>
              <w:rPr>
                <w:rFonts w:ascii="Arial Narrow"/>
                <w:sz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6" w:right="0"/>
              <w:jc w:val="center"/>
              <w:rPr>
                <w:rFonts w:ascii="Arial Narrow" w:hAnsi="Arial Narrow" w:cs="Arial Narrow" w:eastAsia="Arial Narrow" w:hint="default"/>
                <w:sz w:val="18"/>
                <w:szCs w:val="18"/>
              </w:rPr>
            </w:pPr>
            <w:r>
              <w:rPr>
                <w:rFonts w:ascii="Arial Narrow"/>
                <w:w w:val="80"/>
                <w:sz w:val="18"/>
              </w:rPr>
              <w:t>24,349,873.29</w:t>
            </w:r>
            <w:r>
              <w:rPr>
                <w:rFonts w:ascii="Arial Narrow"/>
                <w:sz w:val="18"/>
              </w:rPr>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1" w:right="0"/>
              <w:jc w:val="center"/>
              <w:rPr>
                <w:rFonts w:ascii="Arial Narrow" w:hAnsi="Arial Narrow" w:cs="Arial Narrow" w:eastAsia="Arial Narrow" w:hint="default"/>
                <w:sz w:val="18"/>
                <w:szCs w:val="18"/>
              </w:rPr>
            </w:pPr>
            <w:r>
              <w:rPr>
                <w:rFonts w:ascii="Arial Narrow"/>
                <w:w w:val="80"/>
                <w:sz w:val="18"/>
              </w:rPr>
              <w:t>19.40%</w:t>
            </w:r>
            <w:r>
              <w:rPr>
                <w:rFonts w:ascii="Arial Narrow"/>
                <w:sz w:val="18"/>
              </w:rPr>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w w:val="75"/>
                <w:sz w:val="18"/>
              </w:rPr>
              <w:t>101,149,828.45</w:t>
            </w:r>
            <w:r>
              <w:rPr>
                <w:rFonts w:ascii="Arial Narrow"/>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4" w:right="0"/>
              <w:jc w:val="center"/>
              <w:rPr>
                <w:rFonts w:ascii="Arial Narrow" w:hAnsi="Arial Narrow" w:cs="Arial Narrow" w:eastAsia="Arial Narrow" w:hint="default"/>
                <w:sz w:val="18"/>
                <w:szCs w:val="18"/>
              </w:rPr>
            </w:pPr>
            <w:r>
              <w:rPr>
                <w:rFonts w:ascii="Arial Narrow"/>
                <w:w w:val="80"/>
                <w:sz w:val="18"/>
              </w:rPr>
              <w:t>122,439,659.28</w:t>
            </w:r>
            <w:r>
              <w:rPr>
                <w:rFonts w:ascii="Arial Narrow"/>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1" w:right="0"/>
              <w:jc w:val="left"/>
              <w:rPr>
                <w:rFonts w:ascii="Arial Narrow" w:hAnsi="Arial Narrow" w:cs="Arial Narrow" w:eastAsia="Arial Narrow" w:hint="default"/>
                <w:sz w:val="18"/>
                <w:szCs w:val="18"/>
              </w:rPr>
            </w:pPr>
            <w:r>
              <w:rPr>
                <w:rFonts w:ascii="Arial Narrow"/>
                <w:w w:val="80"/>
                <w:sz w:val="18"/>
              </w:rPr>
              <w:t>100.00%</w:t>
            </w:r>
            <w:r>
              <w:rPr>
                <w:rFonts w:ascii="Arial Narrow"/>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7" w:right="0"/>
              <w:jc w:val="left"/>
              <w:rPr>
                <w:rFonts w:ascii="Arial Narrow" w:hAnsi="Arial Narrow" w:cs="Arial Narrow" w:eastAsia="Arial Narrow" w:hint="default"/>
                <w:sz w:val="18"/>
                <w:szCs w:val="18"/>
              </w:rPr>
            </w:pPr>
            <w:r>
              <w:rPr>
                <w:rFonts w:ascii="Arial Narrow"/>
                <w:w w:val="80"/>
                <w:sz w:val="18"/>
              </w:rPr>
              <w:t>16,133,757.12</w:t>
            </w:r>
            <w:r>
              <w:rPr>
                <w:rFonts w:ascii="Arial Narrow"/>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9" w:right="0"/>
              <w:jc w:val="center"/>
              <w:rPr>
                <w:rFonts w:ascii="Arial Narrow" w:hAnsi="Arial Narrow" w:cs="Arial Narrow" w:eastAsia="Arial Narrow" w:hint="default"/>
                <w:sz w:val="18"/>
                <w:szCs w:val="18"/>
              </w:rPr>
            </w:pPr>
            <w:r>
              <w:rPr>
                <w:rFonts w:ascii="Arial Narrow"/>
                <w:w w:val="80"/>
                <w:sz w:val="18"/>
              </w:rPr>
              <w:t>13.18%</w:t>
            </w:r>
            <w:r>
              <w:rPr>
                <w:rFonts w:ascii="Arial Narrow"/>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7"/>
              <w:jc w:val="right"/>
              <w:rPr>
                <w:rFonts w:ascii="Arial Narrow" w:hAnsi="Arial Narrow" w:cs="Arial Narrow" w:eastAsia="Arial Narrow" w:hint="default"/>
                <w:sz w:val="18"/>
                <w:szCs w:val="18"/>
              </w:rPr>
            </w:pPr>
            <w:r>
              <w:rPr>
                <w:rFonts w:ascii="Arial Narrow"/>
                <w:w w:val="75"/>
                <w:sz w:val="18"/>
              </w:rPr>
              <w:t>106,305,902.16</w:t>
            </w:r>
            <w:r>
              <w:rPr>
                <w:rFonts w:ascii="Arial Narrow"/>
                <w:sz w:val="18"/>
              </w:rPr>
            </w:r>
          </w:p>
        </w:tc>
      </w:tr>
      <w:tr>
        <w:trPr>
          <w:trHeight w:val="401"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Arial Narrow" w:hAnsi="Arial Narrow" w:cs="Arial Narrow" w:eastAsia="Arial Narrow" w:hint="default"/>
                <w:sz w:val="18"/>
                <w:szCs w:val="18"/>
              </w:rPr>
            </w:pPr>
            <w:r>
              <w:rPr>
                <w:rFonts w:ascii="Arial Narrow"/>
                <w:w w:val="75"/>
                <w:sz w:val="18"/>
              </w:rPr>
              <w:t>125,499,701.74</w:t>
            </w:r>
            <w:r>
              <w:rPr>
                <w:rFonts w:ascii="Arial Narrow"/>
                <w:sz w:val="18"/>
              </w:rPr>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0" w:right="0"/>
              <w:jc w:val="left"/>
              <w:rPr>
                <w:rFonts w:ascii="Arial Narrow" w:hAnsi="Arial Narrow" w:cs="Arial Narrow" w:eastAsia="Arial Narrow" w:hint="default"/>
                <w:sz w:val="18"/>
                <w:szCs w:val="18"/>
              </w:rPr>
            </w:pPr>
            <w:r>
              <w:rPr>
                <w:rFonts w:ascii="Arial Narrow"/>
                <w:w w:val="80"/>
                <w:sz w:val="18"/>
              </w:rPr>
              <w:t>100.00%</w:t>
            </w:r>
            <w:r>
              <w:rPr>
                <w:rFonts w:ascii="Arial Narrow"/>
                <w:sz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7" w:right="0"/>
              <w:jc w:val="center"/>
              <w:rPr>
                <w:rFonts w:ascii="Arial Narrow" w:hAnsi="Arial Narrow" w:cs="Arial Narrow" w:eastAsia="Arial Narrow" w:hint="default"/>
                <w:sz w:val="18"/>
                <w:szCs w:val="18"/>
              </w:rPr>
            </w:pPr>
            <w:r>
              <w:rPr>
                <w:rFonts w:ascii="Arial Narrow"/>
                <w:w w:val="80"/>
                <w:sz w:val="18"/>
              </w:rPr>
              <w:t>24,349,873.29</w:t>
            </w:r>
            <w:r>
              <w:rPr>
                <w:rFonts w:ascii="Arial Narrow"/>
                <w:sz w:val="18"/>
              </w:rPr>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1" w:right="0"/>
              <w:jc w:val="center"/>
              <w:rPr>
                <w:rFonts w:ascii="Arial Narrow" w:hAnsi="Arial Narrow" w:cs="Arial Narrow" w:eastAsia="Arial Narrow" w:hint="default"/>
                <w:sz w:val="18"/>
                <w:szCs w:val="18"/>
              </w:rPr>
            </w:pPr>
            <w:r>
              <w:rPr>
                <w:rFonts w:ascii="Arial Narrow"/>
                <w:w w:val="80"/>
                <w:sz w:val="18"/>
              </w:rPr>
              <w:t>19.40%</w:t>
            </w:r>
            <w:r>
              <w:rPr>
                <w:rFonts w:ascii="Arial Narrow"/>
                <w:sz w:val="18"/>
              </w:rPr>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Arial Narrow" w:hAnsi="Arial Narrow" w:cs="Arial Narrow" w:eastAsia="Arial Narrow" w:hint="default"/>
                <w:sz w:val="18"/>
                <w:szCs w:val="18"/>
              </w:rPr>
            </w:pPr>
            <w:r>
              <w:rPr>
                <w:rFonts w:ascii="Arial Narrow"/>
                <w:w w:val="75"/>
                <w:sz w:val="18"/>
              </w:rPr>
              <w:t>101,149,828.45</w:t>
            </w:r>
            <w:r>
              <w:rPr>
                <w:rFonts w:ascii="Arial Narrow"/>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4" w:right="0"/>
              <w:jc w:val="center"/>
              <w:rPr>
                <w:rFonts w:ascii="Arial Narrow" w:hAnsi="Arial Narrow" w:cs="Arial Narrow" w:eastAsia="Arial Narrow" w:hint="default"/>
                <w:sz w:val="18"/>
                <w:szCs w:val="18"/>
              </w:rPr>
            </w:pPr>
            <w:r>
              <w:rPr>
                <w:rFonts w:ascii="Arial Narrow"/>
                <w:w w:val="80"/>
                <w:sz w:val="18"/>
              </w:rPr>
              <w:t>122,439,659.28</w:t>
            </w:r>
            <w:r>
              <w:rPr>
                <w:rFonts w:ascii="Arial Narrow"/>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1" w:right="0"/>
              <w:jc w:val="left"/>
              <w:rPr>
                <w:rFonts w:ascii="Arial Narrow" w:hAnsi="Arial Narrow" w:cs="Arial Narrow" w:eastAsia="Arial Narrow" w:hint="default"/>
                <w:sz w:val="18"/>
                <w:szCs w:val="18"/>
              </w:rPr>
            </w:pPr>
            <w:r>
              <w:rPr>
                <w:rFonts w:ascii="Arial Narrow"/>
                <w:w w:val="80"/>
                <w:sz w:val="18"/>
              </w:rPr>
              <w:t>100.00%</w:t>
            </w:r>
            <w:r>
              <w:rPr>
                <w:rFonts w:ascii="Arial Narrow"/>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47" w:right="0"/>
              <w:jc w:val="left"/>
              <w:rPr>
                <w:rFonts w:ascii="Arial Narrow" w:hAnsi="Arial Narrow" w:cs="Arial Narrow" w:eastAsia="Arial Narrow" w:hint="default"/>
                <w:sz w:val="18"/>
                <w:szCs w:val="18"/>
              </w:rPr>
            </w:pPr>
            <w:r>
              <w:rPr>
                <w:rFonts w:ascii="Arial Narrow"/>
                <w:w w:val="80"/>
                <w:sz w:val="18"/>
              </w:rPr>
              <w:t>16,133,757.12</w:t>
            </w:r>
            <w:r>
              <w:rPr>
                <w:rFonts w:ascii="Arial Narrow"/>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8" w:right="0"/>
              <w:jc w:val="center"/>
              <w:rPr>
                <w:rFonts w:ascii="Arial Narrow" w:hAnsi="Arial Narrow" w:cs="Arial Narrow" w:eastAsia="Arial Narrow" w:hint="default"/>
                <w:sz w:val="18"/>
                <w:szCs w:val="18"/>
              </w:rPr>
            </w:pPr>
            <w:r>
              <w:rPr>
                <w:rFonts w:ascii="Arial Narrow"/>
                <w:w w:val="80"/>
                <w:sz w:val="18"/>
              </w:rPr>
              <w:t>13.18%</w:t>
            </w:r>
            <w:r>
              <w:rPr>
                <w:rFonts w:ascii="Arial Narrow"/>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Arial Narrow" w:hAnsi="Arial Narrow" w:cs="Arial Narrow" w:eastAsia="Arial Narrow" w:hint="default"/>
                <w:sz w:val="18"/>
                <w:szCs w:val="18"/>
              </w:rPr>
            </w:pPr>
            <w:r>
              <w:rPr>
                <w:rFonts w:ascii="Arial Narrow"/>
                <w:w w:val="75"/>
                <w:sz w:val="18"/>
              </w:rPr>
              <w:t>106,305,902.16</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910" w:footer="1013" w:top="1100" w:bottom="1200" w:left="600" w:right="0"/>
        </w:sectPr>
      </w:pPr>
    </w:p>
    <w:p>
      <w:pPr>
        <w:pStyle w:val="BodyText"/>
        <w:spacing w:line="240" w:lineRule="auto" w:before="51"/>
        <w:ind w:left="532" w:right="-19"/>
        <w:jc w:val="left"/>
      </w:pPr>
      <w:r>
        <w:rPr/>
        <w:t>期末单项金额重大并单项计提坏账准备的其他应收款：</w:t>
      </w:r>
    </w:p>
    <w:p>
      <w:pPr>
        <w:pStyle w:val="BodyText"/>
        <w:spacing w:line="357" w:lineRule="auto" w:before="117"/>
        <w:ind w:left="532" w:right="161"/>
        <w:jc w:val="left"/>
      </w:pPr>
      <w:r>
        <w:rPr/>
        <w:t>□ 适用 √</w:t>
      </w:r>
      <w:r>
        <w:rPr>
          <w:spacing w:val="3"/>
        </w:rPr>
        <w:t> </w:t>
      </w:r>
      <w:r>
        <w:rPr/>
        <w:t>不适用</w:t>
      </w:r>
      <w:r>
        <w:rPr/>
        <w:t> 组合中，按账龄分析法计提坏账准备的其他应收款：</w:t>
      </w:r>
    </w:p>
    <w:p>
      <w:pPr>
        <w:pStyle w:val="BodyText"/>
        <w:spacing w:line="240" w:lineRule="auto" w:before="29"/>
        <w:ind w:left="532" w:right="-19"/>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532" w:right="0"/>
        <w:jc w:val="left"/>
      </w:pPr>
      <w:r>
        <w:rPr/>
        <w:t>单位：</w:t>
      </w:r>
      <w:r>
        <w:rPr>
          <w:spacing w:val="1"/>
        </w:rPr>
        <w:t> </w:t>
      </w:r>
      <w:r>
        <w:rPr/>
        <w:t>元</w:t>
      </w:r>
    </w:p>
    <w:p>
      <w:pPr>
        <w:spacing w:after="0" w:line="240" w:lineRule="auto"/>
        <w:jc w:val="left"/>
        <w:sectPr>
          <w:type w:val="continuous"/>
          <w:pgSz w:w="11910" w:h="16840"/>
          <w:pgMar w:top="1100" w:bottom="1200" w:left="600" w:right="0"/>
          <w:cols w:num="2" w:equalWidth="0">
            <w:col w:w="4854" w:space="3975"/>
            <w:col w:w="2481"/>
          </w:cols>
        </w:sectPr>
      </w:pPr>
    </w:p>
    <w:p>
      <w:pPr>
        <w:spacing w:line="240" w:lineRule="auto" w:before="1"/>
        <w:rPr>
          <w:rFonts w:ascii="宋体" w:hAnsi="宋体" w:cs="宋体" w:eastAsia="宋体" w:hint="default"/>
          <w:sz w:val="8"/>
          <w:szCs w:val="8"/>
        </w:rPr>
      </w:pPr>
    </w:p>
    <w:tbl>
      <w:tblPr>
        <w:tblW w:w="0" w:type="auto"/>
        <w:jc w:val="left"/>
        <w:tblInd w:w="527" w:type="dxa"/>
        <w:tblLayout w:type="fixed"/>
        <w:tblCellMar>
          <w:top w:w="0" w:type="dxa"/>
          <w:left w:w="0" w:type="dxa"/>
          <w:bottom w:w="0" w:type="dxa"/>
          <w:right w:w="0" w:type="dxa"/>
        </w:tblCellMar>
        <w:tblLook w:val="01E0"/>
      </w:tblPr>
      <w:tblGrid>
        <w:gridCol w:w="2495"/>
        <w:gridCol w:w="2294"/>
        <w:gridCol w:w="2391"/>
        <w:gridCol w:w="2391"/>
      </w:tblGrid>
      <w:tr>
        <w:trPr>
          <w:trHeight w:val="205" w:hRule="exact"/>
        </w:trPr>
        <w:tc>
          <w:tcPr>
            <w:tcW w:w="24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495" w:type="dxa"/>
            <w:vMerge/>
            <w:tcBorders>
              <w:left w:val="single" w:sz="4" w:space="0" w:color="000000"/>
              <w:bottom w:val="nil" w:sz="6" w:space="0" w:color="auto"/>
              <w:right w:val="single" w:sz="4" w:space="0" w:color="000000"/>
            </w:tcBorders>
            <w:shd w:val="clear" w:color="auto" w:fill="D2D2D2"/>
          </w:tcPr>
          <w:p>
            <w:pPr/>
          </w:p>
        </w:tc>
        <w:tc>
          <w:tcPr>
            <w:tcW w:w="22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4" w:hRule="exact"/>
        </w:trPr>
        <w:tc>
          <w:tcPr>
            <w:tcW w:w="24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4"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28" w:right="0"/>
              <w:jc w:val="left"/>
              <w:rPr>
                <w:rFonts w:ascii="Times New Roman" w:hAnsi="Times New Roman" w:cs="Times New Roman" w:eastAsia="Times New Roman" w:hint="default"/>
                <w:sz w:val="18"/>
                <w:szCs w:val="18"/>
              </w:rPr>
            </w:pPr>
            <w:r>
              <w:rPr>
                <w:rFonts w:ascii="Times New Roman"/>
                <w:sz w:val="18"/>
              </w:rPr>
              <w:t>54,073,046.92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11" w:right="0"/>
              <w:jc w:val="left"/>
              <w:rPr>
                <w:rFonts w:ascii="Times New Roman" w:hAnsi="Times New Roman" w:cs="Times New Roman" w:eastAsia="Times New Roman" w:hint="default"/>
                <w:sz w:val="18"/>
                <w:szCs w:val="18"/>
              </w:rPr>
            </w:pPr>
            <w:r>
              <w:rPr>
                <w:rFonts w:ascii="Times New Roman"/>
                <w:sz w:val="18"/>
              </w:rPr>
              <w:t>2,703,652.35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600" w:right="0"/>
        </w:sectPr>
      </w:pPr>
    </w:p>
    <w:p>
      <w:pPr>
        <w:spacing w:line="240" w:lineRule="auto" w:before="2"/>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493"/>
        <w:gridCol w:w="2294"/>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20,919,126.61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2,091,912.66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34,011,810.54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10,203,543.16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11,945,700.24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5,972,850.12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1,745,000.00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1,396,000.00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1,981,915.00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1,981,915.00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124,676,599.31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24,349,873.29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19.53%</w:t>
            </w:r>
          </w:p>
        </w:tc>
      </w:tr>
    </w:tbl>
    <w:p>
      <w:pPr>
        <w:spacing w:after="0" w:line="240" w:lineRule="auto"/>
        <w:jc w:val="right"/>
        <w:rPr>
          <w:rFonts w:ascii="Times New Roman" w:hAnsi="Times New Roman" w:cs="Times New Roman" w:eastAsia="Times New Roman" w:hint="default"/>
          <w:sz w:val="18"/>
          <w:szCs w:val="18"/>
        </w:rPr>
        <w:sectPr>
          <w:pgSz w:w="11910" w:h="16840"/>
          <w:pgMar w:header="910" w:footer="1013" w:top="1100" w:bottom="1200" w:left="980" w:right="0"/>
        </w:sectPr>
      </w:pPr>
    </w:p>
    <w:p>
      <w:pPr>
        <w:pStyle w:val="BodyText"/>
        <w:spacing w:line="357" w:lineRule="auto" w:before="51"/>
        <w:ind w:left="152" w:right="1779"/>
        <w:jc w:val="left"/>
      </w:pPr>
      <w:r>
        <w:rPr/>
        <w:t>确定该组合依据的说明： 组合中，采用余额百分比法计提坏账准备的其他应收款：</w:t>
      </w:r>
    </w:p>
    <w:p>
      <w:pPr>
        <w:pStyle w:val="BodyText"/>
        <w:spacing w:line="360" w:lineRule="auto" w:before="29"/>
        <w:ind w:left="152" w:right="2139"/>
        <w:jc w:val="left"/>
      </w:pPr>
      <w:r>
        <w:rPr/>
        <w:t>□ 适用 √</w:t>
      </w:r>
      <w:r>
        <w:rPr>
          <w:spacing w:val="3"/>
        </w:rPr>
        <w:t> </w:t>
      </w:r>
      <w:r>
        <w:rPr/>
        <w:t>不适用</w:t>
      </w:r>
      <w:r>
        <w:rPr/>
        <w:t> 组合中，采用其他方法计提坏账准备的其他应收款：</w:t>
      </w:r>
    </w:p>
    <w:p>
      <w:pPr>
        <w:pStyle w:val="BodyText"/>
        <w:spacing w:line="240" w:lineRule="auto" w:before="25"/>
        <w:ind w:left="152" w:right="1779"/>
        <w:jc w:val="left"/>
      </w:pPr>
      <w:r>
        <w:rPr/>
        <w:t>□ 适用 √</w:t>
      </w:r>
      <w:r>
        <w:rPr>
          <w:spacing w:val="3"/>
        </w:rPr>
        <w:t> </w:t>
      </w:r>
      <w:r>
        <w:rPr/>
        <w:t>不适用</w:t>
      </w:r>
    </w:p>
    <w:p>
      <w:pPr>
        <w:pStyle w:val="Heading4"/>
        <w:spacing w:line="240" w:lineRule="auto" w:before="117"/>
        <w:ind w:left="152" w:right="1779"/>
        <w:jc w:val="left"/>
        <w:rPr>
          <w:b w:val="0"/>
          <w:bCs w:val="0"/>
        </w:rPr>
      </w:pP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103"/>
        <w:ind w:left="152" w:right="-10"/>
        <w:jc w:val="left"/>
      </w:pPr>
      <w:r>
        <w:rPr/>
        <w:t>本期计提坏账准备金额</w:t>
      </w:r>
      <w:r>
        <w:rPr>
          <w:spacing w:val="-48"/>
        </w:rPr>
        <w:t> </w:t>
      </w:r>
      <w:r>
        <w:rPr>
          <w:rFonts w:ascii="Times New Roman" w:hAnsi="Times New Roman" w:cs="Times New Roman" w:eastAsia="Times New Roman" w:hint="default"/>
        </w:rPr>
        <w:t>8,216,116.17</w:t>
      </w:r>
      <w:r>
        <w:rPr>
          <w:rFonts w:ascii="Times New Roman" w:hAnsi="Times New Roman" w:cs="Times New Roman" w:eastAsia="Times New Roman" w:hint="default"/>
          <w:spacing w:val="-2"/>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Heading4"/>
        <w:spacing w:line="350" w:lineRule="auto" w:before="101"/>
        <w:ind w:left="152" w:right="3600"/>
        <w:jc w:val="left"/>
        <w:rPr>
          <w:b w:val="0"/>
          <w:bCs w:val="0"/>
        </w:rPr>
      </w:pPr>
      <w:r>
        <w:rPr>
          <w:rFonts w:ascii="Times New Roman" w:hAnsi="Times New Roman" w:cs="Times New Roman" w:eastAsia="Times New Roman" w:hint="default"/>
        </w:rPr>
        <w:t>3)</w:t>
      </w:r>
      <w:r>
        <w:rPr/>
        <w:t>本期实际核销的其他应收款情况</w:t>
      </w:r>
      <w:r>
        <w:rPr>
          <w:w w:val="99"/>
        </w:rPr>
        <w:t> </w:t>
      </w:r>
      <w:r>
        <w:rPr>
          <w:rFonts w:ascii="宋体" w:hAnsi="宋体" w:cs="宋体" w:eastAsia="宋体" w:hint="default"/>
          <w:b w:val="0"/>
          <w:bCs w:val="0"/>
        </w:rPr>
        <w:t>无。 </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20"/>
          <w:szCs w:val="20"/>
        </w:rPr>
      </w:pPr>
    </w:p>
    <w:p>
      <w:pPr>
        <w:pStyle w:val="BodyText"/>
        <w:spacing w:line="240" w:lineRule="auto"/>
        <w:ind w:left="152" w:right="0"/>
        <w:jc w:val="left"/>
      </w:pPr>
      <w:r>
        <w:rPr/>
        <w:t>单位：</w:t>
      </w:r>
      <w:r>
        <w:rPr>
          <w:spacing w:val="1"/>
        </w:rPr>
        <w:t> </w:t>
      </w:r>
      <w:r>
        <w:rPr/>
        <w:t>元</w:t>
      </w:r>
    </w:p>
    <w:p>
      <w:pPr>
        <w:spacing w:after="0" w:line="240" w:lineRule="auto"/>
        <w:jc w:val="left"/>
        <w:sectPr>
          <w:type w:val="continuous"/>
          <w:pgSz w:w="11910" w:h="16840"/>
          <w:pgMar w:top="1100" w:bottom="1200" w:left="980" w:right="0"/>
          <w:cols w:num="2" w:equalWidth="0">
            <w:col w:w="6452" w:space="2377"/>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109,579,121.47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95,670,341.56</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13,787,531.26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17,940,006.12</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1,251,004.16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3,401,439.56</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823,102.43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代扣代缴款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58,942.42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5,427,372.04</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125,499,701.74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122,439,659.28</w:t>
            </w:r>
            <w:r>
              <w:rPr>
                <w:rFonts w:ascii="Times New Roman"/>
                <w:sz w:val="18"/>
              </w:rPr>
            </w:r>
          </w:p>
        </w:tc>
      </w:tr>
    </w:tbl>
    <w:p>
      <w:pPr>
        <w:pStyle w:val="Heading4"/>
        <w:spacing w:line="240" w:lineRule="auto" w:before="51"/>
        <w:ind w:left="152" w:right="0"/>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864"/>
        <w:gridCol w:w="994"/>
        <w:gridCol w:w="1421"/>
        <w:gridCol w:w="1699"/>
        <w:gridCol w:w="1277"/>
        <w:gridCol w:w="1442"/>
      </w:tblGrid>
      <w:tr>
        <w:trPr>
          <w:trHeight w:val="1026" w:hRule="exact"/>
        </w:trPr>
        <w:tc>
          <w:tcPr>
            <w:tcW w:w="2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89" w:hanging="1"/>
              <w:jc w:val="center"/>
              <w:rPr>
                <w:rFonts w:ascii="宋体" w:hAnsi="宋体" w:cs="宋体" w:eastAsia="宋体" w:hint="default"/>
                <w:sz w:val="18"/>
                <w:szCs w:val="18"/>
              </w:rPr>
            </w:pPr>
            <w:r>
              <w:rPr>
                <w:rFonts w:ascii="宋体" w:hAnsi="宋体" w:cs="宋体" w:eastAsia="宋体" w:hint="default"/>
                <w:sz w:val="18"/>
                <w:szCs w:val="18"/>
              </w:rPr>
              <w:t>占其他应收款 期末余额合计 数的比例</w:t>
            </w: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626" w:right="84"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3"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中国移动通信集团贵州有限公司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15,794,481.53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8"/>
                <w:sz w:val="18"/>
                <w:szCs w:val="18"/>
              </w:rPr>
              <w:t>年以内、</w:t>
            </w:r>
            <w:r>
              <w:rPr>
                <w:rFonts w:ascii="Times New Roman" w:hAnsi="Times New Roman" w:cs="Times New Roman" w:eastAsia="Times New Roman" w:hint="default"/>
                <w:spacing w:val="-8"/>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3,909,678.25</w:t>
            </w:r>
          </w:p>
        </w:tc>
      </w:tr>
      <w:tr>
        <w:trPr>
          <w:trHeight w:val="403"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中招国际招标有限公司江苏分公司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5" w:right="0"/>
              <w:jc w:val="left"/>
              <w:rPr>
                <w:rFonts w:ascii="Times New Roman" w:hAnsi="Times New Roman" w:cs="Times New Roman" w:eastAsia="Times New Roman" w:hint="default"/>
                <w:sz w:val="18"/>
                <w:szCs w:val="18"/>
              </w:rPr>
            </w:pPr>
            <w:r>
              <w:rPr>
                <w:rFonts w:ascii="Times New Roman"/>
                <w:sz w:val="18"/>
              </w:rPr>
              <w:t>13,750,000.00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10.96%</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687,500.00</w:t>
            </w:r>
          </w:p>
        </w:tc>
      </w:tr>
      <w:tr>
        <w:trPr>
          <w:trHeight w:val="404"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中国移动通信集团北京有限公司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5" w:right="0"/>
              <w:jc w:val="left"/>
              <w:rPr>
                <w:rFonts w:ascii="Times New Roman" w:hAnsi="Times New Roman" w:cs="Times New Roman" w:eastAsia="Times New Roman" w:hint="default"/>
                <w:sz w:val="18"/>
                <w:szCs w:val="18"/>
              </w:rPr>
            </w:pPr>
            <w:r>
              <w:rPr>
                <w:rFonts w:ascii="Times New Roman"/>
                <w:sz w:val="18"/>
              </w:rPr>
              <w:t>10,831,500.00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8.63%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4,283,150.00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980" w:right="0"/>
        </w:sectPr>
      </w:pPr>
    </w:p>
    <w:p>
      <w:pPr>
        <w:spacing w:line="240" w:lineRule="auto" w:before="2"/>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2864"/>
        <w:gridCol w:w="994"/>
        <w:gridCol w:w="1421"/>
        <w:gridCol w:w="1699"/>
        <w:gridCol w:w="1277"/>
        <w:gridCol w:w="1442"/>
      </w:tblGrid>
      <w:tr>
        <w:trPr>
          <w:trHeight w:val="363" w:hRule="exact"/>
        </w:trPr>
        <w:tc>
          <w:tcPr>
            <w:tcW w:w="286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中国移动通信集团广西有限公司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保证金押金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5,550,000.00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8"/>
                <w:sz w:val="18"/>
                <w:szCs w:val="18"/>
              </w:rPr>
              <w:t>年以内、</w:t>
            </w:r>
            <w:r>
              <w:rPr>
                <w:rFonts w:ascii="Times New Roman" w:hAnsi="Times New Roman" w:cs="Times New Roman" w:eastAsia="Times New Roman" w:hint="default"/>
                <w:spacing w:val="-8"/>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1,881,000.00</w:t>
            </w:r>
          </w:p>
        </w:tc>
      </w:tr>
      <w:tr>
        <w:trPr>
          <w:trHeight w:val="715"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中国移动通信集团宁夏有限公司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保证金押金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3,764,070.00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8"/>
                <w:sz w:val="18"/>
                <w:szCs w:val="18"/>
              </w:rPr>
              <w:t>年以内、</w:t>
            </w:r>
            <w:r>
              <w:rPr>
                <w:rFonts w:ascii="Times New Roman" w:hAnsi="Times New Roman" w:cs="Times New Roman" w:eastAsia="Times New Roman" w:hint="default"/>
                <w:spacing w:val="-8"/>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796,381.00</w:t>
            </w:r>
          </w:p>
        </w:tc>
      </w:tr>
      <w:tr>
        <w:trPr>
          <w:trHeight w:val="401" w:hRule="exact"/>
        </w:trPr>
        <w:tc>
          <w:tcPr>
            <w:tcW w:w="2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49,690,051.53</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39.59%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11,557,709.25</w:t>
            </w:r>
          </w:p>
        </w:tc>
      </w:tr>
    </w:tbl>
    <w:p>
      <w:pPr>
        <w:pStyle w:val="Heading4"/>
        <w:spacing w:line="340" w:lineRule="auto" w:before="51"/>
        <w:ind w:left="152" w:right="8616"/>
        <w:jc w:val="left"/>
        <w:rPr>
          <w:rFonts w:ascii="宋体" w:hAnsi="宋体" w:cs="宋体" w:eastAsia="宋体" w:hint="default"/>
          <w:b w:val="0"/>
          <w:bCs w:val="0"/>
        </w:rPr>
      </w:pPr>
      <w:r>
        <w:rPr>
          <w:rFonts w:ascii="Times New Roman" w:hAnsi="Times New Roman" w:cs="Times New Roman" w:eastAsia="Times New Roman" w:hint="default"/>
        </w:rPr>
        <w:t>6)</w:t>
      </w:r>
      <w:r>
        <w:rPr/>
        <w:t>涉及政府补助的应收款项</w:t>
      </w:r>
      <w:r>
        <w:rPr>
          <w:spacing w:val="2"/>
          <w:w w:val="99"/>
        </w:rPr>
        <w:t> </w:t>
      </w:r>
      <w:r>
        <w:rPr>
          <w:rFonts w:ascii="宋体" w:hAnsi="宋体" w:cs="宋体" w:eastAsia="宋体" w:hint="default"/>
          <w:b w:val="0"/>
          <w:bCs w:val="0"/>
        </w:rPr>
        <w:t>无。</w:t>
      </w:r>
    </w:p>
    <w:p>
      <w:pPr>
        <w:pStyle w:val="Heading4"/>
        <w:spacing w:line="340" w:lineRule="auto" w:before="39"/>
        <w:ind w:left="152" w:right="7351"/>
        <w:jc w:val="left"/>
        <w:rPr>
          <w:rFonts w:ascii="宋体" w:hAnsi="宋体" w:cs="宋体" w:eastAsia="宋体" w:hint="default"/>
          <w:b w:val="0"/>
          <w:bCs w:val="0"/>
        </w:rPr>
      </w:pPr>
      <w:r>
        <w:rPr>
          <w:rFonts w:ascii="Times New Roman" w:hAnsi="Times New Roman" w:cs="Times New Roman" w:eastAsia="Times New Roman" w:hint="default"/>
        </w:rPr>
        <w:t>7)</w:t>
      </w:r>
      <w:r>
        <w:rPr/>
        <w:t>因金融资产转移而终止确认的其他应收款</w:t>
      </w:r>
      <w:r>
        <w:rPr>
          <w:w w:val="99"/>
        </w:rPr>
        <w:t> </w:t>
      </w:r>
      <w:r>
        <w:rPr>
          <w:rFonts w:ascii="宋体" w:hAnsi="宋体" w:cs="宋体" w:eastAsia="宋体" w:hint="default"/>
          <w:b w:val="0"/>
          <w:bCs w:val="0"/>
        </w:rPr>
        <w:t>无。</w:t>
      </w:r>
    </w:p>
    <w:p>
      <w:pPr>
        <w:pStyle w:val="Heading4"/>
        <w:spacing w:line="338" w:lineRule="auto" w:before="42"/>
        <w:ind w:left="152" w:right="6629"/>
        <w:jc w:val="left"/>
        <w:rPr>
          <w:rFonts w:ascii="宋体" w:hAnsi="宋体" w:cs="宋体" w:eastAsia="宋体" w:hint="default"/>
          <w:b w:val="0"/>
          <w:bCs w:val="0"/>
        </w:rPr>
      </w:pPr>
      <w:r>
        <w:rPr>
          <w:rFonts w:ascii="Times New Roman" w:hAnsi="Times New Roman" w:cs="Times New Roman" w:eastAsia="Times New Roman" w:hint="default"/>
        </w:rPr>
        <w:t>8)</w:t>
      </w:r>
      <w:r>
        <w:rPr/>
        <w:t>转移其他应收款且继续涉入形成的资产、负债金额</w:t>
      </w:r>
      <w:r>
        <w:rPr>
          <w:w w:val="99"/>
        </w:rPr>
        <w:t> </w:t>
      </w:r>
      <w:r>
        <w:rPr>
          <w:rFonts w:ascii="宋体" w:hAnsi="宋体" w:cs="宋体" w:eastAsia="宋体" w:hint="default"/>
          <w:b w:val="0"/>
          <w:bCs w:val="0"/>
        </w:rPr>
        <w:t>无。</w:t>
      </w:r>
    </w:p>
    <w:p>
      <w:pPr>
        <w:spacing w:line="240" w:lineRule="auto" w:before="5"/>
        <w:rPr>
          <w:rFonts w:ascii="宋体" w:hAnsi="宋体" w:cs="宋体" w:eastAsia="宋体" w:hint="default"/>
          <w:sz w:val="21"/>
          <w:szCs w:val="21"/>
        </w:rPr>
      </w:pPr>
    </w:p>
    <w:p>
      <w:pPr>
        <w:pStyle w:val="Heading3"/>
        <w:spacing w:line="240" w:lineRule="auto"/>
        <w:ind w:left="152"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39,883,149.17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39,883,149.17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39,883,149.17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39,883,149.17</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1,410,103.86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1,410,103.86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41,293,253.03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41,293,253.03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39,883,149.17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39,883,149.17</w:t>
            </w:r>
          </w:p>
        </w:tc>
      </w:tr>
    </w:tbl>
    <w:p>
      <w:pPr>
        <w:spacing w:line="240" w:lineRule="auto" w:before="3"/>
        <w:rPr>
          <w:rFonts w:ascii="宋体" w:hAnsi="宋体" w:cs="宋体" w:eastAsia="宋体" w:hint="default"/>
          <w:sz w:val="19"/>
          <w:szCs w:val="19"/>
        </w:rPr>
      </w:pPr>
    </w:p>
    <w:p>
      <w:pPr>
        <w:pStyle w:val="Heading3"/>
        <w:spacing w:line="240" w:lineRule="auto" w:before="36"/>
        <w:ind w:left="152"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76"/>
        <w:gridCol w:w="1092"/>
        <w:gridCol w:w="775"/>
        <w:gridCol w:w="778"/>
        <w:gridCol w:w="1090"/>
        <w:gridCol w:w="1498"/>
        <w:gridCol w:w="1495"/>
      </w:tblGrid>
      <w:tr>
        <w:trPr>
          <w:trHeight w:val="401" w:hRule="exact"/>
        </w:trPr>
        <w:tc>
          <w:tcPr>
            <w:tcW w:w="2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广西润联信息技术有限公司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广西诚本规划设计咨询有限公司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9,883,149.17</w:t>
            </w:r>
          </w:p>
        </w:tc>
        <w:tc>
          <w:tcPr>
            <w:tcW w:w="77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9,883,149.17</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39,883,149.17</w:t>
            </w:r>
          </w:p>
        </w:tc>
        <w:tc>
          <w:tcPr>
            <w:tcW w:w="77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39,883,149.17</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152"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122"/>
        <w:gridCol w:w="478"/>
        <w:gridCol w:w="1001"/>
        <w:gridCol w:w="478"/>
        <w:gridCol w:w="1375"/>
        <w:gridCol w:w="802"/>
        <w:gridCol w:w="641"/>
        <w:gridCol w:w="1042"/>
        <w:gridCol w:w="641"/>
        <w:gridCol w:w="317"/>
        <w:gridCol w:w="1001"/>
        <w:gridCol w:w="799"/>
      </w:tblGrid>
      <w:tr>
        <w:trPr>
          <w:trHeight w:val="402" w:hRule="exact"/>
        </w:trPr>
        <w:tc>
          <w:tcPr>
            <w:tcW w:w="11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4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55" w:right="50"/>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629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1122" w:type="dxa"/>
            <w:vMerge/>
            <w:tcBorders>
              <w:left w:val="single" w:sz="4" w:space="0" w:color="000000"/>
              <w:bottom w:val="single" w:sz="4" w:space="0" w:color="000000"/>
              <w:right w:val="single" w:sz="4" w:space="0" w:color="000000"/>
            </w:tcBorders>
            <w:shd w:val="clear" w:color="auto" w:fill="D2D2D2"/>
          </w:tcPr>
          <w:p>
            <w:pPr/>
          </w:p>
        </w:tc>
        <w:tc>
          <w:tcPr>
            <w:tcW w:w="478" w:type="dxa"/>
            <w:vMerge/>
            <w:tcBorders>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3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55" w:right="50"/>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324" w:right="50" w:hanging="272"/>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35" w:right="34"/>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5" w:right="43"/>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7" w:right="62"/>
              <w:jc w:val="center"/>
              <w:rPr>
                <w:rFonts w:ascii="宋体" w:hAnsi="宋体" w:cs="宋体" w:eastAsia="宋体" w:hint="default"/>
                <w:sz w:val="18"/>
                <w:szCs w:val="18"/>
              </w:rPr>
            </w:pPr>
            <w:r>
              <w:rPr>
                <w:rFonts w:ascii="宋体" w:hAnsi="宋体" w:cs="宋体" w:eastAsia="宋体" w:hint="default"/>
                <w:sz w:val="18"/>
                <w:szCs w:val="18"/>
              </w:rPr>
              <w:t>宣告发放现 金股利或利 润</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5" w:right="44"/>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64" w:right="60"/>
              <w:jc w:val="left"/>
              <w:rPr>
                <w:rFonts w:ascii="宋体" w:hAnsi="宋体" w:cs="宋体" w:eastAsia="宋体" w:hint="default"/>
                <w:sz w:val="18"/>
                <w:szCs w:val="18"/>
              </w:rPr>
            </w:pPr>
            <w:r>
              <w:rPr>
                <w:rFonts w:ascii="宋体" w:hAnsi="宋体" w:cs="宋体" w:eastAsia="宋体" w:hint="default"/>
                <w:sz w:val="18"/>
                <w:szCs w:val="18"/>
              </w:rPr>
              <w:t>其 他</w:t>
            </w:r>
          </w:p>
        </w:tc>
        <w:tc>
          <w:tcPr>
            <w:tcW w:w="1001"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69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910" w:footer="1013" w:top="1100" w:bottom="1200" w:left="980" w:right="0"/>
        </w:sectPr>
      </w:pPr>
    </w:p>
    <w:p>
      <w:pPr>
        <w:spacing w:line="240" w:lineRule="auto" w:before="2"/>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1124"/>
        <w:gridCol w:w="478"/>
        <w:gridCol w:w="1001"/>
        <w:gridCol w:w="478"/>
        <w:gridCol w:w="1375"/>
        <w:gridCol w:w="802"/>
        <w:gridCol w:w="641"/>
        <w:gridCol w:w="1042"/>
        <w:gridCol w:w="641"/>
        <w:gridCol w:w="317"/>
        <w:gridCol w:w="1001"/>
        <w:gridCol w:w="799"/>
      </w:tblGrid>
      <w:tr>
        <w:trPr>
          <w:trHeight w:val="401" w:hRule="exact"/>
        </w:trPr>
        <w:tc>
          <w:tcPr>
            <w:tcW w:w="96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7"/>
              <w:jc w:val="both"/>
              <w:rPr>
                <w:rFonts w:ascii="宋体" w:hAnsi="宋体" w:cs="宋体" w:eastAsia="宋体" w:hint="default"/>
                <w:sz w:val="18"/>
                <w:szCs w:val="18"/>
              </w:rPr>
            </w:pPr>
            <w:r>
              <w:rPr>
                <w:rFonts w:ascii="宋体" w:hAnsi="宋体" w:cs="宋体" w:eastAsia="宋体" w:hint="default"/>
                <w:sz w:val="18"/>
                <w:szCs w:val="18"/>
              </w:rPr>
              <w:t>云南安润盛 达科技有限 公司</w:t>
            </w:r>
          </w:p>
        </w:tc>
        <w:tc>
          <w:tcPr>
            <w:tcW w:w="4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1,500,000.00</w:t>
            </w:r>
          </w:p>
        </w:tc>
        <w:tc>
          <w:tcPr>
            <w:tcW w:w="478"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-89,896.14</w:t>
            </w:r>
          </w:p>
        </w:tc>
        <w:tc>
          <w:tcPr>
            <w:tcW w:w="80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1,410,103.86</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1,500,000.00</w:t>
            </w:r>
          </w:p>
        </w:tc>
        <w:tc>
          <w:tcPr>
            <w:tcW w:w="478"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-89,896.14</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1,410,103.86</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1,500,000.00</w:t>
            </w:r>
          </w:p>
        </w:tc>
        <w:tc>
          <w:tcPr>
            <w:tcW w:w="478"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-89,896.14</w:t>
            </w:r>
          </w:p>
        </w:tc>
        <w:tc>
          <w:tcPr>
            <w:tcW w:w="80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1,410,103.86</w:t>
            </w:r>
          </w:p>
        </w:tc>
        <w:tc>
          <w:tcPr>
            <w:tcW w:w="7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152"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5"/>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3,222,666,057.89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2,578,222,492.31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2,734,383,089.66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2,044,562,906.52</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3,222,666,057.89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2,578,222,492.31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2,734,383,089.66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2,044,562,906.52</w:t>
            </w:r>
          </w:p>
        </w:tc>
      </w:tr>
    </w:tbl>
    <w:p>
      <w:pPr>
        <w:spacing w:line="240" w:lineRule="auto" w:before="3"/>
        <w:rPr>
          <w:rFonts w:ascii="宋体" w:hAnsi="宋体" w:cs="宋体" w:eastAsia="宋体" w:hint="default"/>
          <w:sz w:val="19"/>
          <w:szCs w:val="19"/>
        </w:rPr>
      </w:pPr>
    </w:p>
    <w:p>
      <w:pPr>
        <w:pStyle w:val="Heading3"/>
        <w:spacing w:line="240" w:lineRule="auto" w:before="36"/>
        <w:ind w:left="152"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-89,896.14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14,735,225.37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1,553.42</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14,645,329.23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1,553.42</w:t>
            </w:r>
          </w:p>
        </w:tc>
      </w:tr>
    </w:tbl>
    <w:p>
      <w:pPr>
        <w:spacing w:line="240" w:lineRule="auto" w:before="3"/>
        <w:rPr>
          <w:rFonts w:ascii="宋体" w:hAnsi="宋体" w:cs="宋体" w:eastAsia="宋体" w:hint="default"/>
          <w:sz w:val="19"/>
          <w:szCs w:val="19"/>
        </w:rPr>
      </w:pPr>
    </w:p>
    <w:p>
      <w:pPr>
        <w:pStyle w:val="Heading3"/>
        <w:spacing w:line="240" w:lineRule="auto" w:before="36"/>
        <w:ind w:left="152"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52"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left="152" w:right="0"/>
        <w:jc w:val="left"/>
        <w:rPr>
          <w:b w:val="0"/>
          <w:bCs w:val="0"/>
        </w:rPr>
      </w:pPr>
      <w:r>
        <w:rPr/>
        <w:t>十八、补充资料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2"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52" w:right="0"/>
        <w:jc w:val="left"/>
      </w:pPr>
      <w:r>
        <w:rPr/>
        <w:t>√ 适用 □</w:t>
      </w:r>
      <w:r>
        <w:rPr>
          <w:spacing w:val="3"/>
        </w:rPr>
        <w:t> </w:t>
      </w:r>
      <w:r>
        <w:rPr/>
        <w:t>不适用</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399,206.59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系固定资产变卖收益所致。</w:t>
            </w:r>
          </w:p>
        </w:tc>
      </w:tr>
      <w:tr>
        <w:trPr>
          <w:trHeight w:val="102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19,325,604.83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14,735,225.37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系银行结构性存款及理财收益。</w:t>
            </w:r>
          </w:p>
        </w:tc>
      </w:tr>
    </w:tbl>
    <w:p>
      <w:pPr>
        <w:spacing w:after="0" w:line="240" w:lineRule="auto"/>
        <w:jc w:val="left"/>
        <w:rPr>
          <w:rFonts w:ascii="宋体" w:hAnsi="宋体" w:cs="宋体" w:eastAsia="宋体" w:hint="default"/>
          <w:sz w:val="18"/>
          <w:szCs w:val="18"/>
        </w:rPr>
        <w:sectPr>
          <w:pgSz w:w="11910" w:h="16840"/>
          <w:pgMar w:header="910" w:footer="1013" w:top="1100" w:bottom="1200" w:left="980" w:right="0"/>
        </w:sectPr>
      </w:pPr>
    </w:p>
    <w:p>
      <w:pPr>
        <w:spacing w:line="240" w:lineRule="auto" w:before="2"/>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-1,804,303.24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center"/>
              <w:rPr>
                <w:rFonts w:ascii="宋体" w:hAnsi="宋体" w:cs="宋体" w:eastAsia="宋体" w:hint="default"/>
                <w:sz w:val="18"/>
                <w:szCs w:val="18"/>
              </w:rPr>
            </w:pPr>
            <w:r>
              <w:rPr>
                <w:rFonts w:ascii="宋体" w:hAnsi="宋体" w:cs="宋体" w:eastAsia="宋体" w:hint="default"/>
                <w:sz w:val="18"/>
                <w:szCs w:val="18"/>
              </w:rPr>
              <w:t>主要系捐赠支出及固定资产报废损失。</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4,900,068.97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27,755,664.58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77"/>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号——非经常性损益》中列举的非经常性损益项目界定为经常性损益的项目，应</w:t>
      </w:r>
      <w:r>
        <w:rPr/>
        <w:t> 说明原因。</w:t>
      </w:r>
    </w:p>
    <w:p>
      <w:pPr>
        <w:pStyle w:val="BodyText"/>
        <w:spacing w:line="240" w:lineRule="auto" w:before="72"/>
        <w:ind w:right="977"/>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663"/>
        <w:gridCol w:w="3082"/>
        <w:gridCol w:w="1913"/>
        <w:gridCol w:w="1913"/>
      </w:tblGrid>
      <w:tr>
        <w:trPr>
          <w:trHeight w:val="205"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0.97</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0.84</w:t>
            </w:r>
          </w:p>
        </w:tc>
      </w:tr>
    </w:tbl>
    <w:p>
      <w:pPr>
        <w:spacing w:line="240" w:lineRule="auto" w:before="3"/>
        <w:rPr>
          <w:rFonts w:ascii="宋体" w:hAnsi="宋体" w:cs="宋体" w:eastAsia="宋体" w:hint="default"/>
          <w:b/>
          <w:bCs/>
          <w:sz w:val="19"/>
          <w:szCs w:val="19"/>
        </w:rPr>
      </w:pPr>
    </w:p>
    <w:p>
      <w:pPr>
        <w:pStyle w:val="Heading3"/>
        <w:spacing w:line="240" w:lineRule="auto" w:before="36"/>
        <w:ind w:right="977"/>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7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77"/>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77"/>
        <w:jc w:val="left"/>
      </w:pPr>
      <w:r>
        <w:rPr/>
        <w:t>无。</w:t>
      </w:r>
    </w:p>
    <w:p>
      <w:pPr>
        <w:spacing w:after="0" w:line="240" w:lineRule="auto"/>
        <w:jc w:val="left"/>
        <w:sectPr>
          <w:pgSz w:w="11910" w:h="16840"/>
          <w:pgMar w:header="910" w:footer="1013"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45" w:right="977"/>
        <w:jc w:val="left"/>
        <w:rPr>
          <w:b w:val="0"/>
          <w:bCs w:val="0"/>
        </w:rPr>
      </w:pPr>
      <w:bookmarkStart w:name="_bookmark10" w:id="11"/>
      <w:bookmarkEnd w:id="11"/>
      <w:r>
        <w:rPr>
          <w:b w:val="0"/>
          <w:bCs w:val="0"/>
        </w:rPr>
      </w:r>
      <w:r>
        <w:rPr/>
        <w:t>第十二节</w:t>
      </w:r>
      <w:r>
        <w:rPr>
          <w:spacing w:val="-4"/>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977"/>
        <w:jc w:val="left"/>
      </w:pPr>
      <w:r>
        <w:rPr>
          <w:spacing w:val="-2"/>
        </w:rPr>
        <w:t>（一）载有公司负责人许文杰先生、主管会计工作负责人梁姬女士、会计机构负责人（会计主管人员）黄宇签名并盖章的财</w:t>
      </w:r>
      <w:r>
        <w:rPr>
          <w:spacing w:val="-67"/>
        </w:rPr>
        <w:t> </w:t>
      </w:r>
      <w:r>
        <w:rPr>
          <w:spacing w:val="-67"/>
        </w:rPr>
      </w:r>
      <w:r>
        <w:rPr/>
        <w:t>务报告文本原件。</w:t>
      </w:r>
    </w:p>
    <w:p>
      <w:pPr>
        <w:pStyle w:val="BodyText"/>
        <w:spacing w:line="240" w:lineRule="auto" w:before="19"/>
        <w:ind w:right="977"/>
        <w:jc w:val="left"/>
      </w:pPr>
      <w:r>
        <w:rPr/>
        <w:t>（二）载有华普天健会计师事务所（特殊普通合伙）盖章、注册会计师签名并盖章的审计报告原件。</w:t>
      </w:r>
    </w:p>
    <w:p>
      <w:pPr>
        <w:pStyle w:val="BodyText"/>
        <w:spacing w:line="240" w:lineRule="auto" w:before="76"/>
        <w:ind w:right="977"/>
        <w:jc w:val="left"/>
      </w:pPr>
      <w:r>
        <w:rPr/>
        <w:t>（三）报告期内在中国证监会指定网站上公开披露过的所有公司文件的正本及公告的原稿。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BodyText"/>
        <w:spacing w:line="316" w:lineRule="auto"/>
        <w:ind w:left="7321" w:right="1041" w:firstLine="91"/>
        <w:jc w:val="right"/>
        <w:rPr>
          <w:rFonts w:ascii="宋体" w:hAnsi="宋体" w:cs="宋体" w:eastAsia="宋体" w:hint="default"/>
        </w:rPr>
      </w:pPr>
      <w:r>
        <w:rPr/>
        <w:t>润建股份有限公司</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rPr>
        <w:t> </w:t>
      </w:r>
      <w:r>
        <w:rPr/>
        <w:t>法定代表人：许文杰</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rPr>
        <w:t> </w:t>
      </w:r>
    </w:p>
    <w:p>
      <w:pPr>
        <w:pStyle w:val="BodyText"/>
        <w:spacing w:line="240" w:lineRule="auto" w:before="19"/>
        <w:ind w:left="0" w:right="1130"/>
        <w:jc w:val="right"/>
        <w:rPr>
          <w:rFonts w:ascii="宋体" w:hAnsi="宋体" w:cs="宋体" w:eastAsia="宋体" w:hint="default"/>
        </w:rPr>
      </w:pPr>
      <w:r>
        <w:rPr>
          <w:rFonts w:ascii="宋体" w:hAnsi="宋体" w:cs="宋体" w:eastAsia="宋体" w:hint="default"/>
          <w:spacing w:val="-1"/>
        </w:rPr>
        <w:t>2019</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26</w:t>
      </w:r>
      <w:r>
        <w:rPr>
          <w:spacing w:val="-1"/>
        </w:rPr>
        <w:t>日</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rPr>
        <w:t> </w:t>
      </w:r>
    </w:p>
    <w:sectPr>
      <w:pgSz w:w="11910" w:h="16840"/>
      <w:pgMar w:header="910" w:footer="1013" w:top="1100" w:bottom="120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42768" type="#_x0000_t75" stroked="false">
          <v:imagedata r:id="rId1" o:title=""/>
        </v:shape>
      </w:pict>
    </w:r>
    <w:r>
      <w:rPr/>
      <w:pict>
        <v:shape style="position:absolute;margin-left:55.639999pt;margin-top:793.837891pt;width:6.5pt;height:11pt;mso-position-horizontal-relative:page;mso-position-vertical-relative:page;z-index:-7427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42192" type="#_x0000_t75" stroked="false">
          <v:imagedata r:id="rId1" o:title=""/>
        </v:shape>
      </w:pict>
    </w:r>
    <w:r>
      <w:rPr/>
      <w:pict>
        <v:shape style="position:absolute;margin-left:54.639999pt;margin-top:780.277893pt;width:17.7pt;height:11pt;mso-position-horizontal-relative:page;mso-position-vertical-relative:page;z-index:-742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42144" type="#_x0000_t75" stroked="false">
          <v:imagedata r:id="rId1" o:title=""/>
        </v:shape>
      </w:pict>
    </w:r>
    <w:r>
      <w:rPr/>
      <w:pict>
        <v:shape style="position:absolute;margin-left:54.639999pt;margin-top:780.277893pt;width:17.3pt;height:11pt;mso-position-horizontal-relative:page;mso-position-vertical-relative:page;z-index:-742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42096" type="#_x0000_t75" stroked="false">
          <v:imagedata r:id="rId1" o:title=""/>
        </v:shape>
      </w:pict>
    </w:r>
    <w:r>
      <w:rPr/>
      <w:pict>
        <v:shape style="position:absolute;margin-left:54.639999pt;margin-top:780.277893pt;width:17.7pt;height:11pt;mso-position-horizontal-relative:page;mso-position-vertical-relative:page;z-index:-742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41952" type="#_x0000_t75" stroked="false">
          <v:imagedata r:id="rId1" o:title=""/>
        </v:shape>
      </w:pict>
    </w:r>
    <w:r>
      <w:rPr/>
      <w:pict>
        <v:shape style="position:absolute;margin-left:54.639999pt;margin-top:780.277893pt;width:17.7pt;height:11pt;mso-position-horizontal-relative:page;mso-position-vertical-relative:page;z-index:-741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157</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42720" type="#_x0000_t75" stroked="false">
          <v:imagedata r:id="rId1" o:title=""/>
        </v:shape>
      </w:pict>
    </w:r>
    <w:r>
      <w:rPr/>
      <w:pict>
        <v:shape style="position:absolute;margin-left:54.639999pt;margin-top:780.277893pt;width:13.15pt;height:11pt;mso-position-horizontal-relative:page;mso-position-vertical-relative:page;z-index:-742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42648" type="#_x0000_t75" stroked="false">
          <v:imagedata r:id="rId1" o:title=""/>
        </v:shape>
      </w:pict>
    </w:r>
    <w:r>
      <w:rPr/>
      <w:pict>
        <v:shape style="position:absolute;margin-left:55.639999pt;margin-top:756.62561pt;width:78.7pt;height:11pt;mso-position-horizontal-relative:page;mso-position-vertical-relative:page;z-index:-742624" type="#_x0000_t202" filled="false" stroked="false">
          <v:textbox inset="0,0,0,0">
            <w:txbxContent>
              <w:p>
                <w:pPr>
                  <w:pStyle w:val="BodyText"/>
                  <w:spacing w:line="200" w:lineRule="exact"/>
                  <w:ind w:left="20" w:right="0"/>
                  <w:jc w:val="left"/>
                </w:pPr>
                <w:r>
                  <w:rPr/>
                  <w:t>□ 适用 √</w:t>
                </w:r>
                <w:r>
                  <w:rPr>
                    <w:spacing w:val="3"/>
                  </w:rPr>
                  <w:t> </w:t>
                </w:r>
                <w:r>
                  <w:rPr/>
                  <w:t>不适用</w:t>
                </w:r>
              </w:p>
            </w:txbxContent>
          </v:textbox>
          <w10:wrap type="none"/>
        </v:shape>
      </w:pict>
    </w:r>
    <w:r>
      <w:rPr/>
      <w:pict>
        <v:shape style="position:absolute;margin-left:54.639999pt;margin-top:780.277893pt;width:13.15pt;height:11pt;mso-position-horizontal-relative:page;mso-position-vertical-relative:page;z-index:-742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41</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42576" type="#_x0000_t75" stroked="false">
          <v:imagedata r:id="rId1" o:title=""/>
        </v:shape>
      </w:pict>
    </w:r>
    <w:r>
      <w:rPr/>
      <w:pict>
        <v:shape style="position:absolute;margin-left:54.639999pt;margin-top:780.277893pt;width:13.15pt;height:11pt;mso-position-horizontal-relative:page;mso-position-vertical-relative:page;z-index:-742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43</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533.653931pt;width:11.15pt;height:11pt;mso-position-horizontal-relative:page;mso-position-vertical-relative:page;z-index:-7425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83</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742480" type="#_x0000_t75" stroked="false">
          <v:imagedata r:id="rId1" o:title=""/>
        </v:shape>
      </w:pict>
    </w:r>
    <w:r>
      <w:rPr/>
      <w:pict>
        <v:shape style="position:absolute;margin-left:70pt;margin-top:533.653931pt;width:13.15pt;height:11pt;mso-position-horizontal-relative:page;mso-position-vertical-relative:page;z-index:-742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84</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80.277893pt;width:11.15pt;height:11pt;mso-position-horizontal-relative:page;mso-position-vertical-relative:page;z-index:-7423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93</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42312" type="#_x0000_t75" stroked="false">
          <v:imagedata r:id="rId1" o:title=""/>
        </v:shape>
      </w:pict>
    </w:r>
    <w:r>
      <w:rPr/>
      <w:pict>
        <v:shape style="position:absolute;margin-left:54.639999pt;margin-top:780.277893pt;width:13.15pt;height:11pt;mso-position-horizontal-relative:page;mso-position-vertical-relative:page;z-index:-742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94</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42240" type="#_x0000_t75" stroked="false">
          <v:imagedata r:id="rId1" o:title=""/>
        </v:shape>
      </w:pict>
    </w:r>
    <w:r>
      <w:rPr/>
      <w:pict>
        <v:shape style="position:absolute;margin-left:55.639999pt;margin-top:780.277893pt;width:15.7pt;height:11pt;mso-position-horizontal-relative:page;mso-position-vertical-relative:page;z-index:-7422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639999pt;margin-top:38.42561pt;width:159.6pt;height:11.5pt;mso-position-horizontal-relative:page;mso-position-vertical-relative:page;z-index:-742792" type="#_x0000_t202" filled="false" stroked="false">
          <v:textbox inset="0,0,0,0">
            <w:txbxContent>
              <w:p>
                <w:pPr>
                  <w:pStyle w:val="BodyText"/>
                  <w:spacing w:line="214" w:lineRule="exact"/>
                  <w:ind w:left="20" w:right="0"/>
                  <w:jc w:val="left"/>
                </w:pPr>
                <w:r>
                  <w:rPr/>
                  <w:t>润建股份有限公司</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5.025608pt;width:159.6pt;height:11.5pt;mso-position-horizontal-relative:page;mso-position-vertical-relative:page;z-index:-742672" type="#_x0000_t202" filled="false" stroked="false">
          <v:textbox inset="0,0,0,0">
            <w:txbxContent>
              <w:p>
                <w:pPr>
                  <w:pStyle w:val="BodyText"/>
                  <w:spacing w:line="214" w:lineRule="exact"/>
                  <w:ind w:left="20" w:right="0"/>
                  <w:jc w:val="left"/>
                </w:pPr>
                <w:r>
                  <w:rPr/>
                  <w:t>润建股份有限公司</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45.025631pt;width:159.6pt;height:11.5pt;mso-position-horizontal-relative:page;mso-position-vertical-relative:page;z-index:-742528" type="#_x0000_t202" filled="false" stroked="false">
          <v:textbox inset="0,0,0,0">
            <w:txbxContent>
              <w:p>
                <w:pPr>
                  <w:pStyle w:val="BodyText"/>
                  <w:spacing w:line="214" w:lineRule="exact"/>
                  <w:ind w:left="20" w:right="0"/>
                  <w:jc w:val="left"/>
                </w:pPr>
                <w:r>
                  <w:rPr/>
                  <w:t>润建股份有限公司</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5.025608pt;width:159.6pt;height:11.5pt;mso-position-horizontal-relative:page;mso-position-vertical-relative:page;z-index:-742432" type="#_x0000_t202" filled="false" stroked="false">
          <v:textbox inset="0,0,0,0">
            <w:txbxContent>
              <w:p>
                <w:pPr>
                  <w:pStyle w:val="BodyText"/>
                  <w:spacing w:line="214" w:lineRule="exact"/>
                  <w:ind w:left="20" w:right="0"/>
                  <w:jc w:val="left"/>
                </w:pPr>
                <w:r>
                  <w:rPr/>
                  <w:t>润建股份有限公司</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r>
      <w:rPr/>
      <w:pict>
        <v:shape style="position:absolute;margin-left:55.639999pt;margin-top:73.584984pt;width:86.5pt;height:12.6pt;mso-position-horizontal-relative:page;mso-position-vertical-relative:page;z-index:-74240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三、公司基本情况</w:t>
                </w:r>
                <w:r>
                  <w:rPr>
                    <w:rFonts w:ascii="宋体" w:hAnsi="宋体" w:cs="宋体" w:eastAsia="宋体" w:hint="default"/>
                    <w:sz w:val="21"/>
                    <w:szCs w:val="21"/>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5.025608pt;width:159.6pt;height:11.5pt;mso-position-horizontal-relative:page;mso-position-vertical-relative:page;z-index:-742360" type="#_x0000_t202" filled="false" stroked="false">
          <v:textbox inset="0,0,0,0">
            <w:txbxContent>
              <w:p>
                <w:pPr>
                  <w:pStyle w:val="BodyText"/>
                  <w:spacing w:line="214" w:lineRule="exact"/>
                  <w:ind w:left="20" w:right="0"/>
                  <w:jc w:val="left"/>
                </w:pPr>
                <w:r>
                  <w:rPr/>
                  <w:t>润建股份有限公司</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r>
      <w:rPr/>
      <w:pict>
        <v:shape style="position:absolute;margin-left:55.639999pt;margin-top:72.947479pt;width:158.550pt;height:14pt;mso-position-horizontal-relative:page;mso-position-vertical-relative:page;z-index:-74233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5.025608pt;width:159.6pt;height:11.5pt;mso-position-horizontal-relative:page;mso-position-vertical-relative:page;z-index:-742264" type="#_x0000_t202" filled="false" stroked="false">
          <v:textbox inset="0,0,0,0">
            <w:txbxContent>
              <w:p>
                <w:pPr>
                  <w:pStyle w:val="BodyText"/>
                  <w:spacing w:line="214" w:lineRule="exact"/>
                  <w:ind w:left="20" w:right="0"/>
                  <w:jc w:val="left"/>
                </w:pPr>
                <w:r>
                  <w:rPr/>
                  <w:t>润建股份有限公司</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5.025608pt;width:159.6pt;height:11.5pt;mso-position-horizontal-relative:page;mso-position-vertical-relative:page;z-index:-742048" type="#_x0000_t202" filled="false" stroked="false">
          <v:textbox inset="0,0,0,0">
            <w:txbxContent>
              <w:p>
                <w:pPr>
                  <w:pStyle w:val="BodyText"/>
                  <w:spacing w:line="214" w:lineRule="exact"/>
                  <w:ind w:left="20" w:right="0"/>
                  <w:jc w:val="left"/>
                </w:pPr>
                <w:r>
                  <w:rPr/>
                  <w:t>润建股份有限公司</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5.025608pt;width:159.6pt;height:11.5pt;mso-position-horizontal-relative:page;mso-position-vertical-relative:page;z-index:-742024" type="#_x0000_t202" filled="false" stroked="false">
          <v:textbox inset="0,0,0,0">
            <w:txbxContent>
              <w:p>
                <w:pPr>
                  <w:pStyle w:val="BodyText"/>
                  <w:spacing w:line="214" w:lineRule="exact"/>
                  <w:ind w:left="20" w:right="0"/>
                  <w:jc w:val="left"/>
                </w:pPr>
                <w:r>
                  <w:rPr/>
                  <w:t>润建股份有限公司</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r>
      <w:rPr/>
      <w:pict>
        <v:shape style="position:absolute;margin-left:55.639999pt;margin-top:73.584984pt;width:165.5pt;height:13.15pt;mso-position-horizontal-relative:page;mso-position-vertical-relative:page;z-index:-742000"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5.025608pt;width:159.6pt;height:11.5pt;mso-position-horizontal-relative:page;mso-position-vertical-relative:page;z-index:-741976" type="#_x0000_t202" filled="false" stroked="false">
          <v:textbox inset="0,0,0,0">
            <w:txbxContent>
              <w:p>
                <w:pPr>
                  <w:pStyle w:val="BodyText"/>
                  <w:spacing w:line="214" w:lineRule="exact"/>
                  <w:ind w:left="20" w:right="0"/>
                  <w:jc w:val="left"/>
                </w:pPr>
                <w:r>
                  <w:rPr/>
                  <w:t>润建股份有限公司</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2"/>
    </w:pPr>
    <w:rPr>
      <w:rFonts w:ascii="宋体" w:hAnsi="宋体" w:eastAsia="宋体"/>
      <w:b/>
      <w:bCs/>
      <w:sz w:val="24"/>
      <w:szCs w:val="24"/>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ind w:left="3068"/>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b/>
      <w:bCs/>
      <w:sz w:val="21"/>
      <w:szCs w:val="21"/>
    </w:rPr>
  </w:style>
  <w:style w:styleId="Heading4" w:type="paragraph">
    <w:name w:val="Heading 4"/>
    <w:basedOn w:val="Normal"/>
    <w:uiPriority w:val="1"/>
    <w:qFormat/>
    <w:pPr>
      <w:spacing w:before="44"/>
      <w:ind w:left="112"/>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rjtx.net/" TargetMode="External"/><Relationship Id="rId11" Type="http://schemas.openxmlformats.org/officeDocument/2006/relationships/hyperlink" Target="mailto:rjtxdsh@163.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3.jpeg"/><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image" Target="media/image1.jpeg"/><Relationship Id="rId19" Type="http://schemas.openxmlformats.org/officeDocument/2006/relationships/footer" Target="footer6.xml"/><Relationship Id="rId20" Type="http://schemas.openxmlformats.org/officeDocument/2006/relationships/header" Target="header4.xml"/><Relationship Id="rId21" Type="http://schemas.openxmlformats.org/officeDocument/2006/relationships/footer" Target="footer7.xml"/><Relationship Id="rId22" Type="http://schemas.openxmlformats.org/officeDocument/2006/relationships/header" Target="header5.xml"/><Relationship Id="rId23" Type="http://schemas.openxmlformats.org/officeDocument/2006/relationships/footer" Target="footer8.xml"/><Relationship Id="rId24" Type="http://schemas.openxmlformats.org/officeDocument/2006/relationships/header" Target="header6.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header" Target="header7.xml"/><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footer" Target="footer1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2020-05-05T03:52:07Z</dcterms:created>
  <dcterms:modified xsi:type="dcterms:W3CDTF">2020-05-05T03:52:07Z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Word 适用于 Office 365</vt:lpwstr>
  </property>
  <property fmtid="{D5CDD505-2E9C-101B-9397-08002B2CF9AE}" pid="4" name="LastSaved">
    <vt:filetime>2020-05-04T00:00:00Z</vt:filetime>
  </property>
</Properties>
</file>