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2505" w:lineRule="exact"/>
        <w:ind w:left="165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drawing>
          <wp:inline distT="0" distB="0" distL="0" distR="0">
            <wp:extent cx="4218940" cy="15906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218940" cy="1590675"/>
                    </a:xfrm>
                    <a:prstGeom prst="rect">
                      <a:avLst/>
                    </a:prstGeom>
                  </pic:spPr>
                </pic:pic>
              </a:graphicData>
            </a:graphic>
          </wp:inline>
        </w:drawing>
      </w:r>
      <w:r>
        <w:rPr>
          <w:rFonts w:ascii="Times New Roman" w:hAnsi="Times New Roman" w:cs="Times New Roman" w:eastAsia="Times New Roman" w:hint="default"/>
          <w:position w:val="-4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7"/>
          <w:szCs w:val="27"/>
        </w:rPr>
      </w:pPr>
    </w:p>
    <w:p>
      <w:pPr>
        <w:spacing w:line="460" w:lineRule="exact" w:before="0"/>
        <w:ind w:left="85" w:right="1067" w:firstLine="0"/>
        <w:jc w:val="center"/>
        <w:rPr>
          <w:rFonts w:ascii="宋体" w:hAnsi="宋体" w:cs="宋体" w:eastAsia="宋体" w:hint="default"/>
          <w:sz w:val="36"/>
          <w:szCs w:val="36"/>
        </w:rPr>
      </w:pPr>
      <w:r>
        <w:rPr>
          <w:rFonts w:ascii="宋体" w:hAnsi="宋体" w:cs="宋体" w:eastAsia="宋体" w:hint="default"/>
          <w:b/>
          <w:bCs/>
          <w:sz w:val="36"/>
          <w:szCs w:val="36"/>
        </w:rPr>
        <w:t>润建股份有限公司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pStyle w:val="Heading1"/>
        <w:spacing w:line="240" w:lineRule="auto"/>
        <w:ind w:left="86" w:right="1067"/>
        <w:jc w:val="center"/>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89" w:right="106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85" w:right="1057"/>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公司负责人许文杰、主管会计工作负责人梁姬及会计机构负责人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黄宇声明：保证年度报告中财务报告的真实、准确、完整。</w:t>
      </w:r>
      <w:r>
        <w:rPr>
          <w:rFonts w:ascii="宋体" w:hAnsi="宋体" w:cs="宋体" w:eastAsia="宋体" w:hint="default"/>
          <w:sz w:val="28"/>
          <w:szCs w:val="28"/>
        </w:rPr>
      </w:r>
    </w:p>
    <w:p>
      <w:pPr>
        <w:spacing w:line="472" w:lineRule="auto" w:before="148"/>
        <w:ind w:left="714" w:right="105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本年度报告涉及未来发展规划和经营目标的相关陈述，属于公司计划性事</w:t>
      </w:r>
      <w:r>
        <w:rPr>
          <w:rFonts w:ascii="宋体" w:hAnsi="宋体" w:cs="宋体" w:eastAsia="宋体" w:hint="default"/>
          <w:spacing w:val="2"/>
          <w:sz w:val="28"/>
          <w:szCs w:val="28"/>
        </w:rPr>
      </w:r>
    </w:p>
    <w:p>
      <w:pPr>
        <w:spacing w:line="475" w:lineRule="auto" w:before="0"/>
        <w:ind w:left="714" w:right="1133" w:hanging="563"/>
        <w:jc w:val="left"/>
        <w:rPr>
          <w:rFonts w:ascii="宋体" w:hAnsi="宋体" w:cs="宋体" w:eastAsia="宋体" w:hint="default"/>
          <w:sz w:val="28"/>
          <w:szCs w:val="28"/>
        </w:rPr>
      </w:pPr>
      <w:r>
        <w:rPr>
          <w:rFonts w:ascii="宋体" w:hAnsi="宋体" w:cs="宋体" w:eastAsia="宋体" w:hint="default"/>
          <w:b/>
          <w:bCs/>
          <w:sz w:val="28"/>
          <w:szCs w:val="28"/>
        </w:rPr>
        <w:t>务，不构成公司对投资者的实质承诺，请投资者注意投资风险。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公司主要存在市场竞争的风险、对大客户依赖的风险、公司快速发展带来</w:t>
      </w:r>
      <w:r>
        <w:rPr>
          <w:rFonts w:ascii="宋体" w:hAnsi="宋体" w:cs="宋体" w:eastAsia="宋体" w:hint="default"/>
          <w:spacing w:val="2"/>
          <w:sz w:val="28"/>
          <w:szCs w:val="28"/>
        </w:rPr>
      </w:r>
    </w:p>
    <w:p>
      <w:pPr>
        <w:spacing w:line="350" w:lineRule="exact" w:before="0"/>
        <w:ind w:left="152" w:right="1057" w:firstLine="0"/>
        <w:jc w:val="left"/>
        <w:rPr>
          <w:rFonts w:ascii="宋体" w:hAnsi="宋体" w:cs="宋体" w:eastAsia="宋体" w:hint="default"/>
          <w:sz w:val="28"/>
          <w:szCs w:val="28"/>
        </w:rPr>
      </w:pPr>
      <w:r>
        <w:rPr>
          <w:rFonts w:ascii="宋体" w:hAnsi="宋体" w:cs="宋体" w:eastAsia="宋体" w:hint="default"/>
          <w:b/>
          <w:bCs/>
          <w:spacing w:val="2"/>
          <w:sz w:val="28"/>
          <w:szCs w:val="28"/>
        </w:rPr>
        <w:t>的管理风险、技术和产品更新的风险、商誉减值风险及新型冠状病毒疫情造成</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386" w:lineRule="auto" w:before="0"/>
        <w:ind w:left="152" w:right="1057" w:firstLine="0"/>
        <w:jc w:val="left"/>
        <w:rPr>
          <w:rFonts w:ascii="宋体" w:hAnsi="宋体" w:cs="宋体" w:eastAsia="宋体" w:hint="default"/>
          <w:sz w:val="28"/>
          <w:szCs w:val="28"/>
        </w:rPr>
      </w:pPr>
      <w:r>
        <w:rPr>
          <w:rFonts w:ascii="宋体" w:hAnsi="宋体" w:cs="宋体" w:eastAsia="宋体" w:hint="default"/>
          <w:b/>
          <w:bCs/>
          <w:sz w:val="28"/>
          <w:szCs w:val="28"/>
        </w:rPr>
        <w:t>的风险等，敬请广大投资者注意投资风险。详细内容见本报告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第四节九（五）</w:t>
      </w:r>
      <w:r>
        <w:rPr>
          <w:rFonts w:ascii="宋体" w:hAnsi="宋体" w:cs="宋体" w:eastAsia="宋体" w:hint="default"/>
          <w:b/>
          <w:bCs/>
          <w:w w:val="99"/>
          <w:sz w:val="28"/>
          <w:szCs w:val="28"/>
        </w:rPr>
        <w:t> </w:t>
      </w:r>
      <w:r>
        <w:rPr>
          <w:rFonts w:ascii="宋体" w:hAnsi="宋体" w:cs="宋体" w:eastAsia="宋体" w:hint="default"/>
          <w:b/>
          <w:bCs/>
          <w:sz w:val="28"/>
          <w:szCs w:val="28"/>
        </w:rPr>
        <w:t>公司面临的风险及应对措施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48"/>
        <w:ind w:left="714" w:right="1057"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220,746,347</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7"/>
        <w:ind w:left="152" w:right="1126"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1.2</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4"/>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4"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89" w:right="106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p>
      <w:pPr>
        <w:pStyle w:val="Heading3"/>
        <w:spacing w:line="240" w:lineRule="auto"/>
        <w:ind w:left="199" w:right="1067"/>
        <w:jc w:val="center"/>
        <w:rPr>
          <w:rFonts w:ascii="宋体" w:hAnsi="宋体" w:cs="宋体" w:eastAsia="宋体" w:hint="default"/>
          <w:b w:val="0"/>
          <w:bCs w:val="0"/>
        </w:rPr>
      </w:pPr>
      <w:hyperlink w:history="true" w:anchor="_bookmark0">
        <w:r>
          <w:rPr/>
          <w:t>第一节</w:t>
        </w:r>
        <w:r>
          <w:rPr>
            <w:spacing w:val="-23"/>
          </w:rPr>
          <w:t> </w:t>
        </w:r>
        <w:r>
          <w:rPr>
            <w:rFonts w:ascii="宋体" w:hAnsi="宋体" w:cs="宋体" w:eastAsia="宋体" w:hint="default"/>
            <w:spacing w:val="-23"/>
          </w:rPr>
        </w:r>
        <w:r>
          <w:rPr/>
          <w:t>重要提示、目录和释义</w:t>
        </w:r>
        <w:r>
          <w:rPr>
            <w:spacing w:val="-106"/>
          </w:rPr>
          <w:t> </w:t>
        </w:r>
        <w:r>
          <w:rPr>
            <w:rFonts w:ascii="宋体" w:hAnsi="宋体" w:cs="宋体" w:eastAsia="宋体" w:hint="default"/>
            <w:spacing w:val="-106"/>
          </w:rPr>
        </w:r>
        <w:r>
          <w:rPr>
            <w:rFonts w:ascii="宋体" w:hAnsi="宋体" w:cs="宋体" w:eastAsia="宋体" w:hint="default"/>
            <w:spacing w:val="2"/>
          </w:rPr>
          <w:t>..................................................</w:t>
        </w:r>
        <w:r>
          <w:rPr>
            <w:rFonts w:ascii="宋体" w:hAnsi="宋体" w:cs="宋体" w:eastAsia="宋体" w:hint="default"/>
            <w:spacing w:val="-28"/>
          </w:rPr>
          <w:t> </w:t>
        </w:r>
        <w:r>
          <w:rPr>
            <w:rFonts w:ascii="宋体" w:hAnsi="宋体" w:cs="宋体" w:eastAsia="宋体" w:hint="default"/>
          </w:rPr>
          <w:t>2</w:t>
        </w:r>
      </w:hyperlink>
      <w:r>
        <w:rPr>
          <w:rFonts w:ascii="宋体" w:hAnsi="宋体" w:cs="宋体" w:eastAsia="宋体" w:hint="default"/>
        </w:rPr>
        <w:t> </w:t>
      </w:r>
      <w:r>
        <w:rPr>
          <w:rFonts w:ascii="宋体" w:hAnsi="宋体" w:cs="宋体" w:eastAsia="宋体" w:hint="default"/>
          <w:b w:val="0"/>
          <w:bCs w:val="0"/>
        </w:rPr>
      </w:r>
    </w:p>
    <w:p>
      <w:pPr>
        <w:spacing w:before="178"/>
        <w:ind w:left="199" w:right="1067" w:firstLine="0"/>
        <w:jc w:val="center"/>
        <w:rPr>
          <w:rFonts w:ascii="宋体" w:hAnsi="宋体" w:cs="宋体" w:eastAsia="宋体" w:hint="default"/>
          <w:sz w:val="24"/>
          <w:szCs w:val="24"/>
        </w:rPr>
      </w:pPr>
      <w:hyperlink w:history="true" w:anchor="_bookmark1">
        <w:r>
          <w:rPr>
            <w:rFonts w:ascii="宋体" w:hAnsi="宋体" w:cs="宋体" w:eastAsia="宋体" w:hint="default"/>
            <w:b/>
            <w:bCs/>
            <w:sz w:val="24"/>
            <w:szCs w:val="24"/>
          </w:rPr>
          <w:t>第二节</w:t>
        </w:r>
        <w:r>
          <w:rPr>
            <w:rFonts w:ascii="宋体" w:hAnsi="宋体" w:cs="宋体" w:eastAsia="宋体" w:hint="default"/>
            <w:b/>
            <w:bCs/>
            <w:spacing w:val="-22"/>
            <w:sz w:val="24"/>
            <w:szCs w:val="24"/>
          </w:rPr>
          <w:t> </w:t>
        </w:r>
        <w:r>
          <w:rPr>
            <w:rFonts w:ascii="宋体" w:hAnsi="宋体" w:cs="宋体" w:eastAsia="宋体" w:hint="default"/>
            <w:b/>
            <w:bCs/>
            <w:spacing w:val="-22"/>
            <w:sz w:val="24"/>
            <w:szCs w:val="24"/>
          </w:rPr>
        </w:r>
        <w:r>
          <w:rPr>
            <w:rFonts w:ascii="宋体" w:hAnsi="宋体" w:cs="宋体" w:eastAsia="宋体" w:hint="default"/>
            <w:b/>
            <w:bCs/>
            <w:sz w:val="24"/>
            <w:szCs w:val="24"/>
          </w:rPr>
          <w:t>公司简介和主要财务指标</w:t>
        </w:r>
        <w:r>
          <w:rPr>
            <w:rFonts w:ascii="宋体" w:hAnsi="宋体" w:cs="宋体" w:eastAsia="宋体" w:hint="default"/>
            <w:b/>
            <w:bCs/>
            <w:spacing w:val="-102"/>
            <w:sz w:val="24"/>
            <w:szCs w:val="24"/>
          </w:rPr>
          <w:t> </w:t>
        </w:r>
        <w:r>
          <w:rPr>
            <w:rFonts w:ascii="宋体" w:hAnsi="宋体" w:cs="宋体" w:eastAsia="宋体" w:hint="default"/>
            <w:b/>
            <w:bCs/>
            <w:spacing w:val="-102"/>
            <w:sz w:val="24"/>
            <w:szCs w:val="24"/>
          </w:rPr>
        </w:r>
        <w:r>
          <w:rPr>
            <w:rFonts w:ascii="宋体" w:hAnsi="宋体" w:cs="宋体" w:eastAsia="宋体" w:hint="default"/>
            <w:b/>
            <w:bCs/>
            <w:spacing w:val="2"/>
            <w:sz w:val="24"/>
            <w:szCs w:val="24"/>
          </w:rPr>
          <w:t>................................................</w:t>
        </w:r>
        <w:r>
          <w:rPr>
            <w:rFonts w:ascii="宋体" w:hAnsi="宋体" w:cs="宋体" w:eastAsia="宋体" w:hint="default"/>
            <w:b/>
            <w:bCs/>
            <w:spacing w:val="-27"/>
            <w:sz w:val="24"/>
            <w:szCs w:val="24"/>
          </w:rPr>
          <w:t> </w:t>
        </w:r>
        <w:r>
          <w:rPr>
            <w:rFonts w:ascii="宋体" w:hAnsi="宋体" w:cs="宋体" w:eastAsia="宋体" w:hint="default"/>
            <w:b/>
            <w:bCs/>
            <w:sz w:val="24"/>
            <w:szCs w:val="24"/>
          </w:rPr>
          <w:t>7</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99" w:right="1067" w:firstLine="0"/>
        <w:jc w:val="center"/>
        <w:rPr>
          <w:rFonts w:ascii="宋体" w:hAnsi="宋体" w:cs="宋体" w:eastAsia="宋体" w:hint="default"/>
          <w:sz w:val="24"/>
          <w:szCs w:val="24"/>
        </w:rPr>
      </w:pPr>
      <w:hyperlink w:history="true" w:anchor="_bookmark2">
        <w:r>
          <w:rPr>
            <w:rFonts w:ascii="宋体" w:hAnsi="宋体" w:cs="宋体" w:eastAsia="宋体" w:hint="default"/>
            <w:b/>
            <w:bCs/>
            <w:sz w:val="24"/>
            <w:szCs w:val="24"/>
          </w:rPr>
          <w:t>第三节</w:t>
        </w:r>
        <w:r>
          <w:rPr>
            <w:rFonts w:ascii="宋体" w:hAnsi="宋体" w:cs="宋体" w:eastAsia="宋体" w:hint="default"/>
            <w:b/>
            <w:bCs/>
            <w:spacing w:val="-27"/>
            <w:sz w:val="24"/>
            <w:szCs w:val="24"/>
          </w:rPr>
          <w:t> </w:t>
        </w:r>
        <w:r>
          <w:rPr>
            <w:rFonts w:ascii="宋体" w:hAnsi="宋体" w:cs="宋体" w:eastAsia="宋体" w:hint="default"/>
            <w:b/>
            <w:bCs/>
            <w:spacing w:val="-27"/>
            <w:sz w:val="24"/>
            <w:szCs w:val="24"/>
          </w:rPr>
        </w:r>
        <w:r>
          <w:rPr>
            <w:rFonts w:ascii="宋体" w:hAnsi="宋体" w:cs="宋体" w:eastAsia="宋体" w:hint="default"/>
            <w:b/>
            <w:bCs/>
            <w:sz w:val="24"/>
            <w:szCs w:val="24"/>
          </w:rPr>
          <w:t>公司业务概要</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r>
          <w:rPr>
            <w:rFonts w:ascii="宋体" w:hAnsi="宋体" w:cs="宋体" w:eastAsia="宋体" w:hint="default"/>
            <w:b/>
            <w:bCs/>
            <w:spacing w:val="2"/>
            <w:sz w:val="24"/>
            <w:szCs w:val="24"/>
          </w:rPr>
          <w:t>.........................................................</w:t>
        </w:r>
        <w:r>
          <w:rPr>
            <w:rFonts w:ascii="宋体" w:hAnsi="宋体" w:cs="宋体" w:eastAsia="宋体" w:hint="default"/>
            <w:b/>
            <w:bCs/>
            <w:spacing w:val="-32"/>
            <w:sz w:val="24"/>
            <w:szCs w:val="24"/>
          </w:rPr>
          <w:t> </w:t>
        </w:r>
        <w:r>
          <w:rPr>
            <w:rFonts w:ascii="宋体" w:hAnsi="宋体" w:cs="宋体" w:eastAsia="宋体" w:hint="default"/>
            <w:b/>
            <w:bCs/>
            <w:sz w:val="24"/>
            <w:szCs w:val="24"/>
          </w:rPr>
          <w:t>12</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99" w:right="1067" w:firstLine="0"/>
        <w:jc w:val="center"/>
        <w:rPr>
          <w:rFonts w:ascii="宋体" w:hAnsi="宋体" w:cs="宋体" w:eastAsia="宋体" w:hint="default"/>
          <w:sz w:val="24"/>
          <w:szCs w:val="24"/>
        </w:rPr>
      </w:pPr>
      <w:hyperlink w:history="true" w:anchor="_bookmark3">
        <w:r>
          <w:rPr>
            <w:rFonts w:ascii="宋体" w:hAnsi="宋体" w:cs="宋体" w:eastAsia="宋体" w:hint="default"/>
            <w:b/>
            <w:bCs/>
            <w:sz w:val="24"/>
            <w:szCs w:val="24"/>
          </w:rPr>
          <w:t>第四节</w:t>
        </w:r>
        <w:r>
          <w:rPr>
            <w:rFonts w:ascii="宋体" w:hAnsi="宋体" w:cs="宋体" w:eastAsia="宋体" w:hint="default"/>
            <w:b/>
            <w:bCs/>
            <w:spacing w:val="-23"/>
            <w:sz w:val="24"/>
            <w:szCs w:val="24"/>
          </w:rPr>
          <w:t> </w:t>
        </w:r>
        <w:r>
          <w:rPr>
            <w:rFonts w:ascii="宋体" w:hAnsi="宋体" w:cs="宋体" w:eastAsia="宋体" w:hint="default"/>
            <w:b/>
            <w:bCs/>
            <w:spacing w:val="-23"/>
            <w:sz w:val="24"/>
            <w:szCs w:val="24"/>
          </w:rPr>
        </w:r>
        <w:r>
          <w:rPr>
            <w:rFonts w:ascii="宋体" w:hAnsi="宋体" w:cs="宋体" w:eastAsia="宋体" w:hint="default"/>
            <w:b/>
            <w:bCs/>
            <w:sz w:val="24"/>
            <w:szCs w:val="24"/>
          </w:rPr>
          <w:t>经营情况讨论与分析</w:t>
        </w:r>
        <w:r>
          <w:rPr>
            <w:rFonts w:ascii="宋体" w:hAnsi="宋体" w:cs="宋体" w:eastAsia="宋体" w:hint="default"/>
            <w:b/>
            <w:bCs/>
            <w:spacing w:val="-109"/>
            <w:sz w:val="24"/>
            <w:szCs w:val="24"/>
          </w:rPr>
          <w:t> </w:t>
        </w:r>
        <w:r>
          <w:rPr>
            <w:rFonts w:ascii="宋体" w:hAnsi="宋体" w:cs="宋体" w:eastAsia="宋体" w:hint="default"/>
            <w:b/>
            <w:bCs/>
            <w:spacing w:val="-109"/>
            <w:sz w:val="24"/>
            <w:szCs w:val="24"/>
          </w:rPr>
        </w:r>
        <w:r>
          <w:rPr>
            <w:rFonts w:ascii="宋体" w:hAnsi="宋体" w:cs="宋体" w:eastAsia="宋体" w:hint="default"/>
            <w:b/>
            <w:bCs/>
            <w:spacing w:val="2"/>
            <w:sz w:val="24"/>
            <w:szCs w:val="24"/>
          </w:rPr>
          <w:t>...................................................</w:t>
        </w:r>
        <w:r>
          <w:rPr>
            <w:rFonts w:ascii="宋体" w:hAnsi="宋体" w:cs="宋体" w:eastAsia="宋体" w:hint="default"/>
            <w:b/>
            <w:bCs/>
            <w:spacing w:val="-29"/>
            <w:sz w:val="24"/>
            <w:szCs w:val="24"/>
          </w:rPr>
          <w:t> </w:t>
        </w:r>
        <w:r>
          <w:rPr>
            <w:rFonts w:ascii="宋体" w:hAnsi="宋体" w:cs="宋体" w:eastAsia="宋体" w:hint="default"/>
            <w:b/>
            <w:bCs/>
            <w:sz w:val="24"/>
            <w:szCs w:val="24"/>
          </w:rPr>
          <w:t>17</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99" w:right="1067" w:firstLine="0"/>
        <w:jc w:val="center"/>
        <w:rPr>
          <w:rFonts w:ascii="宋体" w:hAnsi="宋体" w:cs="宋体" w:eastAsia="宋体" w:hint="default"/>
          <w:sz w:val="24"/>
          <w:szCs w:val="24"/>
        </w:rPr>
      </w:pPr>
      <w:hyperlink w:history="true" w:anchor="_bookmark4">
        <w:r>
          <w:rPr>
            <w:rFonts w:ascii="宋体" w:hAnsi="宋体" w:cs="宋体" w:eastAsia="宋体" w:hint="default"/>
            <w:b/>
            <w:bCs/>
            <w:sz w:val="24"/>
            <w:szCs w:val="24"/>
          </w:rPr>
          <w:t>第五节 </w:t>
        </w:r>
        <w:r>
          <w:rPr>
            <w:rFonts w:ascii="宋体" w:hAnsi="宋体" w:cs="宋体" w:eastAsia="宋体" w:hint="default"/>
            <w:b/>
            <w:bCs/>
            <w:sz w:val="24"/>
            <w:szCs w:val="24"/>
          </w:rPr>
        </w:r>
        <w:r>
          <w:rPr>
            <w:rFonts w:ascii="宋体" w:hAnsi="宋体" w:cs="宋体" w:eastAsia="宋体" w:hint="default"/>
            <w:b/>
            <w:bCs/>
            <w:sz w:val="24"/>
            <w:szCs w:val="24"/>
          </w:rPr>
          <w:t>重要事项 </w:t>
        </w:r>
        <w:r>
          <w:rPr>
            <w:rFonts w:ascii="宋体" w:hAnsi="宋体" w:cs="宋体" w:eastAsia="宋体" w:hint="default"/>
            <w:b/>
            <w:bCs/>
            <w:sz w:val="24"/>
            <w:szCs w:val="24"/>
          </w:rPr>
        </w:r>
        <w:r>
          <w:rPr>
            <w:rFonts w:ascii="宋体" w:hAnsi="宋体" w:cs="宋体" w:eastAsia="宋体" w:hint="default"/>
            <w:b/>
            <w:bCs/>
            <w:spacing w:val="2"/>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36</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99" w:right="1067" w:firstLine="0"/>
        <w:jc w:val="center"/>
        <w:rPr>
          <w:rFonts w:ascii="宋体" w:hAnsi="宋体" w:cs="宋体" w:eastAsia="宋体" w:hint="default"/>
          <w:sz w:val="24"/>
          <w:szCs w:val="24"/>
        </w:rPr>
      </w:pPr>
      <w:hyperlink w:history="true" w:anchor="_bookmark5">
        <w:r>
          <w:rPr>
            <w:rFonts w:ascii="宋体" w:hAnsi="宋体" w:cs="宋体" w:eastAsia="宋体" w:hint="default"/>
            <w:b/>
            <w:bCs/>
            <w:sz w:val="24"/>
            <w:szCs w:val="24"/>
          </w:rPr>
          <w:t>第六节</w:t>
        </w:r>
        <w:r>
          <w:rPr>
            <w:rFonts w:ascii="宋体" w:hAnsi="宋体" w:cs="宋体" w:eastAsia="宋体" w:hint="default"/>
            <w:b/>
            <w:bCs/>
            <w:spacing w:val="-23"/>
            <w:sz w:val="24"/>
            <w:szCs w:val="24"/>
          </w:rPr>
          <w:t> </w:t>
        </w:r>
        <w:r>
          <w:rPr>
            <w:rFonts w:ascii="宋体" w:hAnsi="宋体" w:cs="宋体" w:eastAsia="宋体" w:hint="default"/>
            <w:b/>
            <w:bCs/>
            <w:spacing w:val="-23"/>
            <w:sz w:val="24"/>
            <w:szCs w:val="24"/>
          </w:rPr>
        </w:r>
        <w:r>
          <w:rPr>
            <w:rFonts w:ascii="宋体" w:hAnsi="宋体" w:cs="宋体" w:eastAsia="宋体" w:hint="default"/>
            <w:b/>
            <w:bCs/>
            <w:sz w:val="24"/>
            <w:szCs w:val="24"/>
          </w:rPr>
          <w:t>股份变动及股东情况</w:t>
        </w:r>
        <w:r>
          <w:rPr>
            <w:rFonts w:ascii="宋体" w:hAnsi="宋体" w:cs="宋体" w:eastAsia="宋体" w:hint="default"/>
            <w:b/>
            <w:bCs/>
            <w:spacing w:val="-109"/>
            <w:sz w:val="24"/>
            <w:szCs w:val="24"/>
          </w:rPr>
          <w:t> </w:t>
        </w:r>
        <w:r>
          <w:rPr>
            <w:rFonts w:ascii="宋体" w:hAnsi="宋体" w:cs="宋体" w:eastAsia="宋体" w:hint="default"/>
            <w:b/>
            <w:bCs/>
            <w:spacing w:val="-109"/>
            <w:sz w:val="24"/>
            <w:szCs w:val="24"/>
          </w:rPr>
        </w:r>
        <w:r>
          <w:rPr>
            <w:rFonts w:ascii="宋体" w:hAnsi="宋体" w:cs="宋体" w:eastAsia="宋体" w:hint="default"/>
            <w:b/>
            <w:bCs/>
            <w:spacing w:val="2"/>
            <w:sz w:val="24"/>
            <w:szCs w:val="24"/>
          </w:rPr>
          <w:t>...................................................</w:t>
        </w:r>
        <w:r>
          <w:rPr>
            <w:rFonts w:ascii="宋体" w:hAnsi="宋体" w:cs="宋体" w:eastAsia="宋体" w:hint="default"/>
            <w:b/>
            <w:bCs/>
            <w:spacing w:val="-29"/>
            <w:sz w:val="24"/>
            <w:szCs w:val="24"/>
          </w:rPr>
          <w:t> </w:t>
        </w:r>
        <w:r>
          <w:rPr>
            <w:rFonts w:ascii="宋体" w:hAnsi="宋体" w:cs="宋体" w:eastAsia="宋体" w:hint="default"/>
            <w:b/>
            <w:bCs/>
            <w:sz w:val="24"/>
            <w:szCs w:val="24"/>
          </w:rPr>
          <w:t>58</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99" w:right="1067" w:firstLine="0"/>
        <w:jc w:val="center"/>
        <w:rPr>
          <w:rFonts w:ascii="宋体" w:hAnsi="宋体" w:cs="宋体" w:eastAsia="宋体" w:hint="default"/>
          <w:sz w:val="24"/>
          <w:szCs w:val="24"/>
        </w:rPr>
      </w:pPr>
      <w:hyperlink w:history="true" w:anchor="_bookmark6">
        <w:r>
          <w:rPr>
            <w:rFonts w:ascii="宋体" w:hAnsi="宋体" w:cs="宋体" w:eastAsia="宋体" w:hint="default"/>
            <w:b/>
            <w:bCs/>
            <w:sz w:val="24"/>
            <w:szCs w:val="24"/>
          </w:rPr>
          <w:t>第七节</w:t>
        </w:r>
        <w:r>
          <w:rPr>
            <w:rFonts w:ascii="宋体" w:hAnsi="宋体" w:cs="宋体" w:eastAsia="宋体" w:hint="default"/>
            <w:b/>
            <w:bCs/>
            <w:spacing w:val="-27"/>
            <w:sz w:val="24"/>
            <w:szCs w:val="24"/>
          </w:rPr>
          <w:t> </w:t>
        </w:r>
        <w:r>
          <w:rPr>
            <w:rFonts w:ascii="宋体" w:hAnsi="宋体" w:cs="宋体" w:eastAsia="宋体" w:hint="default"/>
            <w:b/>
            <w:bCs/>
            <w:spacing w:val="-27"/>
            <w:sz w:val="24"/>
            <w:szCs w:val="24"/>
          </w:rPr>
        </w:r>
        <w:r>
          <w:rPr>
            <w:rFonts w:ascii="宋体" w:hAnsi="宋体" w:cs="宋体" w:eastAsia="宋体" w:hint="default"/>
            <w:b/>
            <w:bCs/>
            <w:sz w:val="24"/>
            <w:szCs w:val="24"/>
          </w:rPr>
          <w:t>优先股相关情况</w:t>
        </w:r>
        <w:r>
          <w:rPr>
            <w:rFonts w:ascii="宋体" w:hAnsi="宋体" w:cs="宋体" w:eastAsia="宋体" w:hint="default"/>
            <w:b/>
            <w:bCs/>
            <w:spacing w:val="-114"/>
            <w:sz w:val="24"/>
            <w:szCs w:val="24"/>
          </w:rPr>
          <w:t> </w:t>
        </w:r>
        <w:r>
          <w:rPr>
            <w:rFonts w:ascii="宋体" w:hAnsi="宋体" w:cs="宋体" w:eastAsia="宋体" w:hint="default"/>
            <w:b/>
            <w:bCs/>
            <w:spacing w:val="-114"/>
            <w:sz w:val="24"/>
            <w:szCs w:val="24"/>
          </w:rPr>
        </w:r>
        <w:r>
          <w:rPr>
            <w:rFonts w:ascii="宋体" w:hAnsi="宋体" w:cs="宋体" w:eastAsia="宋体" w:hint="default"/>
            <w:b/>
            <w:bCs/>
            <w:spacing w:val="2"/>
            <w:sz w:val="24"/>
            <w:szCs w:val="24"/>
          </w:rPr>
          <w:t>.......................................................</w:t>
        </w:r>
        <w:r>
          <w:rPr>
            <w:rFonts w:ascii="宋体" w:hAnsi="宋体" w:cs="宋体" w:eastAsia="宋体" w:hint="default"/>
            <w:b/>
            <w:bCs/>
            <w:spacing w:val="-32"/>
            <w:sz w:val="24"/>
            <w:szCs w:val="24"/>
          </w:rPr>
          <w:t> </w:t>
        </w:r>
        <w:r>
          <w:rPr>
            <w:rFonts w:ascii="宋体" w:hAnsi="宋体" w:cs="宋体" w:eastAsia="宋体" w:hint="default"/>
            <w:b/>
            <w:bCs/>
            <w:sz w:val="24"/>
            <w:szCs w:val="24"/>
          </w:rPr>
          <w:t>66</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99" w:right="1067" w:firstLine="0"/>
        <w:jc w:val="center"/>
        <w:rPr>
          <w:rFonts w:ascii="宋体" w:hAnsi="宋体" w:cs="宋体" w:eastAsia="宋体" w:hint="default"/>
          <w:sz w:val="24"/>
          <w:szCs w:val="24"/>
        </w:rPr>
      </w:pPr>
      <w:hyperlink w:history="true" w:anchor="_bookmark7">
        <w:r>
          <w:rPr>
            <w:rFonts w:ascii="宋体" w:hAnsi="宋体" w:cs="宋体" w:eastAsia="宋体" w:hint="default"/>
            <w:b/>
            <w:bCs/>
            <w:sz w:val="24"/>
            <w:szCs w:val="24"/>
          </w:rPr>
          <w:t>第八节</w:t>
        </w:r>
        <w:r>
          <w:rPr>
            <w:rFonts w:ascii="宋体" w:hAnsi="宋体" w:cs="宋体" w:eastAsia="宋体" w:hint="default"/>
            <w:b/>
            <w:bCs/>
            <w:spacing w:val="-21"/>
            <w:sz w:val="24"/>
            <w:szCs w:val="24"/>
          </w:rPr>
          <w:t> </w:t>
        </w:r>
        <w:r>
          <w:rPr>
            <w:rFonts w:ascii="宋体" w:hAnsi="宋体" w:cs="宋体" w:eastAsia="宋体" w:hint="default"/>
            <w:b/>
            <w:bCs/>
            <w:spacing w:val="-21"/>
            <w:sz w:val="24"/>
            <w:szCs w:val="24"/>
          </w:rPr>
        </w:r>
        <w:r>
          <w:rPr>
            <w:rFonts w:ascii="宋体" w:hAnsi="宋体" w:cs="宋体" w:eastAsia="宋体" w:hint="default"/>
            <w:b/>
            <w:bCs/>
            <w:sz w:val="24"/>
            <w:szCs w:val="24"/>
          </w:rPr>
          <w:t>可转换公司债券相关情况</w:t>
        </w:r>
        <w:r>
          <w:rPr>
            <w:rFonts w:ascii="宋体" w:hAnsi="宋体" w:cs="宋体" w:eastAsia="宋体" w:hint="default"/>
            <w:b/>
            <w:bCs/>
            <w:spacing w:val="-102"/>
            <w:sz w:val="24"/>
            <w:szCs w:val="24"/>
          </w:rPr>
          <w:t> </w:t>
        </w:r>
        <w:r>
          <w:rPr>
            <w:rFonts w:ascii="宋体" w:hAnsi="宋体" w:cs="宋体" w:eastAsia="宋体" w:hint="default"/>
            <w:b/>
            <w:bCs/>
            <w:spacing w:val="-102"/>
            <w:sz w:val="24"/>
            <w:szCs w:val="24"/>
          </w:rPr>
        </w:r>
        <w:r>
          <w:rPr>
            <w:rFonts w:ascii="宋体" w:hAnsi="宋体" w:cs="宋体" w:eastAsia="宋体" w:hint="default"/>
            <w:b/>
            <w:bCs/>
            <w:spacing w:val="2"/>
            <w:sz w:val="24"/>
            <w:szCs w:val="24"/>
          </w:rPr>
          <w:t>...............................................</w:t>
        </w:r>
        <w:r>
          <w:rPr>
            <w:rFonts w:ascii="宋体" w:hAnsi="宋体" w:cs="宋体" w:eastAsia="宋体" w:hint="default"/>
            <w:b/>
            <w:bCs/>
            <w:spacing w:val="-26"/>
            <w:sz w:val="24"/>
            <w:szCs w:val="24"/>
          </w:rPr>
          <w:t> </w:t>
        </w:r>
        <w:r>
          <w:rPr>
            <w:rFonts w:ascii="宋体" w:hAnsi="宋体" w:cs="宋体" w:eastAsia="宋体" w:hint="default"/>
            <w:b/>
            <w:bCs/>
            <w:sz w:val="24"/>
            <w:szCs w:val="24"/>
          </w:rPr>
          <w:t>67</w:t>
        </w:r>
      </w:hyperlink>
      <w:r>
        <w:rPr>
          <w:rFonts w:ascii="宋体" w:hAnsi="宋体" w:cs="宋体" w:eastAsia="宋体" w:hint="default"/>
          <w:b/>
          <w:bCs/>
          <w:sz w:val="24"/>
          <w:szCs w:val="24"/>
        </w:rPr>
        <w:t> </w:t>
      </w:r>
      <w:r>
        <w:rPr>
          <w:rFonts w:ascii="宋体" w:hAnsi="宋体" w:cs="宋体" w:eastAsia="宋体" w:hint="default"/>
          <w:sz w:val="24"/>
          <w:szCs w:val="24"/>
        </w:rPr>
      </w:r>
    </w:p>
    <w:p>
      <w:pPr>
        <w:spacing w:line="376" w:lineRule="auto" w:before="178"/>
        <w:ind w:left="199" w:right="1067" w:firstLine="0"/>
        <w:jc w:val="center"/>
        <w:rPr>
          <w:rFonts w:ascii="宋体" w:hAnsi="宋体" w:cs="宋体" w:eastAsia="宋体" w:hint="default"/>
          <w:sz w:val="24"/>
          <w:szCs w:val="24"/>
        </w:rPr>
      </w:pPr>
      <w:hyperlink w:history="true" w:anchor="_bookmark8">
        <w:r>
          <w:rPr>
            <w:rFonts w:ascii="宋体" w:hAnsi="宋体" w:cs="宋体" w:eastAsia="宋体" w:hint="default"/>
            <w:b/>
            <w:bCs/>
            <w:sz w:val="24"/>
            <w:szCs w:val="24"/>
          </w:rPr>
          <w:t>第九节</w:t>
        </w:r>
        <w:r>
          <w:rPr>
            <w:rFonts w:ascii="宋体" w:hAnsi="宋体" w:cs="宋体" w:eastAsia="宋体" w:hint="default"/>
            <w:b/>
            <w:bCs/>
            <w:spacing w:val="-11"/>
            <w:sz w:val="24"/>
            <w:szCs w:val="24"/>
          </w:rPr>
          <w:t> </w:t>
        </w:r>
        <w:r>
          <w:rPr>
            <w:rFonts w:ascii="宋体" w:hAnsi="宋体" w:cs="宋体" w:eastAsia="宋体" w:hint="default"/>
            <w:b/>
            <w:bCs/>
            <w:spacing w:val="-11"/>
            <w:sz w:val="24"/>
            <w:szCs w:val="24"/>
          </w:rPr>
        </w:r>
        <w:r>
          <w:rPr>
            <w:rFonts w:ascii="宋体" w:hAnsi="宋体" w:cs="宋体" w:eastAsia="宋体" w:hint="default"/>
            <w:b/>
            <w:bCs/>
            <w:sz w:val="24"/>
            <w:szCs w:val="24"/>
          </w:rPr>
          <w:t>董事、监事、高级管理人员和员工情况</w:t>
        </w:r>
        <w:r>
          <w:rPr>
            <w:rFonts w:ascii="宋体" w:hAnsi="宋体" w:cs="宋体" w:eastAsia="宋体" w:hint="default"/>
            <w:b/>
            <w:bCs/>
            <w:spacing w:val="-78"/>
            <w:sz w:val="24"/>
            <w:szCs w:val="24"/>
          </w:rPr>
          <w:t> </w:t>
        </w:r>
        <w:r>
          <w:rPr>
            <w:rFonts w:ascii="宋体" w:hAnsi="宋体" w:cs="宋体" w:eastAsia="宋体" w:hint="default"/>
            <w:b/>
            <w:bCs/>
            <w:spacing w:val="-78"/>
            <w:sz w:val="24"/>
            <w:szCs w:val="24"/>
          </w:rPr>
        </w:r>
        <w:r>
          <w:rPr>
            <w:rFonts w:ascii="宋体" w:hAnsi="宋体" w:cs="宋体" w:eastAsia="宋体" w:hint="default"/>
            <w:b/>
            <w:bCs/>
            <w:spacing w:val="2"/>
            <w:sz w:val="24"/>
            <w:szCs w:val="24"/>
          </w:rPr>
          <w:t>...................................</w:t>
        </w:r>
        <w:r>
          <w:rPr>
            <w:rFonts w:ascii="宋体" w:hAnsi="宋体" w:cs="宋体" w:eastAsia="宋体" w:hint="default"/>
            <w:b/>
            <w:bCs/>
            <w:spacing w:val="-18"/>
            <w:sz w:val="24"/>
            <w:szCs w:val="24"/>
          </w:rPr>
          <w:t> </w:t>
        </w:r>
        <w:r>
          <w:rPr>
            <w:rFonts w:ascii="宋体" w:hAnsi="宋体" w:cs="宋体" w:eastAsia="宋体" w:hint="default"/>
            <w:b/>
            <w:bCs/>
            <w:sz w:val="24"/>
            <w:szCs w:val="24"/>
          </w:rPr>
          <w:t>68</w:t>
        </w:r>
      </w:hyperlink>
      <w:r>
        <w:rPr>
          <w:rFonts w:ascii="宋体" w:hAnsi="宋体" w:cs="宋体" w:eastAsia="宋体" w:hint="default"/>
          <w:b/>
          <w:bCs/>
          <w:w w:val="99"/>
          <w:sz w:val="24"/>
          <w:szCs w:val="24"/>
        </w:rPr>
        <w:t> </w:t>
      </w:r>
      <w:hyperlink w:history="true" w:anchor="_bookmark9">
        <w:r>
          <w:rPr>
            <w:rFonts w:ascii="宋体" w:hAnsi="宋体" w:cs="宋体" w:eastAsia="宋体" w:hint="default"/>
            <w:b/>
            <w:bCs/>
            <w:sz w:val="24"/>
            <w:szCs w:val="24"/>
          </w:rPr>
          <w:t>第十节 </w:t>
        </w:r>
        <w:r>
          <w:rPr>
            <w:rFonts w:ascii="宋体" w:hAnsi="宋体" w:cs="宋体" w:eastAsia="宋体" w:hint="default"/>
            <w:b/>
            <w:bCs/>
            <w:sz w:val="24"/>
            <w:szCs w:val="24"/>
          </w:rPr>
        </w:r>
        <w:r>
          <w:rPr>
            <w:rFonts w:ascii="宋体" w:hAnsi="宋体" w:cs="宋体" w:eastAsia="宋体" w:hint="default"/>
            <w:b/>
            <w:bCs/>
            <w:sz w:val="24"/>
            <w:szCs w:val="24"/>
          </w:rPr>
          <w:t>公司治理 </w:t>
        </w:r>
        <w:r>
          <w:rPr>
            <w:rFonts w:ascii="宋体" w:hAnsi="宋体" w:cs="宋体" w:eastAsia="宋体" w:hint="default"/>
            <w:b/>
            <w:bCs/>
            <w:sz w:val="24"/>
            <w:szCs w:val="24"/>
          </w:rPr>
        </w:r>
        <w:r>
          <w:rPr>
            <w:rFonts w:ascii="宋体" w:hAnsi="宋体" w:cs="宋体" w:eastAsia="宋体" w:hint="default"/>
            <w:b/>
            <w:bCs/>
            <w:spacing w:val="2"/>
            <w:sz w:val="24"/>
            <w:szCs w:val="24"/>
          </w:rPr>
          <w:t>............................................................</w:t>
        </w:r>
        <w:r>
          <w:rPr>
            <w:rFonts w:ascii="宋体" w:hAnsi="宋体" w:cs="宋体" w:eastAsia="宋体" w:hint="default"/>
            <w:b/>
            <w:bCs/>
            <w:spacing w:val="-64"/>
            <w:sz w:val="24"/>
            <w:szCs w:val="24"/>
          </w:rPr>
          <w:t> </w:t>
        </w:r>
        <w:r>
          <w:rPr>
            <w:rFonts w:ascii="宋体" w:hAnsi="宋体" w:cs="宋体" w:eastAsia="宋体" w:hint="default"/>
            <w:b/>
            <w:bCs/>
            <w:sz w:val="24"/>
            <w:szCs w:val="24"/>
          </w:rPr>
          <w:t>74</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41"/>
        <w:ind w:left="199" w:right="1067" w:firstLine="0"/>
        <w:jc w:val="center"/>
        <w:rPr>
          <w:rFonts w:ascii="宋体" w:hAnsi="宋体" w:cs="宋体" w:eastAsia="宋体" w:hint="default"/>
          <w:sz w:val="24"/>
          <w:szCs w:val="24"/>
        </w:rPr>
      </w:pPr>
      <w:hyperlink w:history="true" w:anchor="_bookmark10">
        <w:r>
          <w:rPr>
            <w:rFonts w:ascii="宋体" w:hAnsi="宋体" w:cs="宋体" w:eastAsia="宋体" w:hint="default"/>
            <w:b/>
            <w:bCs/>
            <w:sz w:val="24"/>
            <w:szCs w:val="24"/>
          </w:rPr>
          <w:t>第十一节</w:t>
        </w:r>
        <w:r>
          <w:rPr>
            <w:rFonts w:ascii="宋体" w:hAnsi="宋体" w:cs="宋体" w:eastAsia="宋体" w:hint="default"/>
            <w:b/>
            <w:bCs/>
            <w:spacing w:val="-24"/>
            <w:sz w:val="24"/>
            <w:szCs w:val="24"/>
          </w:rPr>
          <w:t> </w:t>
        </w:r>
        <w:r>
          <w:rPr>
            <w:rFonts w:ascii="宋体" w:hAnsi="宋体" w:cs="宋体" w:eastAsia="宋体" w:hint="default"/>
            <w:b/>
            <w:bCs/>
            <w:spacing w:val="-24"/>
            <w:sz w:val="24"/>
            <w:szCs w:val="24"/>
          </w:rPr>
        </w:r>
        <w:r>
          <w:rPr>
            <w:rFonts w:ascii="宋体" w:hAnsi="宋体" w:cs="宋体" w:eastAsia="宋体" w:hint="default"/>
            <w:b/>
            <w:bCs/>
            <w:sz w:val="24"/>
            <w:szCs w:val="24"/>
          </w:rPr>
          <w:t>公司债券相关情况</w:t>
        </w:r>
        <w:r>
          <w:rPr>
            <w:rFonts w:ascii="宋体" w:hAnsi="宋体" w:cs="宋体" w:eastAsia="宋体" w:hint="default"/>
            <w:b/>
            <w:bCs/>
            <w:spacing w:val="-108"/>
            <w:sz w:val="24"/>
            <w:szCs w:val="24"/>
          </w:rPr>
          <w:t> </w:t>
        </w:r>
        <w:r>
          <w:rPr>
            <w:rFonts w:ascii="宋体" w:hAnsi="宋体" w:cs="宋体" w:eastAsia="宋体" w:hint="default"/>
            <w:b/>
            <w:bCs/>
            <w:spacing w:val="-108"/>
            <w:sz w:val="24"/>
            <w:szCs w:val="24"/>
          </w:rPr>
        </w:r>
        <w:r>
          <w:rPr>
            <w:rFonts w:ascii="宋体" w:hAnsi="宋体" w:cs="宋体" w:eastAsia="宋体" w:hint="default"/>
            <w:b/>
            <w:bCs/>
            <w:spacing w:val="2"/>
            <w:sz w:val="24"/>
            <w:szCs w:val="24"/>
          </w:rPr>
          <w:t>...................................................</w:t>
        </w:r>
        <w:r>
          <w:rPr>
            <w:rFonts w:ascii="宋体" w:hAnsi="宋体" w:cs="宋体" w:eastAsia="宋体" w:hint="default"/>
            <w:b/>
            <w:bCs/>
            <w:spacing w:val="-28"/>
            <w:sz w:val="24"/>
            <w:szCs w:val="24"/>
          </w:rPr>
          <w:t> </w:t>
        </w:r>
        <w:r>
          <w:rPr>
            <w:rFonts w:ascii="宋体" w:hAnsi="宋体" w:cs="宋体" w:eastAsia="宋体" w:hint="default"/>
            <w:b/>
            <w:bCs/>
            <w:sz w:val="24"/>
            <w:szCs w:val="24"/>
          </w:rPr>
          <w:t>79</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99" w:right="1067" w:firstLine="0"/>
        <w:jc w:val="center"/>
        <w:rPr>
          <w:rFonts w:ascii="宋体" w:hAnsi="宋体" w:cs="宋体" w:eastAsia="宋体" w:hint="default"/>
          <w:sz w:val="24"/>
          <w:szCs w:val="24"/>
        </w:rPr>
      </w:pPr>
      <w:hyperlink w:history="true" w:anchor="_bookmark11">
        <w:r>
          <w:rPr>
            <w:rFonts w:ascii="宋体" w:hAnsi="宋体" w:cs="宋体" w:eastAsia="宋体" w:hint="default"/>
            <w:b/>
            <w:bCs/>
            <w:sz w:val="24"/>
            <w:szCs w:val="24"/>
          </w:rPr>
          <w:t>第十二节</w:t>
        </w:r>
        <w:r>
          <w:rPr>
            <w:rFonts w:ascii="宋体" w:hAnsi="宋体" w:cs="宋体" w:eastAsia="宋体" w:hint="default"/>
            <w:b/>
            <w:bCs/>
            <w:spacing w:val="-29"/>
            <w:sz w:val="24"/>
            <w:szCs w:val="24"/>
          </w:rPr>
          <w:t> </w:t>
        </w:r>
        <w:r>
          <w:rPr>
            <w:rFonts w:ascii="宋体" w:hAnsi="宋体" w:cs="宋体" w:eastAsia="宋体" w:hint="default"/>
            <w:b/>
            <w:bCs/>
            <w:spacing w:val="-29"/>
            <w:sz w:val="24"/>
            <w:szCs w:val="24"/>
          </w:rPr>
        </w:r>
        <w:r>
          <w:rPr>
            <w:rFonts w:ascii="宋体" w:hAnsi="宋体" w:cs="宋体" w:eastAsia="宋体" w:hint="default"/>
            <w:b/>
            <w:bCs/>
            <w:sz w:val="24"/>
            <w:szCs w:val="24"/>
          </w:rPr>
          <w:t>财务报告</w:t>
        </w:r>
        <w:r>
          <w:rPr>
            <w:rFonts w:ascii="宋体" w:hAnsi="宋体" w:cs="宋体" w:eastAsia="宋体" w:hint="default"/>
            <w:b/>
            <w:bCs/>
            <w:spacing w:val="-120"/>
            <w:sz w:val="24"/>
            <w:szCs w:val="24"/>
          </w:rPr>
          <w:t> </w:t>
        </w:r>
        <w:r>
          <w:rPr>
            <w:rFonts w:ascii="宋体" w:hAnsi="宋体" w:cs="宋体" w:eastAsia="宋体" w:hint="default"/>
            <w:b/>
            <w:bCs/>
            <w:spacing w:val="-120"/>
            <w:sz w:val="24"/>
            <w:szCs w:val="24"/>
          </w:rPr>
        </w:r>
        <w:r>
          <w:rPr>
            <w:rFonts w:ascii="宋体" w:hAnsi="宋体" w:cs="宋体" w:eastAsia="宋体" w:hint="default"/>
            <w:b/>
            <w:bCs/>
            <w:spacing w:val="2"/>
            <w:sz w:val="24"/>
            <w:szCs w:val="24"/>
          </w:rPr>
          <w:t>...........................................................</w:t>
        </w:r>
        <w:r>
          <w:rPr>
            <w:rFonts w:ascii="宋体" w:hAnsi="宋体" w:cs="宋体" w:eastAsia="宋体" w:hint="default"/>
            <w:b/>
            <w:bCs/>
            <w:spacing w:val="-33"/>
            <w:sz w:val="24"/>
            <w:szCs w:val="24"/>
          </w:rPr>
          <w:t> </w:t>
        </w:r>
        <w:r>
          <w:rPr>
            <w:rFonts w:ascii="宋体" w:hAnsi="宋体" w:cs="宋体" w:eastAsia="宋体" w:hint="default"/>
            <w:b/>
            <w:bCs/>
            <w:sz w:val="24"/>
            <w:szCs w:val="24"/>
          </w:rPr>
          <w:t>80</w:t>
        </w:r>
      </w:hyperlink>
      <w:r>
        <w:rPr>
          <w:rFonts w:ascii="宋体" w:hAnsi="宋体" w:cs="宋体" w:eastAsia="宋体" w:hint="default"/>
          <w:b/>
          <w:bCs/>
          <w:sz w:val="24"/>
          <w:szCs w:val="24"/>
        </w:rPr>
        <w:t> </w:t>
      </w:r>
      <w:r>
        <w:rPr>
          <w:rFonts w:ascii="宋体" w:hAnsi="宋体" w:cs="宋体" w:eastAsia="宋体" w:hint="default"/>
          <w:sz w:val="24"/>
          <w:szCs w:val="24"/>
        </w:rPr>
      </w:r>
    </w:p>
    <w:p>
      <w:pPr>
        <w:spacing w:before="178"/>
        <w:ind w:left="199" w:right="1067" w:firstLine="0"/>
        <w:jc w:val="center"/>
        <w:rPr>
          <w:rFonts w:ascii="宋体" w:hAnsi="宋体" w:cs="宋体" w:eastAsia="宋体" w:hint="default"/>
          <w:sz w:val="24"/>
          <w:szCs w:val="24"/>
        </w:rPr>
      </w:pPr>
      <w:hyperlink w:history="true" w:anchor="_bookmark12">
        <w:r>
          <w:rPr>
            <w:rFonts w:ascii="宋体" w:hAnsi="宋体" w:cs="宋体" w:eastAsia="宋体" w:hint="default"/>
            <w:b/>
            <w:bCs/>
            <w:sz w:val="24"/>
            <w:szCs w:val="24"/>
          </w:rPr>
          <w:t>第十三节</w:t>
        </w:r>
        <w:r>
          <w:rPr>
            <w:rFonts w:ascii="宋体" w:hAnsi="宋体" w:cs="宋体" w:eastAsia="宋体" w:hint="default"/>
            <w:b/>
            <w:bCs/>
            <w:spacing w:val="-26"/>
            <w:sz w:val="24"/>
            <w:szCs w:val="24"/>
          </w:rPr>
          <w:t> </w:t>
        </w:r>
        <w:r>
          <w:rPr>
            <w:rFonts w:ascii="宋体" w:hAnsi="宋体" w:cs="宋体" w:eastAsia="宋体" w:hint="default"/>
            <w:b/>
            <w:bCs/>
            <w:spacing w:val="-26"/>
            <w:sz w:val="24"/>
            <w:szCs w:val="24"/>
          </w:rPr>
        </w:r>
        <w:r>
          <w:rPr>
            <w:rFonts w:ascii="宋体" w:hAnsi="宋体" w:cs="宋体" w:eastAsia="宋体" w:hint="default"/>
            <w:b/>
            <w:bCs/>
            <w:sz w:val="24"/>
            <w:szCs w:val="24"/>
          </w:rPr>
          <w:t>备查文件目录</w:t>
        </w:r>
        <w:r>
          <w:rPr>
            <w:rFonts w:ascii="宋体" w:hAnsi="宋体" w:cs="宋体" w:eastAsia="宋体" w:hint="default"/>
            <w:b/>
            <w:bCs/>
            <w:spacing w:val="-114"/>
            <w:sz w:val="24"/>
            <w:szCs w:val="24"/>
          </w:rPr>
          <w:t> </w:t>
        </w:r>
        <w:r>
          <w:rPr>
            <w:rFonts w:ascii="宋体" w:hAnsi="宋体" w:cs="宋体" w:eastAsia="宋体" w:hint="default"/>
            <w:b/>
            <w:bCs/>
            <w:spacing w:val="-114"/>
            <w:sz w:val="24"/>
            <w:szCs w:val="24"/>
          </w:rPr>
        </w:r>
        <w:r>
          <w:rPr>
            <w:rFonts w:ascii="宋体" w:hAnsi="宋体" w:cs="宋体" w:eastAsia="宋体" w:hint="default"/>
            <w:b/>
            <w:bCs/>
            <w:spacing w:val="2"/>
            <w:sz w:val="24"/>
            <w:szCs w:val="24"/>
          </w:rPr>
          <w:t>......................................................</w:t>
        </w:r>
        <w:r>
          <w:rPr>
            <w:rFonts w:ascii="宋体" w:hAnsi="宋体" w:cs="宋体" w:eastAsia="宋体" w:hint="default"/>
            <w:b/>
            <w:bCs/>
            <w:spacing w:val="-29"/>
            <w:sz w:val="24"/>
            <w:szCs w:val="24"/>
          </w:rPr>
          <w:t> </w:t>
        </w:r>
        <w:r>
          <w:rPr>
            <w:rFonts w:ascii="宋体" w:hAnsi="宋体" w:cs="宋体" w:eastAsia="宋体" w:hint="default"/>
            <w:b/>
            <w:bCs/>
            <w:sz w:val="24"/>
            <w:szCs w:val="24"/>
          </w:rPr>
          <w:t>232</w:t>
        </w:r>
      </w:hyperlink>
      <w:r>
        <w:rPr>
          <w:rFonts w:ascii="宋体" w:hAnsi="宋体" w:cs="宋体" w:eastAsia="宋体" w:hint="default"/>
          <w:b/>
          <w:bCs/>
          <w:sz w:val="24"/>
          <w:szCs w:val="24"/>
        </w:rPr>
        <w:t> </w:t>
      </w:r>
      <w:r>
        <w:rPr>
          <w:rFonts w:ascii="宋体" w:hAnsi="宋体" w:cs="宋体" w:eastAsia="宋体" w:hint="default"/>
          <w:sz w:val="24"/>
          <w:szCs w:val="24"/>
        </w:rPr>
      </w:r>
    </w:p>
    <w:p>
      <w:pPr>
        <w:spacing w:after="0"/>
        <w:jc w:val="center"/>
        <w:rPr>
          <w:rFonts w:ascii="宋体" w:hAnsi="宋体" w:cs="宋体" w:eastAsia="宋体" w:hint="default"/>
          <w:sz w:val="24"/>
          <w:szCs w:val="24"/>
        </w:rPr>
        <w:sectPr>
          <w:pgSz w:w="11910" w:h="16840"/>
          <w:pgMar w:header="748" w:footer="974"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p>
      <w:pPr>
        <w:spacing w:before="0"/>
        <w:ind w:left="87" w:right="106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7"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公司、本公司、润建通信、润建股份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润建股份有限公司（原名称：润建通信股份有限公司）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润建有限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公司前身广西润建通信发展有限公司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诚本规划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公司全资子公司广西诚本规划设计咨询有限公司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润联信息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公司全资子公司广西润联信息技术有限公司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卓联科技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公司全资子公司广州卓联科技有限公司（原珠海卓联信息技术有限公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云谷创智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公司全资子公司广州云谷创智科技有限公司（原佛山市云清信息科技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润建国际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公司全资子公司潤建國際有限公司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新加坡润建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公司全资子公司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R&amp;J</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(Singapore)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5"/>
                <w:sz w:val="18"/>
                <w:szCs w:val="18"/>
              </w:rPr>
              <w:t>LTD.</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纵诺电力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公司全资子公司广州纵诺电力工程技术有限公司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信安锐达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公司全资子公司广西信安锐达科技有限公司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五象云谷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公司控股子公司五象云谷有限公司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鑫广源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公司控股子公司广州鑫广源电力设计有限公司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汇柠科技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公司控股子公司广州汇柠科技有限公司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长嘉科技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公司控股子公司长嘉科技有限公司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润沃科技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公司控股子公司润沃科技（山东）有限公司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泺立能源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公司控股子公司广州市泺立能源科技有限公司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南粤云视</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公司控股子公司广东南粤云视科技有限公司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旋几工业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公司控股子公司山东旋几工业自动化有限公司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博深咨询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公司控股子公司广东博深咨询有限公司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众连易达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公司参股公司广州众连易达科技有限公司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逸信科技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公司原全资子公司广州逸信电子科技有限公司，于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月注销</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安润盛达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公司曾经的联营企业云南安润盛达科技有限公司</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日完成工商注销</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威克德力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公司股东广西威克德力投资管理中心（有限合伙）</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弘泽熙元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公司股东珠海弘泽熙元投资管理中心（有限合伙）</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盛欧投资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公司股东平潭盛欧投资中心（有限合伙</w:t>
            </w:r>
            <w:r>
              <w:rPr>
                <w:rFonts w:ascii="宋体" w:hAnsi="宋体" w:cs="宋体" w:eastAsia="宋体" w:hint="default"/>
                <w:spacing w:val="-92"/>
                <w:sz w:val="18"/>
                <w:szCs w:val="18"/>
              </w:rPr>
              <w:t>）</w:t>
            </w:r>
            <w:r>
              <w:rPr>
                <w:rFonts w:ascii="宋体" w:hAnsi="宋体" w:cs="宋体" w:eastAsia="宋体" w:hint="default"/>
                <w:sz w:val="18"/>
                <w:szCs w:val="18"/>
              </w:rPr>
              <w:t>（原广西盛欧投资</w:t>
            </w:r>
            <w:r>
              <w:rPr>
                <w:rFonts w:ascii="宋体" w:hAnsi="宋体" w:cs="宋体" w:eastAsia="宋体" w:hint="default"/>
                <w:spacing w:val="2"/>
                <w:sz w:val="18"/>
                <w:szCs w:val="18"/>
              </w:rPr>
              <w:t>管</w:t>
            </w:r>
            <w:r>
              <w:rPr>
                <w:rFonts w:ascii="宋体" w:hAnsi="宋体" w:cs="宋体" w:eastAsia="宋体" w:hint="default"/>
                <w:sz w:val="18"/>
                <w:szCs w:val="18"/>
              </w:rPr>
              <w:t>理中心</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中国铁塔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中国铁塔股份有限公司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润建股份有限公司章程</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通信网络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both"/>
              <w:rPr>
                <w:rFonts w:ascii="宋体" w:hAnsi="宋体" w:cs="宋体" w:eastAsia="宋体" w:hint="default"/>
                <w:sz w:val="18"/>
                <w:szCs w:val="18"/>
              </w:rPr>
            </w:pPr>
            <w:r>
              <w:rPr>
                <w:rFonts w:ascii="宋体" w:hAnsi="宋体" w:cs="宋体" w:eastAsia="宋体" w:hint="default"/>
                <w:spacing w:val="-2"/>
                <w:sz w:val="18"/>
                <w:szCs w:val="18"/>
              </w:rPr>
              <w:t>现代通信网络是由专业机构以通信设备（硬件）和相关工作程序（软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件）有机建立的通信系统，为个人、企事业单位和社会提供各类通信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服务的总和核心网</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核心网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起到核心交换或者呼叫路由功能的网元，它的功能主要是提供用户连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接、对用户的管理以及对业务完成承载，作为承载网络提供到外部网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络的接口</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无线网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20"/>
              <w:jc w:val="both"/>
              <w:rPr>
                <w:rFonts w:ascii="宋体" w:hAnsi="宋体" w:cs="宋体" w:eastAsia="宋体" w:hint="default"/>
                <w:sz w:val="18"/>
                <w:szCs w:val="18"/>
              </w:rPr>
            </w:pPr>
            <w:r>
              <w:rPr>
                <w:rFonts w:ascii="宋体" w:hAnsi="宋体" w:cs="宋体" w:eastAsia="宋体" w:hint="default"/>
                <w:spacing w:val="-2"/>
                <w:sz w:val="18"/>
                <w:szCs w:val="18"/>
              </w:rPr>
              <w:t>采用无线通信技术实现的网络，既包括允许用户建立远距离无线连接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的全球语音和数据网络，也包括为近距离无线连接进行优化的红外线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技术及射频技术，目前主流应用的无线网络分为通过公众移动通信网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实现的无线网络（如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4G</w:t>
            </w:r>
            <w:r>
              <w:rPr>
                <w:rFonts w:ascii="宋体" w:hAnsi="宋体" w:cs="宋体" w:eastAsia="宋体" w:hint="default"/>
                <w:sz w:val="18"/>
                <w:szCs w:val="18"/>
              </w:rPr>
              <w:t>，</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GPRS</w:t>
            </w:r>
            <w:r>
              <w:rPr>
                <w:rFonts w:ascii="宋体" w:hAnsi="宋体" w:cs="宋体" w:eastAsia="宋体" w:hint="default"/>
                <w:sz w:val="18"/>
                <w:szCs w:val="18"/>
              </w:rPr>
              <w:t>）和无线局域网（</w:t>
            </w:r>
            <w:r>
              <w:rPr>
                <w:rFonts w:ascii="Times New Roman" w:hAnsi="Times New Roman" w:cs="Times New Roman" w:eastAsia="Times New Roman" w:hint="default"/>
                <w:sz w:val="18"/>
                <w:szCs w:val="18"/>
              </w:rPr>
              <w:t>WiFi</w:t>
            </w:r>
            <w:r>
              <w:rPr>
                <w:rFonts w:ascii="宋体" w:hAnsi="宋体" w:cs="宋体" w:eastAsia="宋体" w:hint="default"/>
                <w:sz w:val="18"/>
                <w:szCs w:val="18"/>
              </w:rPr>
              <w:t>）两种 方式</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传输网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将复接、线传输及交换功能集为一体的，并由统一管理系统操作的综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合信息传送网络，可实现诸如网络的有效管理、性能监视、动态网络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维护、不同供应厂商设备的互通等多项功能</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基站</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是指在一定的无线电覆盖区中，通过移动通信交换中心，与移动电话</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终端之间进行信息传递的无线电收发信电台</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第二代移动通信，以数字语音传输技术为核心</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9"/>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第三代移动通信，将无线通信与国际互联网等多媒体通信结合的移动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通信系统。它支持高速数据传输，能够处理图像、音乐、视频流等多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种媒体形式，提供包括网页浏览、电话会议、电子商务等多种信息服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务。支持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网络的主流技术为码多分址技术，主要存在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种标准： </w:t>
            </w:r>
            <w:r>
              <w:rPr>
                <w:rFonts w:ascii="Times New Roman" w:hAnsi="Times New Roman" w:cs="Times New Roman" w:eastAsia="Times New Roman" w:hint="default"/>
                <w:sz w:val="18"/>
                <w:szCs w:val="18"/>
              </w:rPr>
              <w:t>WCDMA</w:t>
            </w:r>
            <w:r>
              <w:rPr>
                <w:rFonts w:ascii="宋体" w:hAnsi="宋体" w:cs="宋体" w:eastAsia="宋体" w:hint="default"/>
                <w:sz w:val="18"/>
                <w:szCs w:val="18"/>
              </w:rPr>
              <w:t>、</w:t>
            </w:r>
            <w:r>
              <w:rPr>
                <w:rFonts w:ascii="Times New Roman" w:hAnsi="Times New Roman" w:cs="Times New Roman" w:eastAsia="Times New Roman" w:hint="default"/>
                <w:sz w:val="18"/>
                <w:szCs w:val="18"/>
              </w:rPr>
              <w:t>CDMA2000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TD</w:t>
            </w:r>
            <w:r>
              <w:rPr>
                <w:rFonts w:ascii="宋体" w:hAnsi="宋体" w:cs="宋体" w:eastAsia="宋体" w:hint="default"/>
                <w:sz w:val="18"/>
                <w:szCs w:val="18"/>
              </w:rPr>
              <w:t>－</w:t>
            </w:r>
            <w:r>
              <w:rPr>
                <w:rFonts w:ascii="Times New Roman" w:hAnsi="Times New Roman" w:cs="Times New Roman" w:eastAsia="Times New Roman" w:hint="default"/>
                <w:sz w:val="18"/>
                <w:szCs w:val="18"/>
              </w:rPr>
              <w:t>SCDMA</w:t>
            </w:r>
          </w:p>
        </w:tc>
      </w:tr>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第四代移动通信，国际电信联盟（</w:t>
            </w:r>
            <w:r>
              <w:rPr>
                <w:rFonts w:ascii="Times New Roman" w:hAnsi="Times New Roman" w:cs="Times New Roman" w:eastAsia="Times New Roman" w:hint="default"/>
                <w:sz w:val="18"/>
                <w:szCs w:val="18"/>
              </w:rPr>
              <w:t>ITU</w:t>
            </w:r>
            <w:r>
              <w:rPr>
                <w:rFonts w:ascii="宋体" w:hAnsi="宋体" w:cs="宋体" w:eastAsia="宋体" w:hint="default"/>
                <w:sz w:val="18"/>
                <w:szCs w:val="18"/>
              </w:rPr>
              <w:t>）对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网络的定义为静态传 输速率达到</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1Gbps</w:t>
            </w:r>
            <w:r>
              <w:rPr>
                <w:rFonts w:ascii="宋体" w:hAnsi="宋体" w:cs="宋体" w:eastAsia="宋体" w:hint="default"/>
                <w:spacing w:val="-3"/>
                <w:sz w:val="18"/>
                <w:szCs w:val="18"/>
              </w:rPr>
              <w:t>，用户在高速移动状态下可以达到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100Mbps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的移动</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通信系统，目前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网络的候选技术包括</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LTE</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WiMAX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8"/>
              <w:jc w:val="both"/>
              <w:rPr>
                <w:rFonts w:ascii="宋体" w:hAnsi="宋体" w:cs="宋体" w:eastAsia="宋体" w:hint="default"/>
                <w:sz w:val="18"/>
                <w:szCs w:val="18"/>
              </w:rPr>
            </w:pPr>
            <w:r>
              <w:rPr>
                <w:rFonts w:ascii="宋体" w:hAnsi="宋体" w:cs="宋体" w:eastAsia="宋体" w:hint="default"/>
                <w:sz w:val="18"/>
                <w:szCs w:val="18"/>
              </w:rPr>
              <w:t>第五代移动通信技术，也是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之后的延伸，正在研究中，预计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pacing w:val="-2"/>
                <w:sz w:val="18"/>
                <w:szCs w:val="18"/>
              </w:rPr>
              <w:t>年商用。关键技术包括大规模天线阵列、超密集组网、新型多址、全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频谱接入和新型网络架构</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pacing w:val="-3"/>
                <w:w w:val="99"/>
                <w:sz w:val="18"/>
                <w:szCs w:val="18"/>
              </w:rPr>
              <w:t>通过射频识别（</w:t>
            </w:r>
            <w:r>
              <w:rPr>
                <w:rFonts w:ascii="Times New Roman" w:hAnsi="Times New Roman" w:cs="Times New Roman" w:eastAsia="Times New Roman" w:hint="default"/>
                <w:spacing w:val="-3"/>
                <w:w w:val="99"/>
                <w:sz w:val="18"/>
                <w:szCs w:val="18"/>
              </w:rPr>
              <w:t>RFID</w:t>
            </w:r>
            <w:r>
              <w:rPr>
                <w:rFonts w:ascii="宋体" w:hAnsi="宋体" w:cs="宋体" w:eastAsia="宋体" w:hint="default"/>
                <w:spacing w:val="-3"/>
                <w:w w:val="99"/>
                <w:sz w:val="18"/>
                <w:szCs w:val="18"/>
              </w:rPr>
              <w:t>）、红外感应器、全球定位系统、激光扫描器、</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2"/>
                <w:sz w:val="18"/>
                <w:szCs w:val="18"/>
              </w:rPr>
              <w:t>气体感应器等信息传感设备，按约定的协议，把任何物体与互联网相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连接，进行信息交换和通信，以实现智能化识别、定位、跟踪、监控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和管理的一种网络</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GSM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全称：</w:t>
            </w:r>
            <w:r>
              <w:rPr>
                <w:rFonts w:ascii="Times New Roman" w:hAnsi="Times New Roman" w:cs="Times New Roman" w:eastAsia="Times New Roman" w:hint="default"/>
                <w:sz w:val="18"/>
                <w:szCs w:val="18"/>
              </w:rPr>
              <w:t>Global System for Mobile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Communications</w:t>
            </w:r>
            <w:r>
              <w:rPr>
                <w:rFonts w:ascii="宋体" w:hAnsi="宋体" w:cs="宋体" w:eastAsia="宋体" w:hint="default"/>
                <w:sz w:val="18"/>
                <w:szCs w:val="18"/>
              </w:rPr>
              <w:t>，中文为全球移动通 </w:t>
            </w:r>
            <w:r>
              <w:rPr>
                <w:rFonts w:ascii="宋体" w:hAnsi="宋体" w:cs="宋体" w:eastAsia="宋体" w:hint="default"/>
                <w:spacing w:val="-2"/>
                <w:sz w:val="18"/>
                <w:szCs w:val="18"/>
              </w:rPr>
              <w:t>信系统，是一种起源于欧洲的移动通信技术标准，属于第二代移动通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信技术，自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年代中期投入商用以来，被全球超过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个国家采用</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TD-SCDMA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全称</w:t>
            </w:r>
            <w:r>
              <w:rPr>
                <w:rFonts w:ascii="Times New Roman" w:hAnsi="Times New Roman" w:cs="Times New Roman" w:eastAsia="Times New Roman" w:hint="default"/>
                <w:sz w:val="18"/>
                <w:szCs w:val="18"/>
              </w:rPr>
              <w:t>"Time Division-Synchronous Code Division Multiple</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Acces"</w:t>
            </w:r>
            <w:r>
              <w:rPr>
                <w:rFonts w:ascii="宋体" w:hAnsi="宋体" w:cs="宋体" w:eastAsia="宋体" w:hint="default"/>
                <w:sz w:val="18"/>
                <w:szCs w:val="18"/>
              </w:rPr>
              <w:t>，指时 </w:t>
            </w:r>
            <w:r>
              <w:rPr>
                <w:rFonts w:ascii="宋体" w:hAnsi="宋体" w:cs="宋体" w:eastAsia="宋体" w:hint="default"/>
                <w:spacing w:val="-2"/>
                <w:sz w:val="18"/>
                <w:szCs w:val="18"/>
              </w:rPr>
              <w:t>分同步码分多址接入技术，该标准由中国提出；属于第三代无线通信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技术标准</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CDMA2000</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全称</w:t>
            </w:r>
            <w:r>
              <w:rPr>
                <w:rFonts w:ascii="Times New Roman" w:hAnsi="Times New Roman" w:cs="Times New Roman" w:eastAsia="Times New Roman" w:hint="default"/>
                <w:sz w:val="18"/>
                <w:szCs w:val="18"/>
              </w:rPr>
              <w:t>"Code Division Multiple Access </w:t>
            </w:r>
            <w:r>
              <w:rPr>
                <w:rFonts w:ascii="Times New Roman" w:hAnsi="Times New Roman" w:cs="Times New Roman" w:eastAsia="Times New Roman" w:hint="default"/>
                <w:spacing w:val="-5"/>
                <w:sz w:val="18"/>
                <w:szCs w:val="18"/>
              </w:rPr>
              <w:t>2000"</w:t>
            </w:r>
            <w:r>
              <w:rPr>
                <w:rFonts w:ascii="宋体" w:hAnsi="宋体" w:cs="宋体" w:eastAsia="宋体" w:hint="default"/>
                <w:spacing w:val="-5"/>
                <w:sz w:val="18"/>
                <w:szCs w:val="18"/>
              </w:rPr>
              <w:t>，是 </w:t>
            </w:r>
            <w:r>
              <w:rPr>
                <w:rFonts w:ascii="Times New Roman" w:hAnsi="Times New Roman" w:cs="Times New Roman" w:eastAsia="Times New Roman" w:hint="default"/>
                <w:sz w:val="18"/>
                <w:szCs w:val="18"/>
              </w:rPr>
              <w:t>TIA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标准组织用于指代 第三代 </w:t>
            </w:r>
            <w:r>
              <w:rPr>
                <w:rFonts w:ascii="Times New Roman" w:hAnsi="Times New Roman" w:cs="Times New Roman" w:eastAsia="Times New Roman" w:hint="default"/>
                <w:sz w:val="18"/>
                <w:szCs w:val="18"/>
              </w:rPr>
              <w:t>CDMA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的名称；属于第三代无线通信技术标准</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WCDMA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宋体" w:hAnsi="宋体" w:cs="宋体" w:eastAsia="宋体" w:hint="default"/>
                <w:spacing w:val="-1"/>
                <w:w w:val="99"/>
                <w:sz w:val="18"/>
                <w:szCs w:val="18"/>
              </w:rPr>
              <w:t>全称</w:t>
            </w:r>
            <w:r>
              <w:rPr>
                <w:rFonts w:ascii="Times New Roman" w:hAnsi="Times New Roman" w:cs="Times New Roman" w:eastAsia="Times New Roman" w:hint="default"/>
                <w:spacing w:val="-1"/>
                <w:w w:val="99"/>
                <w:sz w:val="18"/>
                <w:szCs w:val="18"/>
              </w:rPr>
              <w:t>"Wideband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sz w:val="18"/>
                <w:szCs w:val="18"/>
              </w:rPr>
              <w:t>Code</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Division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w w:val="99"/>
                <w:sz w:val="18"/>
                <w:szCs w:val="18"/>
              </w:rPr>
              <w:t>Multiple</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5"/>
                <w:w w:val="99"/>
                <w:sz w:val="18"/>
                <w:szCs w:val="18"/>
              </w:rPr>
              <w:t>Acces"</w:t>
            </w:r>
            <w:r>
              <w:rPr>
                <w:rFonts w:ascii="宋体" w:hAnsi="宋体" w:cs="宋体" w:eastAsia="宋体" w:hint="default"/>
                <w:spacing w:val="-5"/>
                <w:w w:val="99"/>
                <w:sz w:val="18"/>
                <w:szCs w:val="18"/>
              </w:rPr>
              <w:t>，是一种利用码分多址复</w:t>
            </w:r>
            <w:r>
              <w:rPr>
                <w:rFonts w:ascii="宋体" w:hAnsi="宋体" w:cs="宋体" w:eastAsia="宋体" w:hint="default"/>
                <w:sz w:val="18"/>
                <w:szCs w:val="18"/>
              </w:rPr>
              <w:t> 用方法的宽带扩频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移动通信空中接口；属于第三代无线通信技术 标准</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6"/>
                <w:sz w:val="18"/>
              </w:rPr>
              <w:t>LTE</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全称</w:t>
            </w:r>
            <w:r>
              <w:rPr>
                <w:rFonts w:ascii="Times New Roman" w:hAnsi="Times New Roman" w:cs="Times New Roman" w:eastAsia="Times New Roman" w:hint="default"/>
                <w:sz w:val="18"/>
                <w:szCs w:val="18"/>
              </w:rPr>
              <w:t>"Long term evolution"</w:t>
            </w:r>
            <w:r>
              <w:rPr>
                <w:rFonts w:ascii="宋体" w:hAnsi="宋体" w:cs="宋体" w:eastAsia="宋体" w:hint="default"/>
                <w:sz w:val="18"/>
                <w:szCs w:val="18"/>
              </w:rPr>
              <w:t>，以 </w:t>
            </w:r>
            <w:r>
              <w:rPr>
                <w:rFonts w:ascii="Times New Roman" w:hAnsi="Times New Roman" w:cs="Times New Roman" w:eastAsia="Times New Roman" w:hint="default"/>
                <w:sz w:val="18"/>
                <w:szCs w:val="18"/>
              </w:rPr>
              <w:t>OFDM/FDMA</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为核心的技术，可以视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NB-IoT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窄带物联网（</w:t>
            </w:r>
            <w:r>
              <w:rPr>
                <w:rFonts w:ascii="Times New Roman" w:hAnsi="Times New Roman" w:cs="Times New Roman" w:eastAsia="Times New Roman" w:hint="default"/>
                <w:sz w:val="18"/>
                <w:szCs w:val="18"/>
              </w:rPr>
              <w:t>Narrow Band Internet of Things,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NB-IoT</w:t>
            </w:r>
            <w:r>
              <w:rPr>
                <w:rFonts w:ascii="宋体" w:hAnsi="宋体" w:cs="宋体" w:eastAsia="宋体" w:hint="default"/>
                <w:sz w:val="18"/>
                <w:szCs w:val="18"/>
              </w:rPr>
              <w:t>）</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IDC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互联网数据中心（</w:t>
            </w:r>
            <w:r>
              <w:rPr>
                <w:rFonts w:ascii="Times New Roman" w:hAnsi="Times New Roman" w:cs="Times New Roman" w:eastAsia="Times New Roman" w:hint="default"/>
                <w:sz w:val="18"/>
                <w:szCs w:val="18"/>
              </w:rPr>
              <w:t>Internet Data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8pt;margin-top:292.849976pt;width:396.95pt;height:19.7pt;mso-position-horizontal-relative:page;mso-position-vertical-relative:page;z-index:-12348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4" w:right="1057"/>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057"/>
        <w:jc w:val="left"/>
        <w:rPr>
          <w:b w:val="0"/>
          <w:bCs w:val="0"/>
        </w:rPr>
      </w:pP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润建股份</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002929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润建股份有限公司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润建股份</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RUNJIAN CO.,</w:t>
            </w:r>
            <w:r>
              <w:rPr>
                <w:rFonts w:ascii="Times New Roman"/>
                <w:spacing w:val="1"/>
                <w:sz w:val="18"/>
              </w:rPr>
              <w:t> </w:t>
            </w:r>
            <w:r>
              <w:rPr>
                <w:rFonts w:ascii="Times New Roman"/>
                <w:spacing w:val="-5"/>
                <w:sz w:val="18"/>
              </w:rPr>
              <w:t>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广西壮族自治区南宁市西乡塘区总部路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号中国东盟科技企业孵化基地一期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501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530000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广西南宁市青秀区民族大道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层</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530000</w:t>
            </w:r>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hyperlink r:id="rId9">
              <w:r>
                <w:rPr>
                  <w:rFonts w:ascii="Times New Roman"/>
                  <w:sz w:val="18"/>
                </w:rPr>
                <w:t>http://www.rjtx.net/</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0">
              <w:r>
                <w:rPr>
                  <w:rFonts w:ascii="Times New Roman"/>
                  <w:sz w:val="18"/>
                </w:rPr>
                <w:t>rjtxdsh@163.com</w:t>
              </w:r>
            </w:hyperlink>
          </w:p>
        </w:tc>
      </w:tr>
    </w:tbl>
    <w:p>
      <w:pPr>
        <w:spacing w:line="240" w:lineRule="auto" w:before="3"/>
        <w:rPr>
          <w:rFonts w:ascii="宋体" w:hAnsi="宋体" w:cs="宋体" w:eastAsia="宋体" w:hint="default"/>
          <w:b/>
          <w:bCs/>
          <w:sz w:val="18"/>
          <w:szCs w:val="18"/>
        </w:rPr>
      </w:pPr>
    </w:p>
    <w:p>
      <w:pPr>
        <w:spacing w:before="26"/>
        <w:ind w:left="152" w:right="1057"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罗剑涛</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南宁市青秀区民族大道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号华润中 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122"/>
              <w:jc w:val="left"/>
              <w:rPr>
                <w:rFonts w:ascii="宋体" w:hAnsi="宋体" w:cs="宋体" w:eastAsia="宋体" w:hint="default"/>
                <w:sz w:val="18"/>
                <w:szCs w:val="18"/>
              </w:rPr>
            </w:pPr>
            <w:r>
              <w:rPr>
                <w:rFonts w:ascii="宋体" w:hAnsi="宋体" w:cs="宋体" w:eastAsia="宋体" w:hint="default"/>
                <w:sz w:val="18"/>
                <w:szCs w:val="18"/>
              </w:rPr>
              <w:t>南宁市青秀区民族大道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号华润中 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楼</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0771-2869133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0771-2869133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0771-5560518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0771-5560518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rjtxdsh@163.com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rjtxdsh@163.com</w:t>
              </w:r>
            </w:hyperlink>
          </w:p>
        </w:tc>
      </w:tr>
    </w:tbl>
    <w:p>
      <w:pPr>
        <w:spacing w:line="240" w:lineRule="auto" w:before="3"/>
        <w:rPr>
          <w:rFonts w:ascii="宋体" w:hAnsi="宋体" w:cs="宋体" w:eastAsia="宋体" w:hint="default"/>
          <w:b/>
          <w:bCs/>
          <w:sz w:val="18"/>
          <w:szCs w:val="18"/>
        </w:rPr>
      </w:pPr>
    </w:p>
    <w:p>
      <w:pPr>
        <w:spacing w:before="26"/>
        <w:ind w:left="152" w:right="1057"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《上海证券报》和《证券日报》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b/>
          <w:bCs/>
          <w:sz w:val="23"/>
          <w:szCs w:val="23"/>
        </w:rPr>
      </w:pPr>
    </w:p>
    <w:p>
      <w:pPr>
        <w:spacing w:before="26"/>
        <w:ind w:left="152" w:right="1057"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44"/>
        <w:ind w:left="0" w:right="1139" w:firstLine="0"/>
        <w:jc w:val="right"/>
        <w:rPr>
          <w:rFonts w:ascii="宋体" w:hAnsi="宋体" w:cs="宋体" w:eastAsia="宋体" w:hint="default"/>
          <w:sz w:val="18"/>
          <w:szCs w:val="18"/>
        </w:rPr>
      </w:pPr>
      <w:r>
        <w:rPr/>
        <w:pict>
          <v:shape style="position:absolute;margin-left:56.459999pt;margin-top:-254.918289pt;width:479.2pt;height:359.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637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日完成了工商变更登记手续，并取得了广西壮族自治区市</w:t>
                        </w:r>
                        <w:r>
                          <w:rPr>
                            <w:rFonts w:ascii="宋体" w:hAnsi="宋体" w:cs="宋体" w:eastAsia="宋体" w:hint="default"/>
                            <w:sz w:val="18"/>
                            <w:szCs w:val="18"/>
                          </w:rPr>
                          <w:t> </w:t>
                        </w:r>
                        <w:r>
                          <w:rPr>
                            <w:rFonts w:ascii="宋体" w:hAnsi="宋体" w:cs="宋体" w:eastAsia="宋体" w:hint="default"/>
                            <w:spacing w:val="-5"/>
                            <w:sz w:val="18"/>
                            <w:szCs w:val="18"/>
                          </w:rPr>
                          <w:t>场监督管理局换发的《营业执照》，变更后经营范围为：计算机信息系统集成，通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信信息网络系统集成，信息系统的技术研发与销售，软件开发，网络托管业务， 增值电信业务，互联网数据服务，信息处理和存储支持服务，通信技术和产品的</w:t>
                        </w:r>
                        <w:r>
                          <w:rPr>
                            <w:rFonts w:ascii="宋体" w:hAnsi="宋体" w:cs="宋体" w:eastAsia="宋体" w:hint="default"/>
                            <w:sz w:val="18"/>
                            <w:szCs w:val="18"/>
                          </w:rPr>
                          <w:t> 技术咨询、技术服务、技术研发，信息技术咨询服务；电信业务；计算机硬件整 机、零配件制造，信息安全设备制造；计算机、软件及辅助设备、教学设备、电 力、集中式快速充电站、分布式交流充电桩、机械设备的销售；网络产品、通讯 设备、通讯器材、电池、五金产品及电子产品的开发、生产、销售及售后服务； 新兴能源技术研发；稳压电源、不间断供电电源生产、销售、维修服务；机械设 备租赁；电力技术咨询，节能方案技术咨询；合同能源管理；工程设计与咨询服 务；教育咨询；通信网络维护与优化，通信铁塔维护，制冷空调设备安装与维修 服务，节能技术推广服务；建筑物空调设备、通风设备系统安装服务；通信设施 租赁；通信工程施工，建筑工程施工，建筑智能化工程设计与施工，机电工程施 工，建筑装修装饰工程施工，市政公用工程施工，钢结构工程施工，送变电工程 施工，防雷技术及防雷工程施工，消防设施工程施工，地基与基础工程施工，电 力工程施工，水利水电工程施工，城市及道路照明工程施工，电力设施承装（修 </w:t>
                        </w:r>
                        <w:r>
                          <w:rPr>
                            <w:rFonts w:ascii="宋体" w:hAnsi="宋体" w:cs="宋体" w:eastAsia="宋体" w:hint="default"/>
                            <w:spacing w:val="-5"/>
                            <w:sz w:val="18"/>
                            <w:szCs w:val="18"/>
                          </w:rPr>
                          <w:t>试），安全技术防范系统设计、施工、维修，公路交通工程施工，防水防腐保温工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程施工，环保工程施工，光伏电站工程施工，风力发电工程施工，节能工程施工</w:t>
                        </w:r>
                        <w:r>
                          <w:rPr>
                            <w:rFonts w:ascii="宋体" w:hAnsi="宋体" w:cs="宋体" w:eastAsia="宋体" w:hint="default"/>
                            <w:sz w:val="18"/>
                            <w:szCs w:val="18"/>
                          </w:rPr>
                          <w:t> 通信用户管线建设，施工劳务分包；进出口贸易。</w:t>
                        </w:r>
                      </w:p>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公司主营业务并未有实质性变化。</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before="26"/>
        <w:ind w:right="1057"/>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幢外经贸大厦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901-26</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纪玉红、崔勇趁、时静</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北京市朝阳区安立路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张世举、韩新科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2018.3.1-2020.12.31</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3,717,024,985.94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3,231,680,137.02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2,778,394,660.03</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230,046,221.21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205,877,713.64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239,400,030.68</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197,384,519.59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178,122,049.06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229,986,346.41</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469,716,382.10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170,930,253.78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-188,078,079.28</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22.46%</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4,937,168,337.10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3,913,670,385.69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2,386,839,788.46</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2,846,581,521.81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2,630,309,970.50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1,189,539,737.08</w:t>
            </w:r>
          </w:p>
        </w:tc>
      </w:tr>
    </w:tbl>
    <w:p>
      <w:pPr>
        <w:spacing w:line="240" w:lineRule="auto" w:before="3"/>
        <w:rPr>
          <w:rFonts w:ascii="宋体" w:hAnsi="宋体" w:cs="宋体" w:eastAsia="宋体" w:hint="default"/>
          <w:sz w:val="18"/>
          <w:szCs w:val="18"/>
        </w:rPr>
      </w:pPr>
    </w:p>
    <w:p>
      <w:pPr>
        <w:pStyle w:val="Heading3"/>
        <w:spacing w:line="240" w:lineRule="auto" w:before="26"/>
        <w:ind w:right="1057"/>
        <w:jc w:val="left"/>
        <w:rPr>
          <w:b w:val="0"/>
          <w:bCs w:val="0"/>
        </w:rPr>
      </w:pP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1"/>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057"/>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3" w:right="0"/>
              <w:jc w:val="left"/>
              <w:rPr>
                <w:rFonts w:ascii="Times New Roman" w:hAnsi="Times New Roman" w:cs="Times New Roman" w:eastAsia="Times New Roman" w:hint="default"/>
                <w:sz w:val="18"/>
                <w:szCs w:val="18"/>
              </w:rPr>
            </w:pPr>
            <w:r>
              <w:rPr>
                <w:rFonts w:ascii="Times New Roman"/>
                <w:sz w:val="18"/>
              </w:rPr>
              <w:t>749,072,090.42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1" w:right="0"/>
              <w:jc w:val="left"/>
              <w:rPr>
                <w:rFonts w:ascii="Times New Roman" w:hAnsi="Times New Roman" w:cs="Times New Roman" w:eastAsia="Times New Roman" w:hint="default"/>
                <w:sz w:val="18"/>
                <w:szCs w:val="18"/>
              </w:rPr>
            </w:pPr>
            <w:r>
              <w:rPr>
                <w:rFonts w:ascii="Times New Roman"/>
                <w:sz w:val="18"/>
              </w:rPr>
              <w:t>863,935,584.23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0" w:right="0"/>
              <w:jc w:val="left"/>
              <w:rPr>
                <w:rFonts w:ascii="Times New Roman" w:hAnsi="Times New Roman" w:cs="Times New Roman" w:eastAsia="Times New Roman" w:hint="default"/>
                <w:sz w:val="18"/>
                <w:szCs w:val="18"/>
              </w:rPr>
            </w:pPr>
            <w:r>
              <w:rPr>
                <w:rFonts w:ascii="Times New Roman"/>
                <w:sz w:val="18"/>
              </w:rPr>
              <w:t>900,051,951.84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6" w:right="0"/>
              <w:jc w:val="left"/>
              <w:rPr>
                <w:rFonts w:ascii="Times New Roman" w:hAnsi="Times New Roman" w:cs="Times New Roman" w:eastAsia="Times New Roman" w:hint="default"/>
                <w:sz w:val="18"/>
                <w:szCs w:val="18"/>
              </w:rPr>
            </w:pPr>
            <w:r>
              <w:rPr>
                <w:rFonts w:ascii="Times New Roman"/>
                <w:sz w:val="18"/>
              </w:rPr>
              <w:t>1,203,965,359.45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48,061,905.77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39,641,766.50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57,948,923.75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84,393,625.19</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45,776,558.22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37,702,187.22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44,857,645.83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69,048,128.32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-200,898,123.78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-101,824,484.24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62,257,396.92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710,181,593.20</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1057"/>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-104,025.58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399,206.59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-719,221.49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55"/>
              <w:jc w:val="left"/>
              <w:rPr>
                <w:rFonts w:ascii="宋体" w:hAnsi="宋体" w:cs="宋体" w:eastAsia="宋体" w:hint="default"/>
                <w:sz w:val="18"/>
                <w:szCs w:val="18"/>
              </w:rPr>
            </w:pPr>
            <w:r>
              <w:rPr>
                <w:rFonts w:ascii="宋体" w:hAnsi="宋体" w:cs="宋体" w:eastAsia="宋体" w:hint="default"/>
                <w:sz w:val="18"/>
                <w:szCs w:val="18"/>
              </w:rPr>
              <w:t>系固定资产变卖收益 所致</w:t>
            </w:r>
          </w:p>
        </w:tc>
      </w:tr>
      <w:tr>
        <w:trPr>
          <w:trHeight w:val="317"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12,403,787.80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19,325,604.83</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10,720,600.00</w:t>
            </w:r>
          </w:p>
        </w:tc>
        <w:tc>
          <w:tcPr>
            <w:tcW w:w="1711"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上市补贴奖励款较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520 </w:t>
            </w:r>
            <w:r>
              <w:rPr>
                <w:rFonts w:ascii="宋体" w:hAnsi="宋体" w:cs="宋体" w:eastAsia="宋体" w:hint="default"/>
                <w:sz w:val="18"/>
                <w:szCs w:val="18"/>
              </w:rPr>
              <w:t>万 元；第三产业发展的 奖励较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年减少</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 </w:t>
            </w:r>
            <w:r>
              <w:rPr>
                <w:rFonts w:ascii="宋体" w:hAnsi="宋体" w:cs="宋体" w:eastAsia="宋体" w:hint="default"/>
                <w:sz w:val="18"/>
                <w:szCs w:val="18"/>
              </w:rPr>
              <w:t>万元</w:t>
            </w:r>
          </w:p>
        </w:tc>
      </w:tr>
      <w:tr>
        <w:trPr>
          <w:trHeight w:val="1015"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320"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9,028,794.73</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54"/>
              <w:ind w:left="23" w:right="55"/>
              <w:jc w:val="both"/>
              <w:rPr>
                <w:rFonts w:ascii="宋体" w:hAnsi="宋体" w:cs="宋体" w:eastAsia="宋体" w:hint="default"/>
                <w:sz w:val="18"/>
                <w:szCs w:val="18"/>
              </w:rPr>
            </w:pPr>
            <w:r>
              <w:rPr>
                <w:rFonts w:ascii="宋体" w:hAnsi="宋体" w:cs="宋体" w:eastAsia="宋体" w:hint="default"/>
                <w:sz w:val="18"/>
                <w:szCs w:val="18"/>
              </w:rPr>
              <w:t>取得子公司的投资成 本小于取得投资时应 享有被投资单位可辨 认资产公允价值产生 的收益</w:t>
            </w:r>
          </w:p>
        </w:tc>
      </w:tr>
      <w:tr>
        <w:trPr>
          <w:trHeight w:val="1015"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73" w:hRule="exact"/>
        </w:trPr>
        <w:tc>
          <w:tcPr>
            <w:tcW w:w="3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14,735,225.37</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1,553.42</w:t>
            </w:r>
          </w:p>
        </w:tc>
        <w:tc>
          <w:tcPr>
            <w:tcW w:w="1711"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5"/>
              <w:jc w:val="both"/>
              <w:rPr>
                <w:rFonts w:ascii="宋体" w:hAnsi="宋体" w:cs="宋体" w:eastAsia="宋体" w:hint="default"/>
                <w:sz w:val="18"/>
                <w:szCs w:val="18"/>
              </w:rPr>
            </w:pPr>
            <w:r>
              <w:rPr>
                <w:rFonts w:ascii="宋体" w:hAnsi="宋体" w:cs="宋体" w:eastAsia="宋体" w:hint="default"/>
                <w:sz w:val="18"/>
                <w:szCs w:val="18"/>
              </w:rPr>
              <w:t>系银行结构性存款及 理财收益，执行新金 融工具准则，列报为 交易性金融资产</w:t>
            </w:r>
          </w:p>
        </w:tc>
      </w:tr>
      <w:tr>
        <w:trPr>
          <w:trHeight w:val="391" w:hRule="exact"/>
        </w:trPr>
        <w:tc>
          <w:tcPr>
            <w:tcW w:w="3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473" w:hRule="exact"/>
        </w:trPr>
        <w:tc>
          <w:tcPr>
            <w:tcW w:w="3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227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18,451,627.09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3" w:right="55"/>
              <w:jc w:val="left"/>
              <w:rPr>
                <w:rFonts w:ascii="宋体" w:hAnsi="宋体" w:cs="宋体" w:eastAsia="宋体" w:hint="default"/>
                <w:sz w:val="18"/>
                <w:szCs w:val="18"/>
              </w:rPr>
            </w:pPr>
            <w:r>
              <w:rPr>
                <w:rFonts w:ascii="宋体" w:hAnsi="宋体" w:cs="宋体" w:eastAsia="宋体" w:hint="default"/>
                <w:sz w:val="18"/>
                <w:szCs w:val="18"/>
              </w:rPr>
              <w:t>系银行结构性存款及 理财收益</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-2,657,691.32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-1,804,303.24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1,071,973.77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39,619.78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4,447,790.48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4,900,068.97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1,661,221.43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52,620.40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32,661,701.62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27,755,664.58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9,413,684.27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057"/>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057"/>
        <w:jc w:val="left"/>
        <w:rPr>
          <w:b w:val="0"/>
          <w:bCs w:val="0"/>
        </w:rPr>
      </w:pPr>
      <w:r>
        <w:rPr/>
        <w:t>一、报告期内公司从事的主要业务</w:t>
      </w:r>
      <w:r>
        <w:rPr>
          <w:b w:val="0"/>
          <w:bCs w:val="0"/>
        </w:rPr>
      </w:r>
    </w:p>
    <w:p>
      <w:pPr>
        <w:spacing w:line="470" w:lineRule="atLeast" w:before="123"/>
        <w:ind w:left="513" w:right="1057" w:hanging="361"/>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w:t>
      </w:r>
      <w:r>
        <w:rPr>
          <w:rFonts w:ascii="宋体" w:hAnsi="宋体" w:cs="宋体" w:eastAsia="宋体" w:hint="default"/>
          <w:spacing w:val="-1"/>
          <w:sz w:val="18"/>
          <w:szCs w:val="18"/>
        </w:rPr>
        <w:t>润建股份是一家上市高新技术企业，服务范围覆盖通信技术服务、云服务与</w:t>
      </w:r>
      <w:r>
        <w:rPr>
          <w:rFonts w:ascii="Times New Roman" w:hAnsi="Times New Roman" w:cs="Times New Roman" w:eastAsia="Times New Roman" w:hint="default"/>
          <w:spacing w:val="-1"/>
          <w:sz w:val="18"/>
          <w:szCs w:val="18"/>
        </w:rPr>
        <w:t>IDC</w:t>
      </w:r>
      <w:r>
        <w:rPr>
          <w:rFonts w:ascii="宋体" w:hAnsi="宋体" w:cs="宋体" w:eastAsia="宋体" w:hint="default"/>
          <w:spacing w:val="-1"/>
          <w:sz w:val="18"/>
          <w:szCs w:val="18"/>
        </w:rPr>
        <w:t>服务、信息技术服务、电力与新能源服</w:t>
      </w:r>
    </w:p>
    <w:p>
      <w:pPr>
        <w:spacing w:line="316" w:lineRule="auto" w:before="63"/>
        <w:ind w:left="152" w:right="1057" w:firstLine="0"/>
        <w:jc w:val="left"/>
        <w:rPr>
          <w:rFonts w:ascii="宋体" w:hAnsi="宋体" w:cs="宋体" w:eastAsia="宋体" w:hint="default"/>
          <w:sz w:val="18"/>
          <w:szCs w:val="18"/>
        </w:rPr>
      </w:pPr>
      <w:r>
        <w:rPr>
          <w:rFonts w:ascii="宋体" w:hAnsi="宋体" w:cs="宋体" w:eastAsia="宋体" w:hint="default"/>
          <w:spacing w:val="-2"/>
          <w:sz w:val="18"/>
          <w:szCs w:val="18"/>
        </w:rPr>
        <w:t>务、工业和电力物联网服务等新型基础设施建设领域。在通信技术服务领域，公司是集通信网络建设服务、通信网络维护与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优化服务于一体的综合型通信技术服务商，是通信技术服务行业领先的民营企业。</w:t>
      </w:r>
    </w:p>
    <w:p>
      <w:pPr>
        <w:spacing w:line="470" w:lineRule="exact" w:before="9"/>
        <w:ind w:left="513" w:right="1057" w:firstLine="0"/>
        <w:jc w:val="left"/>
        <w:rPr>
          <w:rFonts w:ascii="宋体" w:hAnsi="宋体" w:cs="宋体" w:eastAsia="宋体" w:hint="default"/>
          <w:sz w:val="18"/>
          <w:szCs w:val="18"/>
        </w:rPr>
      </w:pPr>
      <w:r>
        <w:rPr>
          <w:rFonts w:ascii="宋体" w:hAnsi="宋体" w:cs="宋体" w:eastAsia="宋体" w:hint="default"/>
          <w:sz w:val="18"/>
          <w:szCs w:val="18"/>
        </w:rPr>
        <w:t>（一）公司发展规划 </w:t>
      </w:r>
      <w:r>
        <w:rPr>
          <w:rFonts w:ascii="宋体" w:hAnsi="宋体" w:cs="宋体" w:eastAsia="宋体" w:hint="default"/>
          <w:spacing w:val="-2"/>
          <w:sz w:val="18"/>
          <w:szCs w:val="18"/>
        </w:rPr>
        <w:t>公司自</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年成立以来深耕通信技术服务行业，树立了良好的口碑和市场品牌，已成为通信技术服务、通信网络建设行</w:t>
      </w:r>
    </w:p>
    <w:p>
      <w:pPr>
        <w:spacing w:line="309" w:lineRule="auto" w:before="5"/>
        <w:ind w:left="152" w:right="1000" w:firstLine="0"/>
        <w:jc w:val="left"/>
        <w:rPr>
          <w:rFonts w:ascii="宋体" w:hAnsi="宋体" w:cs="宋体" w:eastAsia="宋体" w:hint="default"/>
          <w:sz w:val="18"/>
          <w:szCs w:val="18"/>
        </w:rPr>
      </w:pPr>
      <w:r>
        <w:rPr>
          <w:rFonts w:ascii="宋体" w:hAnsi="宋体" w:cs="宋体" w:eastAsia="宋体" w:hint="default"/>
          <w:spacing w:val="-4"/>
          <w:sz w:val="18"/>
          <w:szCs w:val="18"/>
        </w:rPr>
        <w:t>业的主力军，是通信技术服务行业领先的民营企业。在多年的踏实经营中，公司累积了强大的管理、营销、人才和技术优势，</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基于公司核心竞争力和业务能力，在保持通信技术服务业务稳定增长的同时，公司将服务范围进一步拓展至云服务与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 务、信息技术服务、电力与新能源服务，布局一体多翼的格局，新增多个业务增长点。</w:t>
      </w:r>
    </w:p>
    <w:p>
      <w:pPr>
        <w:spacing w:line="240" w:lineRule="auto" w:before="13"/>
        <w:rPr>
          <w:rFonts w:ascii="宋体" w:hAnsi="宋体" w:cs="宋体" w:eastAsia="宋体" w:hint="default"/>
          <w:sz w:val="13"/>
          <w:szCs w:val="13"/>
        </w:rPr>
      </w:pPr>
    </w:p>
    <w:p>
      <w:pPr>
        <w:spacing w:before="0"/>
        <w:ind w:left="513" w:right="1000" w:firstLine="0"/>
        <w:jc w:val="left"/>
        <w:rPr>
          <w:rFonts w:ascii="宋体" w:hAnsi="宋体" w:cs="宋体" w:eastAsia="宋体" w:hint="default"/>
          <w:sz w:val="18"/>
          <w:szCs w:val="18"/>
        </w:rPr>
      </w:pPr>
      <w:r>
        <w:rPr>
          <w:rFonts w:ascii="宋体" w:hAnsi="宋体" w:cs="宋体" w:eastAsia="宋体" w:hint="default"/>
          <w:sz w:val="18"/>
          <w:szCs w:val="18"/>
        </w:rPr>
        <w:t>在通信技术服务上，公司作为通信基础设施建设与维护的方案实施者，将坚定发展主业，持续深耕通信技术服务，把握</w:t>
      </w:r>
    </w:p>
    <w:p>
      <w:pPr>
        <w:spacing w:before="76"/>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“5G”</w:t>
      </w:r>
      <w:r>
        <w:rPr>
          <w:rFonts w:ascii="宋体" w:hAnsi="宋体" w:cs="宋体" w:eastAsia="宋体" w:hint="default"/>
          <w:sz w:val="18"/>
          <w:szCs w:val="18"/>
        </w:rPr>
        <w:t>建设机遇，确保业务降本增效持续增长，同时不断进行技术变革与创新，布局</w:t>
      </w:r>
      <w:r>
        <w:rPr>
          <w:rFonts w:ascii="Times New Roman" w:hAnsi="Times New Roman" w:cs="Times New Roman" w:eastAsia="Times New Roman" w:hint="default"/>
          <w:sz w:val="18"/>
          <w:szCs w:val="18"/>
        </w:rPr>
        <w:t>5G</w:t>
      </w:r>
      <w:r>
        <w:rPr>
          <w:rFonts w:ascii="宋体" w:hAnsi="宋体" w:cs="宋体" w:eastAsia="宋体" w:hint="default"/>
          <w:sz w:val="18"/>
          <w:szCs w:val="18"/>
        </w:rPr>
        <w:t>技术应用等高技术服务。</w:t>
      </w:r>
    </w:p>
    <w:p>
      <w:pPr>
        <w:spacing w:line="240" w:lineRule="auto" w:before="12"/>
        <w:rPr>
          <w:rFonts w:ascii="宋体" w:hAnsi="宋体" w:cs="宋体" w:eastAsia="宋体" w:hint="default"/>
          <w:sz w:val="16"/>
          <w:szCs w:val="16"/>
        </w:rPr>
      </w:pPr>
    </w:p>
    <w:p>
      <w:pPr>
        <w:spacing w:line="300" w:lineRule="auto" w:before="0"/>
        <w:ind w:left="152" w:right="1131" w:firstLine="360"/>
        <w:jc w:val="both"/>
        <w:rPr>
          <w:rFonts w:ascii="宋体" w:hAnsi="宋体" w:cs="宋体" w:eastAsia="宋体" w:hint="default"/>
          <w:sz w:val="18"/>
          <w:szCs w:val="18"/>
        </w:rPr>
      </w:pPr>
      <w:r>
        <w:rPr>
          <w:rFonts w:ascii="宋体" w:hAnsi="宋体" w:cs="宋体" w:eastAsia="宋体" w:hint="default"/>
          <w:sz w:val="18"/>
          <w:szCs w:val="18"/>
        </w:rPr>
        <w:t>在云服务与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服务上，云服务与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服务与通信技术发展息息相关，基于公司在通信技术服务业务中已积累了丰富的 云与</w:t>
      </w:r>
      <w:r>
        <w:rPr>
          <w:rFonts w:ascii="Times New Roman" w:hAnsi="Times New Roman" w:cs="Times New Roman" w:eastAsia="Times New Roman" w:hint="default"/>
          <w:sz w:val="18"/>
          <w:szCs w:val="18"/>
        </w:rPr>
        <w:t>IDC</w:t>
      </w:r>
      <w:r>
        <w:rPr>
          <w:rFonts w:ascii="宋体" w:hAnsi="宋体" w:cs="宋体" w:eastAsia="宋体" w:hint="default"/>
          <w:sz w:val="18"/>
          <w:szCs w:val="18"/>
        </w:rPr>
        <w:t>建设、维护技术和项目经验，公司决定深入拓展云服务与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服务。经公司第三届董事会第二十四次会议和</w:t>
      </w:r>
      <w:r>
        <w:rPr>
          <w:rFonts w:ascii="Times New Roman" w:hAnsi="Times New Roman" w:cs="Times New Roman" w:eastAsia="Times New Roman" w:hint="default"/>
          <w:sz w:val="18"/>
          <w:szCs w:val="18"/>
        </w:rPr>
        <w:t>2020</w:t>
      </w:r>
      <w:r>
        <w:rPr>
          <w:rFonts w:ascii="宋体" w:hAnsi="宋体" w:cs="宋体" w:eastAsia="宋体" w:hint="default"/>
          <w:sz w:val="18"/>
          <w:szCs w:val="18"/>
        </w:rPr>
        <w:t>年 第一次临时股东大会审议通过，公司拟公开发行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股可转换公司债券募集不超过人民币</w:t>
      </w:r>
      <w:r>
        <w:rPr>
          <w:rFonts w:ascii="Times New Roman" w:hAnsi="Times New Roman" w:cs="Times New Roman" w:eastAsia="Times New Roman" w:hint="default"/>
          <w:sz w:val="18"/>
          <w:szCs w:val="18"/>
        </w:rPr>
        <w:t>10.9</w:t>
      </w:r>
      <w:r>
        <w:rPr>
          <w:rFonts w:ascii="宋体" w:hAnsi="宋体" w:cs="宋体" w:eastAsia="宋体" w:hint="default"/>
          <w:sz w:val="18"/>
          <w:szCs w:val="18"/>
        </w:rPr>
        <w:t>亿元资金用于投资建设五象云谷 </w:t>
      </w:r>
      <w:r>
        <w:rPr>
          <w:rFonts w:ascii="宋体" w:hAnsi="宋体" w:cs="宋体" w:eastAsia="宋体" w:hint="default"/>
          <w:spacing w:val="-1"/>
          <w:sz w:val="18"/>
          <w:szCs w:val="18"/>
        </w:rPr>
        <w:t>云计算中心项目，五象云谷云计算中心项目地处广西，靠近东盟，符合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一带一路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东盟信息港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等国家战略建设需</w:t>
      </w:r>
      <w:r>
        <w:rPr>
          <w:rFonts w:ascii="宋体" w:hAnsi="宋体" w:cs="宋体" w:eastAsia="宋体" w:hint="default"/>
          <w:spacing w:val="-79"/>
          <w:sz w:val="18"/>
          <w:szCs w:val="18"/>
        </w:rPr>
        <w:t> </w:t>
      </w:r>
      <w:r>
        <w:rPr>
          <w:rFonts w:ascii="宋体" w:hAnsi="宋体" w:cs="宋体" w:eastAsia="宋体" w:hint="default"/>
          <w:spacing w:val="-2"/>
          <w:sz w:val="18"/>
          <w:szCs w:val="18"/>
        </w:rPr>
        <w:t>求，具有良好的市场空间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是公司布局云服务与</w:t>
      </w:r>
      <w:r>
        <w:rPr>
          <w:rFonts w:ascii="Times New Roman" w:hAnsi="Times New Roman" w:cs="Times New Roman" w:eastAsia="Times New Roman" w:hint="default"/>
          <w:spacing w:val="-2"/>
          <w:sz w:val="18"/>
          <w:szCs w:val="18"/>
        </w:rPr>
        <w:t>IDC</w:t>
      </w:r>
      <w:r>
        <w:rPr>
          <w:rFonts w:ascii="宋体" w:hAnsi="宋体" w:cs="宋体" w:eastAsia="宋体" w:hint="default"/>
          <w:spacing w:val="-2"/>
          <w:sz w:val="18"/>
          <w:szCs w:val="18"/>
        </w:rPr>
        <w:t>服务的载体。五象云谷云计算中心项目预计</w:t>
      </w:r>
      <w:r>
        <w:rPr>
          <w:rFonts w:ascii="Times New Roman" w:hAnsi="Times New Roman" w:cs="Times New Roman" w:eastAsia="Times New Roman" w:hint="default"/>
          <w:spacing w:val="-2"/>
          <w:sz w:val="18"/>
          <w:szCs w:val="18"/>
        </w:rPr>
        <w:t>2022</w:t>
      </w:r>
      <w:r>
        <w:rPr>
          <w:rFonts w:ascii="宋体" w:hAnsi="宋体" w:cs="宋体" w:eastAsia="宋体" w:hint="default"/>
          <w:spacing w:val="-2"/>
          <w:sz w:val="18"/>
          <w:szCs w:val="18"/>
        </w:rPr>
        <w:t>年开始投产运营，云服务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服务将成为公司业务增长的强力支撑。</w:t>
      </w:r>
    </w:p>
    <w:p>
      <w:pPr>
        <w:spacing w:line="240" w:lineRule="auto" w:before="1"/>
        <w:rPr>
          <w:rFonts w:ascii="宋体" w:hAnsi="宋体" w:cs="宋体" w:eastAsia="宋体" w:hint="default"/>
          <w:sz w:val="13"/>
          <w:szCs w:val="13"/>
        </w:rPr>
      </w:pPr>
    </w:p>
    <w:p>
      <w:pPr>
        <w:spacing w:line="312" w:lineRule="auto" w:before="0"/>
        <w:ind w:left="152" w:right="1128" w:firstLine="360"/>
        <w:jc w:val="both"/>
        <w:rPr>
          <w:rFonts w:ascii="宋体" w:hAnsi="宋体" w:cs="宋体" w:eastAsia="宋体" w:hint="default"/>
          <w:sz w:val="18"/>
          <w:szCs w:val="18"/>
        </w:rPr>
      </w:pPr>
      <w:r>
        <w:rPr>
          <w:rFonts w:ascii="宋体" w:hAnsi="宋体" w:cs="宋体" w:eastAsia="宋体" w:hint="default"/>
          <w:spacing w:val="-2"/>
          <w:sz w:val="18"/>
          <w:szCs w:val="18"/>
        </w:rPr>
        <w:t>在信息技术服务上，当前几乎所有的信息技术服务均离不开通信技术支撑，公司将充分发挥在建维、交付等方面的核心</w:t>
      </w:r>
      <w:r>
        <w:rPr>
          <w:rFonts w:ascii="宋体" w:hAnsi="宋体" w:cs="宋体" w:eastAsia="宋体" w:hint="default"/>
          <w:sz w:val="18"/>
          <w:szCs w:val="18"/>
        </w:rPr>
        <w:t> </w:t>
      </w:r>
      <w:r>
        <w:rPr>
          <w:rFonts w:ascii="宋体" w:hAnsi="宋体" w:cs="宋体" w:eastAsia="宋体" w:hint="default"/>
          <w:spacing w:val="-2"/>
          <w:sz w:val="18"/>
          <w:szCs w:val="18"/>
        </w:rPr>
        <w:t>竞争力，以信息与通信技术（</w:t>
      </w:r>
      <w:r>
        <w:rPr>
          <w:rFonts w:ascii="Times New Roman" w:hAnsi="Times New Roman" w:cs="Times New Roman" w:eastAsia="Times New Roman" w:hint="default"/>
          <w:spacing w:val="-2"/>
          <w:sz w:val="18"/>
          <w:szCs w:val="18"/>
        </w:rPr>
        <w:t>ICT</w:t>
      </w:r>
      <w:r>
        <w:rPr>
          <w:rFonts w:ascii="宋体" w:hAnsi="宋体" w:cs="宋体" w:eastAsia="宋体" w:hint="default"/>
          <w:spacing w:val="-2"/>
          <w:sz w:val="18"/>
          <w:szCs w:val="18"/>
        </w:rPr>
        <w:t>）为基础，重点聚焦智慧警务、智慧教育、智慧交通、智慧园区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社区、军民融合以及融媒</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体等行业领域，推出一系列以高新技术为核心的软硬件产品和解决方案。公司将持续加大研发投入，以科技推动公司长期发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展，布局</w:t>
      </w:r>
      <w:r>
        <w:rPr>
          <w:rFonts w:ascii="Times New Roman" w:hAnsi="Times New Roman" w:cs="Times New Roman" w:eastAsia="Times New Roman" w:hint="default"/>
          <w:spacing w:val="-2"/>
          <w:sz w:val="18"/>
          <w:szCs w:val="18"/>
        </w:rPr>
        <w:t>5G</w:t>
      </w:r>
      <w:r>
        <w:rPr>
          <w:rFonts w:ascii="宋体" w:hAnsi="宋体" w:cs="宋体" w:eastAsia="宋体" w:hint="default"/>
          <w:spacing w:val="-2"/>
          <w:sz w:val="18"/>
          <w:szCs w:val="18"/>
        </w:rPr>
        <w:t>技术应用、工业和电力物联网技术应用、大数据服务、云与</w:t>
      </w:r>
      <w:r>
        <w:rPr>
          <w:rFonts w:ascii="Times New Roman" w:hAnsi="Times New Roman" w:cs="Times New Roman" w:eastAsia="Times New Roman" w:hint="default"/>
          <w:spacing w:val="-2"/>
          <w:sz w:val="18"/>
          <w:szCs w:val="18"/>
        </w:rPr>
        <w:t>IDC</w:t>
      </w:r>
      <w:r>
        <w:rPr>
          <w:rFonts w:ascii="宋体" w:hAnsi="宋体" w:cs="宋体" w:eastAsia="宋体" w:hint="default"/>
          <w:spacing w:val="-2"/>
          <w:sz w:val="18"/>
          <w:szCs w:val="18"/>
        </w:rPr>
        <w:t>服务、电力智能化、智慧建维等高新技术，并将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技术研发成果在信息技术服务业务中应用。未来，高新技术将全面支撑公司科技与业务发展，信息技术服务是公司长期业务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增长的支撑点。</w:t>
      </w:r>
    </w:p>
    <w:p>
      <w:pPr>
        <w:spacing w:line="240" w:lineRule="auto" w:before="11"/>
        <w:rPr>
          <w:rFonts w:ascii="宋体" w:hAnsi="宋体" w:cs="宋体" w:eastAsia="宋体" w:hint="default"/>
          <w:sz w:val="13"/>
          <w:szCs w:val="13"/>
        </w:rPr>
      </w:pPr>
    </w:p>
    <w:p>
      <w:pPr>
        <w:spacing w:line="316" w:lineRule="auto" w:before="0"/>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在电力与新能源服务上，公司决心充分发挥在建设维护、营销、专业技术等方面已有的核心竞争力，通过内生业务拓展</w:t>
      </w:r>
      <w:r>
        <w:rPr>
          <w:rFonts w:ascii="宋体" w:hAnsi="宋体" w:cs="宋体" w:eastAsia="宋体" w:hint="default"/>
          <w:sz w:val="18"/>
          <w:szCs w:val="18"/>
        </w:rPr>
        <w:t> </w:t>
      </w:r>
      <w:r>
        <w:rPr>
          <w:rFonts w:ascii="宋体" w:hAnsi="宋体" w:cs="宋体" w:eastAsia="宋体" w:hint="default"/>
          <w:spacing w:val="-2"/>
          <w:sz w:val="18"/>
          <w:szCs w:val="18"/>
        </w:rPr>
        <w:t>及外延收购并举，建设电力与新能源行业全专业的技术服务能力，布局电力设计与咨询、电力工程、智慧电能、电力应用技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术研究、电力物联网、综合能源等业务，全面铺开快速拓展，力争短期内成为公司业务快速成长点，打造民营电力与新能源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服务知名品牌。</w:t>
      </w:r>
    </w:p>
    <w:p>
      <w:pPr>
        <w:spacing w:line="240" w:lineRule="auto" w:before="7"/>
        <w:rPr>
          <w:rFonts w:ascii="宋体" w:hAnsi="宋体" w:cs="宋体" w:eastAsia="宋体" w:hint="default"/>
          <w:sz w:val="13"/>
          <w:szCs w:val="13"/>
        </w:rPr>
      </w:pPr>
    </w:p>
    <w:p>
      <w:pPr>
        <w:spacing w:line="312" w:lineRule="auto" w:before="0"/>
        <w:ind w:left="152" w:right="1034" w:firstLine="360"/>
        <w:jc w:val="left"/>
        <w:rPr>
          <w:rFonts w:ascii="宋体" w:hAnsi="宋体" w:cs="宋体" w:eastAsia="宋体" w:hint="default"/>
          <w:sz w:val="18"/>
          <w:szCs w:val="18"/>
        </w:rPr>
      </w:pPr>
      <w:r>
        <w:rPr>
          <w:rFonts w:ascii="宋体" w:hAnsi="宋体" w:cs="宋体" w:eastAsia="宋体" w:hint="default"/>
          <w:spacing w:val="-2"/>
          <w:sz w:val="18"/>
          <w:szCs w:val="18"/>
        </w:rPr>
        <w:t>同时公司将在海外设立子公司进行海外市场开拓，参与国际先进技术研究开发、引进、应用推广。公司拥有丰富的行业</w:t>
      </w:r>
      <w:r>
        <w:rPr>
          <w:rFonts w:ascii="宋体" w:hAnsi="宋体" w:cs="宋体" w:eastAsia="宋体" w:hint="default"/>
          <w:sz w:val="18"/>
          <w:szCs w:val="18"/>
        </w:rPr>
        <w:t> 经验和技术累积，随着国家</w:t>
      </w:r>
      <w:r>
        <w:rPr>
          <w:rFonts w:ascii="Times New Roman" w:hAnsi="Times New Roman" w:cs="Times New Roman" w:eastAsia="Times New Roman" w:hint="default"/>
          <w:sz w:val="18"/>
          <w:szCs w:val="18"/>
        </w:rPr>
        <w:t>“</w:t>
      </w:r>
      <w:r>
        <w:rPr>
          <w:rFonts w:ascii="宋体" w:hAnsi="宋体" w:cs="宋体" w:eastAsia="宋体" w:hint="default"/>
          <w:sz w:val="18"/>
          <w:szCs w:val="18"/>
        </w:rPr>
        <w:t>一带一路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东盟自贸区</w:t>
      </w:r>
      <w:r>
        <w:rPr>
          <w:rFonts w:ascii="Times New Roman" w:hAnsi="Times New Roman" w:cs="Times New Roman" w:eastAsia="Times New Roman" w:hint="default"/>
          <w:sz w:val="18"/>
          <w:szCs w:val="18"/>
        </w:rPr>
        <w:t>”</w:t>
      </w:r>
      <w:r>
        <w:rPr>
          <w:rFonts w:ascii="宋体" w:hAnsi="宋体" w:cs="宋体" w:eastAsia="宋体" w:hint="default"/>
          <w:sz w:val="18"/>
          <w:szCs w:val="18"/>
        </w:rPr>
        <w:t>等政策推出，公司将把握机会切合国家政策大力拓展国际市场，特别 是东盟国家市场；公司设立欧洲未来科技研究院，在行业信息化、数字化、应用型高端科技等领域进行研究、合作与开发， </w:t>
      </w:r>
      <w:r>
        <w:rPr>
          <w:rFonts w:ascii="宋体" w:hAnsi="宋体" w:cs="宋体" w:eastAsia="宋体" w:hint="default"/>
          <w:spacing w:val="-2"/>
          <w:sz w:val="18"/>
          <w:szCs w:val="18"/>
        </w:rPr>
        <w:t>在突破关键技术、进入产业制高点与高价值领域的同时，积极参与国际承载型、智能型基础设施建设与信息化项目业务的市</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场拓展，为公司长期业务拓展奠定基础。</w:t>
      </w:r>
    </w:p>
    <w:p>
      <w:pPr>
        <w:spacing w:line="240" w:lineRule="auto" w:before="11"/>
        <w:rPr>
          <w:rFonts w:ascii="宋体" w:hAnsi="宋体" w:cs="宋体" w:eastAsia="宋体" w:hint="default"/>
          <w:sz w:val="13"/>
          <w:szCs w:val="13"/>
        </w:rPr>
      </w:pPr>
    </w:p>
    <w:p>
      <w:pPr>
        <w:spacing w:before="0"/>
        <w:ind w:left="513" w:right="1057" w:firstLine="0"/>
        <w:jc w:val="left"/>
        <w:rPr>
          <w:rFonts w:ascii="宋体" w:hAnsi="宋体" w:cs="宋体" w:eastAsia="宋体" w:hint="default"/>
          <w:sz w:val="18"/>
          <w:szCs w:val="18"/>
        </w:rPr>
      </w:pPr>
      <w:r>
        <w:rPr>
          <w:rFonts w:ascii="宋体" w:hAnsi="宋体" w:cs="宋体" w:eastAsia="宋体" w:hint="default"/>
          <w:sz w:val="18"/>
          <w:szCs w:val="18"/>
        </w:rPr>
        <w:t>（二）具体业务介绍</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2"/>
        <w:rPr>
          <w:rFonts w:ascii="宋体" w:hAnsi="宋体" w:cs="宋体" w:eastAsia="宋体" w:hint="default"/>
          <w:sz w:val="25"/>
          <w:szCs w:val="25"/>
        </w:rPr>
      </w:pPr>
    </w:p>
    <w:p>
      <w:pPr>
        <w:spacing w:before="44"/>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、通信网络建设服务</w:t>
      </w:r>
    </w:p>
    <w:p>
      <w:pPr>
        <w:spacing w:line="240" w:lineRule="auto" w:before="9"/>
        <w:rPr>
          <w:rFonts w:ascii="宋体" w:hAnsi="宋体" w:cs="宋体" w:eastAsia="宋体" w:hint="default"/>
          <w:sz w:val="16"/>
          <w:szCs w:val="16"/>
        </w:rPr>
      </w:pPr>
    </w:p>
    <w:p>
      <w:pPr>
        <w:spacing w:line="316" w:lineRule="auto" w:before="0"/>
        <w:ind w:left="152" w:right="1000" w:firstLine="360"/>
        <w:jc w:val="left"/>
        <w:rPr>
          <w:rFonts w:ascii="宋体" w:hAnsi="宋体" w:cs="宋体" w:eastAsia="宋体" w:hint="default"/>
          <w:sz w:val="18"/>
          <w:szCs w:val="18"/>
        </w:rPr>
      </w:pPr>
      <w:r>
        <w:rPr>
          <w:rFonts w:ascii="宋体" w:hAnsi="宋体" w:cs="宋体" w:eastAsia="宋体" w:hint="default"/>
          <w:spacing w:val="-4"/>
          <w:sz w:val="18"/>
          <w:szCs w:val="18"/>
        </w:rPr>
        <w:t>公司具备多项专业资质，可以承接各种规模的通信信息网络建设工程总体方案策划、设计、设备配置与选择、软件开发、</w:t>
      </w:r>
      <w:r>
        <w:rPr>
          <w:rFonts w:ascii="宋体" w:hAnsi="宋体" w:cs="宋体" w:eastAsia="宋体" w:hint="default"/>
          <w:sz w:val="18"/>
          <w:szCs w:val="18"/>
        </w:rPr>
        <w:t> </w:t>
      </w:r>
      <w:r>
        <w:rPr>
          <w:rFonts w:ascii="宋体" w:hAnsi="宋体" w:cs="宋体" w:eastAsia="宋体" w:hint="default"/>
          <w:spacing w:val="-2"/>
          <w:sz w:val="18"/>
          <w:szCs w:val="18"/>
        </w:rPr>
        <w:t>工程实施、工程后期的运行保障等业务。目前，公司承接的通信网络建设服务涉及通信网络的核心网、传输网、无线及有线</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接入网等多个网络的建设以及通信铁塔基站配套设施的建设服务。</w:t>
      </w:r>
    </w:p>
    <w:p>
      <w:pPr>
        <w:spacing w:line="240" w:lineRule="auto" w:before="7"/>
        <w:rPr>
          <w:rFonts w:ascii="宋体" w:hAnsi="宋体" w:cs="宋体" w:eastAsia="宋体" w:hint="default"/>
          <w:sz w:val="13"/>
          <w:szCs w:val="13"/>
        </w:rPr>
      </w:pPr>
    </w:p>
    <w:p>
      <w:pPr>
        <w:spacing w:line="309" w:lineRule="auto" w:before="0"/>
        <w:ind w:left="152" w:right="1000" w:firstLine="360"/>
        <w:jc w:val="left"/>
        <w:rPr>
          <w:rFonts w:ascii="宋体" w:hAnsi="宋体" w:cs="宋体" w:eastAsia="宋体" w:hint="default"/>
          <w:sz w:val="18"/>
          <w:szCs w:val="18"/>
        </w:rPr>
      </w:pPr>
      <w:r>
        <w:rPr>
          <w:rFonts w:ascii="宋体" w:hAnsi="宋体" w:cs="宋体" w:eastAsia="宋体" w:hint="default"/>
          <w:sz w:val="18"/>
          <w:szCs w:val="18"/>
        </w:rPr>
        <w:t>核心网建设服务主要包括：</w:t>
      </w:r>
      <w:r>
        <w:rPr>
          <w:rFonts w:ascii="Times New Roman" w:hAnsi="Times New Roman" w:cs="Times New Roman" w:eastAsia="Times New Roman" w:hint="default"/>
          <w:sz w:val="18"/>
          <w:szCs w:val="18"/>
        </w:rPr>
        <w:t>2G/3G/4G/5G</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融合核心网、信令网、短信网关等核心网设备的安装、调试、开通。传输网 </w:t>
      </w:r>
      <w:r>
        <w:rPr>
          <w:rFonts w:ascii="宋体" w:hAnsi="宋体" w:cs="宋体" w:eastAsia="宋体" w:hint="default"/>
          <w:spacing w:val="-2"/>
          <w:sz w:val="18"/>
          <w:szCs w:val="18"/>
        </w:rPr>
        <w:t>建设服务主要包括：骨干网、城域网、本地网；配套设备及电源设备的安装、调试；传输骨干网、本地网的建设。无线接入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网建设服务主要包括：接入网基站选址；基站机房配套建设及装修；无线主设备安装、调试及开通；动力电源的引入、安装、</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调试；室内室外天馈系统安装、调试；室内分布系统、</w:t>
      </w:r>
      <w:r>
        <w:rPr>
          <w:rFonts w:ascii="Times New Roman" w:hAnsi="Times New Roman" w:cs="Times New Roman" w:eastAsia="Times New Roman" w:hint="default"/>
          <w:spacing w:val="-2"/>
          <w:sz w:val="18"/>
          <w:szCs w:val="18"/>
        </w:rPr>
        <w:t>WLAN</w:t>
      </w:r>
      <w:r>
        <w:rPr>
          <w:rFonts w:ascii="宋体" w:hAnsi="宋体" w:cs="宋体" w:eastAsia="宋体" w:hint="default"/>
          <w:spacing w:val="-2"/>
          <w:sz w:val="18"/>
          <w:szCs w:val="18"/>
        </w:rPr>
        <w:t>及直放站的选址、设计、安装、调试等。有线接入网建设服务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主要包括：</w:t>
      </w:r>
      <w:r>
        <w:rPr>
          <w:rFonts w:ascii="Times New Roman" w:hAnsi="Times New Roman" w:cs="Times New Roman" w:eastAsia="Times New Roman" w:hint="default"/>
          <w:sz w:val="18"/>
          <w:szCs w:val="18"/>
        </w:rPr>
        <w:t>FTTX</w:t>
      </w:r>
      <w:r>
        <w:rPr>
          <w:rFonts w:ascii="宋体" w:hAnsi="宋体" w:cs="宋体" w:eastAsia="宋体" w:hint="default"/>
          <w:sz w:val="18"/>
          <w:szCs w:val="18"/>
        </w:rPr>
        <w:t>（</w:t>
      </w:r>
      <w:r>
        <w:rPr>
          <w:rFonts w:ascii="Times New Roman" w:hAnsi="Times New Roman" w:cs="Times New Roman" w:eastAsia="Times New Roman" w:hint="default"/>
          <w:sz w:val="18"/>
          <w:szCs w:val="18"/>
        </w:rPr>
        <w:t>FTTB/FTTH</w:t>
      </w:r>
      <w:r>
        <w:rPr>
          <w:rFonts w:ascii="宋体" w:hAnsi="宋体" w:cs="宋体" w:eastAsia="宋体" w:hint="default"/>
          <w:sz w:val="18"/>
          <w:szCs w:val="18"/>
        </w:rPr>
        <w:t>）工程；集团客户专线、家庭宽带客户网络等建设。通信铁塔基站配套建设服务主要包括： </w:t>
      </w:r>
      <w:r>
        <w:rPr>
          <w:rFonts w:ascii="宋体" w:hAnsi="宋体" w:cs="宋体" w:eastAsia="宋体" w:hint="default"/>
          <w:spacing w:val="-2"/>
          <w:sz w:val="18"/>
          <w:szCs w:val="18"/>
        </w:rPr>
        <w:t>新建、存量改造搬迁基站的开关电源、蓄电池、配电箱、电力电缆、接地排、走线架、空调、室外机柜、油机、旧塔新增天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线支架的安装、搬迁、拆除、调试等工作。</w:t>
      </w:r>
    </w:p>
    <w:p>
      <w:pPr>
        <w:spacing w:line="240" w:lineRule="auto" w:before="13"/>
        <w:rPr>
          <w:rFonts w:ascii="宋体" w:hAnsi="宋体" w:cs="宋体" w:eastAsia="宋体" w:hint="default"/>
          <w:sz w:val="13"/>
          <w:szCs w:val="13"/>
        </w:rPr>
      </w:pPr>
    </w:p>
    <w:p>
      <w:pPr>
        <w:spacing w:before="0"/>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、通信网络维护及优化服务</w:t>
      </w:r>
    </w:p>
    <w:p>
      <w:pPr>
        <w:spacing w:line="450" w:lineRule="atLeast" w:before="18"/>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）通信网络维护服务 </w:t>
      </w:r>
      <w:r>
        <w:rPr>
          <w:rFonts w:ascii="宋体" w:hAnsi="宋体" w:cs="宋体" w:eastAsia="宋体" w:hint="default"/>
          <w:spacing w:val="-2"/>
          <w:sz w:val="18"/>
          <w:szCs w:val="18"/>
        </w:rPr>
        <w:t>通信网络维护服务主要是提供通信网络机房环境、基站设备、传输线路及附属设施的运行管理、例行检修及故障处理等</w:t>
      </w:r>
    </w:p>
    <w:p>
      <w:pPr>
        <w:spacing w:line="316" w:lineRule="auto" w:before="74"/>
        <w:ind w:left="152" w:right="1000" w:firstLine="0"/>
        <w:jc w:val="left"/>
        <w:rPr>
          <w:rFonts w:ascii="宋体" w:hAnsi="宋体" w:cs="宋体" w:eastAsia="宋体" w:hint="default"/>
          <w:sz w:val="18"/>
          <w:szCs w:val="18"/>
        </w:rPr>
      </w:pPr>
      <w:r>
        <w:rPr>
          <w:rFonts w:ascii="宋体" w:hAnsi="宋体" w:cs="宋体" w:eastAsia="宋体" w:hint="default"/>
          <w:spacing w:val="-2"/>
          <w:sz w:val="18"/>
          <w:szCs w:val="18"/>
        </w:rPr>
        <w:t>全方位的专业技术服务；提供对因各种突发原因造成的通信网络重大故障做出快速响应并在最短时间内给予解决的应急通信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保障服务；为重要社会活动或特殊事件提供应急通信保障服务。通信网络维护服务主要包括机房环境维护、基站及配套维护、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室分直放站及</w:t>
      </w:r>
      <w:r>
        <w:rPr>
          <w:rFonts w:ascii="Times New Roman" w:hAnsi="Times New Roman" w:cs="Times New Roman" w:eastAsia="Times New Roman" w:hint="default"/>
          <w:sz w:val="18"/>
          <w:szCs w:val="18"/>
        </w:rPr>
        <w:t>WLAN</w:t>
      </w:r>
      <w:r>
        <w:rPr>
          <w:rFonts w:ascii="宋体" w:hAnsi="宋体" w:cs="宋体" w:eastAsia="宋体" w:hint="default"/>
          <w:sz w:val="18"/>
          <w:szCs w:val="18"/>
        </w:rPr>
        <w:t>维护、铁塔及天馈维护、传输线路维护、集团客户专线维护、家庭宽带维护等。</w:t>
      </w:r>
    </w:p>
    <w:p>
      <w:pPr>
        <w:spacing w:line="316" w:lineRule="auto" w:before="157"/>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目前，公司在全国二十余个省（市）承接通信运营商的通信网络综合维护服务和中国铁塔基站配套综合维护服务，在各</w:t>
      </w:r>
      <w:r>
        <w:rPr>
          <w:rFonts w:ascii="宋体" w:hAnsi="宋体" w:cs="宋体" w:eastAsia="宋体" w:hint="default"/>
          <w:sz w:val="18"/>
          <w:szCs w:val="18"/>
        </w:rPr>
        <w:t> </w:t>
      </w:r>
      <w:r>
        <w:rPr>
          <w:rFonts w:ascii="宋体" w:hAnsi="宋体" w:cs="宋体" w:eastAsia="宋体" w:hint="default"/>
          <w:spacing w:val="-2"/>
          <w:sz w:val="18"/>
          <w:szCs w:val="18"/>
        </w:rPr>
        <w:t>省（市）对应维护区域设立维护驻点，满足日常维护要求并能够及时提供应急通信保障，为客户提供快速、及时、优质的通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信网络维护服务，保证了通信运营商的网络畅通和用户的通信质量以及中国铁塔资产的保值增值。</w:t>
      </w:r>
    </w:p>
    <w:p>
      <w:pPr>
        <w:spacing w:line="470" w:lineRule="exact" w:before="11"/>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）通信网络优化服务 </w:t>
      </w:r>
      <w:r>
        <w:rPr>
          <w:rFonts w:ascii="宋体" w:hAnsi="宋体" w:cs="宋体" w:eastAsia="宋体" w:hint="default"/>
          <w:spacing w:val="-2"/>
          <w:sz w:val="18"/>
          <w:szCs w:val="18"/>
        </w:rPr>
        <w:t>通信网络优化服务主要是采集多维网络数据，结合业务种类及优化需求进行综合数据分析，通过调整优化，不断增强移</w:t>
      </w:r>
    </w:p>
    <w:p>
      <w:pPr>
        <w:spacing w:before="5"/>
        <w:ind w:left="152" w:right="1057" w:firstLine="0"/>
        <w:jc w:val="left"/>
        <w:rPr>
          <w:rFonts w:ascii="宋体" w:hAnsi="宋体" w:cs="宋体" w:eastAsia="宋体" w:hint="default"/>
          <w:sz w:val="18"/>
          <w:szCs w:val="18"/>
        </w:rPr>
      </w:pPr>
      <w:r>
        <w:rPr>
          <w:rFonts w:ascii="宋体" w:hAnsi="宋体" w:cs="宋体" w:eastAsia="宋体" w:hint="default"/>
          <w:sz w:val="18"/>
          <w:szCs w:val="18"/>
        </w:rPr>
        <w:t>动通信网络的稳定性、可靠性、高效性、适用性，改善运营商的业务品质，提升移动通信终端用户感知。</w:t>
      </w:r>
    </w:p>
    <w:p>
      <w:pPr>
        <w:spacing w:line="240" w:lineRule="auto" w:before="12"/>
        <w:rPr>
          <w:rFonts w:ascii="宋体" w:hAnsi="宋体" w:cs="宋体" w:eastAsia="宋体" w:hint="default"/>
          <w:sz w:val="17"/>
          <w:szCs w:val="17"/>
        </w:rPr>
      </w:pPr>
    </w:p>
    <w:p>
      <w:pPr>
        <w:spacing w:line="312" w:lineRule="auto" w:before="0"/>
        <w:ind w:left="152" w:right="1131" w:firstLine="360"/>
        <w:jc w:val="left"/>
        <w:rPr>
          <w:rFonts w:ascii="宋体" w:hAnsi="宋体" w:cs="宋体" w:eastAsia="宋体" w:hint="default"/>
          <w:sz w:val="18"/>
          <w:szCs w:val="18"/>
        </w:rPr>
      </w:pPr>
      <w:r>
        <w:rPr>
          <w:rFonts w:ascii="宋体" w:hAnsi="宋体" w:cs="宋体" w:eastAsia="宋体" w:hint="default"/>
          <w:spacing w:val="-2"/>
          <w:sz w:val="18"/>
          <w:szCs w:val="18"/>
        </w:rPr>
        <w:t>公司拥有专业的网络优化分析团队，与华为、中兴通讯等主流设备商建立了长期的合作关系，具备多厂家、多运营商的</w:t>
      </w:r>
      <w:r>
        <w:rPr>
          <w:rFonts w:ascii="宋体" w:hAnsi="宋体" w:cs="宋体" w:eastAsia="宋体" w:hint="default"/>
          <w:sz w:val="18"/>
          <w:szCs w:val="18"/>
        </w:rPr>
        <w:t> 综合性网络优化能力，能够针对</w:t>
      </w:r>
      <w:r>
        <w:rPr>
          <w:rFonts w:ascii="Times New Roman" w:hAnsi="Times New Roman" w:cs="Times New Roman" w:eastAsia="Times New Roman" w:hint="default"/>
          <w:sz w:val="18"/>
          <w:szCs w:val="18"/>
        </w:rPr>
        <w:t>GSM</w:t>
      </w:r>
      <w:r>
        <w:rPr>
          <w:rFonts w:ascii="宋体" w:hAnsi="宋体" w:cs="宋体" w:eastAsia="宋体" w:hint="default"/>
          <w:sz w:val="18"/>
          <w:szCs w:val="18"/>
        </w:rPr>
        <w:t>、</w:t>
      </w:r>
      <w:r>
        <w:rPr>
          <w:rFonts w:ascii="Times New Roman" w:hAnsi="Times New Roman" w:cs="Times New Roman" w:eastAsia="Times New Roman" w:hint="default"/>
          <w:sz w:val="18"/>
          <w:szCs w:val="18"/>
        </w:rPr>
        <w:t>CDMA</w:t>
      </w:r>
      <w:r>
        <w:rPr>
          <w:rFonts w:ascii="宋体" w:hAnsi="宋体" w:cs="宋体" w:eastAsia="宋体" w:hint="default"/>
          <w:sz w:val="18"/>
          <w:szCs w:val="18"/>
        </w:rPr>
        <w:t>、</w:t>
      </w:r>
      <w:r>
        <w:rPr>
          <w:rFonts w:ascii="Times New Roman" w:hAnsi="Times New Roman" w:cs="Times New Roman" w:eastAsia="Times New Roman" w:hint="default"/>
          <w:sz w:val="18"/>
          <w:szCs w:val="18"/>
        </w:rPr>
        <w:t>WCDMA</w:t>
      </w:r>
      <w:r>
        <w:rPr>
          <w:rFonts w:ascii="宋体" w:hAnsi="宋体" w:cs="宋体" w:eastAsia="宋体" w:hint="default"/>
          <w:sz w:val="18"/>
          <w:szCs w:val="18"/>
        </w:rPr>
        <w:t>、</w:t>
      </w:r>
      <w:r>
        <w:rPr>
          <w:rFonts w:ascii="Times New Roman" w:hAnsi="Times New Roman" w:cs="Times New Roman" w:eastAsia="Times New Roman" w:hint="default"/>
          <w:sz w:val="18"/>
          <w:szCs w:val="18"/>
        </w:rPr>
        <w:t>TD-SCDMA</w:t>
      </w:r>
      <w:r>
        <w:rPr>
          <w:rFonts w:ascii="宋体" w:hAnsi="宋体" w:cs="宋体" w:eastAsia="宋体" w:hint="default"/>
          <w:sz w:val="18"/>
          <w:szCs w:val="18"/>
        </w:rPr>
        <w:t>、</w:t>
      </w:r>
      <w:r>
        <w:rPr>
          <w:rFonts w:ascii="Times New Roman" w:hAnsi="Times New Roman" w:cs="Times New Roman" w:eastAsia="Times New Roman" w:hint="default"/>
          <w:sz w:val="18"/>
          <w:szCs w:val="18"/>
        </w:rPr>
        <w:t>LTE</w:t>
      </w:r>
      <w:r>
        <w:rPr>
          <w:rFonts w:ascii="宋体" w:hAnsi="宋体" w:cs="宋体" w:eastAsia="宋体" w:hint="default"/>
          <w:sz w:val="18"/>
          <w:szCs w:val="18"/>
        </w:rPr>
        <w:t>等多种制式无线网络提供专业的优化解决方 </w:t>
      </w:r>
      <w:r>
        <w:rPr>
          <w:rFonts w:ascii="宋体" w:hAnsi="宋体" w:cs="宋体" w:eastAsia="宋体" w:hint="default"/>
          <w:spacing w:val="-2"/>
          <w:sz w:val="18"/>
          <w:szCs w:val="18"/>
        </w:rPr>
        <w:t>案，包括建网初期及后期扩容的工程优化服务、运维期间的日常网络优化服务、针对网络短板的专项网络优化服务，致力于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节电功能、深度覆盖优化、基础射频优化等专项内容，切实提升无线网络质量和用户感知。</w:t>
      </w:r>
    </w:p>
    <w:p>
      <w:pPr>
        <w:spacing w:line="468" w:lineRule="exact" w:before="17"/>
        <w:ind w:left="513" w:right="105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、其他业务 </w:t>
      </w:r>
      <w:r>
        <w:rPr>
          <w:rFonts w:ascii="宋体" w:hAnsi="宋体" w:cs="宋体" w:eastAsia="宋体" w:hint="default"/>
          <w:spacing w:val="-1"/>
          <w:sz w:val="18"/>
          <w:szCs w:val="18"/>
        </w:rPr>
        <w:t>公司根据战略规划和市场环境变化，在保持通信技术服务业务稳定增长的同时，将服务范围进一步拓展至云服务与</w:t>
      </w:r>
      <w:r>
        <w:rPr>
          <w:rFonts w:ascii="Times New Roman" w:hAnsi="Times New Roman" w:cs="Times New Roman" w:eastAsia="Times New Roman" w:hint="default"/>
          <w:spacing w:val="-1"/>
          <w:sz w:val="18"/>
          <w:szCs w:val="18"/>
        </w:rPr>
        <w:t>IDC</w:t>
      </w:r>
    </w:p>
    <w:p>
      <w:pPr>
        <w:spacing w:before="8"/>
        <w:ind w:left="152" w:right="1057" w:firstLine="0"/>
        <w:jc w:val="left"/>
        <w:rPr>
          <w:rFonts w:ascii="宋体" w:hAnsi="宋体" w:cs="宋体" w:eastAsia="宋体" w:hint="default"/>
          <w:sz w:val="18"/>
          <w:szCs w:val="18"/>
        </w:rPr>
      </w:pPr>
      <w:r>
        <w:rPr>
          <w:rFonts w:ascii="宋体" w:hAnsi="宋体" w:cs="宋体" w:eastAsia="宋体" w:hint="default"/>
          <w:sz w:val="18"/>
          <w:szCs w:val="18"/>
        </w:rPr>
        <w:t>服务、信息技术服务、电力与新能源服务。公司将积极把握市场机会，打造持续发展的多业务增长点。</w:t>
      </w:r>
    </w:p>
    <w:p>
      <w:pPr>
        <w:spacing w:line="470" w:lineRule="atLeast" w:before="14"/>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）云服务与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 </w:t>
      </w:r>
      <w:r>
        <w:rPr>
          <w:rFonts w:ascii="宋体" w:hAnsi="宋体" w:cs="宋体" w:eastAsia="宋体" w:hint="default"/>
          <w:spacing w:val="-1"/>
          <w:sz w:val="18"/>
          <w:szCs w:val="18"/>
        </w:rPr>
        <w:t>云服务包括：云平台与云计算建设、维护及销售；</w:t>
      </w:r>
      <w:r>
        <w:rPr>
          <w:rFonts w:ascii="Times New Roman" w:hAnsi="Times New Roman" w:cs="Times New Roman" w:eastAsia="Times New Roman" w:hint="default"/>
          <w:spacing w:val="-1"/>
          <w:sz w:val="18"/>
          <w:szCs w:val="18"/>
        </w:rPr>
        <w:t>IDC</w:t>
      </w:r>
      <w:r>
        <w:rPr>
          <w:rFonts w:ascii="宋体" w:hAnsi="宋体" w:cs="宋体" w:eastAsia="宋体" w:hint="default"/>
          <w:spacing w:val="-1"/>
          <w:sz w:val="18"/>
          <w:szCs w:val="18"/>
        </w:rPr>
        <w:t>服务服务包括：数据中心设计、建设、维护、运营与租售、增值</w:t>
      </w:r>
    </w:p>
    <w:p>
      <w:pPr>
        <w:spacing w:before="60"/>
        <w:ind w:left="152" w:right="1057" w:firstLine="0"/>
        <w:jc w:val="left"/>
        <w:rPr>
          <w:rFonts w:ascii="宋体" w:hAnsi="宋体" w:cs="宋体" w:eastAsia="宋体" w:hint="default"/>
          <w:sz w:val="18"/>
          <w:szCs w:val="18"/>
        </w:rPr>
      </w:pPr>
      <w:r>
        <w:rPr>
          <w:rFonts w:ascii="宋体" w:hAnsi="宋体" w:cs="宋体" w:eastAsia="宋体" w:hint="default"/>
          <w:sz w:val="18"/>
          <w:szCs w:val="18"/>
        </w:rPr>
        <w:t>服务等。</w:t>
      </w:r>
    </w:p>
    <w:p>
      <w:pPr>
        <w:spacing w:line="470" w:lineRule="atLeast" w:before="14"/>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）信息技术服务 </w:t>
      </w:r>
      <w:r>
        <w:rPr>
          <w:rFonts w:ascii="宋体" w:hAnsi="宋体" w:cs="宋体" w:eastAsia="宋体" w:hint="default"/>
          <w:spacing w:val="-2"/>
          <w:sz w:val="18"/>
          <w:szCs w:val="18"/>
        </w:rPr>
        <w:t>公司重点布局</w:t>
      </w:r>
      <w:r>
        <w:rPr>
          <w:rFonts w:ascii="Times New Roman" w:hAnsi="Times New Roman" w:cs="Times New Roman" w:eastAsia="Times New Roman" w:hint="default"/>
          <w:spacing w:val="-2"/>
          <w:sz w:val="18"/>
          <w:szCs w:val="18"/>
        </w:rPr>
        <w:t>5G</w:t>
      </w:r>
      <w:r>
        <w:rPr>
          <w:rFonts w:ascii="宋体" w:hAnsi="宋体" w:cs="宋体" w:eastAsia="宋体" w:hint="default"/>
          <w:spacing w:val="-2"/>
          <w:sz w:val="18"/>
          <w:szCs w:val="18"/>
        </w:rPr>
        <w:t>技术应用、工业和电力物联网技术应用、大数据服务、云与</w:t>
      </w:r>
      <w:r>
        <w:rPr>
          <w:rFonts w:ascii="Times New Roman" w:hAnsi="Times New Roman" w:cs="Times New Roman" w:eastAsia="Times New Roman" w:hint="default"/>
          <w:spacing w:val="-2"/>
          <w:sz w:val="18"/>
          <w:szCs w:val="18"/>
        </w:rPr>
        <w:t>IDC</w:t>
      </w:r>
      <w:r>
        <w:rPr>
          <w:rFonts w:ascii="宋体" w:hAnsi="宋体" w:cs="宋体" w:eastAsia="宋体" w:hint="default"/>
          <w:spacing w:val="-2"/>
          <w:sz w:val="18"/>
          <w:szCs w:val="18"/>
        </w:rPr>
        <w:t>服务、电力智能化、智慧建维等高新技</w:t>
      </w:r>
    </w:p>
    <w:p>
      <w:pPr>
        <w:spacing w:line="300" w:lineRule="auto" w:before="61"/>
        <w:ind w:left="152" w:right="1000" w:firstLine="0"/>
        <w:jc w:val="left"/>
        <w:rPr>
          <w:rFonts w:ascii="宋体" w:hAnsi="宋体" w:cs="宋体" w:eastAsia="宋体" w:hint="default"/>
          <w:sz w:val="18"/>
          <w:szCs w:val="18"/>
        </w:rPr>
      </w:pPr>
      <w:r>
        <w:rPr>
          <w:rFonts w:ascii="宋体" w:hAnsi="宋体" w:cs="宋体" w:eastAsia="宋体" w:hint="default"/>
          <w:sz w:val="18"/>
          <w:szCs w:val="18"/>
        </w:rPr>
        <w:t>术业务。为客户提供一站式泛智能化信息技术服务，包括但不限于为客户提供</w:t>
      </w:r>
      <w:r>
        <w:rPr>
          <w:rFonts w:ascii="Times New Roman" w:hAnsi="Times New Roman" w:cs="Times New Roman" w:eastAsia="Times New Roman" w:hint="default"/>
          <w:sz w:val="18"/>
          <w:szCs w:val="18"/>
        </w:rPr>
        <w:t>IT</w:t>
      </w:r>
      <w:r>
        <w:rPr>
          <w:rFonts w:ascii="宋体" w:hAnsi="宋体" w:cs="宋体" w:eastAsia="宋体" w:hint="default"/>
          <w:sz w:val="18"/>
          <w:szCs w:val="18"/>
        </w:rPr>
        <w:t>咨询、规划设计、系统集成实施、一体化</w:t>
      </w:r>
      <w:r>
        <w:rPr>
          <w:rFonts w:ascii="Times New Roman" w:hAnsi="Times New Roman" w:cs="Times New Roman" w:eastAsia="Times New Roman" w:hint="default"/>
          <w:sz w:val="18"/>
          <w:szCs w:val="18"/>
        </w:rPr>
        <w:t>IT </w:t>
      </w:r>
      <w:r>
        <w:rPr>
          <w:rFonts w:ascii="宋体" w:hAnsi="宋体" w:cs="宋体" w:eastAsia="宋体" w:hint="default"/>
          <w:spacing w:val="-4"/>
          <w:sz w:val="18"/>
          <w:szCs w:val="18"/>
        </w:rPr>
        <w:t>运维、软件开发、系统优化与升级、技术管理及支撑服务等综合性解决方案，服务主要面向智慧警务、智慧教育、智慧交通、</w:t>
      </w:r>
    </w:p>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智慧园区</w:t>
      </w:r>
      <w:r>
        <w:rPr>
          <w:rFonts w:ascii="Times New Roman" w:hAnsi="Times New Roman" w:cs="Times New Roman" w:eastAsia="Times New Roman" w:hint="default"/>
          <w:sz w:val="18"/>
          <w:szCs w:val="18"/>
        </w:rPr>
        <w:t>/</w:t>
      </w:r>
      <w:r>
        <w:rPr>
          <w:rFonts w:ascii="宋体" w:hAnsi="宋体" w:cs="宋体" w:eastAsia="宋体" w:hint="default"/>
          <w:sz w:val="18"/>
          <w:szCs w:val="18"/>
        </w:rPr>
        <w:t>社区、军民融合以及融媒体等行业领域。</w:t>
      </w:r>
    </w:p>
    <w:p>
      <w:pPr>
        <w:spacing w:line="450" w:lineRule="atLeast" w:before="20"/>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）电力与新能源服务 </w:t>
      </w:r>
      <w:r>
        <w:rPr>
          <w:rFonts w:ascii="宋体" w:hAnsi="宋体" w:cs="宋体" w:eastAsia="宋体" w:hint="default"/>
          <w:spacing w:val="-2"/>
          <w:sz w:val="18"/>
          <w:szCs w:val="18"/>
        </w:rPr>
        <w:t>公司为南方电网、国家电网、省级电网公司、地方供电局以及其他大型用电企业，在发电、变电、输电、配电、用电等</w:t>
      </w:r>
    </w:p>
    <w:p>
      <w:pPr>
        <w:spacing w:line="316" w:lineRule="auto" w:before="76"/>
        <w:ind w:left="152" w:right="1044" w:firstLine="0"/>
        <w:jc w:val="both"/>
        <w:rPr>
          <w:rFonts w:ascii="宋体" w:hAnsi="宋体" w:cs="宋体" w:eastAsia="宋体" w:hint="default"/>
          <w:sz w:val="18"/>
          <w:szCs w:val="18"/>
        </w:rPr>
      </w:pPr>
      <w:r>
        <w:rPr>
          <w:rFonts w:ascii="宋体" w:hAnsi="宋体" w:cs="宋体" w:eastAsia="宋体" w:hint="default"/>
          <w:spacing w:val="-4"/>
          <w:sz w:val="18"/>
          <w:szCs w:val="18"/>
        </w:rPr>
        <w:t>各个环节，提供包括电力设计与咨询（含主网、配网、用户的电力设计与咨询）、电力工程、智慧电能（能效管理平台服务、</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节能改造、日常巡检服务等）、电力应用技术研究、电力物联网、综合能源等方面的服务。</w:t>
      </w:r>
    </w:p>
    <w:p>
      <w:pPr>
        <w:spacing w:line="468" w:lineRule="exact" w:before="13"/>
        <w:ind w:left="513" w:right="1123" w:firstLine="0"/>
        <w:jc w:val="left"/>
        <w:rPr>
          <w:rFonts w:ascii="宋体" w:hAnsi="宋体" w:cs="宋体" w:eastAsia="宋体" w:hint="default"/>
          <w:sz w:val="18"/>
          <w:szCs w:val="18"/>
        </w:rPr>
      </w:pPr>
      <w:r>
        <w:rPr>
          <w:rFonts w:ascii="宋体" w:hAnsi="宋体" w:cs="宋体" w:eastAsia="宋体" w:hint="default"/>
          <w:sz w:val="18"/>
          <w:szCs w:val="18"/>
        </w:rPr>
        <w:t>（三）行业发展 润建股份服务范围包括通信技术服务、云服务与</w:t>
      </w:r>
      <w:r>
        <w:rPr>
          <w:rFonts w:ascii="宋体" w:hAnsi="宋体" w:cs="宋体" w:eastAsia="宋体" w:hint="default"/>
          <w:sz w:val="18"/>
          <w:szCs w:val="18"/>
        </w:rPr>
        <w:t>IDC</w:t>
      </w:r>
      <w:r>
        <w:rPr>
          <w:rFonts w:ascii="宋体" w:hAnsi="宋体" w:cs="宋体" w:eastAsia="宋体" w:hint="default"/>
          <w:sz w:val="18"/>
          <w:szCs w:val="18"/>
        </w:rPr>
        <w:t>服务、信息技术服务、电力与新能源服务、工业和电力物联网服务</w:t>
      </w:r>
    </w:p>
    <w:p>
      <w:pPr>
        <w:spacing w:line="300" w:lineRule="auto" w:before="8"/>
        <w:ind w:left="152" w:right="1128" w:firstLine="0"/>
        <w:jc w:val="both"/>
        <w:rPr>
          <w:rFonts w:ascii="宋体" w:hAnsi="宋体" w:cs="宋体" w:eastAsia="宋体" w:hint="default"/>
          <w:sz w:val="18"/>
          <w:szCs w:val="18"/>
        </w:rPr>
      </w:pPr>
      <w:r>
        <w:rPr>
          <w:rFonts w:ascii="宋体" w:hAnsi="宋体" w:cs="宋体" w:eastAsia="宋体" w:hint="default"/>
          <w:spacing w:val="-2"/>
          <w:sz w:val="18"/>
          <w:szCs w:val="18"/>
        </w:rPr>
        <w:t>等新型基础设施建设领域。</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月，在中央经济工作会议上，决策层强调，要发挥投资关键作用，加大制造业技术改造</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和设备更新，加快</w:t>
      </w:r>
      <w:r>
        <w:rPr>
          <w:rFonts w:ascii="Times New Roman" w:hAnsi="Times New Roman" w:cs="Times New Roman" w:eastAsia="Times New Roman" w:hint="default"/>
          <w:sz w:val="18"/>
          <w:szCs w:val="18"/>
        </w:rPr>
        <w:t>5G</w:t>
      </w:r>
      <w:r>
        <w:rPr>
          <w:rFonts w:ascii="宋体" w:hAnsi="宋体" w:cs="宋体" w:eastAsia="宋体" w:hint="default"/>
          <w:sz w:val="18"/>
          <w:szCs w:val="18"/>
        </w:rPr>
        <w:t>商用步伐，加强人工智能、工业互联网、物联网等新型基础设施建设，加大城际交通、物流、市政基 </w:t>
      </w:r>
      <w:r>
        <w:rPr>
          <w:rFonts w:ascii="宋体" w:hAnsi="宋体" w:cs="宋体" w:eastAsia="宋体" w:hint="default"/>
          <w:spacing w:val="-2"/>
          <w:sz w:val="18"/>
          <w:szCs w:val="18"/>
        </w:rPr>
        <w:t>础设施等投资力度，补齐农村基础设施和公共服务设施建设短板，加强自然灾害防治能力建设。</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日，在中共中央</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政治局常务委员会召开的会议上，决策层再次强调，要加快推进国家规划已明确的重大工程和基础设施建设，其中要加快</w:t>
      </w:r>
      <w:r>
        <w:rPr>
          <w:rFonts w:ascii="Times New Roman" w:hAnsi="Times New Roman" w:cs="Times New Roman" w:eastAsia="Times New Roman" w:hint="default"/>
          <w:spacing w:val="-3"/>
          <w:sz w:val="18"/>
          <w:szCs w:val="18"/>
        </w:rPr>
        <w:t>5G</w:t>
      </w:r>
      <w:r>
        <w:rPr>
          <w:rFonts w:ascii="Times New Roman" w:hAnsi="Times New Roman" w:cs="Times New Roman" w:eastAsia="Times New Roman" w:hint="default"/>
          <w:sz w:val="18"/>
          <w:szCs w:val="18"/>
        </w:rPr>
        <w:t> </w:t>
      </w:r>
      <w:r>
        <w:rPr>
          <w:rFonts w:ascii="宋体" w:hAnsi="宋体" w:cs="宋体" w:eastAsia="宋体" w:hint="default"/>
          <w:sz w:val="18"/>
          <w:szCs w:val="18"/>
        </w:rPr>
        <w:t>网络、数据中心等新型基础设施建设进度。随着政策推进，公司未来发展前景广阔。</w:t>
      </w:r>
    </w:p>
    <w:p>
      <w:pPr>
        <w:spacing w:line="240" w:lineRule="auto" w:before="7"/>
        <w:rPr>
          <w:rFonts w:ascii="宋体" w:hAnsi="宋体" w:cs="宋体" w:eastAsia="宋体" w:hint="default"/>
          <w:sz w:val="14"/>
          <w:szCs w:val="14"/>
        </w:rPr>
      </w:pPr>
    </w:p>
    <w:p>
      <w:pPr>
        <w:spacing w:line="300" w:lineRule="auto" w:before="0"/>
        <w:ind w:left="152" w:right="1122" w:firstLine="360"/>
        <w:jc w:val="left"/>
        <w:rPr>
          <w:rFonts w:ascii="宋体" w:hAnsi="宋体" w:cs="宋体" w:eastAsia="宋体" w:hint="default"/>
          <w:sz w:val="18"/>
          <w:szCs w:val="18"/>
        </w:rPr>
      </w:pPr>
      <w:r>
        <w:rPr>
          <w:rFonts w:ascii="宋体" w:hAnsi="宋体" w:cs="宋体" w:eastAsia="宋体" w:hint="default"/>
          <w:sz w:val="18"/>
          <w:szCs w:val="18"/>
        </w:rPr>
        <w:t>在通信技术服务上，根据中国移动和中国联通披露的定期报告，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年中国移动资本开支</w:t>
      </w:r>
      <w:r>
        <w:rPr>
          <w:rFonts w:ascii="Times New Roman" w:hAnsi="Times New Roman" w:cs="Times New Roman" w:eastAsia="Times New Roman" w:hint="default"/>
          <w:sz w:val="18"/>
          <w:szCs w:val="18"/>
        </w:rPr>
        <w:t>1659</w:t>
      </w:r>
      <w:r>
        <w:rPr>
          <w:rFonts w:ascii="宋体" w:hAnsi="宋体" w:cs="宋体" w:eastAsia="宋体" w:hint="default"/>
          <w:sz w:val="18"/>
          <w:szCs w:val="18"/>
        </w:rPr>
        <w:t>亿元，其中</w:t>
      </w:r>
      <w:r>
        <w:rPr>
          <w:rFonts w:ascii="Times New Roman" w:hAnsi="Times New Roman" w:cs="Times New Roman" w:eastAsia="Times New Roman" w:hint="default"/>
          <w:sz w:val="18"/>
          <w:szCs w:val="18"/>
        </w:rPr>
        <w:t>5G</w:t>
      </w:r>
      <w:r>
        <w:rPr>
          <w:rFonts w:ascii="宋体" w:hAnsi="宋体" w:cs="宋体" w:eastAsia="宋体" w:hint="default"/>
          <w:sz w:val="18"/>
          <w:szCs w:val="18"/>
        </w:rPr>
        <w:t>相关投资 为</w:t>
      </w:r>
      <w:r>
        <w:rPr>
          <w:rFonts w:ascii="Times New Roman" w:hAnsi="Times New Roman" w:cs="Times New Roman" w:eastAsia="Times New Roman" w:hint="default"/>
          <w:sz w:val="18"/>
          <w:szCs w:val="18"/>
        </w:rPr>
        <w:t>240</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2020</w:t>
      </w:r>
      <w:r>
        <w:rPr>
          <w:rFonts w:ascii="宋体" w:hAnsi="宋体" w:cs="宋体" w:eastAsia="宋体" w:hint="default"/>
          <w:sz w:val="18"/>
          <w:szCs w:val="18"/>
        </w:rPr>
        <w:t>年资本开支预算为</w:t>
      </w:r>
      <w:r>
        <w:rPr>
          <w:rFonts w:ascii="Times New Roman" w:hAnsi="Times New Roman" w:cs="Times New Roman" w:eastAsia="Times New Roman" w:hint="default"/>
          <w:sz w:val="18"/>
          <w:szCs w:val="18"/>
        </w:rPr>
        <w:t>1798</w:t>
      </w:r>
      <w:r>
        <w:rPr>
          <w:rFonts w:ascii="宋体" w:hAnsi="宋体" w:cs="宋体" w:eastAsia="宋体" w:hint="default"/>
          <w:sz w:val="18"/>
          <w:szCs w:val="18"/>
        </w:rPr>
        <w:t>亿元，其中</w:t>
      </w:r>
      <w:r>
        <w:rPr>
          <w:rFonts w:ascii="Times New Roman" w:hAnsi="Times New Roman" w:cs="Times New Roman" w:eastAsia="Times New Roman" w:hint="default"/>
          <w:sz w:val="18"/>
          <w:szCs w:val="18"/>
        </w:rPr>
        <w:t>5G</w:t>
      </w:r>
      <w:r>
        <w:rPr>
          <w:rFonts w:ascii="宋体" w:hAnsi="宋体" w:cs="宋体" w:eastAsia="宋体" w:hint="default"/>
          <w:sz w:val="18"/>
          <w:szCs w:val="18"/>
        </w:rPr>
        <w:t>相关投资计划约</w:t>
      </w:r>
      <w:r>
        <w:rPr>
          <w:rFonts w:ascii="Times New Roman" w:hAnsi="Times New Roman" w:cs="Times New Roman" w:eastAsia="Times New Roman" w:hint="default"/>
          <w:sz w:val="18"/>
          <w:szCs w:val="18"/>
        </w:rPr>
        <w:t>1000</w:t>
      </w:r>
      <w:r>
        <w:rPr>
          <w:rFonts w:ascii="宋体" w:hAnsi="宋体" w:cs="宋体" w:eastAsia="宋体" w:hint="default"/>
          <w:sz w:val="18"/>
          <w:szCs w:val="18"/>
        </w:rPr>
        <w:t>亿元；</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年中国联通资本开支</w:t>
      </w:r>
      <w:r>
        <w:rPr>
          <w:rFonts w:ascii="Times New Roman" w:hAnsi="Times New Roman" w:cs="Times New Roman" w:eastAsia="Times New Roman" w:hint="default"/>
          <w:sz w:val="18"/>
          <w:szCs w:val="18"/>
        </w:rPr>
        <w:t>564</w:t>
      </w:r>
      <w:r>
        <w:rPr>
          <w:rFonts w:ascii="宋体" w:hAnsi="宋体" w:cs="宋体" w:eastAsia="宋体" w:hint="default"/>
          <w:sz w:val="18"/>
          <w:szCs w:val="18"/>
        </w:rPr>
        <w:t>亿元，其中 </w:t>
      </w:r>
      <w:r>
        <w:rPr>
          <w:rFonts w:ascii="Times New Roman" w:hAnsi="Times New Roman" w:cs="Times New Roman" w:eastAsia="Times New Roman" w:hint="default"/>
          <w:spacing w:val="-3"/>
          <w:sz w:val="18"/>
          <w:szCs w:val="18"/>
        </w:rPr>
        <w:t>5G</w:t>
      </w:r>
      <w:r>
        <w:rPr>
          <w:rFonts w:ascii="宋体" w:hAnsi="宋体" w:cs="宋体" w:eastAsia="宋体" w:hint="default"/>
          <w:spacing w:val="-3"/>
          <w:sz w:val="18"/>
          <w:szCs w:val="18"/>
        </w:rPr>
        <w:t>相关投资约为</w:t>
      </w:r>
      <w:r>
        <w:rPr>
          <w:rFonts w:ascii="Times New Roman" w:hAnsi="Times New Roman" w:cs="Times New Roman" w:eastAsia="Times New Roman" w:hint="default"/>
          <w:spacing w:val="-3"/>
          <w:sz w:val="18"/>
          <w:szCs w:val="18"/>
        </w:rPr>
        <w:t>79</w:t>
      </w:r>
      <w:r>
        <w:rPr>
          <w:rFonts w:ascii="宋体" w:hAnsi="宋体" w:cs="宋体" w:eastAsia="宋体" w:hint="default"/>
          <w:spacing w:val="-3"/>
          <w:sz w:val="18"/>
          <w:szCs w:val="18"/>
        </w:rPr>
        <w:t>亿元，</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年资本开支预算为</w:t>
      </w:r>
      <w:r>
        <w:rPr>
          <w:rFonts w:ascii="Times New Roman" w:hAnsi="Times New Roman" w:cs="Times New Roman" w:eastAsia="Times New Roman" w:hint="default"/>
          <w:spacing w:val="-3"/>
          <w:sz w:val="18"/>
          <w:szCs w:val="18"/>
        </w:rPr>
        <w:t>700</w:t>
      </w:r>
      <w:r>
        <w:rPr>
          <w:rFonts w:ascii="宋体" w:hAnsi="宋体" w:cs="宋体" w:eastAsia="宋体" w:hint="default"/>
          <w:spacing w:val="-3"/>
          <w:sz w:val="18"/>
          <w:szCs w:val="18"/>
        </w:rPr>
        <w:t>亿元，其中</w:t>
      </w:r>
      <w:r>
        <w:rPr>
          <w:rFonts w:ascii="Times New Roman" w:hAnsi="Times New Roman" w:cs="Times New Roman" w:eastAsia="Times New Roman" w:hint="default"/>
          <w:spacing w:val="-3"/>
          <w:sz w:val="18"/>
          <w:szCs w:val="18"/>
        </w:rPr>
        <w:t>5G</w:t>
      </w:r>
      <w:r>
        <w:rPr>
          <w:rFonts w:ascii="宋体" w:hAnsi="宋体" w:cs="宋体" w:eastAsia="宋体" w:hint="default"/>
          <w:spacing w:val="-3"/>
          <w:sz w:val="18"/>
          <w:szCs w:val="18"/>
        </w:rPr>
        <w:t>相关投资计划约</w:t>
      </w:r>
      <w:r>
        <w:rPr>
          <w:rFonts w:ascii="Times New Roman" w:hAnsi="Times New Roman" w:cs="Times New Roman" w:eastAsia="Times New Roman" w:hint="default"/>
          <w:spacing w:val="-3"/>
          <w:sz w:val="18"/>
          <w:szCs w:val="18"/>
        </w:rPr>
        <w:t>350</w:t>
      </w:r>
      <w:r>
        <w:rPr>
          <w:rFonts w:ascii="宋体" w:hAnsi="宋体" w:cs="宋体" w:eastAsia="宋体" w:hint="default"/>
          <w:spacing w:val="-3"/>
          <w:sz w:val="18"/>
          <w:szCs w:val="18"/>
        </w:rPr>
        <w:t>亿元。全球移动通信系统协会预测</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宋体" w:hAnsi="宋体" w:cs="宋体" w:eastAsia="宋体" w:hint="default"/>
          <w:sz w:val="18"/>
          <w:szCs w:val="18"/>
        </w:rPr>
        <w:t>至</w:t>
      </w:r>
      <w:r>
        <w:rPr>
          <w:rFonts w:ascii="Times New Roman" w:hAnsi="Times New Roman" w:cs="Times New Roman" w:eastAsia="Times New Roman" w:hint="default"/>
          <w:sz w:val="18"/>
          <w:szCs w:val="18"/>
        </w:rPr>
        <w:t>2025</w:t>
      </w:r>
      <w:r>
        <w:rPr>
          <w:rFonts w:ascii="宋体" w:hAnsi="宋体" w:cs="宋体" w:eastAsia="宋体" w:hint="default"/>
          <w:sz w:val="18"/>
          <w:szCs w:val="18"/>
        </w:rPr>
        <w:t>年间，中国运营商基于移动业务的资本支出将达到</w:t>
      </w:r>
      <w:r>
        <w:rPr>
          <w:rFonts w:ascii="Times New Roman" w:hAnsi="Times New Roman" w:cs="Times New Roman" w:eastAsia="Times New Roman" w:hint="default"/>
          <w:sz w:val="18"/>
          <w:szCs w:val="18"/>
        </w:rPr>
        <w:t>1800</w:t>
      </w:r>
      <w:r>
        <w:rPr>
          <w:rFonts w:ascii="宋体" w:hAnsi="宋体" w:cs="宋体" w:eastAsia="宋体" w:hint="default"/>
          <w:sz w:val="18"/>
          <w:szCs w:val="18"/>
        </w:rPr>
        <w:t>亿美元，其中大约</w:t>
      </w:r>
      <w:r>
        <w:rPr>
          <w:rFonts w:ascii="Times New Roman" w:hAnsi="Times New Roman" w:cs="Times New Roman" w:eastAsia="Times New Roman" w:hint="default"/>
          <w:sz w:val="18"/>
          <w:szCs w:val="18"/>
        </w:rPr>
        <w:t>90%</w:t>
      </w:r>
      <w:r>
        <w:rPr>
          <w:rFonts w:ascii="宋体" w:hAnsi="宋体" w:cs="宋体" w:eastAsia="宋体" w:hint="default"/>
          <w:sz w:val="18"/>
          <w:szCs w:val="18"/>
        </w:rPr>
        <w:t>将被用于</w:t>
      </w:r>
      <w:r>
        <w:rPr>
          <w:rFonts w:ascii="Times New Roman" w:hAnsi="Times New Roman" w:cs="Times New Roman" w:eastAsia="Times New Roman" w:hint="default"/>
          <w:sz w:val="18"/>
          <w:szCs w:val="18"/>
        </w:rPr>
        <w:t>5G</w:t>
      </w:r>
      <w:r>
        <w:rPr>
          <w:rFonts w:ascii="宋体" w:hAnsi="宋体" w:cs="宋体" w:eastAsia="宋体" w:hint="default"/>
          <w:sz w:val="18"/>
          <w:szCs w:val="18"/>
        </w:rPr>
        <w:t>网络建设。随着运营商投 资力度的加大，</w:t>
      </w:r>
      <w:r>
        <w:rPr>
          <w:rFonts w:ascii="Times New Roman" w:hAnsi="Times New Roman" w:cs="Times New Roman" w:eastAsia="Times New Roman" w:hint="default"/>
          <w:sz w:val="18"/>
          <w:szCs w:val="18"/>
        </w:rPr>
        <w:t>5G</w:t>
      </w:r>
      <w:r>
        <w:rPr>
          <w:rFonts w:ascii="宋体" w:hAnsi="宋体" w:cs="宋体" w:eastAsia="宋体" w:hint="default"/>
          <w:sz w:val="18"/>
          <w:szCs w:val="18"/>
        </w:rPr>
        <w:t>迎来大规模建设期，未来公司通信技术服务业务将迎来良好的发展机遇。</w:t>
      </w:r>
    </w:p>
    <w:p>
      <w:pPr>
        <w:spacing w:line="307" w:lineRule="auto" w:before="53"/>
        <w:ind w:left="152" w:right="1128" w:firstLine="360"/>
        <w:jc w:val="both"/>
        <w:rPr>
          <w:rFonts w:ascii="宋体" w:hAnsi="宋体" w:cs="宋体" w:eastAsia="宋体" w:hint="default"/>
          <w:sz w:val="18"/>
          <w:szCs w:val="18"/>
        </w:rPr>
      </w:pPr>
      <w:r>
        <w:rPr>
          <w:rFonts w:ascii="宋体" w:hAnsi="宋体" w:cs="宋体" w:eastAsia="宋体" w:hint="default"/>
          <w:sz w:val="18"/>
          <w:szCs w:val="18"/>
        </w:rPr>
        <w:t>在电力与新能源服务上，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月，国家电网工作会议正式提出建设枢纽型、平台型、共享型企业，在坚强智能电网 </w:t>
      </w:r>
      <w:r>
        <w:rPr>
          <w:rFonts w:ascii="宋体" w:hAnsi="宋体" w:cs="宋体" w:eastAsia="宋体" w:hint="default"/>
          <w:spacing w:val="-2"/>
          <w:sz w:val="18"/>
          <w:szCs w:val="18"/>
        </w:rPr>
        <w:t>基础上建设泛在电力物联网，共同构成能源流、业务流、数据流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三流合一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的能源互联网。中国南方电网发布《公司数字化</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转型和数字南网建设行动方案（</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年版）》文件，规划实施</w:t>
      </w:r>
      <w:r>
        <w:rPr>
          <w:rFonts w:ascii="Times New Roman" w:hAnsi="Times New Roman" w:cs="Times New Roman" w:eastAsia="Times New Roman" w:hint="default"/>
          <w:sz w:val="18"/>
          <w:szCs w:val="18"/>
        </w:rPr>
        <w:t>“4321</w:t>
      </w:r>
      <w:r>
        <w:rPr>
          <w:rFonts w:ascii="宋体" w:hAnsi="宋体" w:cs="宋体" w:eastAsia="宋体" w:hint="default"/>
          <w:sz w:val="18"/>
          <w:szCs w:val="18"/>
        </w:rPr>
        <w:t>建设方案，积极推动数字化转型。目前</w:t>
      </w:r>
      <w:r>
        <w:rPr>
          <w:rFonts w:ascii="Times New Roman" w:hAnsi="Times New Roman" w:cs="Times New Roman" w:eastAsia="Times New Roman" w:hint="default"/>
          <w:sz w:val="18"/>
          <w:szCs w:val="18"/>
        </w:rPr>
        <w:t>“</w:t>
      </w:r>
      <w:r>
        <w:rPr>
          <w:rFonts w:ascii="宋体" w:hAnsi="宋体" w:cs="宋体" w:eastAsia="宋体" w:hint="default"/>
          <w:sz w:val="18"/>
          <w:szCs w:val="18"/>
        </w:rPr>
        <w:t>十三五</w:t>
      </w:r>
      <w:r>
        <w:rPr>
          <w:rFonts w:ascii="Times New Roman" w:hAnsi="Times New Roman" w:cs="Times New Roman" w:eastAsia="Times New Roman" w:hint="default"/>
          <w:sz w:val="18"/>
          <w:szCs w:val="18"/>
        </w:rPr>
        <w:t>”</w:t>
      </w:r>
      <w:r>
        <w:rPr>
          <w:rFonts w:ascii="宋体" w:hAnsi="宋体" w:cs="宋体" w:eastAsia="宋体" w:hint="default"/>
          <w:sz w:val="18"/>
          <w:szCs w:val="18"/>
        </w:rPr>
        <w:t>配电计</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划行动来到最后收官时间，配网建设正迎来黄金期，随着新能源汽车的普及和新能源发电的增长，能源互联网发展将会不断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落地，电力负荷增长和电能质量提升是电网投资的主要驱动因素，市场投资规模将出现大幅增长。预计电力和新能源建设需</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求将迎来快速增长周期。</w:t>
      </w:r>
    </w:p>
    <w:p>
      <w:pPr>
        <w:spacing w:line="240" w:lineRule="auto" w:before="12"/>
        <w:rPr>
          <w:rFonts w:ascii="宋体" w:hAnsi="宋体" w:cs="宋体" w:eastAsia="宋体" w:hint="default"/>
          <w:sz w:val="13"/>
          <w:szCs w:val="13"/>
        </w:rPr>
      </w:pPr>
    </w:p>
    <w:p>
      <w:pPr>
        <w:spacing w:line="300" w:lineRule="auto" w:before="0"/>
        <w:ind w:left="152" w:right="1124" w:firstLine="360"/>
        <w:jc w:val="left"/>
        <w:rPr>
          <w:rFonts w:ascii="宋体" w:hAnsi="宋体" w:cs="宋体" w:eastAsia="宋体" w:hint="default"/>
          <w:sz w:val="18"/>
          <w:szCs w:val="18"/>
        </w:rPr>
      </w:pPr>
      <w:r>
        <w:rPr>
          <w:rFonts w:ascii="宋体" w:hAnsi="宋体" w:cs="宋体" w:eastAsia="宋体" w:hint="default"/>
          <w:sz w:val="18"/>
          <w:szCs w:val="18"/>
        </w:rPr>
        <w:t>在云服务与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服务上，据科智咨询发布的《</w:t>
      </w:r>
      <w:r>
        <w:rPr>
          <w:rFonts w:ascii="Times New Roman" w:hAnsi="Times New Roman" w:cs="Times New Roman" w:eastAsia="Times New Roman" w:hint="default"/>
          <w:sz w:val="18"/>
          <w:szCs w:val="18"/>
        </w:rPr>
        <w:t>2019-2020</w:t>
      </w:r>
      <w:r>
        <w:rPr>
          <w:rFonts w:ascii="宋体" w:hAnsi="宋体" w:cs="宋体" w:eastAsia="宋体" w:hint="default"/>
          <w:sz w:val="18"/>
          <w:szCs w:val="18"/>
        </w:rPr>
        <w:t>中国</w:t>
      </w:r>
      <w:r>
        <w:rPr>
          <w:rFonts w:ascii="Times New Roman" w:hAnsi="Times New Roman" w:cs="Times New Roman" w:eastAsia="Times New Roman" w:hint="default"/>
          <w:sz w:val="18"/>
          <w:szCs w:val="18"/>
        </w:rPr>
        <w:t>IDC</w:t>
      </w:r>
      <w:r>
        <w:rPr>
          <w:rFonts w:ascii="宋体" w:hAnsi="宋体" w:cs="宋体" w:eastAsia="宋体" w:hint="default"/>
          <w:sz w:val="18"/>
          <w:szCs w:val="18"/>
        </w:rPr>
        <w:t>产业发展研究报告》显示，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年中国</w:t>
      </w:r>
      <w:r>
        <w:rPr>
          <w:rFonts w:ascii="Times New Roman" w:hAnsi="Times New Roman" w:cs="Times New Roman" w:eastAsia="Times New Roman" w:hint="default"/>
          <w:sz w:val="18"/>
          <w:szCs w:val="18"/>
        </w:rPr>
        <w:t>IDC</w:t>
      </w:r>
      <w:r>
        <w:rPr>
          <w:rFonts w:ascii="宋体" w:hAnsi="宋体" w:cs="宋体" w:eastAsia="宋体" w:hint="default"/>
          <w:sz w:val="18"/>
          <w:szCs w:val="18"/>
        </w:rPr>
        <w:t>业务市场规 模达到</w:t>
      </w:r>
      <w:r>
        <w:rPr>
          <w:rFonts w:ascii="Times New Roman" w:hAnsi="Times New Roman" w:cs="Times New Roman" w:eastAsia="Times New Roman" w:hint="default"/>
          <w:sz w:val="18"/>
          <w:szCs w:val="18"/>
        </w:rPr>
        <w:t>1562.5</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27.2%</w:t>
      </w:r>
      <w:r>
        <w:rPr>
          <w:rFonts w:ascii="宋体" w:hAnsi="宋体" w:cs="宋体" w:eastAsia="宋体" w:hint="default"/>
          <w:sz w:val="18"/>
          <w:szCs w:val="18"/>
        </w:rPr>
        <w:t>，市场规模绝对值相比</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年增长超过</w:t>
      </w:r>
      <w:r>
        <w:rPr>
          <w:rFonts w:ascii="Times New Roman" w:hAnsi="Times New Roman" w:cs="Times New Roman" w:eastAsia="Times New Roman" w:hint="default"/>
          <w:sz w:val="18"/>
          <w:szCs w:val="18"/>
        </w:rPr>
        <w:t>300</w:t>
      </w:r>
      <w:r>
        <w:rPr>
          <w:rFonts w:ascii="宋体" w:hAnsi="宋体" w:cs="宋体" w:eastAsia="宋体" w:hint="default"/>
          <w:sz w:val="18"/>
          <w:szCs w:val="18"/>
        </w:rPr>
        <w:t>亿元。在</w:t>
      </w:r>
      <w:r>
        <w:rPr>
          <w:rFonts w:ascii="Times New Roman" w:hAnsi="Times New Roman" w:cs="Times New Roman" w:eastAsia="Times New Roman" w:hint="default"/>
          <w:sz w:val="18"/>
          <w:szCs w:val="18"/>
        </w:rPr>
        <w:t>5G</w:t>
      </w:r>
      <w:r>
        <w:rPr>
          <w:rFonts w:ascii="宋体" w:hAnsi="宋体" w:cs="宋体" w:eastAsia="宋体" w:hint="default"/>
          <w:sz w:val="18"/>
          <w:szCs w:val="18"/>
        </w:rPr>
        <w:t>，物联网，区块链等技术不断进 步的大背景下，数据中心的需求还将快速增长。</w:t>
      </w:r>
    </w:p>
    <w:p>
      <w:pPr>
        <w:spacing w:line="240" w:lineRule="auto" w:before="7"/>
        <w:rPr>
          <w:rFonts w:ascii="宋体" w:hAnsi="宋体" w:cs="宋体" w:eastAsia="宋体" w:hint="default"/>
          <w:sz w:val="14"/>
          <w:szCs w:val="14"/>
        </w:rPr>
      </w:pPr>
    </w:p>
    <w:p>
      <w:pPr>
        <w:spacing w:line="309" w:lineRule="auto" w:before="0"/>
        <w:ind w:left="152" w:right="1133" w:firstLine="360"/>
        <w:jc w:val="both"/>
        <w:rPr>
          <w:rFonts w:ascii="宋体" w:hAnsi="宋体" w:cs="宋体" w:eastAsia="宋体" w:hint="default"/>
          <w:sz w:val="18"/>
          <w:szCs w:val="18"/>
        </w:rPr>
      </w:pPr>
      <w:r>
        <w:rPr>
          <w:rFonts w:ascii="宋体" w:hAnsi="宋体" w:cs="宋体" w:eastAsia="宋体" w:hint="default"/>
          <w:sz w:val="18"/>
          <w:szCs w:val="18"/>
        </w:rPr>
        <w:t>在信息服务业务上，随着</w:t>
      </w:r>
      <w:r>
        <w:rPr>
          <w:rFonts w:ascii="Times New Roman" w:hAnsi="Times New Roman" w:cs="Times New Roman" w:eastAsia="Times New Roman" w:hint="default"/>
          <w:sz w:val="18"/>
          <w:szCs w:val="18"/>
        </w:rPr>
        <w:t>5G</w:t>
      </w:r>
      <w:r>
        <w:rPr>
          <w:rFonts w:ascii="宋体" w:hAnsi="宋体" w:cs="宋体" w:eastAsia="宋体" w:hint="default"/>
          <w:sz w:val="18"/>
          <w:szCs w:val="18"/>
        </w:rPr>
        <w:t>、大数据、人工智能等高新技术的应用，各行业领域的智能化改造和新型基础设施建设需 </w:t>
      </w:r>
      <w:r>
        <w:rPr>
          <w:rFonts w:ascii="宋体" w:hAnsi="宋体" w:cs="宋体" w:eastAsia="宋体" w:hint="default"/>
          <w:spacing w:val="-2"/>
          <w:sz w:val="18"/>
          <w:szCs w:val="18"/>
        </w:rPr>
        <w:t>求大幅增加。公司将结合自身核心竞争力，围绕客户需求，打造富有竞争力的综合性解决方案，提升公司核心技术能力，做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大公司业务规模。</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t>二、主要资产重大变化情况</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截至报告期末，股权资产无重大变化。</w:t>
            </w: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297" w:lineRule="auto" w:before="53"/>
              <w:ind w:left="24" w:right="20"/>
              <w:jc w:val="left"/>
              <w:rPr>
                <w:rFonts w:ascii="宋体" w:hAnsi="宋体" w:cs="宋体" w:eastAsia="宋体" w:hint="default"/>
                <w:sz w:val="18"/>
                <w:szCs w:val="18"/>
              </w:rPr>
            </w:pPr>
            <w:r>
              <w:rPr>
                <w:rFonts w:ascii="宋体" w:hAnsi="宋体" w:cs="宋体" w:eastAsia="宋体" w:hint="default"/>
                <w:spacing w:val="-3"/>
                <w:sz w:val="18"/>
                <w:szCs w:val="18"/>
              </w:rPr>
              <w:t>截至报告期末，固定资产较期初增长</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216.6%</w:t>
            </w:r>
            <w:r>
              <w:rPr>
                <w:rFonts w:ascii="宋体" w:hAnsi="宋体" w:cs="宋体" w:eastAsia="宋体" w:hint="default"/>
                <w:sz w:val="18"/>
                <w:szCs w:val="18"/>
              </w:rPr>
              <w:t>，主要系公司为实施募投项目购置房产 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截至报告期末，无形资产较期初增长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377.78%</w:t>
            </w:r>
            <w:r>
              <w:rPr>
                <w:rFonts w:ascii="宋体" w:hAnsi="宋体" w:cs="宋体" w:eastAsia="宋体" w:hint="default"/>
                <w:sz w:val="18"/>
                <w:szCs w:val="18"/>
              </w:rPr>
              <w:t>，主要为公司对新增控股子公司股权 并购形成的无形资产评估增值所致。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截至报告期末，无发生额。</w:t>
            </w:r>
          </w:p>
        </w:tc>
      </w:tr>
    </w:tbl>
    <w:p>
      <w:pPr>
        <w:spacing w:line="240" w:lineRule="auto" w:before="3"/>
        <w:rPr>
          <w:rFonts w:ascii="宋体" w:hAnsi="宋体" w:cs="宋体" w:eastAsia="宋体" w:hint="default"/>
          <w:b/>
          <w:bCs/>
          <w:sz w:val="19"/>
          <w:szCs w:val="19"/>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t>三、核心竞争力分析</w:t>
      </w:r>
      <w:r>
        <w:rPr>
          <w:b w:val="0"/>
          <w:bCs w:val="0"/>
        </w:rPr>
      </w:r>
    </w:p>
    <w:p>
      <w:pPr>
        <w:spacing w:line="450" w:lineRule="atLeast" w:before="145"/>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、以项目管理为核心的建设、运维能力优势 公司在项目建设、运维上具有丰富的经验，形成了强大的建设、运维能力，其中最为核心的就是公司的项目管理能力。</w:t>
      </w:r>
    </w:p>
    <w:p>
      <w:pPr>
        <w:spacing w:line="316" w:lineRule="auto" w:before="76"/>
        <w:ind w:left="152" w:right="1129" w:firstLine="0"/>
        <w:jc w:val="both"/>
        <w:rPr>
          <w:rFonts w:ascii="宋体" w:hAnsi="宋体" w:cs="宋体" w:eastAsia="宋体" w:hint="default"/>
          <w:sz w:val="18"/>
          <w:szCs w:val="18"/>
        </w:rPr>
      </w:pPr>
      <w:r>
        <w:rPr>
          <w:rFonts w:ascii="宋体" w:hAnsi="宋体" w:cs="宋体" w:eastAsia="宋体" w:hint="default"/>
          <w:spacing w:val="-2"/>
          <w:sz w:val="18"/>
          <w:szCs w:val="18"/>
        </w:rPr>
        <w:t>公司自成立之初便将标准化、规范化、流程化的理念植根于管理体系中，业务交付标准化、作业流程规范化、内部管理流程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化，并在随后日益壮大的员工队伍中发扬光大。公司利用自身在通信行业的信息技术优势，将管理体系按照运营管理和业务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管理两个部分，分别进行了平台化、流程化整合，开发了具有自主知识产权的运营管理平台和业务管理信息系统。目前公司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在项目管理上实现了对现场作业、质量、安全全过程的管控，提高管理效率、提升交付品质的同时降低了管理成本。</w:t>
      </w:r>
    </w:p>
    <w:p>
      <w:pPr>
        <w:spacing w:line="468" w:lineRule="exact" w:before="13"/>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、跨区域，集通信、电力、信息技术一体化的综合服务能力优势 </w:t>
      </w:r>
      <w:r>
        <w:rPr>
          <w:rFonts w:ascii="宋体" w:hAnsi="宋体" w:cs="宋体" w:eastAsia="宋体" w:hint="default"/>
          <w:spacing w:val="-2"/>
          <w:sz w:val="18"/>
          <w:szCs w:val="18"/>
        </w:rPr>
        <w:t>随着数字化时代的来临，当前几乎所有行业均相互关联，通信机房、网络、基站等均需要电力基础设施支撑；电力物联</w:t>
      </w:r>
    </w:p>
    <w:p>
      <w:pPr>
        <w:spacing w:line="319" w:lineRule="auto" w:before="5"/>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网、电力信息化等改造需要通信技术支撑；信息技术服务离不开通信、电力保障，同时又促进通信、电力技术发展。公司作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为全国范围内为数不多的跨区域、集通信、电力、信息技术一体化的服务商，业务资质种类齐全、等级高，可承接各类规模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服务项目，为客户提供从建设到维护与优化、配套业务管理支撑平台建设的全方位、一体化的综合技术服务，是行业内为数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不多的综合型信息技术服务商之一，综合服务能力突出，竞争优势明显。</w:t>
      </w:r>
    </w:p>
    <w:p>
      <w:pPr>
        <w:spacing w:line="240" w:lineRule="auto" w:before="5"/>
        <w:rPr>
          <w:rFonts w:ascii="宋体" w:hAnsi="宋体" w:cs="宋体" w:eastAsia="宋体" w:hint="default"/>
          <w:sz w:val="13"/>
          <w:szCs w:val="13"/>
        </w:rPr>
      </w:pPr>
    </w:p>
    <w:p>
      <w:pPr>
        <w:spacing w:line="316" w:lineRule="auto" w:before="0"/>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在国家重视应急管理工作背景下，公司作为全国范围内跨区域、一体化的通信、电力、信息技术服务商，能够短时间内</w:t>
      </w:r>
      <w:r>
        <w:rPr>
          <w:rFonts w:ascii="宋体" w:hAnsi="宋体" w:cs="宋体" w:eastAsia="宋体" w:hint="default"/>
          <w:sz w:val="18"/>
          <w:szCs w:val="18"/>
        </w:rPr>
        <w:t> </w:t>
      </w:r>
      <w:r>
        <w:rPr>
          <w:rFonts w:ascii="宋体" w:hAnsi="宋体" w:cs="宋体" w:eastAsia="宋体" w:hint="default"/>
          <w:spacing w:val="-2"/>
          <w:sz w:val="18"/>
          <w:szCs w:val="18"/>
        </w:rPr>
        <w:t>提供专业化应急队伍，并通过应急管理系统平台，对资源进行有效、精确的投发。近年来内公司已多次圆满完成国际、国内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大型会议及活动通信保障，自然灾害应急通信保障，特殊事件紧急通信保障等工作，并获得客户一致好评。</w:t>
      </w:r>
    </w:p>
    <w:p>
      <w:pPr>
        <w:spacing w:line="468" w:lineRule="exact" w:before="13"/>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、营销渠道覆盖广、数量多、末梢长的市场拓展优势 公司具备辐射全国的服务网络，营销区域覆盖</w:t>
      </w:r>
      <w:r>
        <w:rPr>
          <w:rFonts w:ascii="Times New Roman" w:hAnsi="Times New Roman" w:cs="Times New Roman" w:eastAsia="Times New Roman" w:hint="default"/>
          <w:sz w:val="18"/>
          <w:szCs w:val="18"/>
        </w:rPr>
        <w:t>29</w:t>
      </w:r>
      <w:r>
        <w:rPr>
          <w:rFonts w:ascii="宋体" w:hAnsi="宋体" w:cs="宋体" w:eastAsia="宋体" w:hint="default"/>
          <w:sz w:val="18"/>
          <w:szCs w:val="18"/>
        </w:rPr>
        <w:t>省、市、自治区，营销渠道末梢单元项目部深入</w:t>
      </w:r>
      <w:r>
        <w:rPr>
          <w:rFonts w:ascii="Times New Roman" w:hAnsi="Times New Roman" w:cs="Times New Roman" w:eastAsia="Times New Roman" w:hint="default"/>
          <w:sz w:val="18"/>
          <w:szCs w:val="18"/>
        </w:rPr>
        <w:t>700</w:t>
      </w:r>
      <w:r>
        <w:rPr>
          <w:rFonts w:ascii="宋体" w:hAnsi="宋体" w:cs="宋体" w:eastAsia="宋体" w:hint="default"/>
          <w:sz w:val="18"/>
          <w:szCs w:val="18"/>
        </w:rPr>
        <w:t>多县区，直接面对</w:t>
      </w:r>
    </w:p>
    <w:p>
      <w:pPr>
        <w:spacing w:line="316" w:lineRule="auto" w:before="8"/>
        <w:ind w:left="152" w:right="1133" w:firstLine="0"/>
        <w:jc w:val="both"/>
        <w:rPr>
          <w:rFonts w:ascii="宋体" w:hAnsi="宋体" w:cs="宋体" w:eastAsia="宋体" w:hint="default"/>
          <w:sz w:val="18"/>
          <w:szCs w:val="18"/>
        </w:rPr>
      </w:pPr>
      <w:r>
        <w:rPr>
          <w:rFonts w:ascii="宋体" w:hAnsi="宋体" w:cs="宋体" w:eastAsia="宋体" w:hint="default"/>
          <w:spacing w:val="-2"/>
          <w:sz w:val="18"/>
          <w:szCs w:val="18"/>
        </w:rPr>
        <w:t>客户并收集客户诉求及痛点。宽广的营销渠道一方面能够直接进行产品营销，另一方面收集的信息给公司的产品开发和优化</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提供全面广泛且具有说服力和建设性的建议和意见。</w:t>
      </w:r>
    </w:p>
    <w:p>
      <w:pPr>
        <w:spacing w:line="240" w:lineRule="auto" w:before="8"/>
        <w:rPr>
          <w:rFonts w:ascii="宋体" w:hAnsi="宋体" w:cs="宋体" w:eastAsia="宋体" w:hint="default"/>
          <w:sz w:val="13"/>
          <w:szCs w:val="13"/>
        </w:rPr>
      </w:pPr>
    </w:p>
    <w:p>
      <w:pPr>
        <w:spacing w:line="451" w:lineRule="auto" w:before="0"/>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、高素质的人才队伍与专业技术优势 公司重视专业人才的引进、培养和发展，始终紧跟行业技术发展前沿，保持先进的技术服务水平和研发创新能力。</w:t>
      </w:r>
    </w:p>
    <w:p>
      <w:pPr>
        <w:spacing w:line="316" w:lineRule="auto" w:before="76"/>
        <w:ind w:left="152" w:right="1129" w:firstLine="360"/>
        <w:jc w:val="both"/>
        <w:rPr>
          <w:rFonts w:ascii="宋体" w:hAnsi="宋体" w:cs="宋体" w:eastAsia="宋体" w:hint="default"/>
          <w:sz w:val="18"/>
          <w:szCs w:val="18"/>
        </w:rPr>
      </w:pPr>
      <w:r>
        <w:rPr>
          <w:rFonts w:ascii="宋体" w:hAnsi="宋体" w:cs="宋体" w:eastAsia="宋体" w:hint="default"/>
          <w:spacing w:val="-2"/>
          <w:sz w:val="18"/>
          <w:szCs w:val="18"/>
        </w:rPr>
        <w:t>在专业技术人才队伍建设上，公司在构建内生式技术创新驱动外，积极寻求外部知识和人才引进，与广西大学等重点院</w:t>
      </w:r>
      <w:r>
        <w:rPr>
          <w:rFonts w:ascii="宋体" w:hAnsi="宋体" w:cs="宋体" w:eastAsia="宋体" w:hint="default"/>
          <w:sz w:val="18"/>
          <w:szCs w:val="18"/>
        </w:rPr>
        <w:t> </w:t>
      </w:r>
      <w:r>
        <w:rPr>
          <w:rFonts w:ascii="宋体" w:hAnsi="宋体" w:cs="宋体" w:eastAsia="宋体" w:hint="default"/>
          <w:spacing w:val="-2"/>
          <w:sz w:val="18"/>
          <w:szCs w:val="18"/>
        </w:rPr>
        <w:t>校建立产学研一体化专业技术研究与开发，并孵化知识产权成果，形成生产力。公司持续的高端人才培育、研发投入和成果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转化奠定了良好的技术领先优势，被评为国家火炬计划重点高新技术企业、广西壮族自治区企业技术中心、广西壮族自治区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工程技术研究中心、广西壮族自治区产学研用一体化企业、广西战略性新兴产业企业。</w:t>
      </w:r>
    </w:p>
    <w:p>
      <w:pPr>
        <w:spacing w:line="468" w:lineRule="exact" w:before="13"/>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、技术研发优势 公司研发工作始终坚持以市场需求、业务发展为导向，以客户为中心，围绕客户在产品上的需求，帮助客户解决问题，</w:t>
      </w:r>
    </w:p>
    <w:p>
      <w:pPr>
        <w:spacing w:before="8"/>
        <w:ind w:left="152" w:right="0" w:firstLine="0"/>
        <w:jc w:val="both"/>
        <w:rPr>
          <w:rFonts w:ascii="宋体" w:hAnsi="宋体" w:cs="宋体" w:eastAsia="宋体" w:hint="default"/>
          <w:sz w:val="18"/>
          <w:szCs w:val="18"/>
        </w:rPr>
      </w:pPr>
      <w:r>
        <w:rPr>
          <w:rFonts w:ascii="宋体" w:hAnsi="宋体" w:cs="宋体" w:eastAsia="宋体" w:hint="default"/>
          <w:sz w:val="18"/>
          <w:szCs w:val="18"/>
        </w:rPr>
        <w:t>为客户创造持续、优异的投资回报。目前公司研发团队已成熟运转，已获得发明专利、实用新型、软件著作权等成果</w:t>
      </w:r>
      <w:r>
        <w:rPr>
          <w:rFonts w:ascii="Times New Roman" w:hAnsi="Times New Roman" w:cs="Times New Roman" w:eastAsia="Times New Roman" w:hint="default"/>
          <w:sz w:val="18"/>
          <w:szCs w:val="18"/>
        </w:rPr>
        <w:t>220</w:t>
      </w:r>
      <w:r>
        <w:rPr>
          <w:rFonts w:ascii="宋体" w:hAnsi="宋体" w:cs="宋体" w:eastAsia="宋体" w:hint="default"/>
          <w:sz w:val="18"/>
          <w:szCs w:val="18"/>
        </w:rPr>
        <w:t>余</w:t>
      </w:r>
    </w:p>
    <w:p>
      <w:pPr>
        <w:spacing w:after="0"/>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项。</w:t>
      </w:r>
    </w:p>
    <w:p>
      <w:pPr>
        <w:spacing w:line="240" w:lineRule="auto" w:before="12"/>
        <w:rPr>
          <w:rFonts w:ascii="宋体" w:hAnsi="宋体" w:cs="宋体" w:eastAsia="宋体" w:hint="default"/>
          <w:sz w:val="17"/>
          <w:szCs w:val="17"/>
        </w:rPr>
      </w:pPr>
    </w:p>
    <w:p>
      <w:pPr>
        <w:spacing w:line="309" w:lineRule="auto" w:before="0"/>
        <w:ind w:left="152" w:right="1000" w:firstLine="360"/>
        <w:jc w:val="left"/>
        <w:rPr>
          <w:rFonts w:ascii="宋体" w:hAnsi="宋体" w:cs="宋体" w:eastAsia="宋体" w:hint="default"/>
          <w:sz w:val="18"/>
          <w:szCs w:val="18"/>
        </w:rPr>
      </w:pPr>
      <w:r>
        <w:rPr>
          <w:rFonts w:ascii="宋体" w:hAnsi="宋体" w:cs="宋体" w:eastAsia="宋体" w:hint="default"/>
          <w:sz w:val="18"/>
          <w:szCs w:val="18"/>
        </w:rPr>
        <w:t>公司成立了创新研发院、欧洲未来科技研究院、电力应用技术研究院、数字平台研发院、</w:t>
      </w:r>
      <w:r>
        <w:rPr>
          <w:rFonts w:ascii="Times New Roman" w:hAnsi="Times New Roman" w:cs="Times New Roman" w:eastAsia="Times New Roman" w:hint="default"/>
          <w:sz w:val="18"/>
          <w:szCs w:val="18"/>
        </w:rPr>
        <w:t>5G</w:t>
      </w:r>
      <w:r>
        <w:rPr>
          <w:rFonts w:ascii="宋体" w:hAnsi="宋体" w:cs="宋体" w:eastAsia="宋体" w:hint="default"/>
          <w:sz w:val="18"/>
          <w:szCs w:val="18"/>
        </w:rPr>
        <w:t>技术应用研发院等，负责 </w:t>
      </w:r>
      <w:r>
        <w:rPr>
          <w:rFonts w:ascii="宋体" w:hAnsi="宋体" w:cs="宋体" w:eastAsia="宋体" w:hint="default"/>
          <w:spacing w:val="-2"/>
          <w:sz w:val="18"/>
          <w:szCs w:val="18"/>
        </w:rPr>
        <w:t>通信、电力等技术应用研发以及提供大数据应用服务、行业信息化平台、智慧城市解决方案等产品和服务。公司依托内外优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势资源，聚焦国内外行业的先进技术和创新理念，始终保持对市场卓越的前瞻性，培育和孵化新的产品，强化产品、技术的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创新与研发工作，布局</w:t>
      </w:r>
      <w:r>
        <w:rPr>
          <w:rFonts w:ascii="Times New Roman" w:hAnsi="Times New Roman" w:cs="Times New Roman" w:eastAsia="Times New Roman" w:hint="default"/>
          <w:spacing w:val="-2"/>
          <w:sz w:val="18"/>
          <w:szCs w:val="18"/>
        </w:rPr>
        <w:t>5G</w:t>
      </w:r>
      <w:r>
        <w:rPr>
          <w:rFonts w:ascii="宋体" w:hAnsi="宋体" w:cs="宋体" w:eastAsia="宋体" w:hint="default"/>
          <w:spacing w:val="-2"/>
          <w:sz w:val="18"/>
          <w:szCs w:val="18"/>
        </w:rPr>
        <w:t>技术应用、工业和电力物联网技术应用、大数据服务、云与</w:t>
      </w:r>
      <w:r>
        <w:rPr>
          <w:rFonts w:ascii="Times New Roman" w:hAnsi="Times New Roman" w:cs="Times New Roman" w:eastAsia="Times New Roman" w:hint="default"/>
          <w:spacing w:val="-2"/>
          <w:sz w:val="18"/>
          <w:szCs w:val="18"/>
        </w:rPr>
        <w:t>IDC</w:t>
      </w:r>
      <w:r>
        <w:rPr>
          <w:rFonts w:ascii="宋体" w:hAnsi="宋体" w:cs="宋体" w:eastAsia="宋体" w:hint="default"/>
          <w:spacing w:val="-2"/>
          <w:sz w:val="18"/>
          <w:szCs w:val="18"/>
        </w:rPr>
        <w:t>服务、电力智能化、智慧建维等高</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4"/>
          <w:sz w:val="18"/>
          <w:szCs w:val="18"/>
        </w:rPr>
        <w:t>新技术，通过制订科学的项目管理与质量评估指标体系，建立项目质量跟踪调查制度，实现了全方位的项目过程管理与内控。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公司将持续扩大对信息技术领域的研究投入，以具备泛智能化服务能力。</w:t>
      </w:r>
    </w:p>
    <w:p>
      <w:pPr>
        <w:spacing w:line="240" w:lineRule="auto" w:before="13"/>
        <w:rPr>
          <w:rFonts w:ascii="宋体" w:hAnsi="宋体" w:cs="宋体" w:eastAsia="宋体" w:hint="default"/>
          <w:sz w:val="13"/>
          <w:szCs w:val="13"/>
        </w:rPr>
      </w:pPr>
    </w:p>
    <w:p>
      <w:pPr>
        <w:spacing w:line="340" w:lineRule="auto" w:before="0"/>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以奋斗者为本</w:t>
      </w:r>
      <w:r>
        <w:rPr>
          <w:rFonts w:ascii="Times New Roman" w:hAnsi="Times New Roman" w:cs="Times New Roman" w:eastAsia="Times New Roman" w:hint="default"/>
          <w:sz w:val="18"/>
          <w:szCs w:val="18"/>
        </w:rPr>
        <w:t>”</w:t>
      </w:r>
      <w:r>
        <w:rPr>
          <w:rFonts w:ascii="宋体" w:hAnsi="宋体" w:cs="宋体" w:eastAsia="宋体" w:hint="default"/>
          <w:sz w:val="18"/>
          <w:szCs w:val="18"/>
        </w:rPr>
        <w:t>的团队优势 公司从组建到发展至今，团队优势发挥了无可替代的作用。在发展的过程中，公司培育了一批与公司共同努力、进步、</w:t>
      </w:r>
    </w:p>
    <w:p>
      <w:pPr>
        <w:spacing w:line="300" w:lineRule="auto" w:before="0"/>
        <w:ind w:left="152" w:right="1128" w:firstLine="0"/>
        <w:jc w:val="both"/>
        <w:rPr>
          <w:rFonts w:ascii="宋体" w:hAnsi="宋体" w:cs="宋体" w:eastAsia="宋体" w:hint="default"/>
          <w:sz w:val="18"/>
          <w:szCs w:val="18"/>
        </w:rPr>
      </w:pPr>
      <w:r>
        <w:rPr>
          <w:rFonts w:ascii="宋体" w:hAnsi="宋体" w:cs="宋体" w:eastAsia="宋体" w:hint="default"/>
          <w:sz w:val="18"/>
          <w:szCs w:val="18"/>
        </w:rPr>
        <w:t>发展的奋斗者。公司的长期发展离不开优秀的奋斗者不断的冲锋陷阵、艰苦奋斗、持续贡献价值。公司坚持</w:t>
      </w:r>
      <w:r>
        <w:rPr>
          <w:rFonts w:ascii="Times New Roman" w:hAnsi="Times New Roman" w:cs="Times New Roman" w:eastAsia="Times New Roman" w:hint="default"/>
          <w:sz w:val="18"/>
          <w:szCs w:val="18"/>
        </w:rPr>
        <w:t>“</w:t>
      </w:r>
      <w:r>
        <w:rPr>
          <w:rFonts w:ascii="宋体" w:hAnsi="宋体" w:cs="宋体" w:eastAsia="宋体" w:hint="default"/>
          <w:sz w:val="18"/>
          <w:szCs w:val="18"/>
        </w:rPr>
        <w:t>同付出、共收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获</w:t>
      </w:r>
      <w:r>
        <w:rPr>
          <w:rFonts w:ascii="Times New Roman" w:hAnsi="Times New Roman" w:cs="Times New Roman" w:eastAsia="Times New Roman" w:hint="default"/>
          <w:sz w:val="18"/>
          <w:szCs w:val="18"/>
        </w:rPr>
        <w:t>”</w:t>
      </w:r>
      <w:r>
        <w:rPr>
          <w:rFonts w:ascii="宋体" w:hAnsi="宋体" w:cs="宋体" w:eastAsia="宋体" w:hint="default"/>
          <w:sz w:val="18"/>
          <w:szCs w:val="18"/>
        </w:rPr>
        <w:t>原则，通过当期分享与长期股权激励相结合，建立同心共享的共有型组织。公司的激励导向提倡向有贡献的</w:t>
      </w:r>
      <w:r>
        <w:rPr>
          <w:rFonts w:ascii="Times New Roman" w:hAnsi="Times New Roman" w:cs="Times New Roman" w:eastAsia="Times New Roman" w:hint="default"/>
          <w:sz w:val="18"/>
          <w:szCs w:val="18"/>
        </w:rPr>
        <w:t>“</w:t>
      </w:r>
      <w:r>
        <w:rPr>
          <w:rFonts w:ascii="宋体" w:hAnsi="宋体" w:cs="宋体" w:eastAsia="宋体" w:hint="default"/>
          <w:sz w:val="18"/>
          <w:szCs w:val="18"/>
        </w:rPr>
        <w:t>奋斗者</w:t>
      </w:r>
      <w:r>
        <w:rPr>
          <w:rFonts w:ascii="Times New Roman" w:hAnsi="Times New Roman" w:cs="Times New Roman" w:eastAsia="Times New Roman" w:hint="default"/>
          <w:sz w:val="18"/>
          <w:szCs w:val="18"/>
        </w:rPr>
        <w:t>”</w:t>
      </w:r>
      <w:r>
        <w:rPr>
          <w:rFonts w:ascii="宋体" w:hAnsi="宋体" w:cs="宋体" w:eastAsia="宋体" w:hint="default"/>
          <w:sz w:val="18"/>
          <w:szCs w:val="18"/>
        </w:rPr>
        <w:t>倾</w:t>
      </w:r>
      <w:r>
        <w:rPr>
          <w:rFonts w:ascii="宋体" w:hAnsi="宋体" w:cs="宋体" w:eastAsia="宋体" w:hint="default"/>
          <w:spacing w:val="-55"/>
          <w:sz w:val="18"/>
          <w:szCs w:val="18"/>
        </w:rPr>
        <w:t> </w:t>
      </w:r>
      <w:r>
        <w:rPr>
          <w:rFonts w:ascii="宋体" w:hAnsi="宋体" w:cs="宋体" w:eastAsia="宋体" w:hint="default"/>
          <w:sz w:val="18"/>
          <w:szCs w:val="18"/>
        </w:rPr>
        <w:t>斜，设立了</w:t>
      </w:r>
      <w:r>
        <w:rPr>
          <w:rFonts w:ascii="Times New Roman" w:hAnsi="Times New Roman" w:cs="Times New Roman" w:eastAsia="Times New Roman" w:hint="default"/>
          <w:sz w:val="18"/>
          <w:szCs w:val="18"/>
        </w:rPr>
        <w:t>“</w:t>
      </w:r>
      <w:r>
        <w:rPr>
          <w:rFonts w:ascii="宋体" w:hAnsi="宋体" w:cs="宋体" w:eastAsia="宋体" w:hint="default"/>
          <w:sz w:val="18"/>
          <w:szCs w:val="18"/>
        </w:rPr>
        <w:t>终生奋斗者奖</w:t>
      </w:r>
      <w:r>
        <w:rPr>
          <w:rFonts w:ascii="Times New Roman" w:hAnsi="Times New Roman" w:cs="Times New Roman" w:eastAsia="Times New Roman" w:hint="default"/>
          <w:sz w:val="18"/>
          <w:szCs w:val="18"/>
        </w:rPr>
        <w:t>”</w:t>
      </w:r>
      <w:r>
        <w:rPr>
          <w:rFonts w:ascii="宋体" w:hAnsi="宋体" w:cs="宋体" w:eastAsia="宋体" w:hint="default"/>
          <w:sz w:val="18"/>
          <w:szCs w:val="18"/>
        </w:rPr>
        <w:t>，打造出以</w:t>
      </w:r>
      <w:r>
        <w:rPr>
          <w:rFonts w:ascii="Times New Roman" w:hAnsi="Times New Roman" w:cs="Times New Roman" w:eastAsia="Times New Roman" w:hint="default"/>
          <w:sz w:val="18"/>
          <w:szCs w:val="18"/>
        </w:rPr>
        <w:t>“</w:t>
      </w:r>
      <w:r>
        <w:rPr>
          <w:rFonts w:ascii="宋体" w:hAnsi="宋体" w:cs="宋体" w:eastAsia="宋体" w:hint="default"/>
          <w:sz w:val="18"/>
          <w:szCs w:val="18"/>
        </w:rPr>
        <w:t>奋斗</w:t>
      </w:r>
      <w:r>
        <w:rPr>
          <w:rFonts w:ascii="Times New Roman" w:hAnsi="Times New Roman" w:cs="Times New Roman" w:eastAsia="Times New Roman" w:hint="default"/>
          <w:sz w:val="18"/>
          <w:szCs w:val="18"/>
        </w:rPr>
        <w:t>”</w:t>
      </w:r>
      <w:r>
        <w:rPr>
          <w:rFonts w:ascii="宋体" w:hAnsi="宋体" w:cs="宋体" w:eastAsia="宋体" w:hint="default"/>
          <w:sz w:val="18"/>
          <w:szCs w:val="18"/>
        </w:rPr>
        <w:t>为本的团队。</w:t>
      </w:r>
    </w:p>
    <w:p>
      <w:pPr>
        <w:spacing w:after="0" w:line="300"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057"/>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spacing w:line="309" w:lineRule="auto" w:before="0"/>
        <w:ind w:left="152"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年，公司通过管理体系和人员结构优化，借助信息化系统提升管理效率，采用智能化作业系统提升交付质量，降低</w:t>
      </w:r>
      <w:r>
        <w:rPr>
          <w:rFonts w:ascii="宋体" w:hAnsi="宋体" w:cs="宋体" w:eastAsia="宋体" w:hint="default"/>
          <w:sz w:val="18"/>
          <w:szCs w:val="18"/>
        </w:rPr>
        <w:t> </w:t>
      </w:r>
      <w:r>
        <w:rPr>
          <w:rFonts w:ascii="宋体" w:hAnsi="宋体" w:cs="宋体" w:eastAsia="宋体" w:hint="default"/>
          <w:spacing w:val="-2"/>
          <w:sz w:val="18"/>
          <w:szCs w:val="18"/>
        </w:rPr>
        <w:t>成本增长幅度，进一步巩固公司在优势业务、优势区域的领先地位。同时公司根据战略规划和市场环境变化，进一步扩展服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务范围至云服务与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服务、信息技术服务、电力与新能源服务。</w:t>
      </w:r>
    </w:p>
    <w:p>
      <w:pPr>
        <w:spacing w:line="240" w:lineRule="auto" w:before="6"/>
        <w:rPr>
          <w:rFonts w:ascii="宋体" w:hAnsi="宋体" w:cs="宋体" w:eastAsia="宋体" w:hint="default"/>
          <w:sz w:val="12"/>
          <w:szCs w:val="12"/>
        </w:rPr>
      </w:pPr>
    </w:p>
    <w:p>
      <w:pPr>
        <w:spacing w:before="0"/>
        <w:ind w:left="513" w:right="1057" w:firstLine="0"/>
        <w:jc w:val="left"/>
        <w:rPr>
          <w:rFonts w:ascii="宋体" w:hAnsi="宋体" w:cs="宋体" w:eastAsia="宋体" w:hint="default"/>
          <w:sz w:val="18"/>
          <w:szCs w:val="18"/>
        </w:rPr>
      </w:pPr>
      <w:r>
        <w:rPr>
          <w:rFonts w:ascii="宋体" w:hAnsi="宋体" w:cs="宋体" w:eastAsia="宋体" w:hint="default"/>
          <w:sz w:val="18"/>
          <w:szCs w:val="18"/>
        </w:rPr>
        <w:t>报告期内，公司开展重点工作如下：</w:t>
      </w:r>
    </w:p>
    <w:p>
      <w:pPr>
        <w:spacing w:line="470" w:lineRule="atLeast" w:before="12"/>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、市场开拓 </w:t>
      </w:r>
      <w:r>
        <w:rPr>
          <w:rFonts w:ascii="宋体" w:hAnsi="宋体" w:cs="宋体" w:eastAsia="宋体" w:hint="default"/>
          <w:spacing w:val="-2"/>
          <w:sz w:val="18"/>
          <w:szCs w:val="18"/>
        </w:rPr>
        <w:t>在通信技术服务上，</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年公司为运营商、中国铁塔、广电等客户在全国</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个省份提供专业的通信支撑一体化服务；在</w:t>
      </w:r>
    </w:p>
    <w:p>
      <w:pPr>
        <w:spacing w:line="300" w:lineRule="auto" w:before="60"/>
        <w:ind w:left="152" w:right="1129" w:firstLine="0"/>
        <w:jc w:val="both"/>
        <w:rPr>
          <w:rFonts w:ascii="宋体" w:hAnsi="宋体" w:cs="宋体" w:eastAsia="宋体" w:hint="default"/>
          <w:sz w:val="18"/>
          <w:szCs w:val="18"/>
        </w:rPr>
      </w:pPr>
      <w:r>
        <w:rPr>
          <w:rFonts w:ascii="宋体" w:hAnsi="宋体" w:cs="宋体" w:eastAsia="宋体" w:hint="default"/>
          <w:spacing w:val="-2"/>
          <w:sz w:val="18"/>
          <w:szCs w:val="18"/>
        </w:rPr>
        <w:t>安徽、广东、广西、贵州、海南、河南、湖南、江苏、辽宁等地中标中国移动</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年传输管线工程施工服务集中采</w:t>
      </w:r>
      <w:r>
        <w:rPr>
          <w:rFonts w:ascii="宋体" w:hAnsi="宋体" w:cs="宋体" w:eastAsia="宋体" w:hint="default"/>
          <w:spacing w:val="-61"/>
          <w:sz w:val="18"/>
          <w:szCs w:val="18"/>
        </w:rPr>
        <w:t> </w:t>
      </w:r>
      <w:r>
        <w:rPr>
          <w:rFonts w:ascii="宋体" w:hAnsi="宋体" w:cs="宋体" w:eastAsia="宋体" w:hint="default"/>
          <w:spacing w:val="-2"/>
          <w:sz w:val="18"/>
          <w:szCs w:val="18"/>
        </w:rPr>
        <w:t>购项目；在河北、北京、山东、湖南、广西、河南、四川、江苏等地中标中国移动通信集团</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2021</w:t>
      </w:r>
      <w:r>
        <w:rPr>
          <w:rFonts w:ascii="宋体" w:hAnsi="宋体" w:cs="宋体" w:eastAsia="宋体" w:hint="default"/>
          <w:spacing w:val="-2"/>
          <w:sz w:val="18"/>
          <w:szCs w:val="18"/>
        </w:rPr>
        <w:t>年网络综合代维服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务集中采购项目；为包括北京在内的多个省份和地市的</w:t>
      </w:r>
      <w:r>
        <w:rPr>
          <w:rFonts w:ascii="Times New Roman" w:hAnsi="Times New Roman" w:cs="Times New Roman" w:eastAsia="Times New Roman" w:hint="default"/>
          <w:sz w:val="18"/>
          <w:szCs w:val="18"/>
        </w:rPr>
        <w:t>70</w:t>
      </w:r>
      <w:r>
        <w:rPr>
          <w:rFonts w:ascii="宋体" w:hAnsi="宋体" w:cs="宋体" w:eastAsia="宋体" w:hint="default"/>
          <w:sz w:val="18"/>
          <w:szCs w:val="18"/>
        </w:rPr>
        <w:t>周年庆典活动期间提供</w:t>
      </w:r>
      <w:r>
        <w:rPr>
          <w:rFonts w:ascii="Times New Roman" w:hAnsi="Times New Roman" w:cs="Times New Roman" w:eastAsia="Times New Roman" w:hint="default"/>
          <w:sz w:val="18"/>
          <w:szCs w:val="18"/>
        </w:rPr>
        <w:t>7*24</w:t>
      </w:r>
      <w:r>
        <w:rPr>
          <w:rFonts w:ascii="宋体" w:hAnsi="宋体" w:cs="宋体" w:eastAsia="宋体" w:hint="default"/>
          <w:sz w:val="18"/>
          <w:szCs w:val="18"/>
        </w:rPr>
        <w:t>小时全天保障的通信保障工作；为</w:t>
      </w:r>
      <w:r>
        <w:rPr>
          <w:rFonts w:ascii="Times New Roman" w:hAnsi="Times New Roman" w:cs="Times New Roman" w:eastAsia="Times New Roman" w:hint="default"/>
          <w:sz w:val="18"/>
          <w:szCs w:val="18"/>
        </w:rPr>
        <w:t>“</w:t>
      </w:r>
      <w:r>
        <w:rPr>
          <w:rFonts w:ascii="宋体" w:hAnsi="宋体" w:cs="宋体" w:eastAsia="宋体" w:hint="default"/>
          <w:sz w:val="18"/>
          <w:szCs w:val="18"/>
        </w:rPr>
        <w:t>两 </w:t>
      </w:r>
      <w:r>
        <w:rPr>
          <w:rFonts w:ascii="宋体" w:hAnsi="宋体" w:cs="宋体" w:eastAsia="宋体" w:hint="default"/>
          <w:spacing w:val="-2"/>
          <w:sz w:val="18"/>
          <w:szCs w:val="18"/>
        </w:rPr>
        <w:t>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届东博会、</w:t>
      </w:r>
      <w:r>
        <w:rPr>
          <w:rFonts w:ascii="Times New Roman" w:hAnsi="Times New Roman" w:cs="Times New Roman" w:eastAsia="Times New Roman" w:hint="default"/>
          <w:spacing w:val="-2"/>
          <w:sz w:val="18"/>
          <w:szCs w:val="18"/>
        </w:rPr>
        <w:t>MWC2019</w:t>
      </w:r>
      <w:r>
        <w:rPr>
          <w:rFonts w:ascii="宋体" w:hAnsi="宋体" w:cs="宋体" w:eastAsia="宋体" w:hint="default"/>
          <w:spacing w:val="-2"/>
          <w:sz w:val="18"/>
          <w:szCs w:val="18"/>
        </w:rPr>
        <w:t>上海、世界智能大会等大型展会或会议提供高质量的网络服务和部署保障，受到客户一致好</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评。</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年公司将继续深化服务意识，提升服务能力，在</w:t>
      </w:r>
      <w:r>
        <w:rPr>
          <w:rFonts w:ascii="Times New Roman" w:hAnsi="Times New Roman" w:cs="Times New Roman" w:eastAsia="Times New Roman" w:hint="default"/>
          <w:sz w:val="18"/>
          <w:szCs w:val="18"/>
        </w:rPr>
        <w:t>5G</w:t>
      </w:r>
      <w:r>
        <w:rPr>
          <w:rFonts w:ascii="宋体" w:hAnsi="宋体" w:cs="宋体" w:eastAsia="宋体" w:hint="default"/>
          <w:sz w:val="18"/>
          <w:szCs w:val="18"/>
        </w:rPr>
        <w:t>建设的大潮中为客户提供更为高效的通信支撑服务。</w:t>
      </w:r>
    </w:p>
    <w:p>
      <w:pPr>
        <w:spacing w:line="240" w:lineRule="auto" w:before="1"/>
        <w:rPr>
          <w:rFonts w:ascii="宋体" w:hAnsi="宋体" w:cs="宋体" w:eastAsia="宋体" w:hint="default"/>
          <w:sz w:val="13"/>
          <w:szCs w:val="13"/>
        </w:rPr>
      </w:pPr>
    </w:p>
    <w:p>
      <w:pPr>
        <w:spacing w:line="300" w:lineRule="auto" w:before="0"/>
        <w:ind w:left="152" w:right="1057" w:firstLine="360"/>
        <w:jc w:val="left"/>
        <w:rPr>
          <w:rFonts w:ascii="宋体" w:hAnsi="宋体" w:cs="宋体" w:eastAsia="宋体" w:hint="default"/>
          <w:sz w:val="18"/>
          <w:szCs w:val="18"/>
        </w:rPr>
      </w:pPr>
      <w:r>
        <w:rPr>
          <w:rFonts w:ascii="宋体" w:hAnsi="宋体" w:cs="宋体" w:eastAsia="宋体" w:hint="default"/>
          <w:sz w:val="18"/>
          <w:szCs w:val="18"/>
        </w:rPr>
        <w:t>在云服务与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服务上，公司已设立控股子公司五象云谷，可为客户提供云平台与云计算建设、维护及销售和数据中心 </w:t>
      </w:r>
      <w:r>
        <w:rPr>
          <w:rFonts w:ascii="宋体" w:hAnsi="宋体" w:cs="宋体" w:eastAsia="宋体" w:hint="default"/>
          <w:spacing w:val="-4"/>
          <w:sz w:val="18"/>
          <w:szCs w:val="18"/>
        </w:rPr>
        <w:t>设计、建设、维护、运营与租售、增值服务等。经公司第三届董事会第二十四次会议和</w:t>
      </w:r>
      <w:r>
        <w:rPr>
          <w:rFonts w:ascii="Times New Roman" w:hAnsi="Times New Roman" w:cs="Times New Roman" w:eastAsia="Times New Roman" w:hint="default"/>
          <w:spacing w:val="-4"/>
          <w:sz w:val="18"/>
          <w:szCs w:val="18"/>
        </w:rPr>
        <w:t>2020</w:t>
      </w:r>
      <w:r>
        <w:rPr>
          <w:rFonts w:ascii="宋体" w:hAnsi="宋体" w:cs="宋体" w:eastAsia="宋体" w:hint="default"/>
          <w:spacing w:val="-4"/>
          <w:sz w:val="18"/>
          <w:szCs w:val="18"/>
        </w:rPr>
        <w:t>年第一次临时股东大会审议通过，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公司拟公开发行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股可转换公司债券募集不超过人民币</w:t>
      </w:r>
      <w:r>
        <w:rPr>
          <w:rFonts w:ascii="Times New Roman" w:hAnsi="Times New Roman" w:cs="Times New Roman" w:eastAsia="Times New Roman" w:hint="default"/>
          <w:sz w:val="18"/>
          <w:szCs w:val="18"/>
        </w:rPr>
        <w:t>10.9</w:t>
      </w:r>
      <w:r>
        <w:rPr>
          <w:rFonts w:ascii="宋体" w:hAnsi="宋体" w:cs="宋体" w:eastAsia="宋体" w:hint="default"/>
          <w:sz w:val="18"/>
          <w:szCs w:val="18"/>
        </w:rPr>
        <w:t>亿元资金用于投资建设五象云谷云计算中心项目，五象云谷云计 算中心项目预计</w:t>
      </w:r>
      <w:r>
        <w:rPr>
          <w:rFonts w:ascii="Times New Roman" w:hAnsi="Times New Roman" w:cs="Times New Roman" w:eastAsia="Times New Roman" w:hint="default"/>
          <w:sz w:val="18"/>
          <w:szCs w:val="18"/>
        </w:rPr>
        <w:t>2022</w:t>
      </w:r>
      <w:r>
        <w:rPr>
          <w:rFonts w:ascii="宋体" w:hAnsi="宋体" w:cs="宋体" w:eastAsia="宋体" w:hint="default"/>
          <w:sz w:val="18"/>
          <w:szCs w:val="18"/>
        </w:rPr>
        <w:t>年开始投产运营，将为公司业务增长带来强力支撑。</w:t>
      </w:r>
    </w:p>
    <w:p>
      <w:pPr>
        <w:spacing w:line="240" w:lineRule="auto" w:before="1"/>
        <w:rPr>
          <w:rFonts w:ascii="宋体" w:hAnsi="宋体" w:cs="宋体" w:eastAsia="宋体" w:hint="default"/>
          <w:sz w:val="13"/>
          <w:szCs w:val="13"/>
        </w:rPr>
      </w:pPr>
    </w:p>
    <w:p>
      <w:pPr>
        <w:spacing w:line="300" w:lineRule="auto" w:before="0"/>
        <w:ind w:left="152" w:right="1131" w:firstLine="360"/>
        <w:jc w:val="both"/>
        <w:rPr>
          <w:rFonts w:ascii="宋体" w:hAnsi="宋体" w:cs="宋体" w:eastAsia="宋体" w:hint="default"/>
          <w:sz w:val="18"/>
          <w:szCs w:val="18"/>
        </w:rPr>
      </w:pPr>
      <w:r>
        <w:rPr>
          <w:rFonts w:ascii="宋体" w:hAnsi="宋体" w:cs="宋体" w:eastAsia="宋体" w:hint="default"/>
          <w:sz w:val="18"/>
          <w:szCs w:val="18"/>
        </w:rPr>
        <w:t>在信息技术服务上，公司为智慧警务、智慧教育、智慧交通、智慧园区</w:t>
      </w:r>
      <w:r>
        <w:rPr>
          <w:rFonts w:ascii="Times New Roman" w:hAnsi="Times New Roman" w:cs="Times New Roman" w:eastAsia="Times New Roman" w:hint="default"/>
          <w:sz w:val="18"/>
          <w:szCs w:val="18"/>
        </w:rPr>
        <w:t>/</w:t>
      </w:r>
      <w:r>
        <w:rPr>
          <w:rFonts w:ascii="宋体" w:hAnsi="宋体" w:cs="宋体" w:eastAsia="宋体" w:hint="default"/>
          <w:sz w:val="18"/>
          <w:szCs w:val="18"/>
        </w:rPr>
        <w:t>社区、军民融合以及融媒体等行业领域的客户 提供一站式泛智能化信息技术服务，</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年取得了</w:t>
      </w:r>
      <w:r>
        <w:rPr>
          <w:rFonts w:ascii="Times New Roman" w:hAnsi="Times New Roman" w:cs="Times New Roman" w:eastAsia="Times New Roman" w:hint="default"/>
          <w:sz w:val="18"/>
          <w:szCs w:val="18"/>
        </w:rPr>
        <w:t>“</w:t>
      </w:r>
      <w:r>
        <w:rPr>
          <w:rFonts w:ascii="宋体" w:hAnsi="宋体" w:cs="宋体" w:eastAsia="宋体" w:hint="default"/>
          <w:sz w:val="18"/>
          <w:szCs w:val="18"/>
        </w:rPr>
        <w:t>广西医科大学智慧校园项目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钦州国际学校智慧校园项目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南宁市 公安局智慧巡防项目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隆安县震东集中安置区智慧平安社区建设项目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等一系列代表性项目，融媒体业务上公司与广西日 </w:t>
      </w:r>
      <w:r>
        <w:rPr>
          <w:rFonts w:ascii="宋体" w:hAnsi="宋体" w:cs="宋体" w:eastAsia="宋体" w:hint="default"/>
          <w:spacing w:val="-1"/>
          <w:sz w:val="18"/>
          <w:szCs w:val="18"/>
        </w:rPr>
        <w:t>报传媒集团合作建设了</w:t>
      </w:r>
      <w:r>
        <w:rPr>
          <w:rFonts w:ascii="Times New Roman" w:hAnsi="Times New Roman" w:cs="Times New Roman" w:eastAsia="Times New Roman" w:hint="default"/>
          <w:spacing w:val="-1"/>
          <w:sz w:val="18"/>
          <w:szCs w:val="18"/>
        </w:rPr>
        <w:t>21</w:t>
      </w:r>
      <w:r>
        <w:rPr>
          <w:rFonts w:ascii="宋体" w:hAnsi="宋体" w:cs="宋体" w:eastAsia="宋体" w:hint="default"/>
          <w:spacing w:val="-1"/>
          <w:sz w:val="18"/>
          <w:szCs w:val="18"/>
        </w:rPr>
        <w:t>个</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县级融媒体中心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，获得</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广州市白云区融媒体中心信息化建设项目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等项目；控股公司旋几工业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专注于智能制造和工业自动化，推出一系列智能制造解决方案和产品。</w:t>
      </w:r>
    </w:p>
    <w:p>
      <w:pPr>
        <w:spacing w:line="240" w:lineRule="auto" w:before="7"/>
        <w:rPr>
          <w:rFonts w:ascii="宋体" w:hAnsi="宋体" w:cs="宋体" w:eastAsia="宋体" w:hint="default"/>
          <w:sz w:val="14"/>
          <w:szCs w:val="14"/>
        </w:rPr>
      </w:pPr>
    </w:p>
    <w:p>
      <w:pPr>
        <w:spacing w:line="316" w:lineRule="auto" w:before="0"/>
        <w:ind w:left="152" w:right="1000" w:firstLine="360"/>
        <w:jc w:val="left"/>
        <w:rPr>
          <w:rFonts w:ascii="宋体" w:hAnsi="宋体" w:cs="宋体" w:eastAsia="宋体" w:hint="default"/>
          <w:sz w:val="18"/>
          <w:szCs w:val="18"/>
        </w:rPr>
      </w:pPr>
      <w:r>
        <w:rPr>
          <w:rFonts w:ascii="宋体" w:hAnsi="宋体" w:cs="宋体" w:eastAsia="宋体" w:hint="default"/>
          <w:spacing w:val="-4"/>
          <w:sz w:val="18"/>
          <w:szCs w:val="18"/>
        </w:rPr>
        <w:t>在电力与新能源服务上，公司通过收购及内生发展已完成在电力设计与咨询、电力工程、智慧电能、电力应用技术研究、</w:t>
      </w:r>
      <w:r>
        <w:rPr>
          <w:rFonts w:ascii="宋体" w:hAnsi="宋体" w:cs="宋体" w:eastAsia="宋体" w:hint="default"/>
          <w:sz w:val="18"/>
          <w:szCs w:val="18"/>
        </w:rPr>
        <w:t> </w:t>
      </w:r>
      <w:r>
        <w:rPr>
          <w:rFonts w:ascii="宋体" w:hAnsi="宋体" w:cs="宋体" w:eastAsia="宋体" w:hint="default"/>
          <w:spacing w:val="-4"/>
          <w:sz w:val="18"/>
          <w:szCs w:val="18"/>
        </w:rPr>
        <w:t>电力物联网、综合能源等方面的业务布局，建设电力行业全专业的技术服务能力，力争打造民营电力与新能源服务知名品牌，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在短期内快速发展。其中，在电力设计与咨询上，公司及控股公司鑫广源电力可为客户提供从电力主网到配网到用户的设计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服务，控股公司博深咨询可为客户提供电力生产和管理的咨询、审核、培训服务，在电力设计与咨询方面累积项目过万，在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广东、贵州等地具有规模化业务；在电力工程上，公司及控股公司恒泰电力已在广东、广西、河南、四川、江苏等重点区域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完成基本能力建设及业务突破；在智慧电能上，公司及全资子公司纵诺电力已在广东、广西、山西、四川、江苏、天津、山</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东等省份完成突破；在电力应用技术研究上，公司已成立电力应用技术研究院，同时已在德国设立欧洲未来科技研究院，为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电力研发提供国际先进技术支撑；在电力物联网上，公司及控股公司泺立能源、赛皓达科技等已研发输电线路铁塔智能在线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监测、配网地下电缆智能管控、智能配电房、生产管理软件等多种电力物联网解决方案和产品，并且在广西、广东、贵州等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多个地区应用；在综合能源上，公司新能源汽车充电桩处于区域开发阶段，首个新能源汽车充电桩项目已于广州市开始运营。</w:t>
      </w:r>
    </w:p>
    <w:p>
      <w:pPr>
        <w:spacing w:line="240" w:lineRule="auto" w:before="7"/>
        <w:rPr>
          <w:rFonts w:ascii="宋体" w:hAnsi="宋体" w:cs="宋体" w:eastAsia="宋体" w:hint="default"/>
          <w:sz w:val="13"/>
          <w:szCs w:val="13"/>
        </w:rPr>
      </w:pPr>
    </w:p>
    <w:p>
      <w:pPr>
        <w:spacing w:line="316" w:lineRule="auto" w:before="0"/>
        <w:ind w:left="152" w:right="1057" w:firstLine="360"/>
        <w:jc w:val="left"/>
        <w:rPr>
          <w:rFonts w:ascii="宋体" w:hAnsi="宋体" w:cs="宋体" w:eastAsia="宋体" w:hint="default"/>
          <w:sz w:val="18"/>
          <w:szCs w:val="18"/>
        </w:rPr>
      </w:pPr>
      <w:r>
        <w:rPr>
          <w:rFonts w:ascii="宋体" w:hAnsi="宋体" w:cs="宋体" w:eastAsia="宋体" w:hint="default"/>
          <w:spacing w:val="-2"/>
          <w:sz w:val="18"/>
          <w:szCs w:val="18"/>
        </w:rPr>
        <w:t>在海外市场拓展上，公司已在中国香港和新加坡设立子公司，并筹备在德国设立子公司进行海外业务拓展以及参与国际</w:t>
      </w:r>
      <w:r>
        <w:rPr>
          <w:rFonts w:ascii="宋体" w:hAnsi="宋体" w:cs="宋体" w:eastAsia="宋体" w:hint="default"/>
          <w:sz w:val="18"/>
          <w:szCs w:val="18"/>
        </w:rPr>
        <w:t> 先进技术研究开发、引进、应用推广。</w:t>
      </w:r>
    </w:p>
    <w:p>
      <w:pPr>
        <w:spacing w:line="240" w:lineRule="auto" w:before="8"/>
        <w:rPr>
          <w:rFonts w:ascii="宋体" w:hAnsi="宋体" w:cs="宋体" w:eastAsia="宋体" w:hint="default"/>
          <w:sz w:val="13"/>
          <w:szCs w:val="13"/>
        </w:rPr>
      </w:pPr>
    </w:p>
    <w:p>
      <w:pPr>
        <w:spacing w:before="0"/>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、研发工作</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2"/>
        <w:rPr>
          <w:rFonts w:ascii="宋体" w:hAnsi="宋体" w:cs="宋体" w:eastAsia="宋体" w:hint="default"/>
          <w:sz w:val="25"/>
          <w:szCs w:val="25"/>
        </w:rPr>
      </w:pPr>
    </w:p>
    <w:p>
      <w:pPr>
        <w:spacing w:line="307" w:lineRule="auto" w:before="44"/>
        <w:ind w:left="152" w:right="1042" w:firstLine="360"/>
        <w:jc w:val="left"/>
        <w:rPr>
          <w:rFonts w:ascii="宋体" w:hAnsi="宋体" w:cs="宋体" w:eastAsia="宋体" w:hint="default"/>
          <w:sz w:val="18"/>
          <w:szCs w:val="18"/>
        </w:rPr>
      </w:pPr>
      <w:r>
        <w:rPr>
          <w:rFonts w:ascii="宋体" w:hAnsi="宋体" w:cs="宋体" w:eastAsia="宋体" w:hint="default"/>
          <w:spacing w:val="-2"/>
          <w:sz w:val="18"/>
          <w:szCs w:val="18"/>
        </w:rPr>
        <w:t>公司重点布局</w:t>
      </w:r>
      <w:r>
        <w:rPr>
          <w:rFonts w:ascii="Times New Roman" w:hAnsi="Times New Roman" w:cs="Times New Roman" w:eastAsia="Times New Roman" w:hint="default"/>
          <w:spacing w:val="-2"/>
          <w:sz w:val="18"/>
          <w:szCs w:val="18"/>
        </w:rPr>
        <w:t>5G</w:t>
      </w:r>
      <w:r>
        <w:rPr>
          <w:rFonts w:ascii="宋体" w:hAnsi="宋体" w:cs="宋体" w:eastAsia="宋体" w:hint="default"/>
          <w:spacing w:val="-2"/>
          <w:sz w:val="18"/>
          <w:szCs w:val="18"/>
        </w:rPr>
        <w:t>技术应用、工业和电力物联网技术应用、大数据服务、云与</w:t>
      </w:r>
      <w:r>
        <w:rPr>
          <w:rFonts w:ascii="Times New Roman" w:hAnsi="Times New Roman" w:cs="Times New Roman" w:eastAsia="Times New Roman" w:hint="default"/>
          <w:spacing w:val="-2"/>
          <w:sz w:val="18"/>
          <w:szCs w:val="18"/>
        </w:rPr>
        <w:t>IDC</w:t>
      </w:r>
      <w:r>
        <w:rPr>
          <w:rFonts w:ascii="宋体" w:hAnsi="宋体" w:cs="宋体" w:eastAsia="宋体" w:hint="default"/>
          <w:spacing w:val="-2"/>
          <w:sz w:val="18"/>
          <w:szCs w:val="18"/>
        </w:rPr>
        <w:t>服务、电力智能化、智慧建维等高新技</w:t>
      </w:r>
      <w:r>
        <w:rPr>
          <w:rFonts w:ascii="宋体" w:hAnsi="宋体" w:cs="宋体" w:eastAsia="宋体" w:hint="default"/>
          <w:sz w:val="18"/>
          <w:szCs w:val="18"/>
        </w:rPr>
        <w:t> </w:t>
      </w:r>
      <w:r>
        <w:rPr>
          <w:rFonts w:ascii="宋体" w:hAnsi="宋体" w:cs="宋体" w:eastAsia="宋体" w:hint="default"/>
          <w:spacing w:val="-4"/>
          <w:sz w:val="18"/>
          <w:szCs w:val="18"/>
        </w:rPr>
        <w:t>术，并将技术研发成果在信息技术服务业务中应用，公司已设立了创新研发院、欧洲未来科技研究院、电力应用技术研究院、</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数字平台研发院、</w:t>
      </w:r>
      <w:r>
        <w:rPr>
          <w:rFonts w:ascii="Times New Roman" w:hAnsi="Times New Roman" w:cs="Times New Roman" w:eastAsia="Times New Roman" w:hint="default"/>
          <w:sz w:val="18"/>
          <w:szCs w:val="18"/>
        </w:rPr>
        <w:t>5G</w:t>
      </w:r>
      <w:r>
        <w:rPr>
          <w:rFonts w:ascii="宋体" w:hAnsi="宋体" w:cs="宋体" w:eastAsia="宋体" w:hint="default"/>
          <w:sz w:val="18"/>
          <w:szCs w:val="18"/>
        </w:rPr>
        <w:t>技术应用研发院等研发机构。</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年，公司已完成智能作业管理平台、网优大数据分析平台、智慧培 训平台、代维大数据分析平台等一系列产品研发，正在进行</w:t>
      </w:r>
      <w:r>
        <w:rPr>
          <w:rFonts w:ascii="Times New Roman" w:hAnsi="Times New Roman" w:cs="Times New Roman" w:eastAsia="Times New Roman" w:hint="default"/>
          <w:sz w:val="18"/>
          <w:szCs w:val="18"/>
        </w:rPr>
        <w:t>5G+4K/8K</w:t>
      </w:r>
      <w:r>
        <w:rPr>
          <w:rFonts w:ascii="宋体" w:hAnsi="宋体" w:cs="宋体" w:eastAsia="宋体" w:hint="default"/>
          <w:sz w:val="18"/>
          <w:szCs w:val="18"/>
        </w:rPr>
        <w:t>超高清制播系统、结合区块链技术的无线频谱接入方 </w:t>
      </w:r>
      <w:r>
        <w:rPr>
          <w:rFonts w:ascii="宋体" w:hAnsi="宋体" w:cs="宋体" w:eastAsia="宋体" w:hint="default"/>
          <w:spacing w:val="-2"/>
          <w:sz w:val="18"/>
          <w:szCs w:val="18"/>
        </w:rPr>
        <w:t>法及系统、数字化施工图联合审查管理信息系统、建筑业数字审批与行业管理信息系统、基于边缘计算的</w:t>
      </w:r>
      <w:r>
        <w:rPr>
          <w:rFonts w:ascii="Times New Roman" w:hAnsi="Times New Roman" w:cs="Times New Roman" w:eastAsia="Times New Roman" w:hint="default"/>
          <w:spacing w:val="-2"/>
          <w:sz w:val="18"/>
          <w:szCs w:val="18"/>
        </w:rPr>
        <w:t>T-MES</w:t>
      </w:r>
      <w:r>
        <w:rPr>
          <w:rFonts w:ascii="宋体" w:hAnsi="宋体" w:cs="宋体" w:eastAsia="宋体" w:hint="default"/>
          <w:spacing w:val="-2"/>
          <w:sz w:val="18"/>
          <w:szCs w:val="18"/>
        </w:rPr>
        <w:t>工业物联网</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平台及相关产品的研究及开发；积极探索</w:t>
      </w:r>
      <w:r>
        <w:rPr>
          <w:rFonts w:ascii="Times New Roman" w:hAnsi="Times New Roman" w:cs="Times New Roman" w:eastAsia="Times New Roman" w:hint="default"/>
          <w:sz w:val="18"/>
          <w:szCs w:val="18"/>
        </w:rPr>
        <w:t>WIFI6</w:t>
      </w:r>
      <w:r>
        <w:rPr>
          <w:rFonts w:ascii="宋体" w:hAnsi="宋体" w:cs="宋体" w:eastAsia="宋体" w:hint="default"/>
          <w:sz w:val="18"/>
          <w:szCs w:val="18"/>
        </w:rPr>
        <w:t>应用场景，并对</w:t>
      </w:r>
      <w:r>
        <w:rPr>
          <w:rFonts w:ascii="Times New Roman" w:hAnsi="Times New Roman" w:cs="Times New Roman" w:eastAsia="Times New Roman" w:hint="default"/>
          <w:sz w:val="18"/>
          <w:szCs w:val="18"/>
        </w:rPr>
        <w:t>WIFI6</w:t>
      </w:r>
      <w:r>
        <w:rPr>
          <w:rFonts w:ascii="宋体" w:hAnsi="宋体" w:cs="宋体" w:eastAsia="宋体" w:hint="default"/>
          <w:sz w:val="18"/>
          <w:szCs w:val="18"/>
        </w:rPr>
        <w:t>工程优化、组网技术及其在智慧社区、智能家居方面</w:t>
      </w:r>
      <w:r>
        <w:rPr>
          <w:rFonts w:ascii="宋体" w:hAnsi="宋体" w:cs="宋体" w:eastAsia="宋体" w:hint="default"/>
          <w:w w:val="99"/>
          <w:sz w:val="18"/>
          <w:szCs w:val="18"/>
        </w:rPr>
        <w:t> </w:t>
      </w:r>
      <w:r>
        <w:rPr>
          <w:rFonts w:ascii="宋体" w:hAnsi="宋体" w:cs="宋体" w:eastAsia="宋体" w:hint="default"/>
          <w:spacing w:val="-2"/>
          <w:sz w:val="18"/>
          <w:szCs w:val="18"/>
        </w:rPr>
        <w:t>的应用进行了探索和布局。在电力技术方面研发了输电线路铁塔智能在线监测、配网地下电缆智能管控、智能配电房、生产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管理软件等多种电力物联网解决方案和产品，同时布局了一系列国际先进技术研发。公司持续强化资质优势，完成软件能力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成熟度集成模型三级</w:t>
      </w:r>
      <w:r>
        <w:rPr>
          <w:rFonts w:ascii="Times New Roman" w:hAnsi="Times New Roman" w:cs="Times New Roman" w:eastAsia="Times New Roman" w:hint="default"/>
          <w:sz w:val="18"/>
          <w:szCs w:val="18"/>
        </w:rPr>
        <w:t>(CMMI3)</w:t>
      </w:r>
      <w:r>
        <w:rPr>
          <w:rFonts w:ascii="宋体" w:hAnsi="宋体" w:cs="宋体" w:eastAsia="宋体" w:hint="default"/>
          <w:sz w:val="18"/>
          <w:szCs w:val="18"/>
        </w:rPr>
        <w:t>至五级（</w:t>
      </w:r>
      <w:r>
        <w:rPr>
          <w:rFonts w:ascii="Times New Roman" w:hAnsi="Times New Roman" w:cs="Times New Roman" w:eastAsia="Times New Roman" w:hint="default"/>
          <w:sz w:val="18"/>
          <w:szCs w:val="18"/>
        </w:rPr>
        <w:t>CMMI5</w:t>
      </w:r>
      <w:r>
        <w:rPr>
          <w:rFonts w:ascii="宋体" w:hAnsi="宋体" w:cs="宋体" w:eastAsia="宋体" w:hint="default"/>
          <w:sz w:val="18"/>
          <w:szCs w:val="18"/>
        </w:rPr>
        <w:t>）升级，新获取信息技术服务运行维护标准符合性三级（</w:t>
      </w:r>
      <w:r>
        <w:rPr>
          <w:rFonts w:ascii="Times New Roman" w:hAnsi="Times New Roman" w:cs="Times New Roman" w:eastAsia="Times New Roman" w:hint="default"/>
          <w:sz w:val="18"/>
          <w:szCs w:val="18"/>
        </w:rPr>
        <w:t>ITSS3</w:t>
      </w:r>
      <w:r>
        <w:rPr>
          <w:rFonts w:ascii="宋体" w:hAnsi="宋体" w:cs="宋体" w:eastAsia="宋体" w:hint="default"/>
          <w:sz w:val="18"/>
          <w:szCs w:val="18"/>
        </w:rPr>
        <w:t>级）资质。目 前公司集合已有产品与先进技术，形成产品生态链。</w:t>
      </w:r>
    </w:p>
    <w:p>
      <w:pPr>
        <w:spacing w:line="240" w:lineRule="auto" w:before="1"/>
        <w:rPr>
          <w:rFonts w:ascii="宋体" w:hAnsi="宋体" w:cs="宋体" w:eastAsia="宋体" w:hint="default"/>
          <w:sz w:val="14"/>
          <w:szCs w:val="14"/>
        </w:rPr>
      </w:pPr>
    </w:p>
    <w:p>
      <w:pPr>
        <w:spacing w:before="0"/>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、重点管理工作</w:t>
      </w:r>
    </w:p>
    <w:p>
      <w:pPr>
        <w:spacing w:line="240" w:lineRule="auto" w:before="10"/>
        <w:rPr>
          <w:rFonts w:ascii="宋体" w:hAnsi="宋体" w:cs="宋体" w:eastAsia="宋体" w:hint="default"/>
          <w:sz w:val="16"/>
          <w:szCs w:val="16"/>
        </w:rPr>
      </w:pPr>
    </w:p>
    <w:p>
      <w:pPr>
        <w:spacing w:line="314" w:lineRule="auto" w:before="0"/>
        <w:ind w:left="152" w:right="104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年，公司将安全生产管理提升至战略高度，提出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安全就是我们的生命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发展观，从管理原则、制度设置、组织基础、</w:t>
      </w:r>
      <w:r>
        <w:rPr>
          <w:rFonts w:ascii="宋体" w:hAnsi="宋体" w:cs="宋体" w:eastAsia="宋体" w:hint="default"/>
          <w:sz w:val="18"/>
          <w:szCs w:val="18"/>
        </w:rPr>
        <w:t> </w:t>
      </w:r>
      <w:r>
        <w:rPr>
          <w:rFonts w:ascii="宋体" w:hAnsi="宋体" w:cs="宋体" w:eastAsia="宋体" w:hint="default"/>
          <w:spacing w:val="-2"/>
          <w:sz w:val="18"/>
          <w:szCs w:val="18"/>
        </w:rPr>
        <w:t>现场管控等多维度强化安全生产管理，持续提升安全投入。同时，公司进一步加快工作重心向现场一线、市场、项目交付转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移，紧抓公司价值创造的关键节点，围绕关键节点强化资源投入，有效提升了公司作业生产效率与市场开拓能力。另外，公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司还按照业务拓展的需要，进一步梳理和完善了内部管理架构及管理方式，按业务线实施精简高效的线条管理模式，为各分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公司业务发展提供强有力的服务支撑。</w:t>
      </w:r>
    </w:p>
    <w:p>
      <w:pPr>
        <w:spacing w:line="240" w:lineRule="auto" w:before="13"/>
        <w:rPr>
          <w:rFonts w:ascii="宋体" w:hAnsi="宋体" w:cs="宋体" w:eastAsia="宋体" w:hint="default"/>
          <w:sz w:val="20"/>
          <w:szCs w:val="20"/>
        </w:rPr>
      </w:pPr>
    </w:p>
    <w:p>
      <w:pPr>
        <w:pStyle w:val="Heading3"/>
        <w:spacing w:line="240" w:lineRule="auto"/>
        <w:ind w:right="1057"/>
        <w:jc w:val="left"/>
        <w:rPr>
          <w:b w:val="0"/>
          <w:bCs w:val="0"/>
        </w:rPr>
      </w:pPr>
      <w:r>
        <w:rPr/>
        <w:t>二、主营业务分析</w:t>
      </w:r>
      <w:r>
        <w:rPr>
          <w:b w:val="0"/>
          <w:bCs w:val="0"/>
        </w:rPr>
      </w:r>
    </w:p>
    <w:p>
      <w:pPr>
        <w:spacing w:line="240" w:lineRule="auto" w:before="7"/>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3"/>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3,717,024,985.94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3,231,680,137.02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15.02%</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3,514,250,516.00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3,231,680,137.02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202,774,469.94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通信网络建设服务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2,008,894,452.49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1,765,706,884.82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通信网络维护与优 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1,505,356,063.51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1,465,973,252.20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202,774,469.94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1,854,979,805.47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49.90%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1,610,461,892.83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15.18%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551,007,417.14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418,701,725.39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406,229,085.00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327,502,767.06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338,549,877.27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9.11%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275,334,066.76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288,571,661.71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264,518,849.56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207,185,433.93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252,144,980.74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70,501,705.42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83,015,854.68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-15.07%</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9"/>
        <w:gridCol w:w="1008"/>
        <w:gridCol w:w="1013"/>
        <w:gridCol w:w="1011"/>
        <w:gridCol w:w="1003"/>
        <w:gridCol w:w="1006"/>
        <w:gridCol w:w="1001"/>
        <w:gridCol w:w="1003"/>
      </w:tblGrid>
      <w:tr>
        <w:trPr>
          <w:trHeight w:val="401"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749,072,090.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863,935,584.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900,051,951.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1,203,965,35</w:t>
            </w:r>
          </w:p>
          <w:p>
            <w:pPr>
              <w:pStyle w:val="TableParagraph"/>
              <w:spacing w:line="240" w:lineRule="auto" w:before="102"/>
              <w:ind w:left="665" w:right="0"/>
              <w:jc w:val="left"/>
              <w:rPr>
                <w:rFonts w:ascii="Times New Roman" w:hAnsi="Times New Roman" w:cs="Times New Roman" w:eastAsia="Times New Roman" w:hint="default"/>
                <w:sz w:val="18"/>
                <w:szCs w:val="18"/>
              </w:rPr>
            </w:pPr>
            <w:r>
              <w:rPr>
                <w:rFonts w:ascii="Times New Roman"/>
                <w:sz w:val="18"/>
              </w:rPr>
              <w:t>9.45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657,884,563.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844,171,755.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735,569,705.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994,054,112.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23</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48,061,905.7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39,641,766.5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57,948,923.7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84,393,625.1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39,146,540.0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63,550,619.3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37,075,082.5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66,105,471.7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line="357" w:lineRule="auto" w:before="51"/>
        <w:ind w:left="441" w:right="1057" w:hanging="289"/>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w:t>
      </w:r>
      <w:r>
        <w:rPr>
          <w:rFonts w:ascii="宋体" w:hAnsi="宋体" w:cs="宋体" w:eastAsia="宋体" w:hint="default"/>
          <w:spacing w:val="-1"/>
          <w:sz w:val="18"/>
          <w:szCs w:val="18"/>
        </w:rPr>
        <w:t>公司处于通信技术服务行业，客户主要系中国移动、中国联通、中国电信三大通信运营商和中国铁塔；通信运营商和中</w:t>
      </w:r>
    </w:p>
    <w:p>
      <w:pPr>
        <w:spacing w:line="224" w:lineRule="exact" w:before="0"/>
        <w:ind w:left="152" w:right="1000" w:firstLine="0"/>
        <w:jc w:val="left"/>
        <w:rPr>
          <w:rFonts w:ascii="宋体" w:hAnsi="宋体" w:cs="宋体" w:eastAsia="宋体" w:hint="default"/>
          <w:sz w:val="18"/>
          <w:szCs w:val="18"/>
        </w:rPr>
      </w:pPr>
      <w:r>
        <w:rPr>
          <w:rFonts w:ascii="宋体" w:hAnsi="宋体" w:cs="宋体" w:eastAsia="宋体" w:hint="default"/>
          <w:sz w:val="18"/>
          <w:szCs w:val="18"/>
        </w:rPr>
        <w:t>国铁塔一般在一季度进行本年度的建设投资规划及受春节前后的影响，通信网络建设较少导致一季度收入较低；二季度开始</w:t>
      </w:r>
    </w:p>
    <w:p>
      <w:pPr>
        <w:spacing w:before="77"/>
        <w:ind w:left="152" w:right="1057" w:firstLine="0"/>
        <w:jc w:val="left"/>
        <w:rPr>
          <w:rFonts w:ascii="宋体" w:hAnsi="宋体" w:cs="宋体" w:eastAsia="宋体" w:hint="default"/>
          <w:sz w:val="18"/>
          <w:szCs w:val="18"/>
        </w:rPr>
      </w:pPr>
      <w:r>
        <w:rPr>
          <w:rFonts w:ascii="宋体" w:hAnsi="宋体" w:cs="宋体" w:eastAsia="宋体" w:hint="default"/>
          <w:sz w:val="18"/>
          <w:szCs w:val="18"/>
        </w:rPr>
        <w:t>大规模的通信网络建设，收入增长较为明显，尤其是第四季度为建设高峰期，因此公司营业收入存在一定的季节性波动。</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spacing w:before="44"/>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通信技术服务业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3,514,250,516.00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2,917,153,523.17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-3.01%</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通信网络建设服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2,008,894,452.49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1,693,949,059.01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通信网络维护与 优化服务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1,505,356,063.51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1,223,204,464.16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1,854,979,805.47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1,531,792,363.22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551,007,417.14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460,485,322.17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31.60%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406,229,085.00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326,255,380.72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24.04%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338,549,877.27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275,192,435.71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288,571,661.71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234,948,066.41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207,185,433.93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179,323,481.86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70,501,705.42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58,362,717.08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-2.73%</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3" w:space="804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36"/>
        <w:gridCol w:w="1558"/>
        <w:gridCol w:w="1373"/>
        <w:gridCol w:w="1366"/>
        <w:gridCol w:w="1369"/>
        <w:gridCol w:w="1368"/>
      </w:tblGrid>
      <w:tr>
        <w:trPr>
          <w:trHeight w:val="401"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通信网络建设服务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58,021,594.38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109,746,949.73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通信网络建设服务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劳务分包费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1,465,766,744.63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1,101,671,156.54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33.05%</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通信网络建设服务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43,712,467.63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57,504,387.39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通信网络建设服务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间接费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126,448,252.36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115,698,716.95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9.29%</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1,693,949,059.01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1,384,621,210.61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22.34%</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通讯网络维护与优 化服务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147,741,361.11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412,430,214.85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-64.18%</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通讯网络维护与优 化服务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劳务分包费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859,020,229.36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436,060,315.57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97.00%</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通讯网络维护与优 化服务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3,975,092.43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4,815,374.10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-17.45%</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通讯网络维护与优 化服务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212,467,781.25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347,372,410.03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-38.84%</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1,223,204,464.16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1,200,678,314.55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1.88%</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12,715,020.07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136"/>
        <w:gridCol w:w="1558"/>
        <w:gridCol w:w="1373"/>
        <w:gridCol w:w="1366"/>
        <w:gridCol w:w="1369"/>
        <w:gridCol w:w="1368"/>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劳务分包费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78,229,766.51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47,168,742.78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间接费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7,625,708.18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145,739,237.54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3,062,892,760.71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2,585,299,525.16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9" w:right="0"/>
              <w:jc w:val="lef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18.47%</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24" w:lineRule="auto" w:before="115"/>
        <w:ind w:left="152" w:right="1057" w:firstLine="0"/>
        <w:jc w:val="left"/>
        <w:rPr>
          <w:rFonts w:ascii="宋体" w:hAnsi="宋体" w:cs="宋体" w:eastAsia="宋体" w:hint="default"/>
          <w:sz w:val="18"/>
          <w:szCs w:val="18"/>
        </w:rPr>
      </w:pPr>
      <w:r>
        <w:rPr>
          <w:rFonts w:ascii="宋体" w:hAnsi="宋体" w:cs="宋体" w:eastAsia="宋体" w:hint="default"/>
          <w:sz w:val="18"/>
          <w:szCs w:val="18"/>
        </w:rPr>
        <w:t>本报告期内，职工薪酬同比下降</w:t>
      </w:r>
      <w:r>
        <w:rPr>
          <w:rFonts w:ascii="Times New Roman" w:hAnsi="Times New Roman" w:cs="Times New Roman" w:eastAsia="Times New Roman" w:hint="default"/>
          <w:sz w:val="18"/>
          <w:szCs w:val="18"/>
        </w:rPr>
        <w:t>58.16%%</w:t>
      </w:r>
      <w:r>
        <w:rPr>
          <w:rFonts w:ascii="宋体" w:hAnsi="宋体" w:cs="宋体" w:eastAsia="宋体" w:hint="default"/>
          <w:sz w:val="18"/>
          <w:szCs w:val="18"/>
        </w:rPr>
        <w:t>，劳务分包费上升</w:t>
      </w:r>
      <w:r>
        <w:rPr>
          <w:rFonts w:ascii="Times New Roman" w:hAnsi="Times New Roman" w:cs="Times New Roman" w:eastAsia="Times New Roman" w:hint="default"/>
          <w:sz w:val="18"/>
          <w:szCs w:val="18"/>
        </w:rPr>
        <w:t>56.27%</w:t>
      </w:r>
      <w:r>
        <w:rPr>
          <w:rFonts w:ascii="宋体" w:hAnsi="宋体" w:cs="宋体" w:eastAsia="宋体" w:hint="default"/>
          <w:sz w:val="18"/>
          <w:szCs w:val="18"/>
        </w:rPr>
        <w:t>，间接费用下降</w:t>
      </w:r>
      <w:r>
        <w:rPr>
          <w:rFonts w:ascii="Times New Roman" w:hAnsi="Times New Roman" w:cs="Times New Roman" w:eastAsia="Times New Roman" w:hint="default"/>
          <w:sz w:val="18"/>
          <w:szCs w:val="18"/>
        </w:rPr>
        <w:t>25.16%</w:t>
      </w:r>
      <w:r>
        <w:rPr>
          <w:rFonts w:ascii="宋体" w:hAnsi="宋体" w:cs="宋体" w:eastAsia="宋体" w:hint="default"/>
          <w:sz w:val="18"/>
          <w:szCs w:val="18"/>
        </w:rPr>
        <w:t>，主要原因是公司基于行业市场 </w:t>
      </w:r>
      <w:r>
        <w:rPr>
          <w:rFonts w:ascii="宋体" w:hAnsi="宋体" w:cs="宋体" w:eastAsia="宋体" w:hint="default"/>
          <w:spacing w:val="-2"/>
          <w:sz w:val="18"/>
          <w:szCs w:val="18"/>
        </w:rPr>
        <w:t>趋势、行业项目交付主流模式，兼顾效率与效益，对公司业务运营、项目管理、项目交付等进行优化后，人员结构改善，劳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务分包范围扩大所致。材料费同比增加</w:t>
      </w:r>
      <w:r>
        <w:rPr>
          <w:rFonts w:ascii="Times New Roman" w:hAnsi="Times New Roman" w:cs="Times New Roman" w:eastAsia="Times New Roman" w:hint="default"/>
          <w:sz w:val="18"/>
          <w:szCs w:val="18"/>
        </w:rPr>
        <w:t>52.21%</w:t>
      </w:r>
      <w:r>
        <w:rPr>
          <w:rFonts w:ascii="宋体" w:hAnsi="宋体" w:cs="宋体" w:eastAsia="宋体" w:hint="default"/>
          <w:sz w:val="18"/>
          <w:szCs w:val="18"/>
        </w:rPr>
        <w:t>主要是公司新拓展业务对外采购金额增加所致。 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before="5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218,477,975.57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522,177,164.58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劳务分包费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2,403,016,740.50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1,537,731,472.11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56.27%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94,856,302.84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62,319,761.49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52.21%</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间接费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346,541,741.80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463,071,126.98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-25.16%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3,062,892,760.71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2,585,299,525.16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18.47%</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453" w:lineRule="auto" w:before="0"/>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合并财务报表范围及变化</w:t>
      </w:r>
    </w:p>
    <w:p>
      <w:pPr>
        <w:spacing w:before="72"/>
        <w:ind w:left="152"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）本报告期末纳入合并范围的子公司</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807"/>
        <w:gridCol w:w="3166"/>
        <w:gridCol w:w="1277"/>
        <w:gridCol w:w="1838"/>
        <w:gridCol w:w="985"/>
        <w:gridCol w:w="1001"/>
      </w:tblGrid>
      <w:tr>
        <w:trPr>
          <w:trHeight w:val="341" w:hRule="exact"/>
        </w:trPr>
        <w:tc>
          <w:tcPr>
            <w:tcW w:w="807" w:type="dxa"/>
            <w:vMerge w:val="restart"/>
            <w:tcBorders>
              <w:top w:val="single" w:sz="4" w:space="0" w:color="000000"/>
              <w:left w:val="single" w:sz="4" w:space="0" w:color="000000"/>
              <w:right w:val="single" w:sz="4" w:space="0" w:color="000000"/>
            </w:tcBorders>
          </w:tcPr>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54"/>
                <w:sz w:val="18"/>
                <w:szCs w:val="18"/>
              </w:rPr>
              <w:t> </w:t>
            </w:r>
            <w:r>
              <w:rPr>
                <w:rFonts w:ascii="宋体" w:hAnsi="宋体" w:cs="宋体" w:eastAsia="宋体" w:hint="default"/>
                <w:sz w:val="18"/>
                <w:szCs w:val="18"/>
              </w:rPr>
              <w:t>号</w:t>
            </w:r>
          </w:p>
        </w:tc>
        <w:tc>
          <w:tcPr>
            <w:tcW w:w="3166"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子公司简称</w:t>
            </w:r>
          </w:p>
        </w:tc>
        <w:tc>
          <w:tcPr>
            <w:tcW w:w="1838" w:type="dxa"/>
            <w:vMerge w:val="restart"/>
            <w:tcBorders>
              <w:top w:val="single" w:sz="4" w:space="0" w:color="000000"/>
              <w:left w:val="single" w:sz="4" w:space="0" w:color="000000"/>
              <w:right w:val="single" w:sz="4"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子公司关系</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43" w:hRule="exact"/>
        </w:trPr>
        <w:tc>
          <w:tcPr>
            <w:tcW w:w="807" w:type="dxa"/>
            <w:vMerge/>
            <w:tcBorders>
              <w:left w:val="single" w:sz="4" w:space="0" w:color="000000"/>
              <w:bottom w:val="single" w:sz="4" w:space="0" w:color="000000"/>
              <w:right w:val="single" w:sz="4" w:space="0" w:color="000000"/>
            </w:tcBorders>
          </w:tcPr>
          <w:p>
            <w:pPr/>
          </w:p>
        </w:tc>
        <w:tc>
          <w:tcPr>
            <w:tcW w:w="31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38" w:type="dxa"/>
            <w:vMerge/>
            <w:tcBorders>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6"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34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1</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广西诚本规划设计咨询有限公司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诚本规划</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2</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广西润联信息技术有限公司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润联信息</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广州卓联科技有限公司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卓联科技</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五象云谷有限公司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五象云谷</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70.00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长嘉科技有限公司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长嘉科技</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6</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润沃科技（山东）有限公司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润沃科技</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广州汇柠科技有限公司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汇柠科技</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8</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广东南粤云视科技有限公司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南粤云视</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9</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广西信安锐达科技有限公司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信安锐达</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10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广州云谷创智科技有限公司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云谷创智</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11</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广州纵诺电力工程技术有限公司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纵诺电力</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7"/>
        <w:gridCol w:w="3166"/>
        <w:gridCol w:w="1277"/>
        <w:gridCol w:w="1838"/>
        <w:gridCol w:w="985"/>
        <w:gridCol w:w="1001"/>
      </w:tblGrid>
      <w:tr>
        <w:trPr>
          <w:trHeight w:val="344"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12</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广州市赛皓达智能科技有限公司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赛皓达</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泺立能源子公司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9" w:right="0"/>
              <w:jc w:val="left"/>
              <w:rPr>
                <w:rFonts w:ascii="Times New Roman" w:hAnsi="Times New Roman" w:cs="Times New Roman" w:eastAsia="Times New Roman" w:hint="default"/>
                <w:sz w:val="18"/>
                <w:szCs w:val="18"/>
              </w:rPr>
            </w:pPr>
            <w:r>
              <w:rPr>
                <w:rFonts w:ascii="Times New Roman"/>
                <w:sz w:val="18"/>
              </w:rPr>
              <w:t>100.00</w:t>
            </w:r>
          </w:p>
        </w:tc>
      </w:tr>
      <w:tr>
        <w:trPr>
          <w:trHeight w:val="34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13</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广州恒泰电力工程有限公司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恒泰电力</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泺立能源子公司</w:t>
            </w:r>
          </w:p>
        </w:tc>
        <w:tc>
          <w:tcPr>
            <w:tcW w:w="98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2" w:right="0"/>
              <w:jc w:val="left"/>
              <w:rPr>
                <w:rFonts w:ascii="Times New Roman" w:hAnsi="Times New Roman" w:cs="Times New Roman" w:eastAsia="Times New Roman" w:hint="default"/>
                <w:sz w:val="18"/>
                <w:szCs w:val="18"/>
              </w:rPr>
            </w:pPr>
            <w:r>
              <w:rPr>
                <w:rFonts w:ascii="Times New Roman"/>
                <w:sz w:val="18"/>
              </w:rPr>
              <w:t>51.00</w:t>
            </w:r>
          </w:p>
        </w:tc>
      </w:tr>
      <w:tr>
        <w:trPr>
          <w:trHeight w:val="34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14</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广州市泺立能源科技有限公司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泺立能源</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15</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广州鑫广源电力设计有限公司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鑫广源</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70.00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16</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广东博深咨询有限公司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博深咨询</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17</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润建国际有限公司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润建国际</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18</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2"/>
              <w:ind w:left="1199" w:right="92" w:hanging="1104"/>
              <w:jc w:val="left"/>
              <w:rPr>
                <w:rFonts w:ascii="Times New Roman" w:hAnsi="Times New Roman" w:cs="Times New Roman" w:eastAsia="Times New Roman" w:hint="default"/>
                <w:sz w:val="18"/>
                <w:szCs w:val="18"/>
              </w:rPr>
            </w:pPr>
            <w:r>
              <w:rPr>
                <w:rFonts w:ascii="Times New Roman"/>
                <w:sz w:val="18"/>
              </w:rPr>
              <w:t>R&amp;J</w:t>
            </w:r>
            <w:r>
              <w:rPr>
                <w:rFonts w:ascii="Times New Roman"/>
                <w:spacing w:val="-3"/>
                <w:sz w:val="18"/>
              </w:rPr>
              <w:t> </w:t>
            </w:r>
            <w:r>
              <w:rPr>
                <w:rFonts w:ascii="Times New Roman"/>
                <w:sz w:val="18"/>
              </w:rPr>
              <w:t>INTERNATIONAL(SINGAPORE)</w:t>
            </w:r>
            <w:r>
              <w:rPr>
                <w:rFonts w:ascii="Times New Roman"/>
                <w:w w:val="99"/>
                <w:sz w:val="18"/>
              </w:rPr>
              <w:t> </w:t>
            </w:r>
            <w:r>
              <w:rPr>
                <w:rFonts w:ascii="Times New Roman"/>
                <w:sz w:val="18"/>
              </w:rPr>
              <w:t>PTE.LTD.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新加坡润建</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9"/>
          <w:szCs w:val="9"/>
        </w:rPr>
      </w:pPr>
    </w:p>
    <w:p>
      <w:pPr>
        <w:spacing w:line="451" w:lineRule="auto" w:before="44"/>
        <w:ind w:left="152" w:right="7604" w:firstLine="0"/>
        <w:jc w:val="left"/>
        <w:rPr>
          <w:rFonts w:ascii="宋体" w:hAnsi="宋体" w:cs="宋体" w:eastAsia="宋体" w:hint="default"/>
          <w:sz w:val="18"/>
          <w:szCs w:val="18"/>
        </w:rPr>
      </w:pPr>
      <w:r>
        <w:rPr/>
        <w:pict>
          <v:shape style="position:absolute;margin-left:56.400002pt;margin-top:40.701683pt;width:454.45pt;height:289.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6"/>
                    <w:gridCol w:w="3368"/>
                    <w:gridCol w:w="1702"/>
                    <w:gridCol w:w="1277"/>
                    <w:gridCol w:w="1841"/>
                  </w:tblGrid>
                  <w:tr>
                    <w:trPr>
                      <w:trHeight w:val="34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54"/>
                            <w:sz w:val="18"/>
                            <w:szCs w:val="18"/>
                          </w:rPr>
                          <w:t> </w:t>
                        </w:r>
                        <w:r>
                          <w:rPr>
                            <w:rFonts w:ascii="宋体" w:hAnsi="宋体" w:cs="宋体" w:eastAsia="宋体" w:hint="default"/>
                            <w:sz w:val="18"/>
                            <w:szCs w:val="18"/>
                          </w:rPr>
                          <w:t>号</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子公司简称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报告期间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纳入合并范围原因</w:t>
                        </w:r>
                      </w:p>
                    </w:tc>
                  </w:tr>
                  <w:tr>
                    <w:trPr>
                      <w:trHeight w:val="34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五象云谷有限公司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五象云谷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长嘉科技有限公司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长嘉科技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润沃科技（山东）有限公司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润沃科技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4</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广州汇柠科技有限公司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汇柠科技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广东南粤云视科技有限公司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南粤云视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6</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广西信安锐达科技有限公司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信安锐达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广州云谷创智科技有限公司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云谷创智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8</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广州纵诺电力工程技术有限公司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纵诺电力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广州市赛皓达智能科技有限公司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赛皓达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10</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广州恒泰电力工程有限公司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恒泰电力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11</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广州市泺立能源科技有限公司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泺立能源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12</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广州鑫广源电力设计有限公司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鑫广源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广东博深咨询有限公司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博深咨询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3"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14</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润建国际有限公司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润建国际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655"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15</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2"/>
                          <w:ind w:left="1300" w:right="193" w:hanging="1104"/>
                          <w:jc w:val="left"/>
                          <w:rPr>
                            <w:rFonts w:ascii="Times New Roman" w:hAnsi="Times New Roman" w:cs="Times New Roman" w:eastAsia="Times New Roman" w:hint="default"/>
                            <w:sz w:val="18"/>
                            <w:szCs w:val="18"/>
                          </w:rPr>
                        </w:pPr>
                        <w:r>
                          <w:rPr>
                            <w:rFonts w:ascii="Times New Roman"/>
                            <w:sz w:val="18"/>
                          </w:rPr>
                          <w:t>R&amp;J</w:t>
                        </w:r>
                        <w:r>
                          <w:rPr>
                            <w:rFonts w:ascii="Times New Roman"/>
                            <w:spacing w:val="-3"/>
                            <w:sz w:val="18"/>
                          </w:rPr>
                          <w:t> </w:t>
                        </w:r>
                        <w:r>
                          <w:rPr>
                            <w:rFonts w:ascii="Times New Roman"/>
                            <w:sz w:val="18"/>
                          </w:rPr>
                          <w:t>INTERNATIONAL(SINGAPORE)</w:t>
                        </w:r>
                        <w:r>
                          <w:rPr>
                            <w:rFonts w:ascii="Times New Roman"/>
                            <w:w w:val="99"/>
                            <w:sz w:val="18"/>
                          </w:rPr>
                          <w:t> </w:t>
                        </w:r>
                        <w:r>
                          <w:rPr>
                            <w:rFonts w:ascii="Times New Roman"/>
                            <w:sz w:val="18"/>
                          </w:rPr>
                          <w:t>PTE.LTD.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新加坡润建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新设合并</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）本报告期内合并财务报表范围变化 本报告期内新增子公司：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1,514,117,133.21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40.73%</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503,312,979.97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417,964,328.61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11.24%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中国移动通信集团江苏有限公司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247,022,056.03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6.65%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中国电信股份有限公司广西分公司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194,694,804.20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中国移动通信集团贵州有限公司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151,122,964.40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1,514,117,133.21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40.73%</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19" w:lineRule="auto" w:before="118"/>
        <w:ind w:left="152" w:right="1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公司前五名客户与公司不存在关联关系，公司董事、监事、高级管理人员、核心技术人员、持股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以上的股东、实际控制 人和其他关联方不存在在客户中直接或间接拥有权益。</w:t>
      </w:r>
    </w:p>
    <w:p>
      <w:pPr>
        <w:spacing w:before="58"/>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2,363,090,248.89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74.75%</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名供应商资料</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广西展飞建筑劳务有限公司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997,383,050.38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31.55%</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广西溥天建筑劳务有限公司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860,249,570.64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广东中冠劳务分包有限公司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353,617,863.06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萍乡市共能人力资源有限公司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117,912,094.30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广西凯谦建筑劳务有限公司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33,927,670.51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2,363,090,248.89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74.75%</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8"/>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110,562,516.12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104,539,228.27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报告期内，公司业务拓展，对应人员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的业务费、差旅费费用增加所致。</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112,419,336.04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158,403,064.96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报告期内，管理人员薪酬减少所致。</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-7,290,844.00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9,657,659.68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-175.49%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报告期内，银行存款利息收入增加。</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7" w:right="0"/>
              <w:jc w:val="left"/>
              <w:rPr>
                <w:rFonts w:ascii="Times New Roman" w:hAnsi="Times New Roman" w:cs="Times New Roman" w:eastAsia="Times New Roman" w:hint="default"/>
                <w:sz w:val="18"/>
                <w:szCs w:val="18"/>
              </w:rPr>
            </w:pPr>
            <w:r>
              <w:rPr>
                <w:rFonts w:ascii="Times New Roman"/>
                <w:sz w:val="18"/>
              </w:rPr>
              <w:t>117,995,642.98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7" w:right="0"/>
              <w:jc w:val="left"/>
              <w:rPr>
                <w:rFonts w:ascii="Times New Roman" w:hAnsi="Times New Roman" w:cs="Times New Roman" w:eastAsia="Times New Roman" w:hint="default"/>
                <w:sz w:val="18"/>
                <w:szCs w:val="18"/>
              </w:rPr>
            </w:pPr>
            <w:r>
              <w:rPr>
                <w:rFonts w:ascii="Times New Roman"/>
                <w:sz w:val="18"/>
              </w:rPr>
              <w:t>110,388,843.38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62" w:right="0"/>
              <w:jc w:val="left"/>
              <w:rPr>
                <w:rFonts w:ascii="Times New Roman" w:hAnsi="Times New Roman" w:cs="Times New Roman" w:eastAsia="Times New Roman" w:hint="default"/>
                <w:sz w:val="18"/>
                <w:szCs w:val="18"/>
              </w:rPr>
            </w:pPr>
            <w:r>
              <w:rPr>
                <w:rFonts w:ascii="Times New Roman"/>
                <w:sz w:val="18"/>
              </w:rPr>
              <w:t>6.89%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报告期内，公司加大对研发的投入。</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6"/>
          <w:szCs w:val="16"/>
        </w:rPr>
      </w:pPr>
    </w:p>
    <w:p>
      <w:pPr>
        <w:spacing w:line="309" w:lineRule="auto" w:before="0"/>
        <w:ind w:left="152" w:right="1044" w:firstLine="0"/>
        <w:jc w:val="left"/>
        <w:rPr>
          <w:rFonts w:ascii="宋体" w:hAnsi="宋体" w:cs="宋体" w:eastAsia="宋体" w:hint="default"/>
          <w:sz w:val="18"/>
          <w:szCs w:val="18"/>
        </w:rPr>
      </w:pPr>
      <w:r>
        <w:rPr>
          <w:rFonts w:ascii="宋体" w:hAnsi="宋体" w:cs="宋体" w:eastAsia="宋体" w:hint="default"/>
          <w:sz w:val="18"/>
          <w:szCs w:val="18"/>
        </w:rPr>
        <w:t>公司重点布局</w:t>
      </w:r>
      <w:r>
        <w:rPr>
          <w:rFonts w:ascii="Times New Roman" w:hAnsi="Times New Roman" w:cs="Times New Roman" w:eastAsia="Times New Roman" w:hint="default"/>
          <w:sz w:val="18"/>
          <w:szCs w:val="18"/>
        </w:rPr>
        <w:t>5G</w:t>
      </w:r>
      <w:r>
        <w:rPr>
          <w:rFonts w:ascii="宋体" w:hAnsi="宋体" w:cs="宋体" w:eastAsia="宋体" w:hint="default"/>
          <w:sz w:val="18"/>
          <w:szCs w:val="18"/>
        </w:rPr>
        <w:t>技术应用、工业和电力物联网技术应用、大数据服务、云与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服务、电力智能化、智慧建维等高新技术， </w:t>
      </w:r>
      <w:r>
        <w:rPr>
          <w:rFonts w:ascii="宋体" w:hAnsi="宋体" w:cs="宋体" w:eastAsia="宋体" w:hint="default"/>
          <w:spacing w:val="-2"/>
          <w:sz w:val="18"/>
          <w:szCs w:val="18"/>
        </w:rPr>
        <w:t>并将技术研发成果在信息技术服务业务中应用。公司成立了创新研发院、欧洲未来科技研究院、电力应用技术研究院、数字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平台研发院、</w:t>
      </w:r>
      <w:r>
        <w:rPr>
          <w:rFonts w:ascii="Times New Roman" w:hAnsi="Times New Roman" w:cs="Times New Roman" w:eastAsia="Times New Roman" w:hint="default"/>
          <w:sz w:val="18"/>
          <w:szCs w:val="18"/>
        </w:rPr>
        <w:t>5G</w:t>
      </w:r>
      <w:r>
        <w:rPr>
          <w:rFonts w:ascii="宋体" w:hAnsi="宋体" w:cs="宋体" w:eastAsia="宋体" w:hint="default"/>
          <w:sz w:val="18"/>
          <w:szCs w:val="18"/>
        </w:rPr>
        <w:t>技术应用研发院等，持续的研发投入全面提升了公司综合竞争力。</w:t>
      </w:r>
    </w:p>
    <w:p>
      <w:pPr>
        <w:spacing w:before="46"/>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-32.25%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117,995,642.98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110,388,843.38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6.89%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6"/>
          <w:szCs w:val="16"/>
        </w:rPr>
      </w:pPr>
    </w:p>
    <w:p>
      <w:pPr>
        <w:spacing w:line="297" w:lineRule="auto" w:before="0"/>
        <w:ind w:left="152" w:right="1044" w:firstLine="0"/>
        <w:jc w:val="left"/>
        <w:rPr>
          <w:rFonts w:ascii="宋体" w:hAnsi="宋体" w:cs="宋体" w:eastAsia="宋体" w:hint="default"/>
          <w:sz w:val="18"/>
          <w:szCs w:val="18"/>
        </w:rPr>
      </w:pPr>
      <w:r>
        <w:rPr>
          <w:rFonts w:ascii="宋体" w:hAnsi="宋体" w:cs="宋体" w:eastAsia="宋体" w:hint="default"/>
          <w:sz w:val="18"/>
          <w:szCs w:val="18"/>
        </w:rPr>
        <w:t>公司优化研发人员架构，精简研发团队，重点布局</w:t>
      </w:r>
      <w:r>
        <w:rPr>
          <w:rFonts w:ascii="Times New Roman" w:hAnsi="Times New Roman" w:cs="Times New Roman" w:eastAsia="Times New Roman" w:hint="default"/>
          <w:sz w:val="18"/>
          <w:szCs w:val="18"/>
        </w:rPr>
        <w:t>5G</w:t>
      </w:r>
      <w:r>
        <w:rPr>
          <w:rFonts w:ascii="宋体" w:hAnsi="宋体" w:cs="宋体" w:eastAsia="宋体" w:hint="default"/>
          <w:sz w:val="18"/>
          <w:szCs w:val="18"/>
        </w:rPr>
        <w:t>技术应用、工业和电力物联网技术应用、大数据服务、云与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 电力智能化、智慧建维等高新技术，研发人员占比上升，研发投入金额持续加大。</w:t>
      </w:r>
    </w:p>
    <w:p>
      <w:pPr>
        <w:spacing w:line="453" w:lineRule="auto" w:before="74"/>
        <w:ind w:left="152" w:right="1844"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公司不存在研发投入资本化项目</w:t>
      </w:r>
    </w:p>
    <w:p>
      <w:pPr>
        <w:spacing w:line="240" w:lineRule="auto" w:before="5"/>
        <w:rPr>
          <w:rFonts w:ascii="宋体" w:hAnsi="宋体" w:cs="宋体" w:eastAsia="宋体" w:hint="default"/>
          <w:sz w:val="20"/>
          <w:szCs w:val="20"/>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4,026,898,726.77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3,474,018,328.46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15.91%</w:t>
            </w:r>
            <w:r>
              <w:rPr>
                <w:rFonts w:ascii="Times New Roman"/>
                <w:sz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3,557,182,344.67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3,303,088,074.68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469,716,382.10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170,930,253.78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1,592,328,946.47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17,036,405.16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9,246.63%</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2,178,575,207.51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191,736,277.76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1,036.24%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-586,246,261.04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-174,699,872.60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457,290,000.00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2,310,839,070.00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-80.21%</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498,545,729.77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1,270,490,264.68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-60.76%</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-41,255,729.77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1,040,348,805.32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-157,785,608.71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1,036,579,186.50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-115.22%</w:t>
            </w:r>
            <w:r>
              <w:rPr>
                <w:rFonts w:ascii="Times New Roman"/>
                <w:spacing w:val="-1"/>
                <w:sz w:val="18"/>
              </w:rPr>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9" w:lineRule="auto" w:before="104"/>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年经营活动现金流量净额较上年增加</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29,878.61</w:t>
      </w:r>
      <w:r>
        <w:rPr>
          <w:rFonts w:ascii="宋体" w:hAnsi="宋体" w:cs="宋体" w:eastAsia="宋体" w:hint="default"/>
          <w:spacing w:val="-2"/>
          <w:sz w:val="18"/>
          <w:szCs w:val="18"/>
        </w:rPr>
        <w:t>万元，同比增长</w:t>
      </w:r>
      <w:r>
        <w:rPr>
          <w:rFonts w:ascii="Times New Roman" w:hAnsi="Times New Roman" w:cs="Times New Roman" w:eastAsia="Times New Roman" w:hint="default"/>
          <w:spacing w:val="-2"/>
          <w:sz w:val="18"/>
          <w:szCs w:val="18"/>
        </w:rPr>
        <w:t>174.8%</w:t>
      </w:r>
      <w:r>
        <w:rPr>
          <w:rFonts w:ascii="宋体" w:hAnsi="宋体" w:cs="宋体" w:eastAsia="宋体" w:hint="default"/>
          <w:spacing w:val="-2"/>
          <w:sz w:val="18"/>
          <w:szCs w:val="18"/>
        </w:rPr>
        <w:t>，主要是公司加强对应收账款的催收力度，公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司主要客户根据国家政策要求，积极推进历史项目清欠，在第四季度及时付款；另外，公司加强供应商结算管理，优化对主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要供应商的结算方式，以上原因导致经营活动产生的现金流量净额增加。</w:t>
      </w:r>
    </w:p>
    <w:p>
      <w:pPr>
        <w:spacing w:line="300" w:lineRule="auto" w:before="2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年投资活动现金流量净额</w:t>
      </w:r>
      <w:r>
        <w:rPr>
          <w:rFonts w:ascii="Times New Roman" w:hAnsi="Times New Roman" w:cs="Times New Roman" w:eastAsia="Times New Roman" w:hint="default"/>
          <w:sz w:val="18"/>
          <w:szCs w:val="18"/>
        </w:rPr>
        <w:t>-41,154.64</w:t>
      </w:r>
      <w:r>
        <w:rPr>
          <w:rFonts w:ascii="宋体" w:hAnsi="宋体" w:cs="宋体" w:eastAsia="宋体" w:hint="default"/>
          <w:sz w:val="18"/>
          <w:szCs w:val="18"/>
        </w:rPr>
        <w:t>万元，同比减少</w:t>
      </w:r>
      <w:r>
        <w:rPr>
          <w:rFonts w:ascii="Times New Roman" w:hAnsi="Times New Roman" w:cs="Times New Roman" w:eastAsia="Times New Roman" w:hint="default"/>
          <w:sz w:val="18"/>
          <w:szCs w:val="18"/>
        </w:rPr>
        <w:t>235.57%</w:t>
      </w:r>
      <w:r>
        <w:rPr>
          <w:rFonts w:ascii="宋体" w:hAnsi="宋体" w:cs="宋体" w:eastAsia="宋体" w:hint="default"/>
          <w:sz w:val="18"/>
          <w:szCs w:val="18"/>
        </w:rPr>
        <w:t>，主要是公司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年部署电力业务布局，并购电力板块 子公司所致。</w:t>
      </w:r>
    </w:p>
    <w:p>
      <w:pPr>
        <w:spacing w:line="300" w:lineRule="auto" w:before="31"/>
        <w:ind w:left="152" w:right="1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年筹资活动现金流量净</w:t>
      </w:r>
      <w:r>
        <w:rPr>
          <w:rFonts w:ascii="Times New Roman" w:hAnsi="Times New Roman" w:cs="Times New Roman" w:eastAsia="Times New Roman" w:hint="default"/>
          <w:sz w:val="18"/>
          <w:szCs w:val="18"/>
        </w:rPr>
        <w:t>-108,160.45</w:t>
      </w:r>
      <w:r>
        <w:rPr>
          <w:rFonts w:ascii="宋体" w:hAnsi="宋体" w:cs="宋体" w:eastAsia="宋体" w:hint="default"/>
          <w:sz w:val="18"/>
          <w:szCs w:val="18"/>
        </w:rPr>
        <w:t>元，同比减少</w:t>
      </w:r>
      <w:r>
        <w:rPr>
          <w:rFonts w:ascii="Times New Roman" w:hAnsi="Times New Roman" w:cs="Times New Roman" w:eastAsia="Times New Roman" w:hint="default"/>
          <w:sz w:val="18"/>
          <w:szCs w:val="18"/>
        </w:rPr>
        <w:t>103.97%</w:t>
      </w:r>
      <w:r>
        <w:rPr>
          <w:rFonts w:ascii="宋体" w:hAnsi="宋体" w:cs="宋体" w:eastAsia="宋体" w:hint="default"/>
          <w:sz w:val="18"/>
          <w:szCs w:val="18"/>
        </w:rPr>
        <w:t>，主要是公司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年完成首次公开发行股票，取得募集资 金，公司加强现金流管理，</w:t>
      </w:r>
      <w:r>
        <w:rPr>
          <w:rFonts w:ascii="Times New Roman" w:hAnsi="Times New Roman" w:cs="Times New Roman" w:eastAsia="Times New Roman" w:hint="default"/>
          <w:sz w:val="18"/>
          <w:szCs w:val="18"/>
        </w:rPr>
        <w:t>2019</w:t>
      </w:r>
      <w:r>
        <w:rPr>
          <w:rFonts w:ascii="宋体" w:hAnsi="宋体" w:cs="宋体" w:eastAsia="宋体" w:hint="default"/>
          <w:sz w:val="18"/>
          <w:szCs w:val="18"/>
        </w:rPr>
        <w:t>年无新增融资工作所致。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年现金及现金等价物净增加额较上年减少</w:t>
      </w:r>
      <w:r>
        <w:rPr>
          <w:rFonts w:ascii="Times New Roman" w:hAnsi="Times New Roman" w:cs="Times New Roman" w:eastAsia="Times New Roman" w:hint="default"/>
          <w:sz w:val="18"/>
          <w:szCs w:val="18"/>
        </w:rPr>
        <w:t>119436.48</w:t>
      </w:r>
      <w:r>
        <w:rPr>
          <w:rFonts w:ascii="宋体" w:hAnsi="宋体" w:cs="宋体" w:eastAsia="宋体" w:hint="default"/>
          <w:sz w:val="18"/>
          <w:szCs w:val="18"/>
        </w:rPr>
        <w:t>万元，同比减少</w:t>
      </w:r>
      <w:r>
        <w:rPr>
          <w:rFonts w:ascii="Times New Roman" w:hAnsi="Times New Roman" w:cs="Times New Roman" w:eastAsia="Times New Roman" w:hint="default"/>
          <w:sz w:val="18"/>
          <w:szCs w:val="18"/>
        </w:rPr>
        <w:t>115.22%</w:t>
      </w:r>
      <w:r>
        <w:rPr>
          <w:rFonts w:ascii="宋体" w:hAnsi="宋体" w:cs="宋体" w:eastAsia="宋体" w:hint="default"/>
          <w:sz w:val="18"/>
          <w:szCs w:val="18"/>
        </w:rPr>
        <w:t>，主要是投资活动和筹资活动现金流量 净额较上年减少</w:t>
      </w:r>
      <w:r>
        <w:rPr>
          <w:rFonts w:ascii="Times New Roman" w:hAnsi="Times New Roman" w:cs="Times New Roman" w:eastAsia="Times New Roman" w:hint="default"/>
          <w:sz w:val="18"/>
          <w:szCs w:val="18"/>
        </w:rPr>
        <w:t>149,315.09</w:t>
      </w:r>
      <w:r>
        <w:rPr>
          <w:rFonts w:ascii="宋体" w:hAnsi="宋体" w:cs="宋体" w:eastAsia="宋体" w:hint="default"/>
          <w:sz w:val="18"/>
          <w:szCs w:val="18"/>
        </w:rPr>
        <w:t>元，经营活动现金流量净额较上年增加</w:t>
      </w:r>
      <w:r>
        <w:rPr>
          <w:rFonts w:ascii="Times New Roman" w:hAnsi="Times New Roman" w:cs="Times New Roman" w:eastAsia="Times New Roman" w:hint="default"/>
          <w:sz w:val="18"/>
          <w:szCs w:val="18"/>
        </w:rPr>
        <w:t>29,878.61</w:t>
      </w:r>
      <w:r>
        <w:rPr>
          <w:rFonts w:ascii="宋体" w:hAnsi="宋体" w:cs="宋体" w:eastAsia="宋体" w:hint="default"/>
          <w:sz w:val="18"/>
          <w:szCs w:val="18"/>
        </w:rPr>
        <w:t>万元，合计较去年减少</w:t>
      </w:r>
      <w:r>
        <w:rPr>
          <w:rFonts w:ascii="Times New Roman" w:hAnsi="Times New Roman" w:cs="Times New Roman" w:eastAsia="Times New Roman" w:hint="default"/>
          <w:sz w:val="18"/>
          <w:szCs w:val="18"/>
        </w:rPr>
        <w:t>119436.48</w:t>
      </w:r>
      <w:r>
        <w:rPr>
          <w:rFonts w:ascii="宋体" w:hAnsi="宋体" w:cs="宋体" w:eastAsia="宋体" w:hint="default"/>
          <w:sz w:val="18"/>
          <w:szCs w:val="18"/>
        </w:rPr>
        <w:t>万元。</w:t>
      </w:r>
    </w:p>
    <w:p>
      <w:pPr>
        <w:spacing w:before="53"/>
        <w:ind w:left="152" w:right="1057"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057"/>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254"/>
        <w:gridCol w:w="2254"/>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40"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15,843,651.65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8"/>
              <w:jc w:val="both"/>
              <w:rPr>
                <w:rFonts w:ascii="宋体" w:hAnsi="宋体" w:cs="宋体" w:eastAsia="宋体" w:hint="default"/>
                <w:sz w:val="18"/>
                <w:szCs w:val="18"/>
              </w:rPr>
            </w:pPr>
            <w:r>
              <w:rPr>
                <w:rFonts w:ascii="宋体" w:hAnsi="宋体" w:cs="宋体" w:eastAsia="宋体" w:hint="default"/>
                <w:sz w:val="18"/>
                <w:szCs w:val="18"/>
              </w:rPr>
              <w:t>主要是报告期内交易性金融 资产持有期间取得的投资收 益以及权益法核算的长期股 权投资收益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1,445,203.80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主要是交易性金融资产产生 的公允价值变动</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-2,832,845.61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58"/>
              <w:jc w:val="left"/>
              <w:rPr>
                <w:rFonts w:ascii="宋体" w:hAnsi="宋体" w:cs="宋体" w:eastAsia="宋体" w:hint="default"/>
                <w:sz w:val="18"/>
                <w:szCs w:val="18"/>
              </w:rPr>
            </w:pPr>
            <w:r>
              <w:rPr>
                <w:rFonts w:ascii="宋体" w:hAnsi="宋体" w:cs="宋体" w:eastAsia="宋体" w:hint="default"/>
                <w:sz w:val="18"/>
                <w:szCs w:val="18"/>
              </w:rPr>
              <w:t>主要是报告期内存货计提跌 价准备所致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10,357,681.05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主要是报告期内取得子公司 投资成本小于可辨认公允价 值产生的收益以及取得与企 业日常活动无关的政府补助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2,736,027.64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主要是报告期内固定资产处 置损失及公益性捐赠所致。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7" w:space="394"/>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5"/>
        <w:gridCol w:w="1064"/>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1,193,168,555.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1,374,119,862.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35.11%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报告期内货币资金减少，主要系公司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年完成首次公开发行股票，取得</w:t>
            </w:r>
            <w:r>
              <w:rPr>
                <w:rFonts w:ascii="宋体" w:hAnsi="宋体" w:cs="宋体" w:eastAsia="宋体" w:hint="default"/>
                <w:sz w:val="18"/>
                <w:szCs w:val="18"/>
              </w:rPr>
              <w:t> 募集资金，</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年对外投资增加所 致。</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1,834,667,503.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1,468,850,517.</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
              <w:jc w:val="both"/>
              <w:rPr>
                <w:rFonts w:ascii="宋体" w:hAnsi="宋体" w:cs="宋体" w:eastAsia="宋体" w:hint="default"/>
                <w:sz w:val="18"/>
                <w:szCs w:val="18"/>
              </w:rPr>
            </w:pPr>
            <w:r>
              <w:rPr>
                <w:rFonts w:ascii="宋体" w:hAnsi="宋体" w:cs="宋体" w:eastAsia="宋体" w:hint="default"/>
                <w:sz w:val="18"/>
                <w:szCs w:val="18"/>
              </w:rPr>
              <w:t>报告期内，公司业务规模持续扩大， 应收账款总额相应增加，但由于总资 产增加，导致应收账款占总资产比重 与去年持平。</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823,506,294.6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633,160,199.86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
              <w:jc w:val="both"/>
              <w:rPr>
                <w:rFonts w:ascii="宋体" w:hAnsi="宋体" w:cs="宋体" w:eastAsia="宋体" w:hint="default"/>
                <w:sz w:val="18"/>
                <w:szCs w:val="18"/>
              </w:rPr>
            </w:pPr>
            <w:r>
              <w:rPr>
                <w:rFonts w:ascii="宋体" w:hAnsi="宋体" w:cs="宋体" w:eastAsia="宋体" w:hint="default"/>
                <w:sz w:val="18"/>
                <w:szCs w:val="18"/>
              </w:rPr>
              <w:t>报告期内，公司业务规模持续扩大， 存货总额相应增加，但由于总资产增 加，导致存货占总资产比重与去年持 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报告期内无发生额。</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48,286,791.28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1,410,103.86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报告期内，公司增加投资联营企业广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西农村投资集团润建智慧农业有限 </w:t>
            </w:r>
            <w:r>
              <w:rPr>
                <w:rFonts w:ascii="宋体" w:hAnsi="宋体" w:cs="宋体" w:eastAsia="宋体" w:hint="default"/>
                <w:spacing w:val="-2"/>
                <w:sz w:val="18"/>
                <w:szCs w:val="18"/>
              </w:rPr>
              <w:t>公司，减少投资云南安润盛达科技有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限公司。</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202,118,290.8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63,840,044.46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报告期内，主要系公司为实施募投项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目购置房产所致。</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报告期内无发生额。</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报告期内无发生额。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报告期内无发生额。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91"/>
        <w:gridCol w:w="1092"/>
        <w:gridCol w:w="1093"/>
        <w:gridCol w:w="1092"/>
        <w:gridCol w:w="1090"/>
        <w:gridCol w:w="1092"/>
        <w:gridCol w:w="1090"/>
        <w:gridCol w:w="965"/>
        <w:gridCol w:w="965"/>
      </w:tblGrid>
      <w:tr>
        <w:trPr>
          <w:trHeight w:val="1025"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93"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59" w:right="87"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51" w:right="89"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51" w:right="87"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91"/>
        <w:gridCol w:w="1092"/>
        <w:gridCol w:w="1093"/>
        <w:gridCol w:w="1092"/>
        <w:gridCol w:w="1090"/>
        <w:gridCol w:w="1092"/>
        <w:gridCol w:w="1090"/>
        <w:gridCol w:w="965"/>
        <w:gridCol w:w="965"/>
      </w:tblGrid>
      <w:tr>
        <w:trPr>
          <w:trHeight w:val="401"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78"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8"/>
                <w:sz w:val="18"/>
                <w:szCs w:val="18"/>
              </w:rPr>
              <w:t>资产（不含衍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生金融资产）</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149,768,601.2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1,445,203.80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187,800,000.0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129,567,891.6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209,445,913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.39</w:t>
            </w:r>
          </w:p>
        </w:tc>
      </w:tr>
      <w:tr>
        <w:trPr>
          <w:trHeight w:val="71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149,768,601.2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1,445,203.80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129,567,891.6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209,445,913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6" w:right="0"/>
              <w:jc w:val="lef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2" w:right="6794" w:firstLine="0"/>
        <w:jc w:val="left"/>
        <w:rPr>
          <w:rFonts w:ascii="宋体" w:hAnsi="宋体" w:cs="宋体" w:eastAsia="宋体" w:hint="default"/>
          <w:sz w:val="18"/>
          <w:szCs w:val="18"/>
        </w:rPr>
      </w:pPr>
      <w:r>
        <w:rPr>
          <w:rFonts w:ascii="宋体" w:hAnsi="宋体" w:cs="宋体" w:eastAsia="宋体" w:hint="default"/>
          <w:sz w:val="18"/>
          <w:szCs w:val="18"/>
        </w:rPr>
        <w:t>其他变动的内容 报告期内公司主要资产计量属性是否发生重大变化</w:t>
      </w:r>
    </w:p>
    <w:p>
      <w:pPr>
        <w:spacing w:before="29"/>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152" w:right="1000" w:firstLine="0"/>
        <w:jc w:val="left"/>
        <w:rPr>
          <w:rFonts w:ascii="宋体" w:hAnsi="宋体" w:cs="宋体" w:eastAsia="宋体" w:hint="default"/>
          <w:sz w:val="18"/>
          <w:szCs w:val="18"/>
        </w:rPr>
      </w:pPr>
      <w:r>
        <w:rPr>
          <w:rFonts w:ascii="宋体" w:hAnsi="宋体" w:cs="宋体" w:eastAsia="宋体" w:hint="default"/>
          <w:spacing w:val="-1"/>
          <w:sz w:val="18"/>
          <w:szCs w:val="18"/>
        </w:rPr>
        <w:t>截至</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日，公司为开立国内非金融保函，在银行对应保函保证金余额为</w:t>
      </w:r>
      <w:r>
        <w:rPr>
          <w:rFonts w:ascii="Times New Roman" w:hAnsi="Times New Roman" w:cs="Times New Roman" w:eastAsia="Times New Roman" w:hint="default"/>
          <w:spacing w:val="-1"/>
          <w:sz w:val="18"/>
          <w:szCs w:val="18"/>
        </w:rPr>
        <w:t>153,479,424.05</w:t>
      </w:r>
      <w:r>
        <w:rPr>
          <w:rFonts w:ascii="宋体" w:hAnsi="宋体" w:cs="宋体" w:eastAsia="宋体" w:hint="default"/>
          <w:spacing w:val="-1"/>
          <w:sz w:val="18"/>
          <w:szCs w:val="18"/>
        </w:rPr>
        <w:t>元；公司因办理银行汇票，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在银行对应开立保证金账户，账户余额为</w:t>
      </w:r>
      <w:r>
        <w:rPr>
          <w:rFonts w:ascii="Times New Roman" w:hAnsi="Times New Roman" w:cs="Times New Roman" w:eastAsia="Times New Roman" w:hint="default"/>
          <w:sz w:val="18"/>
          <w:szCs w:val="18"/>
        </w:rPr>
        <w:t>262,815,392.88</w:t>
      </w:r>
      <w:r>
        <w:rPr>
          <w:rFonts w:ascii="宋体" w:hAnsi="宋体" w:cs="宋体" w:eastAsia="宋体" w:hint="default"/>
          <w:sz w:val="18"/>
          <w:szCs w:val="18"/>
        </w:rPr>
        <w:t>元。</w:t>
      </w:r>
    </w:p>
    <w:p>
      <w:pPr>
        <w:spacing w:line="240" w:lineRule="auto" w:before="3"/>
        <w:rPr>
          <w:rFonts w:ascii="宋体" w:hAnsi="宋体" w:cs="宋体" w:eastAsia="宋体" w:hint="default"/>
          <w:sz w:val="20"/>
          <w:szCs w:val="20"/>
        </w:rPr>
      </w:pPr>
    </w:p>
    <w:p>
      <w:pPr>
        <w:pStyle w:val="Heading3"/>
        <w:spacing w:line="240" w:lineRule="auto"/>
        <w:ind w:right="1057"/>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1"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484,625,501.00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3,489.79%</w:t>
            </w:r>
          </w:p>
        </w:tc>
      </w:tr>
    </w:tbl>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513" w:right="1057" w:firstLine="0"/>
        <w:jc w:val="left"/>
        <w:rPr>
          <w:rFonts w:ascii="宋体" w:hAnsi="宋体" w:cs="宋体" w:eastAsia="宋体" w:hint="default"/>
          <w:sz w:val="18"/>
          <w:szCs w:val="18"/>
        </w:rPr>
      </w:pPr>
      <w:r>
        <w:rPr>
          <w:rFonts w:ascii="宋体" w:hAnsi="宋体" w:cs="宋体" w:eastAsia="宋体" w:hint="default"/>
          <w:sz w:val="18"/>
          <w:szCs w:val="18"/>
        </w:rPr>
        <w:t>报告期内对外投资说明：</w:t>
      </w:r>
    </w:p>
    <w:p>
      <w:pPr>
        <w:spacing w:line="300" w:lineRule="auto" w:before="115"/>
        <w:ind w:left="152" w:right="100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、收购股权情况：</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月，公司出资</w:t>
      </w:r>
      <w:r>
        <w:rPr>
          <w:rFonts w:ascii="Times New Roman" w:hAnsi="Times New Roman" w:cs="Times New Roman" w:eastAsia="Times New Roman" w:hint="default"/>
          <w:sz w:val="18"/>
          <w:szCs w:val="18"/>
        </w:rPr>
        <w:t>25</w:t>
      </w:r>
      <w:r>
        <w:rPr>
          <w:rFonts w:ascii="宋体" w:hAnsi="宋体" w:cs="宋体" w:eastAsia="宋体" w:hint="default"/>
          <w:sz w:val="18"/>
          <w:szCs w:val="18"/>
        </w:rPr>
        <w:t>万元收购云谷创智</w:t>
      </w:r>
      <w:r>
        <w:rPr>
          <w:rFonts w:ascii="Times New Roman" w:hAnsi="Times New Roman" w:cs="Times New Roman" w:eastAsia="Times New Roman" w:hint="default"/>
          <w:sz w:val="18"/>
          <w:szCs w:val="18"/>
        </w:rPr>
        <w:t>100%</w:t>
      </w:r>
      <w:r>
        <w:rPr>
          <w:rFonts w:ascii="宋体" w:hAnsi="宋体" w:cs="宋体" w:eastAsia="宋体" w:hint="default"/>
          <w:sz w:val="18"/>
          <w:szCs w:val="18"/>
        </w:rPr>
        <w:t>、出资</w:t>
      </w:r>
      <w:r>
        <w:rPr>
          <w:rFonts w:ascii="Times New Roman" w:hAnsi="Times New Roman" w:cs="Times New Roman" w:eastAsia="Times New Roman" w:hint="default"/>
          <w:sz w:val="18"/>
          <w:szCs w:val="18"/>
        </w:rPr>
        <w:t>65</w:t>
      </w:r>
      <w:r>
        <w:rPr>
          <w:rFonts w:ascii="宋体" w:hAnsi="宋体" w:cs="宋体" w:eastAsia="宋体" w:hint="default"/>
          <w:sz w:val="18"/>
          <w:szCs w:val="18"/>
        </w:rPr>
        <w:t>万收购信安锐达</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 </w:t>
      </w:r>
      <w:r>
        <w:rPr>
          <w:rFonts w:ascii="宋体" w:hAnsi="宋体" w:cs="宋体" w:eastAsia="宋体" w:hint="default"/>
          <w:spacing w:val="-2"/>
          <w:sz w:val="18"/>
          <w:szCs w:val="18"/>
        </w:rPr>
        <w:t>公司出资</w:t>
      </w:r>
      <w:r>
        <w:rPr>
          <w:rFonts w:ascii="Times New Roman" w:hAnsi="Times New Roman" w:cs="Times New Roman" w:eastAsia="Times New Roman" w:hint="default"/>
          <w:spacing w:val="-2"/>
          <w:sz w:val="18"/>
          <w:szCs w:val="18"/>
        </w:rPr>
        <w:t>2400</w:t>
      </w:r>
      <w:r>
        <w:rPr>
          <w:rFonts w:ascii="宋体" w:hAnsi="宋体" w:cs="宋体" w:eastAsia="宋体" w:hint="default"/>
          <w:spacing w:val="-2"/>
          <w:sz w:val="18"/>
          <w:szCs w:val="18"/>
        </w:rPr>
        <w:t>万元收购泺立能源</w:t>
      </w:r>
      <w:r>
        <w:rPr>
          <w:rFonts w:ascii="Times New Roman" w:hAnsi="Times New Roman" w:cs="Times New Roman" w:eastAsia="Times New Roman" w:hint="default"/>
          <w:spacing w:val="-2"/>
          <w:sz w:val="18"/>
          <w:szCs w:val="18"/>
        </w:rPr>
        <w:t>51%</w:t>
      </w:r>
      <w:r>
        <w:rPr>
          <w:rFonts w:ascii="宋体" w:hAnsi="宋体" w:cs="宋体" w:eastAsia="宋体" w:hint="default"/>
          <w:spacing w:val="-2"/>
          <w:sz w:val="18"/>
          <w:szCs w:val="18"/>
        </w:rPr>
        <w:t>股权，公司出资</w:t>
      </w:r>
      <w:r>
        <w:rPr>
          <w:rFonts w:ascii="Times New Roman" w:hAnsi="Times New Roman" w:cs="Times New Roman" w:eastAsia="Times New Roman" w:hint="default"/>
          <w:spacing w:val="-2"/>
          <w:sz w:val="18"/>
          <w:szCs w:val="18"/>
        </w:rPr>
        <w:t>1,600</w:t>
      </w:r>
      <w:r>
        <w:rPr>
          <w:rFonts w:ascii="宋体" w:hAnsi="宋体" w:cs="宋体" w:eastAsia="宋体" w:hint="default"/>
          <w:spacing w:val="-2"/>
          <w:sz w:val="18"/>
          <w:szCs w:val="18"/>
        </w:rPr>
        <w:t>万收购旋几工业</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股权；</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月，公司出资</w:t>
      </w:r>
      <w:r>
        <w:rPr>
          <w:rFonts w:ascii="Times New Roman" w:hAnsi="Times New Roman" w:cs="Times New Roman" w:eastAsia="Times New Roman" w:hint="default"/>
          <w:spacing w:val="-2"/>
          <w:sz w:val="18"/>
          <w:szCs w:val="18"/>
        </w:rPr>
        <w:t>4750</w:t>
      </w:r>
      <w:r>
        <w:rPr>
          <w:rFonts w:ascii="宋体" w:hAnsi="宋体" w:cs="宋体" w:eastAsia="宋体" w:hint="default"/>
          <w:spacing w:val="-2"/>
          <w:sz w:val="18"/>
          <w:szCs w:val="18"/>
        </w:rPr>
        <w:t>万元收购鑫</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2"/>
          <w:sz w:val="18"/>
          <w:szCs w:val="18"/>
        </w:rPr>
        <w:t>广源</w:t>
      </w:r>
      <w:r>
        <w:rPr>
          <w:rFonts w:ascii="Times New Roman" w:hAnsi="Times New Roman" w:cs="Times New Roman" w:eastAsia="Times New Roman" w:hint="default"/>
          <w:spacing w:val="-2"/>
          <w:sz w:val="18"/>
          <w:szCs w:val="18"/>
        </w:rPr>
        <w:t>70%</w:t>
      </w:r>
      <w:r>
        <w:rPr>
          <w:rFonts w:ascii="宋体" w:hAnsi="宋体" w:cs="宋体" w:eastAsia="宋体" w:hint="default"/>
          <w:spacing w:val="-2"/>
          <w:sz w:val="18"/>
          <w:szCs w:val="18"/>
        </w:rPr>
        <w:t>股权；</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月，公司控股子公司泺立能源出资</w:t>
      </w:r>
      <w:r>
        <w:rPr>
          <w:rFonts w:ascii="Times New Roman" w:hAnsi="Times New Roman" w:cs="Times New Roman" w:eastAsia="Times New Roman" w:hint="default"/>
          <w:spacing w:val="-2"/>
          <w:sz w:val="18"/>
          <w:szCs w:val="18"/>
        </w:rPr>
        <w:t>1530</w:t>
      </w:r>
      <w:r>
        <w:rPr>
          <w:rFonts w:ascii="宋体" w:hAnsi="宋体" w:cs="宋体" w:eastAsia="宋体" w:hint="default"/>
          <w:spacing w:val="-2"/>
          <w:sz w:val="18"/>
          <w:szCs w:val="18"/>
        </w:rPr>
        <w:t>万元收购恒泰电力</w:t>
      </w:r>
      <w:r>
        <w:rPr>
          <w:rFonts w:ascii="Times New Roman" w:hAnsi="Times New Roman" w:cs="Times New Roman" w:eastAsia="Times New Roman" w:hint="default"/>
          <w:spacing w:val="-2"/>
          <w:sz w:val="18"/>
          <w:szCs w:val="18"/>
        </w:rPr>
        <w:t>51%</w:t>
      </w:r>
      <w:r>
        <w:rPr>
          <w:rFonts w:ascii="宋体" w:hAnsi="宋体" w:cs="宋体" w:eastAsia="宋体" w:hint="default"/>
          <w:spacing w:val="-2"/>
          <w:sz w:val="18"/>
          <w:szCs w:val="18"/>
        </w:rPr>
        <w:t>股权、出资</w:t>
      </w:r>
      <w:r>
        <w:rPr>
          <w:rFonts w:ascii="Times New Roman" w:hAnsi="Times New Roman" w:cs="Times New Roman" w:eastAsia="Times New Roman" w:hint="default"/>
          <w:spacing w:val="-2"/>
          <w:sz w:val="18"/>
          <w:szCs w:val="18"/>
        </w:rPr>
        <w:t>2740</w:t>
      </w:r>
      <w:r>
        <w:rPr>
          <w:rFonts w:ascii="宋体" w:hAnsi="宋体" w:cs="宋体" w:eastAsia="宋体" w:hint="default"/>
          <w:spacing w:val="-2"/>
          <w:sz w:val="18"/>
          <w:szCs w:val="18"/>
        </w:rPr>
        <w:t>万元收购赛皓达</w:t>
      </w:r>
      <w:r>
        <w:rPr>
          <w:rFonts w:ascii="Times New Roman" w:hAnsi="Times New Roman" w:cs="Times New Roman" w:eastAsia="Times New Roman" w:hint="default"/>
          <w:spacing w:val="-2"/>
          <w:sz w:val="18"/>
          <w:szCs w:val="18"/>
        </w:rPr>
        <w:t>100%</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6"/>
          <w:sz w:val="18"/>
          <w:szCs w:val="18"/>
        </w:rPr>
      </w:r>
      <w:r>
        <w:rPr>
          <w:rFonts w:ascii="宋体" w:hAnsi="宋体" w:cs="宋体" w:eastAsia="宋体" w:hint="default"/>
          <w:spacing w:val="-1"/>
          <w:sz w:val="18"/>
          <w:szCs w:val="18"/>
        </w:rPr>
        <w:t>股权，公司出资</w:t>
      </w:r>
      <w:r>
        <w:rPr>
          <w:rFonts w:ascii="Times New Roman" w:hAnsi="Times New Roman" w:cs="Times New Roman" w:eastAsia="Times New Roman" w:hint="default"/>
          <w:spacing w:val="-1"/>
          <w:sz w:val="18"/>
          <w:szCs w:val="18"/>
        </w:rPr>
        <w:t>500</w:t>
      </w:r>
      <w:r>
        <w:rPr>
          <w:rFonts w:ascii="宋体" w:hAnsi="宋体" w:cs="宋体" w:eastAsia="宋体" w:hint="default"/>
          <w:spacing w:val="-1"/>
          <w:sz w:val="18"/>
          <w:szCs w:val="18"/>
        </w:rPr>
        <w:t>万元收购纵诺电力</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股权、出资</w:t>
      </w:r>
      <w:r>
        <w:rPr>
          <w:rFonts w:ascii="Times New Roman" w:hAnsi="Times New Roman" w:cs="Times New Roman" w:eastAsia="Times New Roman" w:hint="default"/>
          <w:spacing w:val="-1"/>
          <w:sz w:val="18"/>
          <w:szCs w:val="18"/>
        </w:rPr>
        <w:t>510</w:t>
      </w:r>
      <w:r>
        <w:rPr>
          <w:rFonts w:ascii="宋体" w:hAnsi="宋体" w:cs="宋体" w:eastAsia="宋体" w:hint="default"/>
          <w:spacing w:val="-1"/>
          <w:sz w:val="18"/>
          <w:szCs w:val="18"/>
        </w:rPr>
        <w:t>万元收购博深咨询</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股权。以上股权收购事项不涉及关联交易，</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不涉及重大资产购买，资金来源均为自有资金，属于公司总经理审批权限内，已履行必要审批程序。</w:t>
      </w:r>
    </w:p>
    <w:p>
      <w:pPr>
        <w:spacing w:line="300" w:lineRule="auto" w:before="72"/>
        <w:ind w:left="152" w:right="1128"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、投资设立子公司情况：</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月，公司认缴出资</w:t>
      </w:r>
      <w:r>
        <w:rPr>
          <w:rFonts w:ascii="Times New Roman" w:hAnsi="Times New Roman" w:cs="Times New Roman" w:eastAsia="Times New Roman" w:hint="default"/>
          <w:spacing w:val="-1"/>
          <w:sz w:val="18"/>
          <w:szCs w:val="18"/>
        </w:rPr>
        <w:t>2550</w:t>
      </w:r>
      <w:r>
        <w:rPr>
          <w:rFonts w:ascii="宋体" w:hAnsi="宋体" w:cs="宋体" w:eastAsia="宋体" w:hint="default"/>
          <w:spacing w:val="-1"/>
          <w:sz w:val="18"/>
          <w:szCs w:val="18"/>
        </w:rPr>
        <w:t>万元设立长嘉科技，持有其</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股权、认缴出资</w:t>
      </w:r>
      <w:r>
        <w:rPr>
          <w:rFonts w:ascii="Times New Roman" w:hAnsi="Times New Roman" w:cs="Times New Roman" w:eastAsia="Times New Roman" w:hint="default"/>
          <w:spacing w:val="-1"/>
          <w:sz w:val="18"/>
          <w:szCs w:val="18"/>
        </w:rPr>
        <w:t>2550</w:t>
      </w:r>
      <w:r>
        <w:rPr>
          <w:rFonts w:ascii="宋体" w:hAnsi="宋体" w:cs="宋体" w:eastAsia="宋体" w:hint="default"/>
          <w:spacing w:val="-1"/>
          <w:sz w:val="18"/>
          <w:szCs w:val="18"/>
        </w:rPr>
        <w:t>万元设立</w:t>
      </w:r>
      <w:r>
        <w:rPr>
          <w:rFonts w:ascii="宋体" w:hAnsi="宋体" w:cs="宋体" w:eastAsia="宋体" w:hint="default"/>
          <w:sz w:val="18"/>
          <w:szCs w:val="18"/>
        </w:rPr>
        <w:t> </w:t>
      </w:r>
      <w:r>
        <w:rPr>
          <w:rFonts w:ascii="宋体" w:hAnsi="宋体" w:cs="宋体" w:eastAsia="宋体" w:hint="default"/>
          <w:spacing w:val="-2"/>
          <w:sz w:val="18"/>
          <w:szCs w:val="18"/>
        </w:rPr>
        <w:t>润沃科技，持有其</w:t>
      </w:r>
      <w:r>
        <w:rPr>
          <w:rFonts w:ascii="Times New Roman" w:hAnsi="Times New Roman" w:cs="Times New Roman" w:eastAsia="Times New Roman" w:hint="default"/>
          <w:spacing w:val="-2"/>
          <w:sz w:val="18"/>
          <w:szCs w:val="18"/>
        </w:rPr>
        <w:t>51%</w:t>
      </w:r>
      <w:r>
        <w:rPr>
          <w:rFonts w:ascii="宋体" w:hAnsi="宋体" w:cs="宋体" w:eastAsia="宋体" w:hint="default"/>
          <w:spacing w:val="-2"/>
          <w:sz w:val="18"/>
          <w:szCs w:val="18"/>
        </w:rPr>
        <w:t>股权；</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月，公司认缴出资</w:t>
      </w:r>
      <w:r>
        <w:rPr>
          <w:rFonts w:ascii="Times New Roman" w:hAnsi="Times New Roman" w:cs="Times New Roman" w:eastAsia="Times New Roman" w:hint="default"/>
          <w:spacing w:val="-2"/>
          <w:sz w:val="18"/>
          <w:szCs w:val="18"/>
        </w:rPr>
        <w:t>600</w:t>
      </w:r>
      <w:r>
        <w:rPr>
          <w:rFonts w:ascii="宋体" w:hAnsi="宋体" w:cs="宋体" w:eastAsia="宋体" w:hint="default"/>
          <w:spacing w:val="-2"/>
          <w:sz w:val="18"/>
          <w:szCs w:val="18"/>
        </w:rPr>
        <w:t>万元投资设立汇柠科技，持有其</w:t>
      </w:r>
      <w:r>
        <w:rPr>
          <w:rFonts w:ascii="Times New Roman" w:hAnsi="Times New Roman" w:cs="Times New Roman" w:eastAsia="Times New Roman" w:hint="default"/>
          <w:spacing w:val="-2"/>
          <w:sz w:val="18"/>
          <w:szCs w:val="18"/>
        </w:rPr>
        <w:t>60%</w:t>
      </w:r>
      <w:r>
        <w:rPr>
          <w:rFonts w:ascii="宋体" w:hAnsi="宋体" w:cs="宋体" w:eastAsia="宋体" w:hint="default"/>
          <w:spacing w:val="-2"/>
          <w:sz w:val="18"/>
          <w:szCs w:val="18"/>
        </w:rPr>
        <w:t>股权、出资</w:t>
      </w:r>
      <w:r>
        <w:rPr>
          <w:rFonts w:ascii="Times New Roman" w:hAnsi="Times New Roman" w:cs="Times New Roman" w:eastAsia="Times New Roman" w:hint="default"/>
          <w:spacing w:val="-2"/>
          <w:sz w:val="18"/>
          <w:szCs w:val="18"/>
        </w:rPr>
        <w:t>4,900</w:t>
      </w:r>
      <w:r>
        <w:rPr>
          <w:rFonts w:ascii="宋体" w:hAnsi="宋体" w:cs="宋体" w:eastAsia="宋体" w:hint="default"/>
          <w:spacing w:val="-2"/>
          <w:sz w:val="18"/>
          <w:szCs w:val="18"/>
        </w:rPr>
        <w:t>万元投资设</w:t>
      </w:r>
      <w:r>
        <w:rPr>
          <w:rFonts w:ascii="宋体" w:hAnsi="宋体" w:cs="宋体" w:eastAsia="宋体" w:hint="default"/>
          <w:spacing w:val="-37"/>
          <w:sz w:val="18"/>
          <w:szCs w:val="18"/>
        </w:rPr>
        <w:t> </w:t>
      </w:r>
      <w:r>
        <w:rPr>
          <w:rFonts w:ascii="宋体" w:hAnsi="宋体" w:cs="宋体" w:eastAsia="宋体" w:hint="default"/>
          <w:spacing w:val="-1"/>
          <w:sz w:val="18"/>
          <w:szCs w:val="18"/>
        </w:rPr>
        <w:t>立广西农村投资集团润建智慧农业有限公司，持有其</w:t>
      </w:r>
      <w:r>
        <w:rPr>
          <w:rFonts w:ascii="Times New Roman" w:hAnsi="Times New Roman" w:cs="Times New Roman" w:eastAsia="Times New Roman" w:hint="default"/>
          <w:spacing w:val="-1"/>
          <w:sz w:val="18"/>
          <w:szCs w:val="18"/>
        </w:rPr>
        <w:t>49%</w:t>
      </w:r>
      <w:r>
        <w:rPr>
          <w:rFonts w:ascii="宋体" w:hAnsi="宋体" w:cs="宋体" w:eastAsia="宋体" w:hint="default"/>
          <w:spacing w:val="-1"/>
          <w:sz w:val="18"/>
          <w:szCs w:val="18"/>
        </w:rPr>
        <w:t>股权；</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月，公司认缴出资</w:t>
      </w:r>
      <w:r>
        <w:rPr>
          <w:rFonts w:ascii="Times New Roman" w:hAnsi="Times New Roman" w:cs="Times New Roman" w:eastAsia="Times New Roman" w:hint="default"/>
          <w:spacing w:val="-1"/>
          <w:sz w:val="18"/>
          <w:szCs w:val="18"/>
        </w:rPr>
        <w:t>1,020</w:t>
      </w:r>
      <w:r>
        <w:rPr>
          <w:rFonts w:ascii="宋体" w:hAnsi="宋体" w:cs="宋体" w:eastAsia="宋体" w:hint="default"/>
          <w:spacing w:val="-1"/>
          <w:sz w:val="18"/>
          <w:szCs w:val="18"/>
        </w:rPr>
        <w:t>万元设立广东南粤云视科技</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1"/>
          <w:sz w:val="18"/>
          <w:szCs w:val="18"/>
        </w:rPr>
        <w:t>有限公司，持有其</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股权。以上对外投资事项不涉及关联交易，不涉及重大资产购买，资金来源均为自有资金，属于公司</w:t>
      </w:r>
      <w:r>
        <w:rPr>
          <w:rFonts w:ascii="宋体" w:hAnsi="宋体" w:cs="宋体" w:eastAsia="宋体" w:hint="default"/>
          <w:sz w:val="18"/>
          <w:szCs w:val="18"/>
        </w:rPr>
        <w:t> 总经理审批权限内，已履行必要审批程序。</w:t>
      </w:r>
    </w:p>
    <w:p>
      <w:pPr>
        <w:spacing w:line="300" w:lineRule="auto" w:before="72"/>
        <w:ind w:left="152" w:right="105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月，公司认缴出资人民币</w:t>
      </w:r>
      <w:r>
        <w:rPr>
          <w:rFonts w:ascii="Times New Roman" w:hAnsi="Times New Roman" w:cs="Times New Roman" w:eastAsia="Times New Roman" w:hint="default"/>
          <w:sz w:val="18"/>
          <w:szCs w:val="18"/>
        </w:rPr>
        <w:t>1.4</w:t>
      </w:r>
      <w:r>
        <w:rPr>
          <w:rFonts w:ascii="宋体" w:hAnsi="宋体" w:cs="宋体" w:eastAsia="宋体" w:hint="default"/>
          <w:sz w:val="18"/>
          <w:szCs w:val="18"/>
        </w:rPr>
        <w:t>亿元设立五象云谷，持有其</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月，公司认缴出资港币</w:t>
      </w:r>
      <w:r>
        <w:rPr>
          <w:rFonts w:ascii="Times New Roman" w:hAnsi="Times New Roman" w:cs="Times New Roman" w:eastAsia="Times New Roman" w:hint="default"/>
          <w:sz w:val="18"/>
          <w:szCs w:val="18"/>
        </w:rPr>
        <w:t>1</w:t>
      </w:r>
      <w:r>
        <w:rPr>
          <w:rFonts w:ascii="宋体" w:hAnsi="宋体" w:cs="宋体" w:eastAsia="宋体" w:hint="default"/>
          <w:sz w:val="18"/>
          <w:szCs w:val="18"/>
        </w:rPr>
        <w:t>亿元设 </w:t>
      </w:r>
      <w:r>
        <w:rPr>
          <w:rFonts w:ascii="宋体" w:hAnsi="宋体" w:cs="宋体" w:eastAsia="宋体" w:hint="default"/>
          <w:spacing w:val="-1"/>
          <w:sz w:val="18"/>
          <w:szCs w:val="18"/>
        </w:rPr>
        <w:t>立润建国际，持有其</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月，公司认缴出资</w:t>
      </w:r>
      <w:r>
        <w:rPr>
          <w:rFonts w:ascii="Times New Roman" w:hAnsi="Times New Roman" w:cs="Times New Roman" w:eastAsia="Times New Roman" w:hint="default"/>
          <w:spacing w:val="-1"/>
          <w:sz w:val="18"/>
          <w:szCs w:val="18"/>
        </w:rPr>
        <w:t>3000</w:t>
      </w:r>
      <w:r>
        <w:rPr>
          <w:rFonts w:ascii="宋体" w:hAnsi="宋体" w:cs="宋体" w:eastAsia="宋体" w:hint="default"/>
          <w:spacing w:val="-1"/>
          <w:sz w:val="18"/>
          <w:szCs w:val="18"/>
        </w:rPr>
        <w:t>新加坡元设立新加坡润建，持有其</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股权。以上对外投</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资事项不涉及关联交易，不涉及重大资产购买，资金来源均为自有资金，已经公司董事会审议通过。</w:t>
      </w:r>
    </w:p>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5"/>
        <w:gridCol w:w="622"/>
        <w:gridCol w:w="622"/>
        <w:gridCol w:w="617"/>
        <w:gridCol w:w="617"/>
        <w:gridCol w:w="619"/>
        <w:gridCol w:w="590"/>
        <w:gridCol w:w="593"/>
        <w:gridCol w:w="694"/>
        <w:gridCol w:w="689"/>
        <w:gridCol w:w="691"/>
        <w:gridCol w:w="667"/>
      </w:tblGrid>
      <w:tr>
        <w:trPr>
          <w:trHeight w:val="2273"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5" w:right="38"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5"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1"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7"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51"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4" w:right="80"/>
              <w:jc w:val="left"/>
              <w:rPr>
                <w:rFonts w:ascii="宋体" w:hAnsi="宋体" w:cs="宋体" w:eastAsia="宋体" w:hint="default"/>
                <w:sz w:val="18"/>
                <w:szCs w:val="18"/>
              </w:rPr>
            </w:pPr>
            <w:r>
              <w:rPr>
                <w:rFonts w:ascii="宋体" w:hAnsi="宋体" w:cs="宋体" w:eastAsia="宋体" w:hint="default"/>
                <w:sz w:val="18"/>
                <w:szCs w:val="18"/>
              </w:rPr>
              <w:t>五象云 谷</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3"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云服务 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140,00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70.00%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南宁象 腾投资 有限公 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4"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云服务 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3" w:right="194"/>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-532,90</w:t>
            </w:r>
          </w:p>
          <w:p>
            <w:pPr>
              <w:pStyle w:val="TableParagraph"/>
              <w:spacing w:line="240" w:lineRule="auto" w:before="102"/>
              <w:ind w:left="345"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4" w:right="4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w:t>
            </w:r>
          </w:p>
          <w:p>
            <w:pPr>
              <w:pStyle w:val="TableParagraph"/>
              <w:spacing w:line="362" w:lineRule="auto" w:before="23"/>
              <w:ind w:left="24" w:right="126"/>
              <w:jc w:val="left"/>
              <w:rPr>
                <w:rFonts w:ascii="Times New Roman" w:hAnsi="Times New Roman" w:cs="Times New Roman" w:eastAsia="Times New Roman" w:hint="default"/>
                <w:sz w:val="18"/>
                <w:szCs w:val="18"/>
              </w:rPr>
            </w:pPr>
            <w:r>
              <w:rPr>
                <w:rFonts w:ascii="Times New Roman"/>
                <w:sz w:val="18"/>
              </w:rPr>
              <w:t>info.co m.cn</w:t>
            </w:r>
          </w:p>
        </w:tc>
      </w:tr>
      <w:tr>
        <w:trPr>
          <w:trHeight w:val="1649"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润建国 际</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通信技 术服务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88,110,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通信技 术服务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94"/>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4" w:right="4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z w:val="18"/>
                <w:szCs w:val="18"/>
              </w:rPr>
              <w:t> info.co m.cn</w:t>
            </w:r>
          </w:p>
        </w:tc>
      </w:tr>
      <w:tr>
        <w:trPr>
          <w:trHeight w:val="1651"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4" w:right="80"/>
              <w:jc w:val="left"/>
              <w:rPr>
                <w:rFonts w:ascii="宋体" w:hAnsi="宋体" w:cs="宋体" w:eastAsia="宋体" w:hint="default"/>
                <w:sz w:val="18"/>
                <w:szCs w:val="18"/>
              </w:rPr>
            </w:pPr>
            <w:r>
              <w:rPr>
                <w:rFonts w:ascii="宋体" w:hAnsi="宋体" w:cs="宋体" w:eastAsia="宋体" w:hint="default"/>
                <w:sz w:val="18"/>
                <w:szCs w:val="18"/>
              </w:rPr>
              <w:t>润建新 加坡</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通信技 术服务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通信技 术服务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3" w:right="194"/>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4" w:right="4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pacing w:val="-3"/>
                <w:sz w:val="18"/>
                <w:szCs w:val="18"/>
              </w:rPr>
              <w:t>www.cn</w:t>
            </w:r>
          </w:p>
          <w:p>
            <w:pPr>
              <w:pStyle w:val="TableParagraph"/>
              <w:spacing w:line="362" w:lineRule="auto" w:before="23"/>
              <w:ind w:left="24" w:right="126"/>
              <w:jc w:val="left"/>
              <w:rPr>
                <w:rFonts w:ascii="Times New Roman" w:hAnsi="Times New Roman" w:cs="Times New Roman" w:eastAsia="Times New Roman" w:hint="default"/>
                <w:sz w:val="18"/>
                <w:szCs w:val="18"/>
              </w:rPr>
            </w:pPr>
            <w:r>
              <w:rPr>
                <w:rFonts w:ascii="Times New Roman"/>
                <w:sz w:val="18"/>
              </w:rPr>
              <w:t>info.co m.cn</w:t>
            </w:r>
          </w:p>
        </w:tc>
      </w:tr>
      <w:tr>
        <w:trPr>
          <w:trHeight w:val="1027"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228,12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5,501.0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-532,90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0.00</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before="0"/>
        <w:ind w:left="0" w:right="860" w:firstLine="0"/>
        <w:jc w:val="right"/>
        <w:rPr>
          <w:rFonts w:ascii="宋体" w:hAnsi="宋体" w:cs="宋体" w:eastAsia="宋体" w:hint="default"/>
          <w:sz w:val="18"/>
          <w:szCs w:val="18"/>
        </w:rPr>
      </w:pPr>
      <w:r>
        <w:rPr/>
        <w:pict>
          <v:shape style="position:absolute;margin-left:56.400002pt;margin-top:-317.49826pt;width:492.7pt;height:592.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
                    <w:gridCol w:w="569"/>
                    <w:gridCol w:w="991"/>
                    <w:gridCol w:w="872"/>
                    <w:gridCol w:w="869"/>
                    <w:gridCol w:w="811"/>
                    <w:gridCol w:w="852"/>
                    <w:gridCol w:w="869"/>
                    <w:gridCol w:w="689"/>
                    <w:gridCol w:w="1844"/>
                    <w:gridCol w:w="906"/>
                  </w:tblGrid>
                  <w:tr>
                    <w:trPr>
                      <w:trHeight w:val="133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8"/>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0" w:right="38"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60"/>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57" w:right="104" w:hanging="450"/>
                          <w:jc w:val="left"/>
                          <w:rPr>
                            <w:rFonts w:ascii="宋体" w:hAnsi="宋体" w:cs="宋体" w:eastAsia="宋体" w:hint="default"/>
                            <w:sz w:val="18"/>
                            <w:szCs w:val="18"/>
                          </w:rPr>
                        </w:pPr>
                        <w:r>
                          <w:rPr>
                            <w:rFonts w:ascii="宋体" w:hAnsi="宋体" w:cs="宋体" w:eastAsia="宋体" w:hint="default"/>
                            <w:sz w:val="18"/>
                            <w:szCs w:val="18"/>
                          </w:rPr>
                          <w:t>尚未使用募集资金用 途及去向</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102"/>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14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23" w:right="173"/>
                          <w:jc w:val="left"/>
                          <w:rPr>
                            <w:rFonts w:ascii="宋体" w:hAnsi="宋体" w:cs="宋体" w:eastAsia="宋体" w:hint="default"/>
                            <w:sz w:val="18"/>
                            <w:szCs w:val="18"/>
                          </w:rPr>
                        </w:pPr>
                        <w:r>
                          <w:rPr>
                            <w:rFonts w:ascii="宋体" w:hAnsi="宋体" w:cs="宋体" w:eastAsia="宋体" w:hint="default"/>
                            <w:sz w:val="18"/>
                            <w:szCs w:val="18"/>
                          </w:rPr>
                          <w:t>公开 发行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125,596.06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14,342.73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120,092.45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18,775</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5,503.61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日，尚未使用的募集资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金余额为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55,036,071.20</w:t>
                        </w:r>
                      </w:p>
                      <w:p>
                        <w:pPr>
                          <w:pStyle w:val="TableParagraph"/>
                          <w:spacing w:line="316" w:lineRule="auto" w:before="7"/>
                          <w:ind w:left="23" w:right="20"/>
                          <w:jc w:val="left"/>
                          <w:rPr>
                            <w:rFonts w:ascii="宋体" w:hAnsi="宋体" w:cs="宋体" w:eastAsia="宋体" w:hint="default"/>
                            <w:sz w:val="18"/>
                            <w:szCs w:val="18"/>
                          </w:rPr>
                        </w:pPr>
                        <w:r>
                          <w:rPr>
                            <w:rFonts w:ascii="宋体" w:hAnsi="宋体" w:cs="宋体" w:eastAsia="宋体" w:hint="default"/>
                            <w:spacing w:val="-2"/>
                            <w:sz w:val="18"/>
                            <w:szCs w:val="18"/>
                          </w:rPr>
                          <w:t>元，尚未使用的募集资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金分别存放于上海浦 东发展银行南宁分行 </w:t>
                        </w:r>
                        <w:r>
                          <w:rPr>
                            <w:rFonts w:ascii="宋体" w:hAnsi="宋体" w:cs="宋体" w:eastAsia="宋体" w:hint="default"/>
                            <w:spacing w:val="-2"/>
                            <w:sz w:val="18"/>
                            <w:szCs w:val="18"/>
                          </w:rPr>
                          <w:t>营业部、招商银行南宁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分行营业部二个募集 </w:t>
                        </w:r>
                        <w:r>
                          <w:rPr>
                            <w:rFonts w:ascii="宋体" w:hAnsi="宋体" w:cs="宋体" w:eastAsia="宋体" w:hint="default"/>
                            <w:spacing w:val="-2"/>
                            <w:sz w:val="18"/>
                            <w:szCs w:val="18"/>
                          </w:rPr>
                          <w:t>资金专户中，公司尚未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使用的募集资金将用 于区域服务网络和培 </w:t>
                        </w:r>
                        <w:r>
                          <w:rPr>
                            <w:rFonts w:ascii="宋体" w:hAnsi="宋体" w:cs="宋体" w:eastAsia="宋体" w:hint="default"/>
                            <w:spacing w:val="-2"/>
                            <w:sz w:val="18"/>
                            <w:szCs w:val="18"/>
                          </w:rPr>
                          <w:t>训中心建设项目、研发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中心建设项目。</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125,596.06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center"/>
                          <w:rPr>
                            <w:rFonts w:ascii="Times New Roman" w:hAnsi="Times New Roman" w:cs="Times New Roman" w:eastAsia="Times New Roman" w:hint="default"/>
                            <w:sz w:val="18"/>
                            <w:szCs w:val="18"/>
                          </w:rPr>
                        </w:pPr>
                        <w:r>
                          <w:rPr>
                            <w:rFonts w:ascii="Times New Roman"/>
                            <w:sz w:val="18"/>
                          </w:rPr>
                          <w:t>14,342.73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Times New Roman" w:hAnsi="Times New Roman" w:cs="Times New Roman" w:eastAsia="Times New Roman" w:hint="default"/>
                            <w:sz w:val="18"/>
                            <w:szCs w:val="18"/>
                          </w:rPr>
                        </w:pPr>
                        <w:r>
                          <w:rPr>
                            <w:rFonts w:ascii="Times New Roman"/>
                            <w:sz w:val="18"/>
                          </w:rPr>
                          <w:t>120,092.45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18,775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14.95%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Times New Roman" w:hAnsi="Times New Roman" w:cs="Times New Roman" w:eastAsia="Times New Roman" w:hint="default"/>
                            <w:sz w:val="18"/>
                            <w:szCs w:val="18"/>
                          </w:rPr>
                        </w:pPr>
                        <w:r>
                          <w:rPr>
                            <w:rFonts w:ascii="Times New Roman"/>
                            <w:sz w:val="18"/>
                          </w:rPr>
                          <w:t>5,503.61</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7"/>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83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554" w:hRule="exact"/>
                    </w:trPr>
                    <w:tc>
                      <w:tcPr>
                        <w:tcW w:w="98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经中国证券监督管理委员会证监发行字</w:t>
                        </w:r>
                        <w:r>
                          <w:rPr>
                            <w:rFonts w:ascii="Times New Roman" w:hAnsi="Times New Roman" w:cs="Times New Roman" w:eastAsia="Times New Roman" w:hint="default"/>
                            <w:sz w:val="18"/>
                            <w:szCs w:val="18"/>
                          </w:rPr>
                          <w:t>[2018]262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5,518.66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万股，每股发行价为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元，应募集资金总额为人民币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132,171.9070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万元，根据有关规定扣除发行费用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6,575.8491</w:t>
                        </w:r>
                      </w:p>
                      <w:p>
                        <w:pPr>
                          <w:pStyle w:val="TableParagraph"/>
                          <w:spacing w:line="300" w:lineRule="auto" w:before="63"/>
                          <w:ind w:left="24" w:right="-9"/>
                          <w:jc w:val="both"/>
                          <w:rPr>
                            <w:rFonts w:ascii="宋体" w:hAnsi="宋体" w:cs="宋体" w:eastAsia="宋体" w:hint="default"/>
                            <w:sz w:val="18"/>
                            <w:szCs w:val="18"/>
                          </w:rPr>
                        </w:pPr>
                        <w:r>
                          <w:rPr>
                            <w:rFonts w:ascii="宋体" w:hAnsi="宋体" w:cs="宋体" w:eastAsia="宋体" w:hint="default"/>
                            <w:sz w:val="18"/>
                            <w:szCs w:val="18"/>
                          </w:rPr>
                          <w:t>万元后，实际募集资金金额为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125,596.0579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万元。该募集资金已于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月到账。上述资金到账情况业经大华会计师事务 所（特殊普通合伙）大华验字</w:t>
                        </w:r>
                        <w:r>
                          <w:rPr>
                            <w:rFonts w:ascii="Times New Roman" w:hAnsi="Times New Roman" w:cs="Times New Roman" w:eastAsia="Times New Roman" w:hint="default"/>
                            <w:sz w:val="18"/>
                            <w:szCs w:val="18"/>
                          </w:rPr>
                          <w:t>[2018]000095 </w:t>
                        </w:r>
                        <w:r>
                          <w:rPr>
                            <w:rFonts w:ascii="宋体" w:hAnsi="宋体" w:cs="宋体" w:eastAsia="宋体" w:hint="default"/>
                            <w:sz w:val="18"/>
                            <w:szCs w:val="18"/>
                          </w:rPr>
                          <w:t>号《润建通信股份有限公司发行人民币普通股（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5,518.66</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万股后实收股本的 验资报告》验证。公司对募集资金采取了专户存储管理。</w:t>
                        </w:r>
                      </w:p>
                      <w:p>
                        <w:pPr>
                          <w:pStyle w:val="TableParagraph"/>
                          <w:spacing w:line="300" w:lineRule="auto" w:before="70"/>
                          <w:ind w:left="24" w:right="-11" w:firstLine="634"/>
                          <w:jc w:val="left"/>
                          <w:rPr>
                            <w:rFonts w:ascii="宋体" w:hAnsi="宋体" w:cs="宋体" w:eastAsia="宋体" w:hint="default"/>
                            <w:sz w:val="18"/>
                            <w:szCs w:val="18"/>
                          </w:rPr>
                        </w:pPr>
                        <w:r>
                          <w:rPr>
                            <w:rFonts w:ascii="宋体" w:hAnsi="宋体" w:cs="宋体" w:eastAsia="宋体" w:hint="default"/>
                            <w:spacing w:val="-2"/>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w w:val="100"/>
                            <w:sz w:val="18"/>
                            <w:szCs w:val="18"/>
                          </w:rPr>
                          <w:t>日，</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补充营运资金项目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区域服务网络和培训中心建设项目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中的</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区域服务网络项目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已完成</w:t>
                        </w:r>
                        <w:r>
                          <w:rPr>
                            <w:rFonts w:ascii="宋体" w:hAnsi="宋体" w:cs="宋体" w:eastAsia="宋体" w:hint="default"/>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区域服务网络和培训中心建设项目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的</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培训中心建设</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部分截至本报告期末投资进度为</w:t>
                        </w:r>
                        <w:r>
                          <w:rPr>
                            <w:rFonts w:ascii="宋体" w:hAnsi="宋体" w:cs="宋体" w:eastAsia="宋体" w:hint="default"/>
                            <w:w w:val="100"/>
                            <w:sz w:val="18"/>
                            <w:szCs w:val="18"/>
                          </w:rPr>
                          <w:t> </w:t>
                        </w:r>
                        <w:r>
                          <w:rPr>
                            <w:rFonts w:ascii="Times New Roman" w:hAnsi="Times New Roman" w:cs="Times New Roman" w:eastAsia="Times New Roman" w:hint="default"/>
                            <w:spacing w:val="-5"/>
                            <w:w w:val="100"/>
                            <w:sz w:val="18"/>
                            <w:szCs w:val="18"/>
                          </w:rPr>
                          <w:t>74.50%</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研发中心建设项目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截至本报</w:t>
                        </w:r>
                        <w:r>
                          <w:rPr>
                            <w:rFonts w:ascii="宋体" w:hAnsi="宋体" w:cs="宋体" w:eastAsia="宋体" w:hint="default"/>
                            <w:spacing w:val="-80"/>
                            <w:w w:val="100"/>
                            <w:sz w:val="18"/>
                            <w:szCs w:val="18"/>
                          </w:rPr>
                          <w:t> </w:t>
                        </w:r>
                        <w:r>
                          <w:rPr>
                            <w:rFonts w:ascii="宋体" w:hAnsi="宋体" w:cs="宋体" w:eastAsia="宋体" w:hint="default"/>
                            <w:sz w:val="18"/>
                            <w:szCs w:val="18"/>
                          </w:rPr>
                          <w:t>告期末投资进度为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78.31%</w:t>
                        </w:r>
                        <w:r>
                          <w:rPr>
                            <w:rFonts w:ascii="宋体" w:hAnsi="宋体" w:cs="宋体" w:eastAsia="宋体" w:hint="default"/>
                            <w:sz w:val="18"/>
                            <w:szCs w:val="18"/>
                          </w:rPr>
                          <w:t>。</w:t>
                        </w:r>
                      </w:p>
                      <w:p>
                        <w:pPr>
                          <w:pStyle w:val="TableParagraph"/>
                          <w:spacing w:line="300" w:lineRule="auto" w:before="54"/>
                          <w:ind w:left="24" w:right="-11" w:firstLine="634"/>
                          <w:jc w:val="both"/>
                          <w:rPr>
                            <w:rFonts w:ascii="宋体" w:hAnsi="宋体" w:cs="宋体" w:eastAsia="宋体" w:hint="default"/>
                            <w:sz w:val="18"/>
                            <w:szCs w:val="18"/>
                          </w:rPr>
                        </w:pPr>
                        <w:r>
                          <w:rPr>
                            <w:rFonts w:ascii="宋体" w:hAnsi="宋体" w:cs="宋体" w:eastAsia="宋体" w:hint="default"/>
                            <w:spacing w:val="-3"/>
                            <w:sz w:val="18"/>
                            <w:szCs w:val="18"/>
                          </w:rPr>
                          <w:t>公司于第三届董事会第十五次会议、</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年第一次临时股东大会审议通过《关于调整部分募集资金投资项目实施方案 </w:t>
                        </w:r>
                        <w:r>
                          <w:rPr>
                            <w:rFonts w:ascii="宋体" w:hAnsi="宋体" w:cs="宋体" w:eastAsia="宋体" w:hint="default"/>
                            <w:spacing w:val="-4"/>
                            <w:sz w:val="18"/>
                            <w:szCs w:val="18"/>
                          </w:rPr>
                          <w:t>的议案》，审议通过根据公司实际业务发展需要，在不改变原募投项目性质、建设目的的情况下，对募投项目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区域服务网络和</w:t>
                        </w:r>
                        <w:r>
                          <w:rPr>
                            <w:rFonts w:ascii="宋体" w:hAnsi="宋体" w:cs="宋体" w:eastAsia="宋体" w:hint="default"/>
                            <w:spacing w:val="-37"/>
                            <w:sz w:val="18"/>
                            <w:szCs w:val="18"/>
                          </w:rPr>
                          <w:t> </w:t>
                        </w:r>
                        <w:r>
                          <w:rPr>
                            <w:rFonts w:ascii="宋体" w:hAnsi="宋体" w:cs="宋体" w:eastAsia="宋体" w:hint="default"/>
                            <w:sz w:val="18"/>
                            <w:szCs w:val="18"/>
                          </w:rPr>
                          <w:t>培训中心建设项目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培训中心建设</w:t>
                        </w:r>
                        <w:r>
                          <w:rPr>
                            <w:rFonts w:ascii="Times New Roman" w:hAnsi="Times New Roman" w:cs="Times New Roman" w:eastAsia="Times New Roman" w:hint="default"/>
                            <w:sz w:val="18"/>
                            <w:szCs w:val="18"/>
                          </w:rPr>
                          <w:t>”</w:t>
                        </w:r>
                        <w:r>
                          <w:rPr>
                            <w:rFonts w:ascii="宋体" w:hAnsi="宋体" w:cs="宋体" w:eastAsia="宋体" w:hint="default"/>
                            <w:sz w:val="18"/>
                            <w:szCs w:val="18"/>
                          </w:rPr>
                          <w:t>部分和</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进行变更：</w:t>
                        </w:r>
                      </w:p>
                      <w:p>
                        <w:pPr>
                          <w:pStyle w:val="TableParagraph"/>
                          <w:spacing w:line="309" w:lineRule="auto" w:before="53"/>
                          <w:ind w:left="24" w:right="-9" w:firstLine="542"/>
                          <w:jc w:val="left"/>
                          <w:rPr>
                            <w:rFonts w:ascii="宋体" w:hAnsi="宋体" w:cs="宋体" w:eastAsia="宋体" w:hint="default"/>
                            <w:sz w:val="18"/>
                            <w:szCs w:val="18"/>
                          </w:rPr>
                        </w:pPr>
                        <w:r>
                          <w:rPr>
                            <w:rFonts w:ascii="宋体" w:hAnsi="宋体" w:cs="宋体" w:eastAsia="宋体" w:hint="default"/>
                            <w:sz w:val="18"/>
                            <w:szCs w:val="18"/>
                          </w:rPr>
                          <w:t>培训中心建设项目原计划实施地点为南宁，投资构成主要用于场地购买和设备购置，实施期限为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年底实施完毕 </w:t>
                        </w:r>
                        <w:r>
                          <w:rPr>
                            <w:rFonts w:ascii="宋体" w:hAnsi="宋体" w:cs="宋体" w:eastAsia="宋体" w:hint="default"/>
                            <w:spacing w:val="-2"/>
                            <w:sz w:val="18"/>
                            <w:szCs w:val="18"/>
                          </w:rPr>
                          <w:t>调整后，该项目的实施地点为广州，投资构成主要用于场地购买、场地装修、内部培训费用、外部培训费用、培训工作人员薪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酬的支出，实施期限为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p>
                        <w:pPr>
                          <w:pStyle w:val="TableParagraph"/>
                          <w:spacing w:line="240" w:lineRule="auto" w:before="43"/>
                          <w:ind w:left="566" w:right="0"/>
                          <w:jc w:val="left"/>
                          <w:rPr>
                            <w:rFonts w:ascii="宋体" w:hAnsi="宋体" w:cs="宋体" w:eastAsia="宋体" w:hint="default"/>
                            <w:sz w:val="18"/>
                            <w:szCs w:val="18"/>
                          </w:rPr>
                        </w:pPr>
                        <w:r>
                          <w:rPr>
                            <w:rFonts w:ascii="宋体" w:hAnsi="宋体" w:cs="宋体" w:eastAsia="宋体" w:hint="default"/>
                            <w:sz w:val="18"/>
                            <w:szCs w:val="18"/>
                          </w:rPr>
                          <w:t>研发中心建设项目原计划实施地点为南宁，投资构成主要用于场地购买和设备购置，实施期限为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年底实施完毕</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调整后，该项目的实施地点为广州，投资构成主要用于场地购买、场地装修以及研发人员薪酬的支出，实施期限为</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2019-2020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0" w:right="8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8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8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0" w:right="1138" w:firstLine="0"/>
        <w:jc w:val="right"/>
        <w:rPr>
          <w:rFonts w:ascii="宋体" w:hAnsi="宋体" w:cs="宋体" w:eastAsia="宋体" w:hint="default"/>
          <w:sz w:val="18"/>
          <w:szCs w:val="18"/>
        </w:rPr>
      </w:pPr>
      <w:r>
        <w:rPr/>
        <w:pict>
          <v:shape style="position:absolute;margin-left:56.400002pt;margin-top:-482.248291pt;width:479.3pt;height:622.2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0"/>
                    <w:gridCol w:w="780"/>
                    <w:gridCol w:w="780"/>
                    <w:gridCol w:w="780"/>
                    <w:gridCol w:w="780"/>
                    <w:gridCol w:w="780"/>
                    <w:gridCol w:w="781"/>
                    <w:gridCol w:w="780"/>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1"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7,293.22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7,293.22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78.31%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72,769.86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72,769.86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72,821.57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区域服务网络和培训 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43,513.2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43,513.2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7,049.51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39,977.66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91.87%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125,596.0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125,596.0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14,342.73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120,092.4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14,759.26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14,342.73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120,092.4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14,759.26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426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9"/>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补充营运资金项目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区域服务网络和培训中心建设项目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区域服 </w:t>
                        </w:r>
                        <w:r>
                          <w:rPr>
                            <w:rFonts w:ascii="宋体" w:hAnsi="宋体" w:cs="宋体" w:eastAsia="宋体" w:hint="default"/>
                            <w:spacing w:val="-1"/>
                            <w:sz w:val="18"/>
                            <w:szCs w:val="18"/>
                          </w:rPr>
                          <w:t>务网络项目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已完成；</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区域服务网络和培训中心建设项目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培训中心建设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部分截至本报告期末投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资进度为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截至本报告期末投资进度为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78.31%</w:t>
                        </w:r>
                        <w:r>
                          <w:rPr>
                            <w:rFonts w:ascii="宋体" w:hAnsi="宋体" w:cs="宋体" w:eastAsia="宋体" w:hint="default"/>
                            <w:sz w:val="18"/>
                            <w:szCs w:val="18"/>
                          </w:rPr>
                          <w:t>。</w:t>
                        </w:r>
                      </w:p>
                      <w:p>
                        <w:pPr>
                          <w:pStyle w:val="TableParagraph"/>
                          <w:spacing w:line="307" w:lineRule="auto" w:before="53"/>
                          <w:ind w:left="24" w:right="19"/>
                          <w:jc w:val="both"/>
                          <w:rPr>
                            <w:rFonts w:ascii="宋体" w:hAnsi="宋体" w:cs="宋体" w:eastAsia="宋体" w:hint="default"/>
                            <w:sz w:val="18"/>
                            <w:szCs w:val="18"/>
                          </w:rPr>
                        </w:pPr>
                        <w:r>
                          <w:rPr>
                            <w:rFonts w:ascii="宋体" w:hAnsi="宋体" w:cs="宋体" w:eastAsia="宋体" w:hint="default"/>
                            <w:spacing w:val="-3"/>
                            <w:sz w:val="18"/>
                            <w:szCs w:val="18"/>
                          </w:rPr>
                          <w:t>公司于第三届董事会第十五次会议、</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年第一次临时股东大会审议通过《关于调整部分募集资金 </w:t>
                        </w:r>
                        <w:r>
                          <w:rPr>
                            <w:rFonts w:ascii="宋体" w:hAnsi="宋体" w:cs="宋体" w:eastAsia="宋体" w:hint="default"/>
                            <w:spacing w:val="-5"/>
                            <w:sz w:val="18"/>
                            <w:szCs w:val="18"/>
                          </w:rPr>
                          <w:t>投资项目实施方案的议案》，审议通过根据公司实际业务发展需要，在不改变原募投项目性质、建设</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1"/>
                            <w:sz w:val="18"/>
                            <w:szCs w:val="18"/>
                          </w:rPr>
                          <w:t>目的的情况下，对募投项目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区域服务网络和培训中心建设项目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培训中心建设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部分和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w:t>
                        </w:r>
                        <w:r>
                          <w:rPr>
                            <w:rFonts w:ascii="宋体" w:hAnsi="宋体" w:cs="宋体" w:eastAsia="宋体" w:hint="default"/>
                            <w:spacing w:val="-84"/>
                            <w:sz w:val="18"/>
                            <w:szCs w:val="18"/>
                          </w:rPr>
                          <w:t> </w:t>
                        </w: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进行变更：</w:t>
                        </w:r>
                      </w:p>
                      <w:p>
                        <w:pPr>
                          <w:pStyle w:val="TableParagraph"/>
                          <w:spacing w:line="240" w:lineRule="auto" w:before="48"/>
                          <w:ind w:left="24" w:right="0"/>
                          <w:jc w:val="both"/>
                          <w:rPr>
                            <w:rFonts w:ascii="宋体" w:hAnsi="宋体" w:cs="宋体" w:eastAsia="宋体" w:hint="default"/>
                            <w:sz w:val="18"/>
                            <w:szCs w:val="18"/>
                          </w:rPr>
                        </w:pPr>
                        <w:r>
                          <w:rPr>
                            <w:rFonts w:ascii="宋体" w:hAnsi="宋体" w:cs="宋体" w:eastAsia="宋体" w:hint="default"/>
                            <w:sz w:val="18"/>
                            <w:szCs w:val="18"/>
                          </w:rPr>
                          <w:t>培训中心建设项目原计划实施地点为南宁，投资构成主要用于场地购买和设备购置，实施期限为</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年底实施完毕；调整后，该项目的实施地点为广州，投资构成主要用于场地购买、场地装修</w:t>
                        </w:r>
                      </w:p>
                      <w:p>
                        <w:pPr>
                          <w:pStyle w:val="TableParagraph"/>
                          <w:spacing w:line="328"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内部培训费用、外部培训费用、培训工作人员薪酬的支出，实施期限为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研发中心建设项目原计划实施地点为南宁，投资构成主要用于场地购买和设备购置，实施期限为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年底实施完毕；调整后，该项目的实施地点为广州，投资构成主要用于场地购买、场地装修以</w:t>
                        </w:r>
                      </w:p>
                      <w:p>
                        <w:pPr>
                          <w:pStyle w:val="TableParagraph"/>
                          <w:spacing w:line="238" w:lineRule="exact"/>
                          <w:ind w:left="24" w:right="0"/>
                          <w:jc w:val="both"/>
                          <w:rPr>
                            <w:rFonts w:ascii="宋体" w:hAnsi="宋体" w:cs="宋体" w:eastAsia="宋体" w:hint="default"/>
                            <w:sz w:val="18"/>
                            <w:szCs w:val="18"/>
                          </w:rPr>
                        </w:pPr>
                        <w:r>
                          <w:rPr>
                            <w:rFonts w:ascii="宋体" w:hAnsi="宋体" w:cs="宋体" w:eastAsia="宋体" w:hint="default"/>
                            <w:sz w:val="18"/>
                            <w:szCs w:val="18"/>
                          </w:rPr>
                          <w:t>及研发人员薪酬的支出，实施期限为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87"/>
                            <w:sz w:val="18"/>
                            <w:szCs w:val="18"/>
                          </w:rPr>
                          <w:t>、</w:t>
                        </w:r>
                        <w:r>
                          <w:rPr>
                            <w:rFonts w:ascii="宋体" w:hAnsi="宋体" w:cs="宋体" w:eastAsia="宋体" w:hint="default"/>
                            <w:sz w:val="18"/>
                            <w:szCs w:val="18"/>
                          </w:rPr>
                          <w:t>用途</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64.9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00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培训中心建设项目原计划实施地点为南宁，投资构成主要用于场地购买和设备购置，实施期限为</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年底实施完毕；调整后，该项目的实施地点为广州，投资构成主要用于场地购买、场地装修</w:t>
                        </w:r>
                      </w:p>
                      <w:p>
                        <w:pPr>
                          <w:pStyle w:val="TableParagraph"/>
                          <w:spacing w:line="328"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内部培训费用、外部培训费用、培训工作人员薪酬的支出，实施期限为 </w:t>
                        </w:r>
                        <w:r>
                          <w:rPr>
                            <w:rFonts w:ascii="Times New Roman" w:hAnsi="Times New Roman" w:cs="Times New Roman" w:eastAsia="Times New Roman" w:hint="default"/>
                            <w:sz w:val="18"/>
                            <w:szCs w:val="18"/>
                          </w:rPr>
                          <w:t>2019-2020 </w:t>
                        </w:r>
                        <w:r>
                          <w:rPr>
                            <w:rFonts w:ascii="宋体" w:hAnsi="宋体" w:cs="宋体" w:eastAsia="宋体" w:hint="default"/>
                            <w:sz w:val="18"/>
                            <w:szCs w:val="18"/>
                          </w:rPr>
                          <w:t>年； 研发中心建设项目原计划实施地点为南宁，投资构成主要用于场地购买和设备购置，实施期限为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年底实施完毕；调整后，该项目的实施地点为广州，投资构成主要用于场地购买、场地装修以</w:t>
                        </w:r>
                      </w:p>
                      <w:p>
                        <w:pPr>
                          <w:pStyle w:val="TableParagraph"/>
                          <w:spacing w:line="238" w:lineRule="exact"/>
                          <w:ind w:left="24" w:right="0"/>
                          <w:jc w:val="left"/>
                          <w:rPr>
                            <w:rFonts w:ascii="宋体" w:hAnsi="宋体" w:cs="宋体" w:eastAsia="宋体" w:hint="default"/>
                            <w:sz w:val="18"/>
                            <w:szCs w:val="18"/>
                          </w:rPr>
                        </w:pPr>
                        <w:r>
                          <w:rPr>
                            <w:rFonts w:ascii="宋体" w:hAnsi="宋体" w:cs="宋体" w:eastAsia="宋体" w:hint="default"/>
                            <w:sz w:val="18"/>
                            <w:szCs w:val="18"/>
                          </w:rPr>
                          <w:t>及研发人员薪酬的支出，实施期限为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6"/>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0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培训中心建设项目原计划实施地点为南宁，投资构成主要用于场地购买和设备购置，实施期限为</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年底实施完毕；调整后，该项目的实施地点为广州，投资构成主要用于场地购买、场地装修</w:t>
                        </w:r>
                      </w:p>
                      <w:p>
                        <w:pPr>
                          <w:pStyle w:val="TableParagraph"/>
                          <w:spacing w:line="328"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内部培训费用、外部培训费用、培训工作人员薪酬的支出，实施期限为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研发中心建设项目原计划实施地点为南宁，投资构成主要用于场地购买和设备购置，实施期限为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年底实施完毕；调整后，该项目的实施地点为广州，投资构成主要用于场地购买、场地装修以</w:t>
                        </w:r>
                      </w:p>
                      <w:p>
                        <w:pPr>
                          <w:pStyle w:val="TableParagraph"/>
                          <w:spacing w:line="238" w:lineRule="exact"/>
                          <w:ind w:left="24" w:right="0"/>
                          <w:jc w:val="left"/>
                          <w:rPr>
                            <w:rFonts w:ascii="宋体" w:hAnsi="宋体" w:cs="宋体" w:eastAsia="宋体" w:hint="default"/>
                            <w:sz w:val="18"/>
                            <w:szCs w:val="18"/>
                          </w:rPr>
                        </w:pPr>
                        <w:r>
                          <w:rPr>
                            <w:rFonts w:ascii="宋体" w:hAnsi="宋体" w:cs="宋体" w:eastAsia="宋体" w:hint="default"/>
                            <w:sz w:val="18"/>
                            <w:szCs w:val="18"/>
                          </w:rPr>
                          <w:t>及研发人员薪酬的支出，实施期限为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日，公司第三届董事会第十二次会议、第三届监事会第一次会议，分别审议通过 </w:t>
                        </w:r>
                        <w:r>
                          <w:rPr>
                            <w:rFonts w:ascii="宋体" w:hAnsi="宋体" w:cs="宋体" w:eastAsia="宋体" w:hint="default"/>
                            <w:spacing w:val="-3"/>
                            <w:sz w:val="18"/>
                            <w:szCs w:val="18"/>
                          </w:rPr>
                          <w:t>了《关于以募集资金置换预先投入募集资金投资项目的自筹资金的议案》，同意公司用募集资金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Times New Roman" w:hAnsi="Times New Roman" w:cs="Times New Roman" w:eastAsia="Times New Roman" w:hint="default"/>
                            <w:sz w:val="18"/>
                            <w:szCs w:val="18"/>
                          </w:rPr>
                          <w:t>329,281,567.20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元置换预先已投入募集资金投资项目的自筹资金。独立董事发表了同意的独立意见 中信建投证券股份有限公司发表了同意的核查意见，由华普天健会计师事务所（特殊普通合伙）对 公司预先已投入募集资金投资项目的自筹资金使用情况进行了审验，并出具了《关于润建通信股份 </w:t>
                        </w:r>
                        <w:r>
                          <w:rPr>
                            <w:rFonts w:ascii="宋体" w:hAnsi="宋体" w:cs="宋体" w:eastAsia="宋体" w:hint="default"/>
                            <w:spacing w:val="-3"/>
                            <w:sz w:val="18"/>
                            <w:szCs w:val="18"/>
                          </w:rPr>
                          <w:t>有限公司以自筹资金预先投入募集资金投资项目的鉴证报告》（会专字</w:t>
                        </w:r>
                        <w:r>
                          <w:rPr>
                            <w:rFonts w:ascii="Times New Roman" w:hAnsi="Times New Roman" w:cs="Times New Roman" w:eastAsia="Times New Roman" w:hint="default"/>
                            <w:spacing w:val="-3"/>
                            <w:sz w:val="18"/>
                            <w:szCs w:val="18"/>
                          </w:rPr>
                          <w:t>[2018]5501</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号），对公司募集</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资金投资项目预先投入自筹资金的情况进行了核验和确认。公司已于</w:t>
                        </w:r>
                        <w:r>
                          <w:rPr>
                            <w:rFonts w:ascii="宋体" w:hAnsi="宋体" w:cs="宋体" w:eastAsia="宋体" w:hint="default"/>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日完成了置</w:t>
                        </w:r>
                        <w:r>
                          <w:rPr>
                            <w:rFonts w:ascii="宋体" w:hAnsi="宋体" w:cs="宋体" w:eastAsia="宋体" w:hint="default"/>
                            <w:sz w:val="18"/>
                            <w:szCs w:val="18"/>
                          </w:rPr>
                          <w:t> 换。</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区域服务网络和培训中心建设项目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区域服务网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已经验收并投入使用，计划投入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34,051.20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万元，实际使用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32,928.00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万元，剩余募集资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 </w:t>
                        </w:r>
                        <w:r>
                          <w:rPr>
                            <w:rFonts w:ascii="Times New Roman" w:hAnsi="Times New Roman" w:cs="Times New Roman" w:eastAsia="Times New Roman" w:hint="default"/>
                            <w:sz w:val="18"/>
                            <w:szCs w:val="18"/>
                          </w:rPr>
                          <w:t>1,123.20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日，尚未使用的募集资金余额为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55,036,071.20 </w:t>
                        </w:r>
                        <w:r>
                          <w:rPr>
                            <w:rFonts w:ascii="宋体" w:hAnsi="宋体" w:cs="宋体" w:eastAsia="宋体" w:hint="default"/>
                            <w:sz w:val="18"/>
                            <w:szCs w:val="18"/>
                          </w:rPr>
                          <w:t>元，尚未使用的募集资金分别 存放于上海浦东发展银行南宁分行营业部、招商银行南宁分行营业部二个募集资金专户中，公司尚 未使用的募集资金将用于区域服务网络和培训中心建设项目、研发中心建设项目。</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2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补充营运资金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项目募集资金产生的利息收入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51.71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万元也用于补充营运 资金，扣除利息收入，实际募集资金投入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72,769.86 </w:t>
                        </w:r>
                        <w:r>
                          <w:rPr>
                            <w:rFonts w:ascii="宋体" w:hAnsi="宋体" w:cs="宋体" w:eastAsia="宋体" w:hint="default"/>
                            <w:sz w:val="18"/>
                            <w:szCs w:val="18"/>
                          </w:rPr>
                          <w:t>万元，使用进度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44"/>
        <w:ind w:left="0" w:right="1135" w:firstLine="0"/>
        <w:jc w:val="right"/>
        <w:rPr>
          <w:rFonts w:ascii="宋体" w:hAnsi="宋体" w:cs="宋体" w:eastAsia="宋体" w:hint="default"/>
          <w:sz w:val="18"/>
          <w:szCs w:val="18"/>
        </w:rPr>
      </w:pPr>
      <w:r>
        <w:rPr/>
        <w:pict>
          <v:shape style="position:absolute;margin-left:56.459999pt;margin-top:-483.808289pt;width:479.35pt;height:588.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958"/>
                    <w:gridCol w:w="958"/>
                    <w:gridCol w:w="958"/>
                    <w:gridCol w:w="958"/>
                    <w:gridCol w:w="956"/>
                    <w:gridCol w:w="958"/>
                    <w:gridCol w:w="956"/>
                    <w:gridCol w:w="958"/>
                    <w:gridCol w:w="958"/>
                  </w:tblGrid>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2"/>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52"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2"/>
                          <w:jc w:val="both"/>
                          <w:rPr>
                            <w:rFonts w:ascii="宋体" w:hAnsi="宋体" w:cs="宋体" w:eastAsia="宋体" w:hint="default"/>
                            <w:sz w:val="18"/>
                            <w:szCs w:val="18"/>
                          </w:rPr>
                        </w:pPr>
                        <w:r>
                          <w:rPr>
                            <w:rFonts w:ascii="宋体" w:hAnsi="宋体" w:cs="宋体" w:eastAsia="宋体" w:hint="default"/>
                            <w:sz w:val="18"/>
                            <w:szCs w:val="18"/>
                          </w:rPr>
                          <w:t>区域服务网 络和培训中 心建设项目 中的培训中 心建设项目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3"/>
                          <w:jc w:val="both"/>
                          <w:rPr>
                            <w:rFonts w:ascii="宋体" w:hAnsi="宋体" w:cs="宋体" w:eastAsia="宋体" w:hint="default"/>
                            <w:sz w:val="18"/>
                            <w:szCs w:val="18"/>
                          </w:rPr>
                        </w:pPr>
                        <w:r>
                          <w:rPr>
                            <w:rFonts w:ascii="宋体" w:hAnsi="宋体" w:cs="宋体" w:eastAsia="宋体" w:hint="default"/>
                            <w:sz w:val="18"/>
                            <w:szCs w:val="18"/>
                          </w:rPr>
                          <w:t>区域服务网 络和培训中 心建设项目 中的培训中 心建设项目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7,049.51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7,049.51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74.50%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研发中心建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7,293.22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7,293.22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78.31%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18,775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14,342.73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14,342.73</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2979"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pacing w:val="-1"/>
                            <w:sz w:val="18"/>
                            <w:szCs w:val="18"/>
                          </w:rPr>
                          <w:t>随着公司业务发展考虑到公司的实际经营情况、未来发展战略以及布局核心城市利用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其产业集聚效应不断发展壮大的因素，公司对募投项目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区域服务网络和培训中心建 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中的培训中心建设项目和</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适时做出调整，能够提升公司 的创新能力和核心市场竞争力，为公司未来发展提供强有力的技术支撑。</w:t>
                        </w:r>
                      </w:p>
                      <w:p>
                        <w:pPr>
                          <w:pStyle w:val="TableParagraph"/>
                          <w:spacing w:line="309" w:lineRule="auto" w:before="6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日公司第三届董事会第十五次会议，</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 一次临时股东大会决议，审议通过《关于调整部分募集资金投资项目实施方案的议 </w:t>
                        </w:r>
                        <w:r>
                          <w:rPr>
                            <w:rFonts w:ascii="宋体" w:hAnsi="宋体" w:cs="宋体" w:eastAsia="宋体" w:hint="default"/>
                            <w:spacing w:val="-31"/>
                            <w:sz w:val="18"/>
                            <w:szCs w:val="18"/>
                          </w:rPr>
                          <w:t>案》。</w:t>
                        </w:r>
                      </w:p>
                      <w:p>
                        <w:pPr>
                          <w:pStyle w:val="TableParagraph"/>
                          <w:spacing w:line="300" w:lineRule="auto" w:before="65"/>
                          <w:ind w:left="23" w:right="92"/>
                          <w:jc w:val="left"/>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日刊登在巨潮资讯网《关于调整部分募集资金投资项目实 </w:t>
                        </w:r>
                        <w:r>
                          <w:rPr>
                            <w:rFonts w:ascii="宋体" w:hAnsi="宋体" w:cs="宋体" w:eastAsia="宋体" w:hint="default"/>
                            <w:spacing w:val="-12"/>
                            <w:sz w:val="18"/>
                            <w:szCs w:val="18"/>
                          </w:rPr>
                          <w:t>施方案的公告》。</w:t>
                        </w:r>
                      </w:p>
                    </w:tc>
                  </w:tr>
                  <w:tr>
                    <w:trPr>
                      <w:trHeight w:val="395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区域服务网络和培训中心建设项目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中的培训中心建设项目原计划实施地点为南宁， 投资构成主要用于场地购买和设备购置，实施期限为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年底实施完毕；调整后， 该项目的实施地点为广州，投资构成主要用于场地购买、场地装修、内部培训费用、 外部培训费用、培训工作人员薪酬的支出，实施期限为 </w:t>
                        </w:r>
                        <w:r>
                          <w:rPr>
                            <w:rFonts w:ascii="Times New Roman" w:hAnsi="Times New Roman" w:cs="Times New Roman" w:eastAsia="Times New Roman" w:hint="default"/>
                            <w:sz w:val="18"/>
                            <w:szCs w:val="18"/>
                          </w:rPr>
                          <w:t>2019-2020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w:t>
                        </w:r>
                        <w:r>
                          <w:rPr>
                            <w:rFonts w:ascii="宋体" w:hAnsi="宋体" w:cs="宋体" w:eastAsia="宋体" w:hint="default"/>
                            <w:sz w:val="18"/>
                            <w:szCs w:val="18"/>
                          </w:rPr>
                          <w:t>区域服务网络和培训中心建设项目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中的培训中心建设项目原计划实施地点为南宁，</w:t>
                        </w:r>
                      </w:p>
                      <w:p>
                        <w:pPr>
                          <w:pStyle w:val="TableParagraph"/>
                          <w:spacing w:line="319" w:lineRule="auto" w:before="1"/>
                          <w:ind w:left="23" w:right="2"/>
                          <w:jc w:val="left"/>
                          <w:rPr>
                            <w:rFonts w:ascii="宋体" w:hAnsi="宋体" w:cs="宋体" w:eastAsia="宋体" w:hint="default"/>
                            <w:sz w:val="18"/>
                            <w:szCs w:val="18"/>
                          </w:rPr>
                        </w:pPr>
                        <w:r>
                          <w:rPr>
                            <w:rFonts w:ascii="宋体" w:hAnsi="宋体" w:cs="宋体" w:eastAsia="宋体" w:hint="default"/>
                            <w:sz w:val="18"/>
                            <w:szCs w:val="18"/>
                          </w:rPr>
                          <w:t>投资构成主要用于场地购买和设备购置，实施期限为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年底实施完毕；调整后， 该项目的实施地点为广州，投资构成主要用于场地购买、场地装修、内部培训费用、 外部培训费用、培训工作人员薪酬的支出，实施期限为 </w:t>
                        </w:r>
                        <w:r>
                          <w:rPr>
                            <w:rFonts w:ascii="Times New Roman" w:hAnsi="Times New Roman" w:cs="Times New Roman" w:eastAsia="Times New Roman" w:hint="default"/>
                            <w:sz w:val="18"/>
                            <w:szCs w:val="18"/>
                          </w:rPr>
                          <w:t>2019-2020 </w:t>
                        </w:r>
                        <w:r>
                          <w:rPr>
                            <w:rFonts w:ascii="宋体" w:hAnsi="宋体" w:cs="宋体" w:eastAsia="宋体" w:hint="default"/>
                            <w:sz w:val="18"/>
                            <w:szCs w:val="18"/>
                          </w:rPr>
                          <w:t>年； </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研发中心建设项目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原计划实施地点为南宁，投资构成主要用于场地购买和设备购置</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实施期限为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年底实施完毕；调整后，该项目的实施地点为广州，投资构成主要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用于场地购买、场地装修以及研发人员薪酬的支出，实施期限为 </w:t>
                        </w:r>
                        <w:r>
                          <w:rPr>
                            <w:rFonts w:ascii="Times New Roman" w:hAnsi="Times New Roman" w:cs="Times New Roman" w:eastAsia="Times New Roman" w:hint="default"/>
                            <w:sz w:val="18"/>
                            <w:szCs w:val="18"/>
                          </w:rPr>
                          <w:t>2019-2020  </w:t>
                        </w:r>
                        <w:r>
                          <w:rPr>
                            <w:rFonts w:ascii="宋体" w:hAnsi="宋体" w:cs="宋体" w:eastAsia="宋体" w:hint="default"/>
                            <w:sz w:val="18"/>
                            <w:szCs w:val="18"/>
                          </w:rPr>
                          <w:t>年。</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九、公司未来发展的展望</w:t>
      </w:r>
      <w:r>
        <w:rPr>
          <w:b w:val="0"/>
          <w:bCs w:val="0"/>
        </w:rPr>
      </w:r>
    </w:p>
    <w:p>
      <w:pPr>
        <w:spacing w:line="470" w:lineRule="atLeast" w:before="126"/>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、公司发展战略 </w:t>
      </w:r>
      <w:r>
        <w:rPr>
          <w:rFonts w:ascii="宋体" w:hAnsi="宋体" w:cs="宋体" w:eastAsia="宋体" w:hint="default"/>
          <w:spacing w:val="-2"/>
          <w:sz w:val="18"/>
          <w:szCs w:val="18"/>
        </w:rPr>
        <w:t>公司自</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年成立以来深耕通信技术服务行业，树立了良好的口碑和市场品牌，已成为通信技术服务、通信网络建设行</w:t>
      </w:r>
    </w:p>
    <w:p>
      <w:pPr>
        <w:spacing w:line="316" w:lineRule="auto" w:before="63"/>
        <w:ind w:left="152" w:right="1057" w:firstLine="0"/>
        <w:jc w:val="left"/>
        <w:rPr>
          <w:rFonts w:ascii="宋体" w:hAnsi="宋体" w:cs="宋体" w:eastAsia="宋体" w:hint="default"/>
          <w:sz w:val="18"/>
          <w:szCs w:val="18"/>
        </w:rPr>
      </w:pPr>
      <w:r>
        <w:rPr>
          <w:rFonts w:ascii="宋体" w:hAnsi="宋体" w:cs="宋体" w:eastAsia="宋体" w:hint="default"/>
          <w:spacing w:val="-2"/>
          <w:sz w:val="18"/>
          <w:szCs w:val="18"/>
        </w:rPr>
        <w:t>业的主力军，是通信技术服务行业领先的民营企业。在保持通信技术服务业务稳定增长的同时，公司将服务范围进一步拓展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至云服务与</w:t>
      </w:r>
      <w:r>
        <w:rPr>
          <w:rFonts w:ascii="Times New Roman" w:hAnsi="Times New Roman" w:cs="Times New Roman" w:eastAsia="Times New Roman" w:hint="default"/>
          <w:sz w:val="18"/>
          <w:szCs w:val="18"/>
        </w:rPr>
        <w:t>IDC</w:t>
      </w:r>
      <w:r>
        <w:rPr>
          <w:rFonts w:ascii="宋体" w:hAnsi="宋体" w:cs="宋体" w:eastAsia="宋体" w:hint="default"/>
          <w:sz w:val="18"/>
          <w:szCs w:val="18"/>
        </w:rPr>
        <w:t>服务、信息技术服务、电力与新能源服务，布局一体多翼的格局，新增多个业务增长点。</w:t>
      </w:r>
    </w:p>
    <w:p>
      <w:pPr>
        <w:spacing w:line="307" w:lineRule="auto" w:before="157"/>
        <w:ind w:left="152" w:right="1133"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年公司严格按照战略规划进行经营管理，在通信技术服务业务上继续保持以往的业务优势；在云服务与</w:t>
      </w:r>
      <w:r>
        <w:rPr>
          <w:rFonts w:ascii="Times New Roman" w:hAnsi="Times New Roman" w:cs="Times New Roman" w:eastAsia="Times New Roman" w:hint="default"/>
          <w:spacing w:val="-1"/>
          <w:sz w:val="18"/>
          <w:szCs w:val="18"/>
        </w:rPr>
        <w:t>IDC</w:t>
      </w:r>
      <w:r>
        <w:rPr>
          <w:rFonts w:ascii="宋体" w:hAnsi="宋体" w:cs="宋体" w:eastAsia="宋体" w:hint="default"/>
          <w:spacing w:val="-1"/>
          <w:sz w:val="18"/>
          <w:szCs w:val="18"/>
        </w:rPr>
        <w:t>服务上</w:t>
      </w:r>
      <w:r>
        <w:rPr>
          <w:rFonts w:ascii="宋体" w:hAnsi="宋体" w:cs="宋体" w:eastAsia="宋体" w:hint="default"/>
          <w:sz w:val="18"/>
          <w:szCs w:val="18"/>
        </w:rPr>
        <w:t> </w:t>
      </w:r>
      <w:r>
        <w:rPr>
          <w:rFonts w:ascii="宋体" w:hAnsi="宋体" w:cs="宋体" w:eastAsia="宋体" w:hint="default"/>
          <w:spacing w:val="-2"/>
          <w:sz w:val="18"/>
          <w:szCs w:val="18"/>
        </w:rPr>
        <w:t>积极募集资金开展业务；在信息技术服务上持续加大研发推出一系列软硬件产品及解决方案；在电力与新能源服务上内生业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务拓展及外延收购并举快速铺开业务布局。</w:t>
      </w:r>
    </w:p>
    <w:p>
      <w:pPr>
        <w:spacing w:line="472" w:lineRule="exact" w:before="17"/>
        <w:ind w:left="513" w:right="10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、经营计划 </w:t>
      </w:r>
      <w:r>
        <w:rPr>
          <w:rFonts w:ascii="宋体" w:hAnsi="宋体" w:cs="宋体" w:eastAsia="宋体" w:hint="default"/>
          <w:spacing w:val="-3"/>
          <w:sz w:val="18"/>
          <w:szCs w:val="18"/>
        </w:rPr>
        <w:t>在研发计划上，公司将持续加大研发投入，布局</w:t>
      </w:r>
      <w:r>
        <w:rPr>
          <w:rFonts w:ascii="Times New Roman" w:hAnsi="Times New Roman" w:cs="Times New Roman" w:eastAsia="Times New Roman" w:hint="default"/>
          <w:spacing w:val="-3"/>
          <w:sz w:val="18"/>
          <w:szCs w:val="18"/>
        </w:rPr>
        <w:t>5G</w:t>
      </w:r>
      <w:r>
        <w:rPr>
          <w:rFonts w:ascii="宋体" w:hAnsi="宋体" w:cs="宋体" w:eastAsia="宋体" w:hint="default"/>
          <w:spacing w:val="-3"/>
          <w:sz w:val="18"/>
          <w:szCs w:val="18"/>
        </w:rPr>
        <w:t>技术应用、工业和电力物联网技术应用、大数据服务、云与</w:t>
      </w:r>
      <w:r>
        <w:rPr>
          <w:rFonts w:ascii="Times New Roman" w:hAnsi="Times New Roman" w:cs="Times New Roman" w:eastAsia="Times New Roman" w:hint="default"/>
          <w:spacing w:val="-3"/>
          <w:sz w:val="18"/>
          <w:szCs w:val="18"/>
        </w:rPr>
        <w:t>IDC</w:t>
      </w:r>
      <w:r>
        <w:rPr>
          <w:rFonts w:ascii="宋体" w:hAnsi="宋体" w:cs="宋体" w:eastAsia="宋体" w:hint="default"/>
          <w:spacing w:val="-3"/>
          <w:sz w:val="18"/>
          <w:szCs w:val="18"/>
        </w:rPr>
        <w:t>服务、</w:t>
      </w:r>
    </w:p>
    <w:p>
      <w:pPr>
        <w:spacing w:line="314" w:lineRule="auto" w:before="5"/>
        <w:ind w:left="152" w:right="1129" w:firstLine="0"/>
        <w:jc w:val="both"/>
        <w:rPr>
          <w:rFonts w:ascii="宋体" w:hAnsi="宋体" w:cs="宋体" w:eastAsia="宋体" w:hint="default"/>
          <w:sz w:val="18"/>
          <w:szCs w:val="18"/>
        </w:rPr>
      </w:pPr>
      <w:r>
        <w:rPr>
          <w:rFonts w:ascii="宋体" w:hAnsi="宋体" w:cs="宋体" w:eastAsia="宋体" w:hint="default"/>
          <w:spacing w:val="-2"/>
          <w:sz w:val="18"/>
          <w:szCs w:val="18"/>
        </w:rPr>
        <w:t>电力智能化、智慧建维等高新技术，提升核心竞争力。在经营管理上，公司将持续加强安全生产管理，从管理原则、制度设</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置、组织基础、现场管控等多维度强化安全生产管理，持续提升安全投入；将继续提升或申报相关业务资质，方便进行业务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拓展；强化对人力资源、财务管控、物资管理、团队协作等方面的有效管理；根据公司运营方向调整组织架构，提升公司内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部信息化支撑水平与效率。在业务开展上，通信技术服务业务将在确保现有业务总体稳定的基础上，全力拓展优质业务和提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升运营水平；云服务与</w:t>
      </w:r>
      <w:r>
        <w:rPr>
          <w:rFonts w:ascii="Times New Roman" w:hAnsi="Times New Roman" w:cs="Times New Roman" w:eastAsia="Times New Roman" w:hint="default"/>
          <w:spacing w:val="-1"/>
          <w:sz w:val="18"/>
          <w:szCs w:val="18"/>
        </w:rPr>
        <w:t>IDC</w:t>
      </w:r>
      <w:r>
        <w:rPr>
          <w:rFonts w:ascii="宋体" w:hAnsi="宋体" w:cs="宋体" w:eastAsia="宋体" w:hint="default"/>
          <w:spacing w:val="-1"/>
          <w:sz w:val="18"/>
          <w:szCs w:val="18"/>
        </w:rPr>
        <w:t>服务将尽快推进再融资事项进行，快速推进募投项目落地建设；信息技术服务将聚焦优势地区与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优势行业，提升综合服务能力和技术实力；电力与新能源业务将进一步整合控股子公司资源，快速拓展打造标杆。</w:t>
      </w:r>
    </w:p>
    <w:p>
      <w:pPr>
        <w:spacing w:line="240" w:lineRule="auto" w:before="9"/>
        <w:rPr>
          <w:rFonts w:ascii="宋体" w:hAnsi="宋体" w:cs="宋体" w:eastAsia="宋体" w:hint="default"/>
          <w:sz w:val="13"/>
          <w:szCs w:val="13"/>
        </w:rPr>
      </w:pPr>
    </w:p>
    <w:p>
      <w:pPr>
        <w:spacing w:before="0"/>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、可能面对的风险</w:t>
      </w:r>
    </w:p>
    <w:p>
      <w:pPr>
        <w:spacing w:line="450" w:lineRule="atLeast" w:before="20"/>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）市场竞争的风险 </w:t>
      </w:r>
      <w:r>
        <w:rPr>
          <w:rFonts w:ascii="宋体" w:hAnsi="宋体" w:cs="宋体" w:eastAsia="宋体" w:hint="default"/>
          <w:spacing w:val="-2"/>
          <w:sz w:val="18"/>
          <w:szCs w:val="18"/>
        </w:rPr>
        <w:t>公司经营所涉及的通信技术服务、电力与新能源服务等行业，企业众多，竞争激烈，存在因行业竞争激烈影响公司盈利</w:t>
      </w:r>
    </w:p>
    <w:p>
      <w:pPr>
        <w:spacing w:before="74"/>
        <w:ind w:left="152" w:right="0" w:firstLine="0"/>
        <w:jc w:val="both"/>
        <w:rPr>
          <w:rFonts w:ascii="宋体" w:hAnsi="宋体" w:cs="宋体" w:eastAsia="宋体" w:hint="default"/>
          <w:sz w:val="18"/>
          <w:szCs w:val="18"/>
        </w:rPr>
      </w:pPr>
      <w:r>
        <w:rPr>
          <w:rFonts w:ascii="宋体" w:hAnsi="宋体" w:cs="宋体" w:eastAsia="宋体" w:hint="default"/>
          <w:sz w:val="18"/>
          <w:szCs w:val="18"/>
        </w:rPr>
        <w:t>水平的风险。</w:t>
      </w:r>
    </w:p>
    <w:p>
      <w:pPr>
        <w:spacing w:after="0"/>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12"/>
        <w:rPr>
          <w:rFonts w:ascii="宋体" w:hAnsi="宋体" w:cs="宋体" w:eastAsia="宋体" w:hint="default"/>
          <w:sz w:val="25"/>
          <w:szCs w:val="25"/>
        </w:rPr>
      </w:pPr>
    </w:p>
    <w:p>
      <w:pPr>
        <w:spacing w:line="314" w:lineRule="auto" w:before="44"/>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解决措施：公司是通信技术服务行业内服务区域最广且能提供移动通信技术服务一体化的服务商之一，公司将保持核心</w:t>
      </w:r>
      <w:r>
        <w:rPr>
          <w:rFonts w:ascii="宋体" w:hAnsi="宋体" w:cs="宋体" w:eastAsia="宋体" w:hint="default"/>
          <w:sz w:val="18"/>
          <w:szCs w:val="18"/>
        </w:rPr>
        <w:t> 竞争优势的同时，提升经营管理水平和技术实力，提升公司整体盈利水平。</w:t>
      </w:r>
    </w:p>
    <w:p>
      <w:pPr>
        <w:spacing w:line="468" w:lineRule="exact" w:before="15"/>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）对大客户依赖的风险 </w:t>
      </w:r>
      <w:r>
        <w:rPr>
          <w:rFonts w:ascii="宋体" w:hAnsi="宋体" w:cs="宋体" w:eastAsia="宋体" w:hint="default"/>
          <w:spacing w:val="-2"/>
          <w:sz w:val="18"/>
          <w:szCs w:val="18"/>
        </w:rPr>
        <w:t>近年来，中国移动及其下属分、子公司仍然是公司主要的客户。主要客户的经营策略、服务商准入条件、盈利水平等情</w:t>
      </w:r>
    </w:p>
    <w:p>
      <w:pPr>
        <w:spacing w:before="8"/>
        <w:ind w:left="152" w:right="1057" w:firstLine="0"/>
        <w:jc w:val="left"/>
        <w:rPr>
          <w:rFonts w:ascii="宋体" w:hAnsi="宋体" w:cs="宋体" w:eastAsia="宋体" w:hint="default"/>
          <w:sz w:val="18"/>
          <w:szCs w:val="18"/>
        </w:rPr>
      </w:pPr>
      <w:r>
        <w:rPr>
          <w:rFonts w:ascii="宋体" w:hAnsi="宋体" w:cs="宋体" w:eastAsia="宋体" w:hint="default"/>
          <w:sz w:val="18"/>
          <w:szCs w:val="18"/>
        </w:rPr>
        <w:t>况发生重大不利变化，都有可能对包括公司在内的通信技术服务提供商造成不利影响。</w:t>
      </w:r>
    </w:p>
    <w:p>
      <w:pPr>
        <w:spacing w:line="240" w:lineRule="auto" w:before="12"/>
        <w:rPr>
          <w:rFonts w:ascii="宋体" w:hAnsi="宋体" w:cs="宋体" w:eastAsia="宋体" w:hint="default"/>
          <w:sz w:val="17"/>
          <w:szCs w:val="17"/>
        </w:rPr>
      </w:pPr>
    </w:p>
    <w:p>
      <w:pPr>
        <w:spacing w:line="314" w:lineRule="auto" w:before="0"/>
        <w:ind w:left="152" w:right="1050" w:firstLine="360"/>
        <w:jc w:val="both"/>
        <w:rPr>
          <w:rFonts w:ascii="宋体" w:hAnsi="宋体" w:cs="宋体" w:eastAsia="宋体" w:hint="default"/>
          <w:sz w:val="18"/>
          <w:szCs w:val="18"/>
        </w:rPr>
      </w:pPr>
      <w:r>
        <w:rPr>
          <w:rFonts w:ascii="宋体" w:hAnsi="宋体" w:cs="宋体" w:eastAsia="宋体" w:hint="default"/>
          <w:sz w:val="18"/>
          <w:szCs w:val="18"/>
        </w:rPr>
        <w:t>解决措施：为降低对大客户依赖的风险，公司在立足中国移动的同时，积极开拓其他电信运营商及通信主设备供应商、 电力企业、政府等客户。</w:t>
      </w:r>
    </w:p>
    <w:p>
      <w:pPr>
        <w:spacing w:line="470" w:lineRule="exact" w:before="13"/>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）公司快速发展带来的管理风险 </w:t>
      </w:r>
      <w:r>
        <w:rPr>
          <w:rFonts w:ascii="宋体" w:hAnsi="宋体" w:cs="宋体" w:eastAsia="宋体" w:hint="default"/>
          <w:spacing w:val="-2"/>
          <w:sz w:val="18"/>
          <w:szCs w:val="18"/>
        </w:rPr>
        <w:t>公司服务范围遍布全国，对经营决策、业务实施、人力资源管理、风险控制等方面的管理要求越来越高。公司若不能进</w:t>
      </w:r>
    </w:p>
    <w:p>
      <w:pPr>
        <w:spacing w:before="6"/>
        <w:ind w:left="152" w:right="1057" w:firstLine="0"/>
        <w:jc w:val="left"/>
        <w:rPr>
          <w:rFonts w:ascii="宋体" w:hAnsi="宋体" w:cs="宋体" w:eastAsia="宋体" w:hint="default"/>
          <w:sz w:val="18"/>
          <w:szCs w:val="18"/>
        </w:rPr>
      </w:pPr>
      <w:r>
        <w:rPr>
          <w:rFonts w:ascii="宋体" w:hAnsi="宋体" w:cs="宋体" w:eastAsia="宋体" w:hint="default"/>
          <w:sz w:val="18"/>
          <w:szCs w:val="18"/>
        </w:rPr>
        <w:t>一步提高管理水平，统筹人员和业务规模，将可能面临公司业务范围广带来的管理风险。</w:t>
      </w:r>
    </w:p>
    <w:p>
      <w:pPr>
        <w:spacing w:line="240" w:lineRule="auto" w:before="12"/>
        <w:rPr>
          <w:rFonts w:ascii="宋体" w:hAnsi="宋体" w:cs="宋体" w:eastAsia="宋体" w:hint="default"/>
          <w:sz w:val="17"/>
          <w:szCs w:val="17"/>
        </w:rPr>
      </w:pPr>
    </w:p>
    <w:p>
      <w:pPr>
        <w:spacing w:line="316" w:lineRule="auto" w:before="0"/>
        <w:ind w:left="152" w:right="1040" w:firstLine="360"/>
        <w:jc w:val="both"/>
        <w:rPr>
          <w:rFonts w:ascii="宋体" w:hAnsi="宋体" w:cs="宋体" w:eastAsia="宋体" w:hint="default"/>
          <w:sz w:val="18"/>
          <w:szCs w:val="18"/>
        </w:rPr>
      </w:pPr>
      <w:r>
        <w:rPr>
          <w:rFonts w:ascii="宋体" w:hAnsi="宋体" w:cs="宋体" w:eastAsia="宋体" w:hint="default"/>
          <w:sz w:val="18"/>
          <w:szCs w:val="18"/>
        </w:rPr>
        <w:t>解决措施：公司将持续加强安全生产管理，从管理原则、制度设置、组织基础、现场管控等多维度强化安全生产管理， </w:t>
      </w:r>
      <w:r>
        <w:rPr>
          <w:rFonts w:ascii="宋体" w:hAnsi="宋体" w:cs="宋体" w:eastAsia="宋体" w:hint="default"/>
          <w:spacing w:val="-4"/>
          <w:sz w:val="18"/>
          <w:szCs w:val="18"/>
        </w:rPr>
        <w:t>持续提升安全投入；强化对人力资源、财务管控、物资管理、团队协作等方面的有效管理；根据公司运营方向调整组织架构，</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提升公司内部信息化支撑水平与效率。</w:t>
      </w:r>
    </w:p>
    <w:p>
      <w:pPr>
        <w:spacing w:line="470" w:lineRule="exact" w:before="11"/>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）技术和产品更新的风险 </w:t>
      </w:r>
      <w:r>
        <w:rPr>
          <w:rFonts w:ascii="宋体" w:hAnsi="宋体" w:cs="宋体" w:eastAsia="宋体" w:hint="default"/>
          <w:spacing w:val="-2"/>
          <w:sz w:val="18"/>
          <w:szCs w:val="18"/>
        </w:rPr>
        <w:t>公司所处行业的技术和产品不断升级，公司原有技术和产品也存在更新的需要，如果公司的技术和产品没有跟上行业技</w:t>
      </w:r>
    </w:p>
    <w:p>
      <w:pPr>
        <w:spacing w:before="5"/>
        <w:ind w:left="152" w:right="1057" w:firstLine="0"/>
        <w:jc w:val="left"/>
        <w:rPr>
          <w:rFonts w:ascii="宋体" w:hAnsi="宋体" w:cs="宋体" w:eastAsia="宋体" w:hint="default"/>
          <w:sz w:val="18"/>
          <w:szCs w:val="18"/>
        </w:rPr>
      </w:pPr>
      <w:r>
        <w:rPr>
          <w:rFonts w:ascii="宋体" w:hAnsi="宋体" w:cs="宋体" w:eastAsia="宋体" w:hint="default"/>
          <w:sz w:val="18"/>
          <w:szCs w:val="18"/>
        </w:rPr>
        <w:t>术的发展，无法保持适用性和先进性，则影响公司的市场竞争能力和盈利能力。</w:t>
      </w:r>
    </w:p>
    <w:p>
      <w:pPr>
        <w:spacing w:line="240" w:lineRule="auto" w:before="12"/>
        <w:rPr>
          <w:rFonts w:ascii="宋体" w:hAnsi="宋体" w:cs="宋体" w:eastAsia="宋体" w:hint="default"/>
          <w:sz w:val="17"/>
          <w:szCs w:val="17"/>
        </w:rPr>
      </w:pPr>
    </w:p>
    <w:p>
      <w:pPr>
        <w:spacing w:line="319" w:lineRule="auto" w:before="0"/>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解决措施：为迎合市场需求、保持技术和产品的先进性，公司设立了创新研发院、电力研究院、欧洲未来科技研究院等</w:t>
      </w:r>
      <w:r>
        <w:rPr>
          <w:rFonts w:ascii="宋体" w:hAnsi="宋体" w:cs="宋体" w:eastAsia="宋体" w:hint="default"/>
          <w:sz w:val="18"/>
          <w:szCs w:val="18"/>
        </w:rPr>
        <w:t> </w:t>
      </w:r>
      <w:r>
        <w:rPr>
          <w:rFonts w:ascii="宋体" w:hAnsi="宋体" w:cs="宋体" w:eastAsia="宋体" w:hint="default"/>
          <w:spacing w:val="-2"/>
          <w:sz w:val="18"/>
          <w:szCs w:val="18"/>
        </w:rPr>
        <w:t>多个研发机构，并持续引进相关技术人员，充实技术力量，同时公司联合大学、研究机构等抓紧研发相关技术和产品，以维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持公司技术实力及市场竞争能力和盈利能力。</w:t>
      </w:r>
    </w:p>
    <w:p>
      <w:pPr>
        <w:spacing w:line="240" w:lineRule="auto" w:before="5"/>
        <w:rPr>
          <w:rFonts w:ascii="宋体" w:hAnsi="宋体" w:cs="宋体" w:eastAsia="宋体" w:hint="default"/>
          <w:sz w:val="13"/>
          <w:szCs w:val="13"/>
        </w:rPr>
      </w:pPr>
    </w:p>
    <w:p>
      <w:pPr>
        <w:spacing w:line="451" w:lineRule="auto" w:before="0"/>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）商誉减值风险 公司在开展各类并购时会形成商誉，随着公司并购项目的不断增多，因并购形成的商誉存在计提减值的风险。</w:t>
      </w:r>
    </w:p>
    <w:p>
      <w:pPr>
        <w:spacing w:line="314" w:lineRule="auto" w:before="76"/>
        <w:ind w:left="152" w:right="1133" w:firstLine="360"/>
        <w:jc w:val="both"/>
        <w:rPr>
          <w:rFonts w:ascii="宋体" w:hAnsi="宋体" w:cs="宋体" w:eastAsia="宋体" w:hint="default"/>
          <w:sz w:val="18"/>
          <w:szCs w:val="18"/>
        </w:rPr>
      </w:pPr>
      <w:r>
        <w:rPr>
          <w:rFonts w:ascii="宋体" w:hAnsi="宋体" w:cs="宋体" w:eastAsia="宋体" w:hint="default"/>
          <w:spacing w:val="-2"/>
          <w:sz w:val="18"/>
          <w:szCs w:val="18"/>
        </w:rPr>
        <w:t>解决措施：公司一方面强化收购成本的控制，避免产生过高的商誉；一方面加强投后管理，努力提高并购效益，减轻商</w:t>
      </w:r>
      <w:r>
        <w:rPr>
          <w:rFonts w:ascii="宋体" w:hAnsi="宋体" w:cs="宋体" w:eastAsia="宋体" w:hint="default"/>
          <w:sz w:val="18"/>
          <w:szCs w:val="18"/>
        </w:rPr>
        <w:t> 誉减值压力。</w:t>
      </w:r>
    </w:p>
    <w:p>
      <w:pPr>
        <w:spacing w:line="468" w:lineRule="exact" w:before="15"/>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）新型冠状病毒疫情造成的风险 </w:t>
      </w:r>
      <w:r>
        <w:rPr>
          <w:rFonts w:ascii="宋体" w:hAnsi="宋体" w:cs="宋体" w:eastAsia="宋体" w:hint="default"/>
          <w:spacing w:val="-2"/>
          <w:sz w:val="18"/>
          <w:szCs w:val="18"/>
        </w:rPr>
        <w:t>新型冠状病毒疫情给中国乃至全世界的生产经营均产生了严重影响，由于部分地区交通管制、生产经营停滞，公司员工</w:t>
      </w:r>
    </w:p>
    <w:p>
      <w:pPr>
        <w:spacing w:before="8"/>
        <w:ind w:left="152" w:right="1057" w:firstLine="0"/>
        <w:jc w:val="left"/>
        <w:rPr>
          <w:rFonts w:ascii="宋体" w:hAnsi="宋体" w:cs="宋体" w:eastAsia="宋体" w:hint="default"/>
          <w:sz w:val="18"/>
          <w:szCs w:val="18"/>
        </w:rPr>
      </w:pPr>
      <w:r>
        <w:rPr>
          <w:rFonts w:ascii="宋体" w:hAnsi="宋体" w:cs="宋体" w:eastAsia="宋体" w:hint="default"/>
          <w:sz w:val="18"/>
          <w:szCs w:val="18"/>
        </w:rPr>
        <w:t>复工、业务开展均受到影响，可能对公司经营业绩造成不良影响。</w:t>
      </w:r>
    </w:p>
    <w:p>
      <w:pPr>
        <w:spacing w:line="240" w:lineRule="auto" w:before="12"/>
        <w:rPr>
          <w:rFonts w:ascii="宋体" w:hAnsi="宋体" w:cs="宋体" w:eastAsia="宋体" w:hint="default"/>
          <w:sz w:val="17"/>
          <w:szCs w:val="17"/>
        </w:rPr>
      </w:pPr>
    </w:p>
    <w:p>
      <w:pPr>
        <w:spacing w:line="312" w:lineRule="auto" w:before="0"/>
        <w:ind w:left="152" w:right="1034" w:firstLine="360"/>
        <w:jc w:val="left"/>
        <w:rPr>
          <w:rFonts w:ascii="宋体" w:hAnsi="宋体" w:cs="宋体" w:eastAsia="宋体" w:hint="default"/>
          <w:sz w:val="18"/>
          <w:szCs w:val="18"/>
        </w:rPr>
      </w:pPr>
      <w:r>
        <w:rPr>
          <w:rFonts w:ascii="宋体" w:hAnsi="宋体" w:cs="宋体" w:eastAsia="宋体" w:hint="default"/>
          <w:spacing w:val="-2"/>
          <w:sz w:val="18"/>
          <w:szCs w:val="18"/>
        </w:rPr>
        <w:t>解决措施：为支持抗击新型冠状病毒疫情，公司积极响应政府号召和要求，在包括湖北武汉火神山等疫情严重地区在内</w:t>
      </w:r>
      <w:r>
        <w:rPr>
          <w:rFonts w:ascii="宋体" w:hAnsi="宋体" w:cs="宋体" w:eastAsia="宋体" w:hint="default"/>
          <w:sz w:val="18"/>
          <w:szCs w:val="18"/>
        </w:rPr>
        <w:t> 的全国二十余个省份（自治区</w:t>
      </w:r>
      <w:r>
        <w:rPr>
          <w:rFonts w:ascii="Times New Roman" w:hAnsi="Times New Roman" w:cs="Times New Roman" w:eastAsia="Times New Roman" w:hint="default"/>
          <w:sz w:val="18"/>
          <w:szCs w:val="18"/>
        </w:rPr>
        <w:t>/</w:t>
      </w:r>
      <w:r>
        <w:rPr>
          <w:rFonts w:ascii="宋体" w:hAnsi="宋体" w:cs="宋体" w:eastAsia="宋体" w:hint="default"/>
          <w:sz w:val="18"/>
          <w:szCs w:val="18"/>
        </w:rPr>
        <w:t>市），加强通信建设与抢修、网络维护、重大抗击疫情单位保障等工作，全力以赴保障通信 和电力畅通，维护通信和电力安全。后续公司将紧跟国家政策，持续加强市场营销和业务拓展，提升市场份额与经营业绩， 减少疫情对公司造成的不良影响。</w:t>
      </w:r>
    </w:p>
    <w:p>
      <w:pPr>
        <w:spacing w:line="240" w:lineRule="auto" w:before="2"/>
        <w:rPr>
          <w:rFonts w:ascii="宋体" w:hAnsi="宋体" w:cs="宋体" w:eastAsia="宋体" w:hint="default"/>
          <w:sz w:val="21"/>
          <w:szCs w:val="21"/>
        </w:rPr>
      </w:pPr>
    </w:p>
    <w:p>
      <w:pPr>
        <w:pStyle w:val="Heading3"/>
        <w:spacing w:line="240" w:lineRule="auto"/>
        <w:ind w:right="1057"/>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2"/>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《润建 </w:t>
            </w:r>
            <w:r>
              <w:rPr>
                <w:rFonts w:ascii="宋体" w:hAnsi="宋体" w:cs="宋体" w:eastAsia="宋体" w:hint="default"/>
                <w:spacing w:val="-5"/>
                <w:sz w:val="18"/>
                <w:szCs w:val="18"/>
              </w:rPr>
              <w:t>通信：</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日投资者关系活 动记录表》</w:t>
            </w:r>
          </w:p>
        </w:tc>
      </w:tr>
    </w:tbl>
    <w:p>
      <w:pPr>
        <w:spacing w:after="0" w:line="300"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067"/>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057"/>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19" w:lineRule="auto" w:before="117"/>
        <w:ind w:left="152" w:right="10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公司根据《关于进一步落实上市公司现金分红有关事项的通知》《上市公司监管指引第</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上市公司现金分红》等法律、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法规、规章及《公司章程》的要求，制定了《上市后三年股东分红回报规划》，并严格执行。</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9"/>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w:t>
      </w:r>
      <w:r>
        <w:rPr>
          <w:rFonts w:ascii="宋体" w:hAnsi="宋体" w:cs="宋体" w:eastAsia="宋体" w:hint="default"/>
          <w:spacing w:val="1"/>
          <w:sz w:val="18"/>
          <w:szCs w:val="18"/>
        </w:rPr>
        <w:t>情</w:t>
      </w:r>
      <w:r>
        <w:rPr>
          <w:rFonts w:ascii="宋体" w:hAnsi="宋体" w:cs="宋体" w:eastAsia="宋体" w:hint="default"/>
          <w:sz w:val="18"/>
          <w:szCs w:val="18"/>
        </w:rPr>
        <w:t>况</w:t>
      </w:r>
    </w:p>
    <w:p>
      <w:pPr>
        <w:spacing w:line="300" w:lineRule="auto" w:before="101"/>
        <w:ind w:left="152" w:right="1057" w:firstLine="28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年度利润分配方案为：以公司总股本</w:t>
      </w:r>
      <w:r>
        <w:rPr>
          <w:rFonts w:ascii="Times New Roman" w:hAnsi="Times New Roman" w:cs="Times New Roman" w:eastAsia="Times New Roman" w:hint="default"/>
          <w:spacing w:val="-2"/>
          <w:sz w:val="18"/>
          <w:szCs w:val="18"/>
        </w:rPr>
        <w:t>220,746,347</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股派发现金红利</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元（含税），共计派</w:t>
      </w:r>
      <w:r>
        <w:rPr>
          <w:rFonts w:ascii="宋体" w:hAnsi="宋体" w:cs="宋体" w:eastAsia="宋体" w:hint="default"/>
          <w:sz w:val="18"/>
          <w:szCs w:val="18"/>
        </w:rPr>
        <w:t> 发现金红利</w:t>
      </w:r>
      <w:r>
        <w:rPr>
          <w:rFonts w:ascii="Times New Roman" w:hAnsi="Times New Roman" w:cs="Times New Roman" w:eastAsia="Times New Roman" w:hint="default"/>
          <w:sz w:val="18"/>
          <w:szCs w:val="18"/>
        </w:rPr>
        <w:t>26,489,561.64</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年度，公司不进行资本公积转增股本。</w:t>
      </w:r>
    </w:p>
    <w:p>
      <w:pPr>
        <w:spacing w:line="300" w:lineRule="auto" w:before="13"/>
        <w:ind w:left="152" w:right="1057" w:firstLine="28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年度利润分配方案为：以公司总股本</w:t>
      </w:r>
      <w:r>
        <w:rPr>
          <w:rFonts w:ascii="Times New Roman" w:hAnsi="Times New Roman" w:cs="Times New Roman" w:eastAsia="Times New Roman" w:hint="default"/>
          <w:spacing w:val="-2"/>
          <w:sz w:val="18"/>
          <w:szCs w:val="18"/>
        </w:rPr>
        <w:t>220,746,347</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股派发现金红利</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元（含税），共计派</w:t>
      </w:r>
      <w:r>
        <w:rPr>
          <w:rFonts w:ascii="宋体" w:hAnsi="宋体" w:cs="宋体" w:eastAsia="宋体" w:hint="default"/>
          <w:sz w:val="18"/>
          <w:szCs w:val="18"/>
        </w:rPr>
        <w:t> 发现金红利</w:t>
      </w:r>
      <w:r>
        <w:rPr>
          <w:rFonts w:ascii="Times New Roman" w:hAnsi="Times New Roman" w:cs="Times New Roman" w:eastAsia="Times New Roman" w:hint="default"/>
          <w:sz w:val="18"/>
          <w:szCs w:val="18"/>
        </w:rPr>
        <w:t>26,489,561.64</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年度，公司不进行资本公积转增股本。</w:t>
      </w:r>
    </w:p>
    <w:p>
      <w:pPr>
        <w:spacing w:line="300" w:lineRule="auto" w:before="13"/>
        <w:ind w:left="152" w:right="1057" w:firstLine="28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年度利润分配方案为：以公司总股本</w:t>
      </w:r>
      <w:r>
        <w:rPr>
          <w:rFonts w:ascii="Times New Roman" w:hAnsi="Times New Roman" w:cs="Times New Roman" w:eastAsia="Times New Roman" w:hint="default"/>
          <w:spacing w:val="-2"/>
          <w:sz w:val="18"/>
          <w:szCs w:val="18"/>
        </w:rPr>
        <w:t>220,746,347</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股派发现金红利</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元（含税），共计派</w:t>
      </w:r>
      <w:r>
        <w:rPr>
          <w:rFonts w:ascii="宋体" w:hAnsi="宋体" w:cs="宋体" w:eastAsia="宋体" w:hint="default"/>
          <w:sz w:val="18"/>
          <w:szCs w:val="18"/>
        </w:rPr>
        <w:t> 发现金红利</w:t>
      </w:r>
      <w:r>
        <w:rPr>
          <w:rFonts w:ascii="Times New Roman" w:hAnsi="Times New Roman" w:cs="Times New Roman" w:eastAsia="Times New Roman" w:hint="default"/>
          <w:sz w:val="18"/>
          <w:szCs w:val="18"/>
        </w:rPr>
        <w:t>26,489,561.64</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年度，公司不进行资本公积转增股本。</w:t>
      </w:r>
    </w:p>
    <w:p>
      <w:pPr>
        <w:spacing w:line="240" w:lineRule="auto" w:before="7"/>
        <w:rPr>
          <w:rFonts w:ascii="宋体" w:hAnsi="宋体" w:cs="宋体" w:eastAsia="宋体" w:hint="default"/>
          <w:sz w:val="24"/>
          <w:szCs w:val="24"/>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3"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26,489,561.64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230,046,221.21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26,489,561.64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11.51%</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26,489,561.64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205,877,713.64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26,489,561.64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12.87%</w:t>
            </w:r>
          </w:p>
        </w:tc>
      </w:tr>
      <w:tr>
        <w:trPr>
          <w:trHeight w:val="40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26,489,561.64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239,400,030.68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26,489,561.64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11.06%</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057"/>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95"/>
        <w:gridCol w:w="5775"/>
      </w:tblGrid>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220,746,347</w:t>
            </w:r>
          </w:p>
        </w:tc>
      </w:tr>
      <w:tr>
        <w:trPr>
          <w:trHeight w:val="40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26,489,561.64</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26,489,561.64</w:t>
            </w:r>
          </w:p>
        </w:tc>
      </w:tr>
      <w:tr>
        <w:trPr>
          <w:trHeight w:val="401"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1,041,581,307.63</w:t>
            </w:r>
          </w:p>
        </w:tc>
      </w:tr>
      <w:tr>
        <w:trPr>
          <w:trHeight w:val="715"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年度以公司总股本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w:t>
            </w:r>
            <w:r>
              <w:rPr>
                <w:rFonts w:ascii="宋体" w:hAnsi="宋体" w:cs="宋体" w:eastAsia="宋体" w:hint="default"/>
                <w:spacing w:val="-3"/>
                <w:sz w:val="18"/>
                <w:szCs w:val="18"/>
              </w:rPr>
              <w:t>东</w:t>
            </w: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，共计派发现金红利</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26,489,561.64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年度，公司不进行资本公积转增股本。</w:t>
            </w:r>
          </w:p>
        </w:tc>
      </w:tr>
    </w:tbl>
    <w:p>
      <w:pPr>
        <w:spacing w:line="240" w:lineRule="auto" w:before="3"/>
        <w:rPr>
          <w:rFonts w:ascii="宋体" w:hAnsi="宋体" w:cs="宋体" w:eastAsia="宋体" w:hint="default"/>
          <w:sz w:val="18"/>
          <w:szCs w:val="18"/>
        </w:rPr>
      </w:pPr>
    </w:p>
    <w:p>
      <w:pPr>
        <w:pStyle w:val="Heading3"/>
        <w:spacing w:line="240" w:lineRule="auto" w:before="26"/>
        <w:ind w:right="1057"/>
        <w:jc w:val="left"/>
        <w:rPr>
          <w:b w:val="0"/>
          <w:bCs w:val="0"/>
        </w:rPr>
      </w:pPr>
      <w:r>
        <w:rPr/>
        <w:t>三、承诺事项履行情况</w:t>
      </w:r>
      <w:r>
        <w:rPr>
          <w:b w:val="0"/>
          <w:bCs w:val="0"/>
        </w:rPr>
      </w:r>
    </w:p>
    <w:p>
      <w:pPr>
        <w:spacing w:line="240" w:lineRule="auto" w:before="7"/>
        <w:rPr>
          <w:rFonts w:ascii="宋体" w:hAnsi="宋体" w:cs="宋体" w:eastAsia="宋体" w:hint="default"/>
          <w:b/>
          <w:bCs/>
          <w:sz w:val="24"/>
          <w:szCs w:val="24"/>
        </w:rPr>
      </w:pPr>
    </w:p>
    <w:p>
      <w:pPr>
        <w:spacing w:line="259" w:lineRule="auto"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36"/>
        <w:gridCol w:w="2269"/>
        <w:gridCol w:w="425"/>
        <w:gridCol w:w="4112"/>
        <w:gridCol w:w="566"/>
        <w:gridCol w:w="566"/>
        <w:gridCol w:w="494"/>
      </w:tblGrid>
      <w:tr>
        <w:trPr>
          <w:trHeight w:val="161"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2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 w:right="24"/>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4" w:hRule="exact"/>
        </w:trPr>
        <w:tc>
          <w:tcPr>
            <w:tcW w:w="1136"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1"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226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73"/>
              <w:ind w:left="23"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广西威克德力投资管理中心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胡永乐</w:t>
            </w:r>
            <w:r>
              <w:rPr>
                <w:rFonts w:ascii="Times New Roman" w:hAnsi="Times New Roman" w:cs="Times New Roman" w:eastAsia="Times New Roman" w:hint="default"/>
                <w:sz w:val="18"/>
                <w:szCs w:val="18"/>
              </w:rPr>
              <w:t>;</w:t>
            </w:r>
            <w:r>
              <w:rPr>
                <w:rFonts w:ascii="宋体" w:hAnsi="宋体" w:cs="宋体" w:eastAsia="宋体" w:hint="default"/>
                <w:sz w:val="18"/>
                <w:szCs w:val="18"/>
              </w:rPr>
              <w:t>蒋鹂北</w:t>
            </w:r>
            <w:r>
              <w:rPr>
                <w:rFonts w:ascii="Times New Roman" w:hAnsi="Times New Roman" w:cs="Times New Roman" w:eastAsia="Times New Roman" w:hint="default"/>
                <w:sz w:val="18"/>
                <w:szCs w:val="18"/>
              </w:rPr>
              <w:t>; </w:t>
            </w:r>
            <w:r>
              <w:rPr>
                <w:rFonts w:ascii="宋体" w:hAnsi="宋体" w:cs="宋体" w:eastAsia="宋体" w:hint="default"/>
                <w:sz w:val="18"/>
                <w:szCs w:val="18"/>
              </w:rPr>
              <w:t>李建国</w:t>
            </w:r>
            <w:r>
              <w:rPr>
                <w:rFonts w:ascii="Times New Roman" w:hAnsi="Times New Roman" w:cs="Times New Roman" w:eastAsia="Times New Roman" w:hint="default"/>
                <w:sz w:val="18"/>
                <w:szCs w:val="18"/>
              </w:rPr>
              <w:t>;</w:t>
            </w:r>
            <w:r>
              <w:rPr>
                <w:rFonts w:ascii="宋体" w:hAnsi="宋体" w:cs="宋体" w:eastAsia="宋体" w:hint="default"/>
                <w:sz w:val="18"/>
                <w:szCs w:val="18"/>
              </w:rPr>
              <w:t>梁姬</w:t>
            </w:r>
            <w:r>
              <w:rPr>
                <w:rFonts w:ascii="Times New Roman" w:hAnsi="Times New Roman" w:cs="Times New Roman" w:eastAsia="Times New Roman" w:hint="default"/>
                <w:sz w:val="18"/>
                <w:szCs w:val="18"/>
              </w:rPr>
              <w:t>;</w:t>
            </w:r>
            <w:r>
              <w:rPr>
                <w:rFonts w:ascii="宋体" w:hAnsi="宋体" w:cs="宋体" w:eastAsia="宋体" w:hint="default"/>
                <w:sz w:val="18"/>
                <w:szCs w:val="18"/>
              </w:rPr>
              <w:t>沈湘平</w:t>
            </w:r>
            <w:r>
              <w:rPr>
                <w:rFonts w:ascii="Times New Roman" w:hAnsi="Times New Roman" w:cs="Times New Roman" w:eastAsia="Times New Roman" w:hint="default"/>
                <w:sz w:val="18"/>
                <w:szCs w:val="18"/>
              </w:rPr>
              <w:t>;</w:t>
            </w:r>
            <w:r>
              <w:rPr>
                <w:rFonts w:ascii="宋体" w:hAnsi="宋体" w:cs="宋体" w:eastAsia="宋体" w:hint="default"/>
                <w:sz w:val="18"/>
                <w:szCs w:val="18"/>
              </w:rPr>
              <w:t>许文杰</w:t>
            </w:r>
            <w:r>
              <w:rPr>
                <w:rFonts w:ascii="Times New Roman" w:hAnsi="Times New Roman" w:cs="Times New Roman" w:eastAsia="Times New Roman" w:hint="default"/>
                <w:sz w:val="18"/>
                <w:szCs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24"/>
              <w:jc w:val="both"/>
              <w:rPr>
                <w:rFonts w:ascii="宋体" w:hAnsi="宋体" w:cs="宋体" w:eastAsia="宋体" w:hint="default"/>
                <w:sz w:val="18"/>
                <w:szCs w:val="18"/>
              </w:rPr>
            </w:pPr>
            <w:r>
              <w:rPr>
                <w:rFonts w:ascii="宋体" w:hAnsi="宋体" w:cs="宋体" w:eastAsia="宋体" w:hint="default"/>
                <w:spacing w:val="-4"/>
                <w:sz w:val="18"/>
                <w:szCs w:val="18"/>
              </w:rPr>
              <w:t>公司实际控制人李建国先生、蒋鹂北女士及其控制的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弘泽熙元、威克德力承诺：自发行人首次公开发行股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3-01</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9.700012pt;margin-top:72.47998pt;width:52.1pt;height:442.9pt;mso-position-horizontal-relative:page;mso-position-vertical-relative:page;z-index:-1234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3"/>
                    <w:ind w:left="0" w:right="139" w:firstLine="0"/>
                    <w:jc w:val="center"/>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29.820007pt;margin-top:515.829956pt;width:52pt;height:251.7pt;mso-position-horizontal-relative:page;mso-position-vertical-relative:page;z-index:-1234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投资、</w:t>
                  </w:r>
                </w:p>
              </w:txbxContent>
            </v:textbox>
            <w10:wrap type="none"/>
          </v:shape>
        </w:pict>
      </w:r>
      <w:r>
        <w:rPr/>
        <w:pict>
          <v:group style="position:absolute;margin-left:453.940002pt;margin-top:72.475983pt;width:27.85pt;height:695.05pt;mso-position-horizontal-relative:page;mso-position-vertical-relative:page;z-index:-1234600" coordorigin="9079,1450" coordsize="557,13901">
            <v:group style="position:absolute;left:9079;top:1450;width:557;height:8858" coordorigin="9079,1450" coordsize="557,8858">
              <v:shape style="position:absolute;left:9079;top:1450;width:557;height:8858" coordorigin="9079,1450" coordsize="557,8858" path="m9079,10307l9636,10307,9636,1450,9079,1450,9079,10307xe" filled="true" fillcolor="#ffffff" stroked="false">
                <v:path arrowok="t"/>
                <v:fill type="solid"/>
              </v:shape>
            </v:group>
            <v:group style="position:absolute;left:9103;top:1450;width:512;height:354" coordorigin="9103,1450" coordsize="512,354">
              <v:shape style="position:absolute;left:9103;top:1450;width:512;height:354" coordorigin="9103,1450" coordsize="512,354" path="m9103,1803l9614,1803,9614,1450,9103,1450,9103,1803xe" filled="true" fillcolor="#ffffff" stroked="false">
                <v:path arrowok="t"/>
                <v:fill type="solid"/>
              </v:shape>
            </v:group>
            <v:group style="position:absolute;left:9079;top:10317;width:557;height:5034" coordorigin="9079,10317" coordsize="557,5034">
              <v:shape style="position:absolute;left:9079;top:10317;width:557;height:5034" coordorigin="9079,10317" coordsize="557,5034" path="m9079,15350l9636,15350,9636,10317,9079,10317,9079,15350xe" filled="true" fillcolor="#ffffff" stroked="false">
                <v:path arrowok="t"/>
                <v:fill type="solid"/>
              </v:shape>
            </v:group>
            <v:group style="position:absolute;left:9103;top:12170;width:512;height:353" coordorigin="9103,12170" coordsize="512,353">
              <v:shape style="position:absolute;left:9103;top:12170;width:512;height:353" coordorigin="9103,12170" coordsize="512,353" path="m9103,12523l9614,12523,9614,12170,9103,12170,9103,12523xe" filled="true" fillcolor="#ffffff" stroked="false">
                <v:path arrowok="t"/>
                <v:fill type="solid"/>
              </v:shape>
            </v:group>
            <v:group style="position:absolute;left:9103;top:12523;width:512;height:312" coordorigin="9103,12523" coordsize="512,312">
              <v:shape style="position:absolute;left:9103;top:12523;width:512;height:312" coordorigin="9103,12523" coordsize="512,312" path="m9103,12835l9614,12835,9614,12523,9103,12523,9103,12835xe" filled="true" fillcolor="#ffffff" stroked="false">
                <v:path arrowok="t"/>
                <v:fill type="solid"/>
              </v:shape>
            </v:group>
            <v:group style="position:absolute;left:9103;top:12835;width:512;height:312" coordorigin="9103,12835" coordsize="512,312">
              <v:shape style="position:absolute;left:9103;top:12835;width:512;height:312" coordorigin="9103,12835" coordsize="512,312" path="m9103,13147l9614,13147,9614,12835,9103,12835,9103,13147xe" filled="true" fillcolor="#ffffff" stroked="false">
                <v:path arrowok="t"/>
                <v:fill type="solid"/>
              </v:shape>
            </v:group>
            <v:group style="position:absolute;left:9103;top:13147;width:512;height:351" coordorigin="9103,13147" coordsize="512,351">
              <v:shape style="position:absolute;left:9103;top:13147;width:512;height:351" coordorigin="9103,13147" coordsize="512,351" path="m9103,13497l9614,13497,9614,13147,9103,13147,9103,13497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4"/>
      </w:tblGrid>
      <w:tr>
        <w:trPr>
          <w:trHeight w:val="31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珠海弘泽熙元投资管理中心</w:t>
            </w:r>
          </w:p>
        </w:tc>
        <w:tc>
          <w:tcPr>
            <w:tcW w:w="425"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其本次发行前直接或间接持有的发行人股份</w:t>
            </w:r>
            <w:r>
              <w:rPr>
                <w:rFonts w:ascii="宋体" w:hAnsi="宋体" w:cs="宋体" w:eastAsia="宋体" w:hint="default"/>
                <w:spacing w:val="-87"/>
                <w:sz w:val="18"/>
                <w:szCs w:val="18"/>
              </w:rPr>
              <w:t>，</w:t>
            </w:r>
            <w:r>
              <w:rPr>
                <w:rFonts w:ascii="宋体" w:hAnsi="宋体" w:cs="宋体" w:eastAsia="宋体" w:hint="default"/>
                <w:sz w:val="18"/>
                <w:szCs w:val="18"/>
              </w:rPr>
              <w:t>也不由</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发行人回购该等股份。发行人上市后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个月内，如发</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行人股票连续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个月期末收盘</w:t>
            </w:r>
            <w:r>
              <w:rPr>
                <w:rFonts w:ascii="宋体" w:hAnsi="宋体" w:cs="宋体" w:eastAsia="宋体" w:hint="default"/>
                <w:spacing w:val="-3"/>
                <w:sz w:val="18"/>
                <w:szCs w:val="18"/>
              </w:rPr>
              <w:t>价</w:t>
            </w:r>
            <w:r>
              <w:rPr>
                <w:rFonts w:ascii="宋体" w:hAnsi="宋体" w:cs="宋体" w:eastAsia="宋体" w:hint="default"/>
                <w:sz w:val="18"/>
                <w:szCs w:val="18"/>
              </w:rPr>
              <w:t>低于发行价</w:t>
            </w:r>
            <w:r>
              <w:rPr>
                <w:rFonts w:ascii="宋体" w:hAnsi="宋体" w:cs="宋体" w:eastAsia="宋体" w:hint="default"/>
                <w:spacing w:val="-87"/>
                <w:sz w:val="18"/>
                <w:szCs w:val="18"/>
              </w:rPr>
              <w:t>，</w:t>
            </w:r>
            <w:r>
              <w:rPr>
                <w:rFonts w:ascii="宋体" w:hAnsi="宋体" w:cs="宋体" w:eastAsia="宋体" w:hint="default"/>
                <w:sz w:val="18"/>
                <w:szCs w:val="18"/>
              </w:rPr>
              <w:t>其直接或</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间接持有发行人股票的锁定期限自动延长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6"/>
                <w:sz w:val="18"/>
                <w:szCs w:val="18"/>
              </w:rPr>
              <w:t>月</w:t>
            </w:r>
            <w:r>
              <w:rPr>
                <w:rFonts w:ascii="宋体" w:hAnsi="宋体" w:cs="宋体" w:eastAsia="宋体" w:hint="default"/>
                <w:sz w:val="18"/>
                <w:szCs w:val="18"/>
              </w:rPr>
              <w:t>（若</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上述期间公司发生派发股利、送红股、转增股本、增</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发新股或配股等除息、除权行为的，则上述价格将进</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行相应调整</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公司董事</w:t>
            </w:r>
            <w:r>
              <w:rPr>
                <w:rFonts w:ascii="宋体" w:hAnsi="宋体" w:cs="宋体" w:eastAsia="宋体" w:hint="default"/>
                <w:spacing w:val="-89"/>
                <w:sz w:val="18"/>
                <w:szCs w:val="18"/>
              </w:rPr>
              <w:t>、</w:t>
            </w:r>
            <w:r>
              <w:rPr>
                <w:rFonts w:ascii="宋体" w:hAnsi="宋体" w:cs="宋体" w:eastAsia="宋体" w:hint="default"/>
                <w:sz w:val="18"/>
                <w:szCs w:val="18"/>
              </w:rPr>
              <w:t>高级管理人员许文杰先生</w:t>
            </w:r>
            <w:r>
              <w:rPr>
                <w:rFonts w:ascii="宋体" w:hAnsi="宋体" w:cs="宋体" w:eastAsia="宋体" w:hint="default"/>
                <w:spacing w:val="-89"/>
                <w:sz w:val="18"/>
                <w:szCs w:val="18"/>
              </w:rPr>
              <w:t>、</w:t>
            </w:r>
            <w:r>
              <w:rPr>
                <w:rFonts w:ascii="宋体" w:hAnsi="宋体" w:cs="宋体" w:eastAsia="宋体" w:hint="default"/>
                <w:sz w:val="18"/>
                <w:szCs w:val="18"/>
              </w:rPr>
              <w:t>梁姬女士</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自发行人首次公开发行股票上市之日起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不转让或者委托他人管理其本次发行前通过威克德</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力间接持有的发行人股份</w:t>
            </w:r>
            <w:r>
              <w:rPr>
                <w:rFonts w:ascii="宋体" w:hAnsi="宋体" w:cs="宋体" w:eastAsia="宋体" w:hint="default"/>
                <w:spacing w:val="-87"/>
                <w:sz w:val="18"/>
                <w:szCs w:val="18"/>
              </w:rPr>
              <w:t>，</w:t>
            </w:r>
            <w:r>
              <w:rPr>
                <w:rFonts w:ascii="宋体" w:hAnsi="宋体" w:cs="宋体" w:eastAsia="宋体" w:hint="default"/>
                <w:sz w:val="18"/>
                <w:szCs w:val="18"/>
              </w:rPr>
              <w:t>也不由发行人回购该等股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份。发行人上市后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个月内，如发行人股票连续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个交易日的收盘价均低于发行价</w:t>
            </w:r>
            <w:r>
              <w:rPr>
                <w:rFonts w:ascii="宋体" w:hAnsi="宋体" w:cs="宋体" w:eastAsia="宋体" w:hint="default"/>
                <w:spacing w:val="-87"/>
                <w:sz w:val="18"/>
                <w:szCs w:val="18"/>
              </w:rPr>
              <w:t>，</w:t>
            </w:r>
            <w:r>
              <w:rPr>
                <w:rFonts w:ascii="宋体" w:hAnsi="宋体" w:cs="宋体" w:eastAsia="宋体" w:hint="default"/>
                <w:sz w:val="18"/>
                <w:szCs w:val="18"/>
              </w:rPr>
              <w:t>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期末收盘价低于发行价</w:t>
            </w:r>
            <w:r>
              <w:rPr>
                <w:rFonts w:ascii="宋体" w:hAnsi="宋体" w:cs="宋体" w:eastAsia="宋体" w:hint="default"/>
                <w:spacing w:val="-87"/>
                <w:sz w:val="18"/>
                <w:szCs w:val="18"/>
              </w:rPr>
              <w:t>，</w:t>
            </w:r>
            <w:r>
              <w:rPr>
                <w:rFonts w:ascii="宋体" w:hAnsi="宋体" w:cs="宋体" w:eastAsia="宋体" w:hint="default"/>
                <w:sz w:val="18"/>
                <w:szCs w:val="18"/>
              </w:rPr>
              <w:t>其直接或间接持有发行人股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7"/>
                <w:sz w:val="18"/>
                <w:szCs w:val="18"/>
              </w:rPr>
              <w:t>月</w:t>
            </w:r>
            <w:r>
              <w:rPr>
                <w:rFonts w:ascii="宋体" w:hAnsi="宋体" w:cs="宋体" w:eastAsia="宋体" w:hint="default"/>
                <w:spacing w:val="-3"/>
                <w:sz w:val="18"/>
                <w:szCs w:val="18"/>
              </w:rPr>
              <w:t>（</w:t>
            </w:r>
            <w:r>
              <w:rPr>
                <w:rFonts w:ascii="宋体" w:hAnsi="宋体" w:cs="宋体" w:eastAsia="宋体" w:hint="default"/>
                <w:sz w:val="18"/>
                <w:szCs w:val="18"/>
              </w:rPr>
              <w:t>若上述期间公司发生</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派发股利、送红股、转增股本、增发新股或配股等除</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息、除权行为的，则上述价格将进行相应调整</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公司董事、高级管理人员沈湘平先生、胡永乐先生承</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诺：自发行人首次公开发行股票上市之日起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87"/>
                <w:sz w:val="18"/>
                <w:szCs w:val="18"/>
              </w:rPr>
              <w:t>，</w:t>
            </w:r>
            <w:r>
              <w:rPr>
                <w:rFonts w:ascii="宋体" w:hAnsi="宋体" w:cs="宋体" w:eastAsia="宋体" w:hint="default"/>
                <w:sz w:val="18"/>
                <w:szCs w:val="18"/>
              </w:rPr>
              <w:t>不转让或者委托他人管理其本次发行前通过威克</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德力间接持有的发行人股份</w:t>
            </w:r>
            <w:r>
              <w:rPr>
                <w:rFonts w:ascii="宋体" w:hAnsi="宋体" w:cs="宋体" w:eastAsia="宋体" w:hint="default"/>
                <w:spacing w:val="-87"/>
                <w:sz w:val="18"/>
                <w:szCs w:val="18"/>
              </w:rPr>
              <w:t>，</w:t>
            </w:r>
            <w:r>
              <w:rPr>
                <w:rFonts w:ascii="宋体" w:hAnsi="宋体" w:cs="宋体" w:eastAsia="宋体" w:hint="default"/>
                <w:sz w:val="18"/>
                <w:szCs w:val="18"/>
              </w:rPr>
              <w:t>也不由发行人回购该等</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股份。发行人上市后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个月内，如发行人股票连续</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个月期末收盘价低于发行价</w:t>
            </w:r>
            <w:r>
              <w:rPr>
                <w:rFonts w:ascii="宋体" w:hAnsi="宋体" w:cs="宋体" w:eastAsia="宋体" w:hint="default"/>
                <w:spacing w:val="-87"/>
                <w:sz w:val="18"/>
                <w:szCs w:val="18"/>
              </w:rPr>
              <w:t>，</w:t>
            </w:r>
            <w:r>
              <w:rPr>
                <w:rFonts w:ascii="宋体" w:hAnsi="宋体" w:cs="宋体" w:eastAsia="宋体" w:hint="default"/>
                <w:sz w:val="18"/>
                <w:szCs w:val="18"/>
              </w:rPr>
              <w:t>其直接或间接持有</w:t>
            </w:r>
            <w:r>
              <w:rPr>
                <w:rFonts w:ascii="宋体" w:hAnsi="宋体" w:cs="宋体" w:eastAsia="宋体" w:hint="default"/>
                <w:spacing w:val="1"/>
                <w:sz w:val="18"/>
                <w:szCs w:val="18"/>
              </w:rPr>
              <w:t>发</w:t>
            </w:r>
            <w:r>
              <w:rPr>
                <w:rFonts w:ascii="宋体" w:hAnsi="宋体" w:cs="宋体" w:eastAsia="宋体" w:hint="default"/>
                <w:sz w:val="18"/>
                <w:szCs w:val="18"/>
              </w:rPr>
              <w:t>行</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7"/>
                <w:sz w:val="18"/>
                <w:szCs w:val="18"/>
              </w:rPr>
              <w:t>月</w:t>
            </w:r>
            <w:r>
              <w:rPr>
                <w:rFonts w:ascii="宋体" w:hAnsi="宋体" w:cs="宋体" w:eastAsia="宋体" w:hint="default"/>
                <w:sz w:val="18"/>
                <w:szCs w:val="18"/>
              </w:rPr>
              <w:t>（若上述期间公司</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发生派发股利、送红股、转增股本、增发新股或配股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等除息、除权行为的，则上述价格将进行相应调整）</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363" w:hRule="exact"/>
        </w:trPr>
        <w:tc>
          <w:tcPr>
            <w:tcW w:w="1134" w:type="dxa"/>
            <w:vMerge/>
            <w:tcBorders>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鲍惠忠</w:t>
            </w:r>
            <w:r>
              <w:rPr>
                <w:rFonts w:ascii="Times New Roman" w:hAnsi="Times New Roman" w:cs="Times New Roman" w:eastAsia="Times New Roman" w:hint="default"/>
                <w:sz w:val="18"/>
                <w:szCs w:val="18"/>
              </w:rPr>
              <w:t>;</w:t>
            </w:r>
            <w:r>
              <w:rPr>
                <w:rFonts w:ascii="宋体" w:hAnsi="宋体" w:cs="宋体" w:eastAsia="宋体" w:hint="default"/>
                <w:sz w:val="18"/>
                <w:szCs w:val="18"/>
              </w:rPr>
              <w:t>北京德丰杰复华创业</w:t>
            </w:r>
          </w:p>
        </w:tc>
        <w:tc>
          <w:tcPr>
            <w:tcW w:w="425"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160" w:lineRule="exact"/>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149"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投资基金管理中心（有限合</w:t>
            </w: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750"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304"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北京德丰杰龙脉投资基 金管理中心（有限合伙）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北 京汇金嘉业投资有限公司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陈 晨</w:t>
            </w:r>
            <w:r>
              <w:rPr>
                <w:rFonts w:ascii="Times New Roman" w:hAnsi="Times New Roman" w:cs="Times New Roman" w:eastAsia="Times New Roman" w:hint="default"/>
                <w:sz w:val="18"/>
                <w:szCs w:val="18"/>
              </w:rPr>
              <w:t>;</w:t>
            </w:r>
            <w:r>
              <w:rPr>
                <w:rFonts w:ascii="宋体" w:hAnsi="宋体" w:cs="宋体" w:eastAsia="宋体" w:hint="default"/>
                <w:sz w:val="18"/>
                <w:szCs w:val="18"/>
              </w:rPr>
              <w:t>关学忠</w:t>
            </w:r>
            <w:r>
              <w:rPr>
                <w:rFonts w:ascii="Times New Roman" w:hAnsi="Times New Roman" w:cs="Times New Roman" w:eastAsia="Times New Roman" w:hint="default"/>
                <w:sz w:val="18"/>
                <w:szCs w:val="18"/>
              </w:rPr>
              <w:t>;</w:t>
            </w:r>
            <w:r>
              <w:rPr>
                <w:rFonts w:ascii="宋体" w:hAnsi="宋体" w:cs="宋体" w:eastAsia="宋体" w:hint="default"/>
                <w:sz w:val="18"/>
                <w:szCs w:val="18"/>
              </w:rPr>
              <w:t>广东广垦太证现 代农业股权投资基金（有限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广西盛欧投资管理中 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海通（吉林） 现代服务业创业投资基金合 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吉林省 现代农业和新兴产业投资基 金有限公司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李喜跃</w:t>
            </w:r>
            <w:r>
              <w:rPr>
                <w:rFonts w:ascii="Times New Roman" w:hAnsi="Times New Roman" w:cs="Times New Roman" w:eastAsia="Times New Roman" w:hint="default"/>
                <w:sz w:val="18"/>
                <w:szCs w:val="18"/>
              </w:rPr>
              <w:t>;</w:t>
            </w:r>
            <w:r>
              <w:rPr>
                <w:rFonts w:ascii="宋体" w:hAnsi="宋体" w:cs="宋体" w:eastAsia="宋体" w:hint="default"/>
                <w:sz w:val="18"/>
                <w:szCs w:val="18"/>
              </w:rPr>
              <w:t>李孝先</w:t>
            </w:r>
            <w:r>
              <w:rPr>
                <w:rFonts w:ascii="Times New Roman" w:hAnsi="Times New Roman" w:cs="Times New Roman" w:eastAsia="Times New Roman" w:hint="default"/>
                <w:sz w:val="18"/>
                <w:szCs w:val="18"/>
              </w:rPr>
              <w:t>; </w:t>
            </w:r>
            <w:r>
              <w:rPr>
                <w:rFonts w:ascii="宋体" w:hAnsi="宋体" w:cs="宋体" w:eastAsia="宋体" w:hint="default"/>
                <w:sz w:val="18"/>
                <w:szCs w:val="18"/>
              </w:rPr>
              <w:t>梁荣</w:t>
            </w:r>
            <w:r>
              <w:rPr>
                <w:rFonts w:ascii="Times New Roman" w:hAnsi="Times New Roman" w:cs="Times New Roman" w:eastAsia="Times New Roman" w:hint="default"/>
                <w:sz w:val="18"/>
                <w:szCs w:val="18"/>
              </w:rPr>
              <w:t>;</w:t>
            </w:r>
            <w:r>
              <w:rPr>
                <w:rFonts w:ascii="宋体" w:hAnsi="宋体" w:cs="宋体" w:eastAsia="宋体" w:hint="default"/>
                <w:sz w:val="18"/>
                <w:szCs w:val="18"/>
              </w:rPr>
              <w:t>吕虹</w:t>
            </w:r>
            <w:r>
              <w:rPr>
                <w:rFonts w:ascii="Times New Roman" w:hAnsi="Times New Roman" w:cs="Times New Roman" w:eastAsia="Times New Roman" w:hint="default"/>
                <w:sz w:val="18"/>
                <w:szCs w:val="18"/>
              </w:rPr>
              <w:t>;</w:t>
            </w:r>
            <w:r>
              <w:rPr>
                <w:rFonts w:ascii="宋体" w:hAnsi="宋体" w:cs="宋体" w:eastAsia="宋体" w:hint="default"/>
                <w:sz w:val="18"/>
                <w:szCs w:val="18"/>
              </w:rPr>
              <w:t>上海胜道股权投</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23"/>
              <w:jc w:val="left"/>
              <w:rPr>
                <w:rFonts w:ascii="宋体" w:hAnsi="宋体" w:cs="宋体" w:eastAsia="宋体" w:hint="default"/>
                <w:sz w:val="18"/>
                <w:szCs w:val="18"/>
              </w:rPr>
            </w:pPr>
            <w:r>
              <w:rPr>
                <w:rFonts w:ascii="宋体" w:hAnsi="宋体" w:cs="宋体" w:eastAsia="宋体" w:hint="default"/>
                <w:spacing w:val="-4"/>
                <w:sz w:val="18"/>
                <w:szCs w:val="18"/>
              </w:rPr>
              <w:t>公司股东盛欧投资、西江投资、鑫宏图投资、太证资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本、广垦太证、吉林省投资基金、海通创投、汇金嘉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业、德丰杰复华、德丰杰龙脉、展瑞新富、胜道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众安投资、郑志树先生、张红波女士、张民先生、郑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品玉女士、谢新仓先生、李孝先女士、鲍惠忠先生 </w:t>
            </w:r>
            <w:r>
              <w:rPr>
                <w:rFonts w:ascii="宋体" w:hAnsi="宋体" w:cs="宋体" w:eastAsia="宋体" w:hint="default"/>
                <w:spacing w:val="-4"/>
                <w:sz w:val="18"/>
                <w:szCs w:val="18"/>
              </w:rPr>
              <w:t>郑剑雄先生、梁荣女士、吕虹女士、陈晨女士、朱登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煌先生、魏荣恒先生、易丽女士、李喜跃女士、关学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忠先生、田萍女士承诺：自发行人首次公开发行股票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个月内，不转让或者委托他人管理其 </w:t>
            </w:r>
            <w:r>
              <w:rPr>
                <w:rFonts w:ascii="宋体" w:hAnsi="宋体" w:cs="宋体" w:eastAsia="宋体" w:hint="default"/>
                <w:spacing w:val="-4"/>
                <w:sz w:val="18"/>
                <w:szCs w:val="18"/>
              </w:rPr>
              <w:t>本次发行前直接或间接持有的发行人股份，也不由发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行人回购该等股份。</w:t>
            </w:r>
          </w:p>
        </w:tc>
        <w:tc>
          <w:tcPr>
            <w:tcW w:w="566" w:type="dxa"/>
            <w:vMerge/>
            <w:tcBorders>
              <w:left w:val="single" w:sz="4" w:space="0" w:color="000000"/>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3-01</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资管理企业（有限合伙）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海展瑞新富股权投资基金管</w:t>
            </w:r>
          </w:p>
        </w:tc>
        <w:tc>
          <w:tcPr>
            <w:tcW w:w="425"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3.673004pt;margin-top:199.829987pt;width:88.15pt;height:160pt;mso-position-horizontal-relative:page;mso-position-vertical-relative:page;z-index:-12345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梁姬女士承诺：</w:t>
                  </w:r>
                </w:p>
              </w:txbxContent>
            </v:textbox>
            <w10:wrap type="none"/>
          </v:shape>
        </w:pict>
      </w:r>
      <w:r>
        <w:rPr/>
        <w:pict>
          <v:group style="position:absolute;margin-left:453.940002pt;margin-top:199.829987pt;width:27.85pt;height:434.25pt;mso-position-horizontal-relative:page;mso-position-vertical-relative:page;z-index:-1234552" coordorigin="9079,3997" coordsize="557,8685">
            <v:group style="position:absolute;left:9079;top:3997;width:557;height:3200" coordorigin="9079,3997" coordsize="557,3200">
              <v:shape style="position:absolute;left:9079;top:3997;width:557;height:3200" coordorigin="9079,3997" coordsize="557,3200" path="m9079,7196l9636,7196,9636,3997,9079,3997,9079,7196xe" filled="true" fillcolor="#ffffff" stroked="false">
                <v:path arrowok="t"/>
                <v:fill type="solid"/>
              </v:shape>
            </v:group>
            <v:group style="position:absolute;left:9103;top:4933;width:512;height:354" coordorigin="9103,4933" coordsize="512,354">
              <v:shape style="position:absolute;left:9103;top:4933;width:512;height:354" coordorigin="9103,4933" coordsize="512,354" path="m9103,5286l9614,5286,9614,4933,9103,4933,9103,5286xe" filled="true" fillcolor="#ffffff" stroked="false">
                <v:path arrowok="t"/>
                <v:fill type="solid"/>
              </v:shape>
            </v:group>
            <v:group style="position:absolute;left:9103;top:5286;width:512;height:312" coordorigin="9103,5286" coordsize="512,312">
              <v:shape style="position:absolute;left:9103;top:5286;width:512;height:312" coordorigin="9103,5286" coordsize="512,312" path="m9103,5598l9614,5598,9614,5286,9103,5286,9103,5598xe" filled="true" fillcolor="#ffffff" stroked="false">
                <v:path arrowok="t"/>
                <v:fill type="solid"/>
              </v:shape>
            </v:group>
            <v:group style="position:absolute;left:9103;top:5598;width:512;height:312" coordorigin="9103,5598" coordsize="512,312">
              <v:shape style="position:absolute;left:9103;top:5598;width:512;height:312" coordorigin="9103,5598" coordsize="512,312" path="m9103,5910l9614,5910,9614,5598,9103,5598,9103,5910xe" filled="true" fillcolor="#ffffff" stroked="false">
                <v:path arrowok="t"/>
                <v:fill type="solid"/>
              </v:shape>
            </v:group>
            <v:group style="position:absolute;left:9103;top:5910;width:512;height:351" coordorigin="9103,5910" coordsize="512,351">
              <v:shape style="position:absolute;left:9103;top:5910;width:512;height:351" coordorigin="9103,5910" coordsize="512,351" path="m9103,6260l9614,6260,9614,5910,9103,5910,9103,6260xe" filled="true" fillcolor="#ffffff" stroked="false">
                <v:path arrowok="t"/>
                <v:fill type="solid"/>
              </v:shape>
            </v:group>
            <v:group style="position:absolute;left:9079;top:7206;width:557;height:2266" coordorigin="9079,7206" coordsize="557,2266">
              <v:shape style="position:absolute;left:9079;top:7206;width:557;height:2266" coordorigin="9079,7206" coordsize="557,2266" path="m9079,9472l9636,9472,9636,7206,9079,7206,9079,9472xe" filled="true" fillcolor="#ffffff" stroked="false">
                <v:path arrowok="t"/>
                <v:fill type="solid"/>
              </v:shape>
            </v:group>
            <v:group style="position:absolute;left:9103;top:7674;width:512;height:353" coordorigin="9103,7674" coordsize="512,353">
              <v:shape style="position:absolute;left:9103;top:7674;width:512;height:353" coordorigin="9103,7674" coordsize="512,353" path="m9103,8027l9614,8027,9614,7674,9103,7674,9103,8027xe" filled="true" fillcolor="#ffffff" stroked="false">
                <v:path arrowok="t"/>
                <v:fill type="solid"/>
              </v:shape>
            </v:group>
            <v:group style="position:absolute;left:9103;top:8027;width:512;height:313" coordorigin="9103,8027" coordsize="512,313">
              <v:shape style="position:absolute;left:9103;top:8027;width:512;height:313" coordorigin="9103,8027" coordsize="512,313" path="m9103,8339l9614,8339,9614,8027,9103,8027,9103,8339xe" filled="true" fillcolor="#ffffff" stroked="false">
                <v:path arrowok="t"/>
                <v:fill type="solid"/>
              </v:shape>
            </v:group>
            <v:group style="position:absolute;left:9103;top:8339;width:512;height:312" coordorigin="9103,8339" coordsize="512,312">
              <v:shape style="position:absolute;left:9103;top:8339;width:512;height:312" coordorigin="9103,8339" coordsize="512,312" path="m9103,8651l9614,8651,9614,8339,9103,8339,9103,8651xe" filled="true" fillcolor="#ffffff" stroked="false">
                <v:path arrowok="t"/>
                <v:fill type="solid"/>
              </v:shape>
            </v:group>
            <v:group style="position:absolute;left:9103;top:8651;width:512;height:353" coordorigin="9103,8651" coordsize="512,353">
              <v:shape style="position:absolute;left:9103;top:8651;width:512;height:353" coordorigin="9103,8651" coordsize="512,353" path="m9103,9004l9614,9004,9614,8651,9103,8651,9103,9004xe" filled="true" fillcolor="#ffffff" stroked="false">
                <v:path arrowok="t"/>
                <v:fill type="solid"/>
              </v:shape>
            </v:group>
            <v:group style="position:absolute;left:9079;top:9482;width:557;height:3200" coordorigin="9079,9482" coordsize="557,3200">
              <v:shape style="position:absolute;left:9079;top:9482;width:557;height:3200" coordorigin="9079,9482" coordsize="557,3200" path="m9079,12681l9636,12681,9636,9482,9079,9482,9079,12681xe" filled="true" fillcolor="#ffffff" stroked="false">
                <v:path arrowok="t"/>
                <v:fill type="solid"/>
              </v:shape>
            </v:group>
            <v:group style="position:absolute;left:9103;top:10417;width:512;height:353" coordorigin="9103,10417" coordsize="512,353">
              <v:shape style="position:absolute;left:9103;top:10417;width:512;height:353" coordorigin="9103,10417" coordsize="512,353" path="m9103,10770l9614,10770,9614,10417,9103,10417,9103,10770xe" filled="true" fillcolor="#ffffff" stroked="false">
                <v:path arrowok="t"/>
                <v:fill type="solid"/>
              </v:shape>
            </v:group>
            <v:group style="position:absolute;left:9103;top:10770;width:512;height:312" coordorigin="9103,10770" coordsize="512,312">
              <v:shape style="position:absolute;left:9103;top:10770;width:512;height:312" coordorigin="9103,10770" coordsize="512,312" path="m9103,11082l9614,11082,9614,10770,9103,10770,9103,11082xe" filled="true" fillcolor="#ffffff" stroked="false">
                <v:path arrowok="t"/>
                <v:fill type="solid"/>
              </v:shape>
            </v:group>
            <v:group style="position:absolute;left:9103;top:11082;width:512;height:312" coordorigin="9103,11082" coordsize="512,312">
              <v:shape style="position:absolute;left:9103;top:11082;width:512;height:312" coordorigin="9103,11082" coordsize="512,312" path="m9103,11394l9614,11394,9614,11082,9103,11082,9103,11394xe" filled="true" fillcolor="#ffffff" stroked="false">
                <v:path arrowok="t"/>
                <v:fill type="solid"/>
              </v:shape>
            </v:group>
            <v:group style="position:absolute;left:9103;top:11394;width:512;height:351" coordorigin="9103,11394" coordsize="512,351">
              <v:shape style="position:absolute;left:9103;top:11394;width:512;height:351" coordorigin="9103,11394" coordsize="512,351" path="m9103,11745l9614,11745,9614,11394,9103,11394,9103,11745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7"/>
      </w:tblGrid>
      <w:tr>
        <w:trPr>
          <w:trHeight w:val="254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太证资本管理有 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田萍</w:t>
            </w:r>
            <w:r>
              <w:rPr>
                <w:rFonts w:ascii="Times New Roman" w:hAnsi="Times New Roman" w:cs="Times New Roman" w:eastAsia="Times New Roman" w:hint="default"/>
                <w:sz w:val="18"/>
                <w:szCs w:val="18"/>
              </w:rPr>
              <w:t>;</w:t>
            </w:r>
            <w:r>
              <w:rPr>
                <w:rFonts w:ascii="宋体" w:hAnsi="宋体" w:cs="宋体" w:eastAsia="宋体" w:hint="default"/>
                <w:sz w:val="18"/>
                <w:szCs w:val="18"/>
              </w:rPr>
              <w:t>魏荣恒</w:t>
            </w:r>
            <w:r>
              <w:rPr>
                <w:rFonts w:ascii="Times New Roman" w:hAnsi="Times New Roman" w:cs="Times New Roman" w:eastAsia="Times New Roman" w:hint="default"/>
                <w:sz w:val="18"/>
                <w:szCs w:val="18"/>
              </w:rPr>
              <w:t>;</w:t>
            </w:r>
            <w:r>
              <w:rPr>
                <w:rFonts w:ascii="宋体" w:hAnsi="宋体" w:cs="宋体" w:eastAsia="宋体" w:hint="default"/>
                <w:sz w:val="18"/>
                <w:szCs w:val="18"/>
              </w:rPr>
              <w:t>谢 新仓</w:t>
            </w:r>
            <w:r>
              <w:rPr>
                <w:rFonts w:ascii="Times New Roman" w:hAnsi="Times New Roman" w:cs="Times New Roman" w:eastAsia="Times New Roman" w:hint="default"/>
                <w:sz w:val="18"/>
                <w:szCs w:val="18"/>
              </w:rPr>
              <w:t>;</w:t>
            </w:r>
            <w:r>
              <w:rPr>
                <w:rFonts w:ascii="宋体" w:hAnsi="宋体" w:cs="宋体" w:eastAsia="宋体" w:hint="default"/>
                <w:sz w:val="18"/>
                <w:szCs w:val="18"/>
              </w:rPr>
              <w:t>新余市鑫宏图投资中心</w:t>
            </w:r>
          </w:p>
          <w:p>
            <w:pPr>
              <w:pStyle w:val="TableParagraph"/>
              <w:spacing w:line="304" w:lineRule="auto" w:before="13"/>
              <w:ind w:left="23" w:right="51"/>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易丽</w:t>
            </w:r>
            <w:r>
              <w:rPr>
                <w:rFonts w:ascii="Times New Roman" w:hAnsi="Times New Roman" w:cs="Times New Roman" w:eastAsia="Times New Roman" w:hint="default"/>
                <w:sz w:val="18"/>
                <w:szCs w:val="18"/>
              </w:rPr>
              <w:t>;</w:t>
            </w:r>
            <w:r>
              <w:rPr>
                <w:rFonts w:ascii="宋体" w:hAnsi="宋体" w:cs="宋体" w:eastAsia="宋体" w:hint="default"/>
                <w:sz w:val="18"/>
                <w:szCs w:val="18"/>
              </w:rPr>
              <w:t>张红波</w:t>
            </w:r>
            <w:r>
              <w:rPr>
                <w:rFonts w:ascii="Times New Roman" w:hAnsi="Times New Roman" w:cs="Times New Roman" w:eastAsia="Times New Roman" w:hint="default"/>
                <w:sz w:val="18"/>
                <w:szCs w:val="18"/>
              </w:rPr>
              <w:t>; </w:t>
            </w:r>
            <w:r>
              <w:rPr>
                <w:rFonts w:ascii="宋体" w:hAnsi="宋体" w:cs="宋体" w:eastAsia="宋体" w:hint="default"/>
                <w:sz w:val="18"/>
                <w:szCs w:val="18"/>
              </w:rPr>
              <w:t>张民</w:t>
            </w:r>
            <w:r>
              <w:rPr>
                <w:rFonts w:ascii="Times New Roman" w:hAnsi="Times New Roman" w:cs="Times New Roman" w:eastAsia="Times New Roman" w:hint="default"/>
                <w:sz w:val="18"/>
                <w:szCs w:val="18"/>
              </w:rPr>
              <w:t>;</w:t>
            </w:r>
            <w:r>
              <w:rPr>
                <w:rFonts w:ascii="宋体" w:hAnsi="宋体" w:cs="宋体" w:eastAsia="宋体" w:hint="default"/>
                <w:sz w:val="18"/>
                <w:szCs w:val="18"/>
              </w:rPr>
              <w:t>郑剑雄</w:t>
            </w:r>
            <w:r>
              <w:rPr>
                <w:rFonts w:ascii="Times New Roman" w:hAnsi="Times New Roman" w:cs="Times New Roman" w:eastAsia="Times New Roman" w:hint="default"/>
                <w:sz w:val="18"/>
                <w:szCs w:val="18"/>
              </w:rPr>
              <w:t>;</w:t>
            </w:r>
            <w:r>
              <w:rPr>
                <w:rFonts w:ascii="宋体" w:hAnsi="宋体" w:cs="宋体" w:eastAsia="宋体" w:hint="default"/>
                <w:sz w:val="18"/>
                <w:szCs w:val="18"/>
              </w:rPr>
              <w:t>郑品玉</w:t>
            </w:r>
            <w:r>
              <w:rPr>
                <w:rFonts w:ascii="Times New Roman" w:hAnsi="Times New Roman" w:cs="Times New Roman" w:eastAsia="Times New Roman" w:hint="default"/>
                <w:sz w:val="18"/>
                <w:szCs w:val="18"/>
              </w:rPr>
              <w:t>;</w:t>
            </w:r>
            <w:r>
              <w:rPr>
                <w:rFonts w:ascii="宋体" w:hAnsi="宋体" w:cs="宋体" w:eastAsia="宋体" w:hint="default"/>
                <w:sz w:val="18"/>
                <w:szCs w:val="18"/>
              </w:rPr>
              <w:t>郑志树</w:t>
            </w:r>
            <w:r>
              <w:rPr>
                <w:rFonts w:ascii="Times New Roman" w:hAnsi="Times New Roman" w:cs="Times New Roman" w:eastAsia="Times New Roman" w:hint="default"/>
                <w:sz w:val="18"/>
                <w:szCs w:val="18"/>
              </w:rPr>
              <w:t>; </w:t>
            </w:r>
            <w:r>
              <w:rPr>
                <w:rFonts w:ascii="宋体" w:hAnsi="宋体" w:cs="宋体" w:eastAsia="宋体" w:hint="default"/>
                <w:sz w:val="18"/>
                <w:szCs w:val="18"/>
              </w:rPr>
              <w:t>众安财富（上海）投资管理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朱登煌</w:t>
            </w:r>
            <w:r>
              <w:rPr>
                <w:rFonts w:ascii="Times New Roman" w:hAnsi="Times New Roman" w:cs="Times New Roman" w:eastAsia="Times New Roman" w:hint="default"/>
                <w:sz w:val="18"/>
                <w:szCs w:val="18"/>
              </w:rPr>
              <w:t>;</w:t>
            </w:r>
            <w:r>
              <w:rPr>
                <w:rFonts w:ascii="宋体" w:hAnsi="宋体" w:cs="宋体" w:eastAsia="宋体" w:hint="default"/>
                <w:sz w:val="18"/>
                <w:szCs w:val="18"/>
              </w:rPr>
              <w:t>珠江西江 产业投资基金管理有限公司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134" w:type="dxa"/>
            <w:vMerge/>
            <w:tcBorders>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梁姬</w:t>
            </w:r>
            <w:r>
              <w:rPr>
                <w:rFonts w:ascii="Times New Roman" w:hAnsi="Times New Roman" w:cs="Times New Roman" w:eastAsia="Times New Roman" w:hint="default"/>
                <w:sz w:val="18"/>
                <w:szCs w:val="18"/>
              </w:rPr>
              <w:t>;</w:t>
            </w:r>
            <w:r>
              <w:rPr>
                <w:rFonts w:ascii="宋体" w:hAnsi="宋体" w:cs="宋体" w:eastAsia="宋体" w:hint="default"/>
                <w:sz w:val="18"/>
                <w:szCs w:val="18"/>
              </w:rPr>
              <w:t>许文杰</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公司董事、高级管理人员许文杰先生、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自发行人首次公开发行股票上市之日起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不转让或者委托他人管理其本次发行前通过盛欧投 </w:t>
            </w:r>
            <w:r>
              <w:rPr>
                <w:rFonts w:ascii="宋体" w:hAnsi="宋体" w:cs="宋体" w:eastAsia="宋体" w:hint="default"/>
                <w:spacing w:val="-4"/>
                <w:sz w:val="18"/>
                <w:szCs w:val="18"/>
              </w:rPr>
              <w:t>资间接持有的发行人股份，也不由发行人回购该等股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份。发行人上市后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个月内，如发行人股票连续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309" w:lineRule="auto" w:before="1"/>
              <w:ind w:left="24" w:right="19"/>
              <w:jc w:val="both"/>
              <w:rPr>
                <w:rFonts w:ascii="宋体" w:hAnsi="宋体" w:cs="宋体" w:eastAsia="宋体" w:hint="default"/>
                <w:sz w:val="18"/>
                <w:szCs w:val="18"/>
              </w:rPr>
            </w:pPr>
            <w:r>
              <w:rPr>
                <w:rFonts w:ascii="宋体" w:hAnsi="宋体" w:cs="宋体" w:eastAsia="宋体" w:hint="default"/>
                <w:spacing w:val="-5"/>
                <w:sz w:val="18"/>
                <w:szCs w:val="18"/>
              </w:rPr>
              <w:t>个交易日的收盘价均低于发行价，或者上市后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w:t>
            </w:r>
            <w:r>
              <w:rPr>
                <w:rFonts w:ascii="宋体" w:hAnsi="宋体" w:cs="宋体" w:eastAsia="宋体" w:hint="default"/>
                <w:spacing w:val="-4"/>
                <w:sz w:val="18"/>
                <w:szCs w:val="18"/>
              </w:rPr>
              <w:t>期末收盘价低于发行价，其直接或间接持有发行人股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票的锁定期限自动延长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个月（若上述期间公司发生</w:t>
            </w:r>
            <w:r>
              <w:rPr>
                <w:rFonts w:ascii="宋体" w:hAnsi="宋体" w:cs="宋体" w:eastAsia="宋体" w:hint="default"/>
                <w:sz w:val="18"/>
                <w:szCs w:val="18"/>
              </w:rPr>
              <w:t> </w:t>
            </w:r>
            <w:r>
              <w:rPr>
                <w:rFonts w:ascii="宋体" w:hAnsi="宋体" w:cs="宋体" w:eastAsia="宋体" w:hint="default"/>
                <w:spacing w:val="-4"/>
                <w:sz w:val="18"/>
                <w:szCs w:val="18"/>
              </w:rPr>
              <w:t>派发股利、送红股、转增股本、增发新股或配股等除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息、除权行为的，则上述价格将进行相应调整）。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2276" w:hRule="exact"/>
        </w:trPr>
        <w:tc>
          <w:tcPr>
            <w:tcW w:w="1134" w:type="dxa"/>
            <w:vMerge/>
            <w:tcBorders>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3" w:right="72"/>
              <w:jc w:val="left"/>
              <w:rPr>
                <w:rFonts w:ascii="宋体" w:hAnsi="宋体" w:cs="宋体" w:eastAsia="宋体" w:hint="default"/>
                <w:sz w:val="18"/>
                <w:szCs w:val="18"/>
              </w:rPr>
            </w:pPr>
            <w:r>
              <w:rPr>
                <w:rFonts w:ascii="宋体" w:hAnsi="宋体" w:cs="宋体" w:eastAsia="宋体" w:hint="default"/>
                <w:sz w:val="18"/>
                <w:szCs w:val="18"/>
              </w:rPr>
              <w:t>广西威克德力投资管理中心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蒋鹂北</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r>
              <w:rPr>
                <w:rFonts w:ascii="Times New Roman" w:hAnsi="Times New Roman" w:cs="Times New Roman" w:eastAsia="Times New Roman" w:hint="default"/>
                <w:sz w:val="18"/>
                <w:szCs w:val="18"/>
              </w:rPr>
              <w:t>; </w:t>
            </w:r>
            <w:r>
              <w:rPr>
                <w:rFonts w:ascii="宋体" w:hAnsi="宋体" w:cs="宋体" w:eastAsia="宋体" w:hint="default"/>
                <w:sz w:val="18"/>
                <w:szCs w:val="18"/>
              </w:rPr>
              <w:t>珠海弘泽熙元投资管理中心</w:t>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本企业因涉嫌证券期货违法犯罪，在被中国 </w:t>
            </w:r>
            <w:r>
              <w:rPr>
                <w:rFonts w:ascii="宋体" w:hAnsi="宋体" w:cs="宋体" w:eastAsia="宋体" w:hint="default"/>
                <w:spacing w:val="-4"/>
                <w:sz w:val="18"/>
                <w:szCs w:val="18"/>
              </w:rPr>
              <w:t>证监会立案调查或者被司法机关立案侦查期间，以及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在行政处罚决定、刑事判决作出之后未满六个月的 </w:t>
            </w:r>
            <w:r>
              <w:rPr>
                <w:rFonts w:ascii="宋体" w:hAnsi="宋体" w:cs="宋体" w:eastAsia="宋体" w:hint="default"/>
                <w:spacing w:val="-4"/>
                <w:sz w:val="18"/>
                <w:szCs w:val="18"/>
              </w:rPr>
              <w:t>因违反证券交易所自律规则，被证券交易所公开谴责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未满三个月等触发法律、法规、规范性文件、中国证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监会、证券交易所规定的不得减持股份的情形的，本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本企业不得进行股份减持。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60" w:lineRule="exact" w:before="147"/>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149"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70"/>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209" w:hRule="exact"/>
        </w:trPr>
        <w:tc>
          <w:tcPr>
            <w:tcW w:w="1134" w:type="dxa"/>
            <w:vMerge/>
            <w:tcBorders>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3" w:right="50"/>
              <w:jc w:val="left"/>
              <w:rPr>
                <w:rFonts w:ascii="宋体" w:hAnsi="宋体" w:cs="宋体" w:eastAsia="宋体" w:hint="default"/>
                <w:sz w:val="18"/>
                <w:szCs w:val="18"/>
              </w:rPr>
            </w:pPr>
            <w:r>
              <w:rPr>
                <w:rFonts w:ascii="宋体" w:hAnsi="宋体" w:cs="宋体" w:eastAsia="宋体" w:hint="default"/>
                <w:sz w:val="18"/>
                <w:szCs w:val="18"/>
              </w:rPr>
              <w:t>常先停</w:t>
            </w:r>
            <w:r>
              <w:rPr>
                <w:rFonts w:ascii="Times New Roman" w:hAnsi="Times New Roman" w:cs="Times New Roman" w:eastAsia="Times New Roman" w:hint="default"/>
                <w:sz w:val="18"/>
                <w:szCs w:val="18"/>
              </w:rPr>
              <w:t>;</w:t>
            </w:r>
            <w:r>
              <w:rPr>
                <w:rFonts w:ascii="宋体" w:hAnsi="宋体" w:cs="宋体" w:eastAsia="宋体" w:hint="default"/>
                <w:sz w:val="18"/>
                <w:szCs w:val="18"/>
              </w:rPr>
              <w:t>陈翠华</w:t>
            </w:r>
            <w:r>
              <w:rPr>
                <w:rFonts w:ascii="Times New Roman" w:hAnsi="Times New Roman" w:cs="Times New Roman" w:eastAsia="Times New Roman" w:hint="default"/>
                <w:sz w:val="18"/>
                <w:szCs w:val="18"/>
              </w:rPr>
              <w:t>;</w:t>
            </w:r>
            <w:r>
              <w:rPr>
                <w:rFonts w:ascii="宋体" w:hAnsi="宋体" w:cs="宋体" w:eastAsia="宋体" w:hint="default"/>
                <w:sz w:val="18"/>
                <w:szCs w:val="18"/>
              </w:rPr>
              <w:t>陈强</w:t>
            </w:r>
            <w:r>
              <w:rPr>
                <w:rFonts w:ascii="Times New Roman" w:hAnsi="Times New Roman" w:cs="Times New Roman" w:eastAsia="Times New Roman" w:hint="default"/>
                <w:sz w:val="18"/>
                <w:szCs w:val="18"/>
              </w:rPr>
              <w:t>;</w:t>
            </w:r>
            <w:r>
              <w:rPr>
                <w:rFonts w:ascii="宋体" w:hAnsi="宋体" w:cs="宋体" w:eastAsia="宋体" w:hint="default"/>
                <w:sz w:val="18"/>
                <w:szCs w:val="18"/>
              </w:rPr>
              <w:t>丁京安</w:t>
            </w:r>
            <w:r>
              <w:rPr>
                <w:rFonts w:ascii="Times New Roman" w:hAnsi="Times New Roman" w:cs="Times New Roman" w:eastAsia="Times New Roman" w:hint="default"/>
                <w:sz w:val="18"/>
                <w:szCs w:val="18"/>
              </w:rPr>
              <w:t>; </w:t>
            </w:r>
            <w:r>
              <w:rPr>
                <w:rFonts w:ascii="宋体" w:hAnsi="宋体" w:cs="宋体" w:eastAsia="宋体" w:hint="default"/>
                <w:sz w:val="18"/>
                <w:szCs w:val="18"/>
              </w:rPr>
              <w:t>董浩</w:t>
            </w:r>
            <w:r>
              <w:rPr>
                <w:rFonts w:ascii="Times New Roman" w:hAnsi="Times New Roman" w:cs="Times New Roman" w:eastAsia="Times New Roman" w:hint="default"/>
                <w:sz w:val="18"/>
                <w:szCs w:val="18"/>
              </w:rPr>
              <w:t>;</w:t>
            </w:r>
            <w:r>
              <w:rPr>
                <w:rFonts w:ascii="宋体" w:hAnsi="宋体" w:cs="宋体" w:eastAsia="宋体" w:hint="default"/>
                <w:sz w:val="18"/>
                <w:szCs w:val="18"/>
              </w:rPr>
              <w:t>黄建君</w:t>
            </w:r>
            <w:r>
              <w:rPr>
                <w:rFonts w:ascii="Times New Roman" w:hAnsi="Times New Roman" w:cs="Times New Roman" w:eastAsia="Times New Roman" w:hint="default"/>
                <w:sz w:val="18"/>
                <w:szCs w:val="18"/>
              </w:rPr>
              <w:t>;</w:t>
            </w:r>
            <w:r>
              <w:rPr>
                <w:rFonts w:ascii="宋体" w:hAnsi="宋体" w:cs="宋体" w:eastAsia="宋体" w:hint="default"/>
                <w:sz w:val="18"/>
                <w:szCs w:val="18"/>
              </w:rPr>
              <w:t>李滨芫</w:t>
            </w:r>
            <w:r>
              <w:rPr>
                <w:rFonts w:ascii="Times New Roman" w:hAnsi="Times New Roman" w:cs="Times New Roman" w:eastAsia="Times New Roman" w:hint="default"/>
                <w:sz w:val="18"/>
                <w:szCs w:val="18"/>
              </w:rPr>
              <w:t>;</w:t>
            </w:r>
            <w:r>
              <w:rPr>
                <w:rFonts w:ascii="宋体" w:hAnsi="宋体" w:cs="宋体" w:eastAsia="宋体" w:hint="default"/>
                <w:sz w:val="18"/>
                <w:szCs w:val="18"/>
              </w:rPr>
              <w:t>李纪元</w:t>
            </w:r>
            <w:r>
              <w:rPr>
                <w:rFonts w:ascii="Times New Roman" w:hAnsi="Times New Roman" w:cs="Times New Roman" w:eastAsia="Times New Roman" w:hint="default"/>
                <w:sz w:val="18"/>
                <w:szCs w:val="18"/>
              </w:rPr>
              <w:t>; </w:t>
            </w:r>
            <w:r>
              <w:rPr>
                <w:rFonts w:ascii="宋体" w:hAnsi="宋体" w:cs="宋体" w:eastAsia="宋体" w:hint="default"/>
                <w:sz w:val="18"/>
                <w:szCs w:val="18"/>
              </w:rPr>
              <w:t>刘冬岩</w:t>
            </w:r>
            <w:r>
              <w:rPr>
                <w:rFonts w:ascii="Times New Roman" w:hAnsi="Times New Roman" w:cs="Times New Roman" w:eastAsia="Times New Roman" w:hint="default"/>
                <w:sz w:val="18"/>
                <w:szCs w:val="18"/>
              </w:rPr>
              <w:t>;</w:t>
            </w:r>
            <w:r>
              <w:rPr>
                <w:rFonts w:ascii="宋体" w:hAnsi="宋体" w:cs="宋体" w:eastAsia="宋体" w:hint="default"/>
                <w:sz w:val="18"/>
                <w:szCs w:val="18"/>
              </w:rPr>
              <w:t>刘宇飞</w:t>
            </w:r>
            <w:r>
              <w:rPr>
                <w:rFonts w:ascii="Times New Roman" w:hAnsi="Times New Roman" w:cs="Times New Roman" w:eastAsia="Times New Roman" w:hint="default"/>
                <w:sz w:val="18"/>
                <w:szCs w:val="18"/>
              </w:rPr>
              <w:t>;</w:t>
            </w:r>
            <w:r>
              <w:rPr>
                <w:rFonts w:ascii="宋体" w:hAnsi="宋体" w:cs="宋体" w:eastAsia="宋体" w:hint="default"/>
                <w:sz w:val="18"/>
                <w:szCs w:val="18"/>
              </w:rPr>
              <w:t>刘子微</w:t>
            </w:r>
            <w:r>
              <w:rPr>
                <w:rFonts w:ascii="Times New Roman" w:hAnsi="Times New Roman" w:cs="Times New Roman" w:eastAsia="Times New Roman" w:hint="default"/>
                <w:sz w:val="18"/>
                <w:szCs w:val="18"/>
              </w:rPr>
              <w:t>;</w:t>
            </w:r>
            <w:r>
              <w:rPr>
                <w:rFonts w:ascii="宋体" w:hAnsi="宋体" w:cs="宋体" w:eastAsia="宋体" w:hint="default"/>
                <w:sz w:val="18"/>
                <w:szCs w:val="18"/>
              </w:rPr>
              <w:t>邱红 光</w:t>
            </w:r>
            <w:r>
              <w:rPr>
                <w:rFonts w:ascii="Times New Roman" w:hAnsi="Times New Roman" w:cs="Times New Roman" w:eastAsia="Times New Roman" w:hint="default"/>
                <w:sz w:val="18"/>
                <w:szCs w:val="18"/>
              </w:rPr>
              <w:t>;</w:t>
            </w:r>
            <w:r>
              <w:rPr>
                <w:rFonts w:ascii="宋体" w:hAnsi="宋体" w:cs="宋体" w:eastAsia="宋体" w:hint="default"/>
                <w:sz w:val="18"/>
                <w:szCs w:val="18"/>
              </w:rPr>
              <w:t>邱雅萍</w:t>
            </w:r>
            <w:r>
              <w:rPr>
                <w:rFonts w:ascii="Times New Roman" w:hAnsi="Times New Roman" w:cs="Times New Roman" w:eastAsia="Times New Roman" w:hint="default"/>
                <w:sz w:val="18"/>
                <w:szCs w:val="18"/>
              </w:rPr>
              <w:t>;</w:t>
            </w:r>
            <w:r>
              <w:rPr>
                <w:rFonts w:ascii="宋体" w:hAnsi="宋体" w:cs="宋体" w:eastAsia="宋体" w:hint="default"/>
                <w:sz w:val="18"/>
                <w:szCs w:val="18"/>
              </w:rPr>
              <w:t>宋永芬</w:t>
            </w:r>
            <w:r>
              <w:rPr>
                <w:rFonts w:ascii="Times New Roman" w:hAnsi="Times New Roman" w:cs="Times New Roman" w:eastAsia="Times New Roman" w:hint="default"/>
                <w:sz w:val="18"/>
                <w:szCs w:val="18"/>
              </w:rPr>
              <w:t>;</w:t>
            </w:r>
            <w:r>
              <w:rPr>
                <w:rFonts w:ascii="宋体" w:hAnsi="宋体" w:cs="宋体" w:eastAsia="宋体" w:hint="default"/>
                <w:sz w:val="18"/>
                <w:szCs w:val="18"/>
              </w:rPr>
              <w:t>王超</w:t>
            </w:r>
            <w:r>
              <w:rPr>
                <w:rFonts w:ascii="Times New Roman" w:hAnsi="Times New Roman" w:cs="Times New Roman" w:eastAsia="Times New Roman" w:hint="default"/>
                <w:sz w:val="18"/>
                <w:szCs w:val="18"/>
              </w:rPr>
              <w:t>;</w:t>
            </w:r>
            <w:r>
              <w:rPr>
                <w:rFonts w:ascii="宋体" w:hAnsi="宋体" w:cs="宋体" w:eastAsia="宋体" w:hint="default"/>
                <w:sz w:val="18"/>
                <w:szCs w:val="18"/>
              </w:rPr>
              <w:t>肖慎 平</w:t>
            </w:r>
            <w:r>
              <w:rPr>
                <w:rFonts w:ascii="Times New Roman" w:hAnsi="Times New Roman" w:cs="Times New Roman" w:eastAsia="Times New Roman" w:hint="default"/>
                <w:sz w:val="18"/>
                <w:szCs w:val="18"/>
              </w:rPr>
              <w:t>;</w:t>
            </w:r>
            <w:r>
              <w:rPr>
                <w:rFonts w:ascii="宋体" w:hAnsi="宋体" w:cs="宋体" w:eastAsia="宋体" w:hint="default"/>
                <w:sz w:val="18"/>
                <w:szCs w:val="18"/>
              </w:rPr>
              <w:t>谢二庆</w:t>
            </w:r>
            <w:r>
              <w:rPr>
                <w:rFonts w:ascii="Times New Roman" w:hAnsi="Times New Roman" w:cs="Times New Roman" w:eastAsia="Times New Roman" w:hint="default"/>
                <w:sz w:val="18"/>
                <w:szCs w:val="18"/>
              </w:rPr>
              <w:t>;</w:t>
            </w:r>
            <w:r>
              <w:rPr>
                <w:rFonts w:ascii="宋体" w:hAnsi="宋体" w:cs="宋体" w:eastAsia="宋体" w:hint="default"/>
                <w:sz w:val="18"/>
                <w:szCs w:val="18"/>
              </w:rPr>
              <w:t>谢卫</w:t>
            </w:r>
            <w:r>
              <w:rPr>
                <w:rFonts w:ascii="Times New Roman" w:hAnsi="Times New Roman" w:cs="Times New Roman" w:eastAsia="Times New Roman" w:hint="default"/>
                <w:sz w:val="18"/>
                <w:szCs w:val="18"/>
              </w:rPr>
              <w:t>;</w:t>
            </w:r>
            <w:r>
              <w:rPr>
                <w:rFonts w:ascii="宋体" w:hAnsi="宋体" w:cs="宋体" w:eastAsia="宋体" w:hint="default"/>
                <w:sz w:val="18"/>
                <w:szCs w:val="18"/>
              </w:rPr>
              <w:t>谢志坚</w:t>
            </w:r>
            <w:r>
              <w:rPr>
                <w:rFonts w:ascii="Times New Roman" w:hAnsi="Times New Roman" w:cs="Times New Roman" w:eastAsia="Times New Roman" w:hint="default"/>
                <w:sz w:val="18"/>
                <w:szCs w:val="18"/>
              </w:rPr>
              <w:t>;</w:t>
            </w:r>
            <w:r>
              <w:rPr>
                <w:rFonts w:ascii="宋体" w:hAnsi="宋体" w:cs="宋体" w:eastAsia="宋体" w:hint="default"/>
                <w:sz w:val="18"/>
                <w:szCs w:val="18"/>
              </w:rPr>
              <w:t>于 英</w:t>
            </w:r>
            <w:r>
              <w:rPr>
                <w:rFonts w:ascii="Times New Roman" w:hAnsi="Times New Roman" w:cs="Times New Roman" w:eastAsia="Times New Roman" w:hint="default"/>
                <w:sz w:val="18"/>
                <w:szCs w:val="18"/>
              </w:rPr>
              <w:t>;</w:t>
            </w:r>
            <w:r>
              <w:rPr>
                <w:rFonts w:ascii="宋体" w:hAnsi="宋体" w:cs="宋体" w:eastAsia="宋体" w:hint="default"/>
                <w:sz w:val="18"/>
                <w:szCs w:val="18"/>
              </w:rPr>
              <w:t>袁晓丽</w:t>
            </w:r>
            <w:r>
              <w:rPr>
                <w:rFonts w:ascii="Times New Roman" w:hAnsi="Times New Roman" w:cs="Times New Roman" w:eastAsia="Times New Roman" w:hint="default"/>
                <w:sz w:val="18"/>
                <w:szCs w:val="18"/>
              </w:rPr>
              <w:t>;</w:t>
            </w:r>
            <w:r>
              <w:rPr>
                <w:rFonts w:ascii="宋体" w:hAnsi="宋体" w:cs="宋体" w:eastAsia="宋体" w:hint="default"/>
                <w:sz w:val="18"/>
                <w:szCs w:val="18"/>
              </w:rPr>
              <w:t>张水虹</w:t>
            </w:r>
            <w:r>
              <w:rPr>
                <w:rFonts w:ascii="Times New Roman" w:hAnsi="Times New Roman" w:cs="Times New Roman" w:eastAsia="Times New Roman" w:hint="default"/>
                <w:sz w:val="18"/>
                <w:szCs w:val="18"/>
              </w:rPr>
              <w:t>;</w:t>
            </w:r>
            <w:r>
              <w:rPr>
                <w:rFonts w:ascii="宋体" w:hAnsi="宋体" w:cs="宋体" w:eastAsia="宋体" w:hint="default"/>
                <w:sz w:val="18"/>
                <w:szCs w:val="18"/>
              </w:rPr>
              <w:t>赵春荣</w:t>
            </w:r>
            <w:r>
              <w:rPr>
                <w:rFonts w:ascii="Times New Roman" w:hAnsi="Times New Roman" w:cs="Times New Roman" w:eastAsia="Times New Roman" w:hint="default"/>
                <w:sz w:val="18"/>
                <w:szCs w:val="18"/>
              </w:rPr>
              <w:t>;</w:t>
            </w:r>
            <w:r>
              <w:rPr>
                <w:rFonts w:ascii="宋体" w:hAnsi="宋体" w:cs="宋体" w:eastAsia="宋体" w:hint="default"/>
                <w:sz w:val="18"/>
                <w:szCs w:val="18"/>
              </w:rPr>
              <w:t>赵 丽云</w:t>
            </w:r>
            <w:r>
              <w:rPr>
                <w:rFonts w:ascii="Times New Roman" w:hAnsi="Times New Roman" w:cs="Times New Roman" w:eastAsia="Times New Roman" w:hint="default"/>
                <w:sz w:val="18"/>
                <w:szCs w:val="18"/>
              </w:rPr>
              <w:t>;</w:t>
            </w:r>
            <w:r>
              <w:rPr>
                <w:rFonts w:ascii="宋体" w:hAnsi="宋体" w:cs="宋体" w:eastAsia="宋体" w:hint="default"/>
                <w:sz w:val="18"/>
                <w:szCs w:val="18"/>
              </w:rPr>
              <w:t>郑继宏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9"/>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4"/>
              <w:jc w:val="both"/>
              <w:rPr>
                <w:rFonts w:ascii="宋体" w:hAnsi="宋体" w:cs="宋体" w:eastAsia="宋体" w:hint="default"/>
                <w:sz w:val="18"/>
                <w:szCs w:val="18"/>
              </w:rPr>
            </w:pPr>
            <w:r>
              <w:rPr>
                <w:rFonts w:ascii="宋体" w:hAnsi="宋体" w:cs="宋体" w:eastAsia="宋体" w:hint="default"/>
                <w:spacing w:val="-4"/>
                <w:sz w:val="18"/>
                <w:szCs w:val="18"/>
              </w:rPr>
              <w:t>公司股东丁京安先生、刘宇飞先生、谢二庆先生、陈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翠华女士、袁晓丽女士、董浩先生、黄建君先生、赵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春荣女士、李滨芫女士、于英先生、陈强先生、邱红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光先生、李纪元女士、谢卫女士、赵丽云女士、刘子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微先生、郑继宏先生、邱雅萍女士、肖慎平先生、常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先停先生、刘冬岩先生、谢志坚先生、宋永芬女士、</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张水虹女士、王超先生承诺：自发行人首次公开发行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个月内，不转让或者委托他人管 </w:t>
            </w:r>
            <w:r>
              <w:rPr>
                <w:rFonts w:ascii="宋体" w:hAnsi="宋体" w:cs="宋体" w:eastAsia="宋体" w:hint="default"/>
                <w:spacing w:val="-4"/>
                <w:sz w:val="18"/>
                <w:szCs w:val="18"/>
              </w:rPr>
              <w:t>理其本次发行前直接或间接持有的发行人股份，也不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由发行人回购该等股份。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254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2" w:lineRule="auto"/>
              <w:ind w:left="23" w:right="31"/>
              <w:jc w:val="both"/>
              <w:rPr>
                <w:rFonts w:ascii="宋体" w:hAnsi="宋体" w:cs="宋体" w:eastAsia="宋体" w:hint="default"/>
                <w:sz w:val="18"/>
                <w:szCs w:val="18"/>
              </w:rPr>
            </w:pPr>
            <w:r>
              <w:rPr>
                <w:rFonts w:ascii="宋体" w:hAnsi="宋体" w:cs="宋体" w:eastAsia="宋体" w:hint="default"/>
                <w:sz w:val="18"/>
                <w:szCs w:val="18"/>
              </w:rPr>
              <w:t>广西威克德力投资管理中心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r>
              <w:rPr>
                <w:rFonts w:ascii="Times New Roman" w:hAnsi="Times New Roman" w:cs="Times New Roman" w:eastAsia="Times New Roman" w:hint="default"/>
                <w:sz w:val="18"/>
                <w:szCs w:val="18"/>
              </w:rPr>
              <w:t>;</w:t>
            </w:r>
            <w:r>
              <w:rPr>
                <w:rFonts w:ascii="宋体" w:hAnsi="宋体" w:cs="宋体" w:eastAsia="宋体" w:hint="default"/>
                <w:sz w:val="18"/>
                <w:szCs w:val="18"/>
              </w:rPr>
              <w:t>珠海弘泽 熙元投资管理中心（有限合 伙）</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实际控制人李建国先生、蒋鹂北女士以及持股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w:t>
            </w:r>
            <w:r>
              <w:rPr>
                <w:rFonts w:ascii="宋体" w:hAnsi="宋体" w:cs="宋体" w:eastAsia="宋体" w:hint="default"/>
                <w:spacing w:val="-4"/>
                <w:sz w:val="18"/>
                <w:szCs w:val="18"/>
              </w:rPr>
              <w:t>上的股东弘泽熙元和威克德力的承诺如下：公司股票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上市后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个月内不减持公司股票。在锁定期满后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个月内若减持公司股票，本人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本企业将在遵守法律 </w:t>
            </w:r>
            <w:r>
              <w:rPr>
                <w:rFonts w:ascii="宋体" w:hAnsi="宋体" w:cs="宋体" w:eastAsia="宋体" w:hint="default"/>
                <w:spacing w:val="-4"/>
                <w:sz w:val="18"/>
                <w:szCs w:val="18"/>
              </w:rPr>
              <w:t>法规、证券交易所上市规则等相关规定的前提下，每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年减持数量不超过本人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本企业直接或间接持有公司 股票总数的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。减持价格不低于发行价（若公司 </w:t>
            </w:r>
            <w:r>
              <w:rPr>
                <w:rFonts w:ascii="宋体" w:hAnsi="宋体" w:cs="宋体" w:eastAsia="宋体" w:hint="default"/>
                <w:spacing w:val="-4"/>
                <w:sz w:val="18"/>
                <w:szCs w:val="18"/>
              </w:rPr>
              <w:t>股份在该期间内发生派息、送股、资本公积转增股本</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2023-0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7.940002pt;margin-top:72.47998pt;width:33.85pt;height:269.25pt;mso-position-horizontal-relative:page;mso-position-vertical-relative:page;z-index:-1234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67.769989pt;margin-top:342.289978pt;width:214.05pt;height:423.7pt;mso-position-horizontal-relative:page;mso-position-vertical-relative:page;z-index:-12345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如无重大投资计划或重大现金支出等事项发生，</w:t>
                  </w:r>
                </w:p>
              </w:txbxContent>
            </v:textbox>
            <w10:wrap type="none"/>
          </v:shape>
        </w:pict>
      </w:r>
      <w:r>
        <w:rPr/>
        <w:pict>
          <v:group style="position:absolute;margin-left:453.940002pt;margin-top:72.47998pt;width:27.85pt;height:693.5pt;mso-position-horizontal-relative:page;mso-position-vertical-relative:page;z-index:-1234480" coordorigin="9079,1450" coordsize="557,13870">
            <v:group style="position:absolute;left:9079;top:1450;width:557;height:5385" coordorigin="9079,1450" coordsize="557,5385">
              <v:shape style="position:absolute;left:9079;top:1450;width:557;height:5385" coordorigin="9079,1450" coordsize="557,5385" path="m9079,6834l9636,6834,9636,1450,9079,1450,9079,6834xe" filled="true" fillcolor="#ffffff" stroked="false">
                <v:path arrowok="t"/>
                <v:fill type="solid"/>
              </v:shape>
            </v:group>
            <v:group style="position:absolute;left:9079;top:6846;width:557;height:8474" coordorigin="9079,6846" coordsize="557,8474">
              <v:shape style="position:absolute;left:9079;top:6846;width:557;height:8474" coordorigin="9079,6846" coordsize="557,8474" path="m9079,15319l9636,15319,9636,6846,9079,6846,9079,15319xe" filled="true" fillcolor="#ffffff" stroked="false">
                <v:path arrowok="t"/>
                <v:fill type="solid"/>
              </v:shape>
            </v:group>
            <v:group style="position:absolute;left:9103;top:10417;width:512;height:353" coordorigin="9103,10417" coordsize="512,353">
              <v:shape style="position:absolute;left:9103;top:10417;width:512;height:353" coordorigin="9103,10417" coordsize="512,353" path="m9103,10770l9614,10770,9614,10417,9103,10417,9103,10770xe" filled="true" fillcolor="#ffffff" stroked="false">
                <v:path arrowok="t"/>
                <v:fill type="solid"/>
              </v:shape>
            </v:group>
            <v:group style="position:absolute;left:9103;top:10770;width:512;height:312" coordorigin="9103,10770" coordsize="512,312">
              <v:shape style="position:absolute;left:9103;top:10770;width:512;height:312" coordorigin="9103,10770" coordsize="512,312" path="m9103,11082l9614,11082,9614,10770,9103,10770,9103,11082xe" filled="true" fillcolor="#ffffff" stroked="false">
                <v:path arrowok="t"/>
                <v:fill type="solid"/>
              </v:shape>
            </v:group>
            <v:group style="position:absolute;left:9103;top:11082;width:512;height:312" coordorigin="9103,11082" coordsize="512,312">
              <v:shape style="position:absolute;left:9103;top:11082;width:512;height:312" coordorigin="9103,11082" coordsize="512,312" path="m9103,11394l9614,11394,9614,11082,9103,11082,9103,11394xe" filled="true" fillcolor="#ffffff" stroked="false">
                <v:path arrowok="t"/>
                <v:fill type="solid"/>
              </v:shape>
            </v:group>
            <v:group style="position:absolute;left:9103;top:11394;width:512;height:351" coordorigin="9103,11394" coordsize="512,351">
              <v:shape style="position:absolute;left:9103;top:11394;width:512;height:351" coordorigin="9103,11394" coordsize="512,351" path="m9103,11745l9614,11745,9614,11394,9103,11394,9103,11745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4"/>
      </w:tblGrid>
      <w:tr>
        <w:trPr>
          <w:trHeight w:val="322"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等除权除息事项的</w:t>
            </w:r>
            <w:r>
              <w:rPr>
                <w:rFonts w:ascii="宋体" w:hAnsi="宋体" w:cs="宋体" w:eastAsia="宋体" w:hint="default"/>
                <w:spacing w:val="-24"/>
                <w:sz w:val="18"/>
                <w:szCs w:val="18"/>
              </w:rPr>
              <w:t>，</w:t>
            </w:r>
            <w:r>
              <w:rPr>
                <w:rFonts w:ascii="宋体" w:hAnsi="宋体" w:cs="宋体" w:eastAsia="宋体" w:hint="default"/>
                <w:sz w:val="18"/>
                <w:szCs w:val="18"/>
              </w:rPr>
              <w:t>发行价应相应调整</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业将采用集中竞价、大宗交易、协议转让等法律、法</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规允许的方式转让公司股票并于减持前三个交易日</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予以公告。若本人违反锁定期满后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个月内股票减</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持意向的承诺，本人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本企业同意将实际减持股票所</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获收益归公司所有。</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5"/>
              <w:jc w:val="right"/>
              <w:rPr>
                <w:rFonts w:ascii="宋体" w:hAnsi="宋体" w:cs="宋体" w:eastAsia="宋体" w:hint="default"/>
                <w:sz w:val="18"/>
                <w:szCs w:val="18"/>
              </w:rPr>
            </w:pPr>
            <w:r>
              <w:rPr>
                <w:rFonts w:ascii="宋体" w:hAnsi="宋体" w:cs="宋体" w:eastAsia="宋体" w:hint="default"/>
                <w:sz w:val="18"/>
                <w:szCs w:val="18"/>
              </w:rPr>
              <w:t>在锁定期满后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本企业计划</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通过证券交易所集中竞价交易减持股份的</w:t>
            </w:r>
            <w:r>
              <w:rPr>
                <w:rFonts w:ascii="宋体" w:hAnsi="宋体" w:cs="宋体" w:eastAsia="宋体" w:hint="default"/>
                <w:spacing w:val="-87"/>
                <w:sz w:val="18"/>
                <w:szCs w:val="18"/>
              </w:rPr>
              <w:t>，</w:t>
            </w:r>
            <w:r>
              <w:rPr>
                <w:rFonts w:ascii="宋体" w:hAnsi="宋体" w:cs="宋体" w:eastAsia="宋体" w:hint="default"/>
                <w:sz w:val="18"/>
                <w:szCs w:val="18"/>
              </w:rPr>
              <w:t>将在首次</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卖出的十五个交易日前预先披露减持计划</w:t>
            </w:r>
            <w:r>
              <w:rPr>
                <w:rFonts w:ascii="宋体" w:hAnsi="宋体" w:cs="宋体" w:eastAsia="宋体" w:hint="default"/>
                <w:spacing w:val="-87"/>
                <w:sz w:val="18"/>
                <w:szCs w:val="18"/>
              </w:rPr>
              <w:t>，</w:t>
            </w:r>
            <w:r>
              <w:rPr>
                <w:rFonts w:ascii="宋体" w:hAnsi="宋体" w:cs="宋体" w:eastAsia="宋体" w:hint="default"/>
                <w:sz w:val="18"/>
                <w:szCs w:val="18"/>
              </w:rPr>
              <w:t>在任意连</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续三个月内通过证券交易所集中竞价交易减持股份</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的总数，不得超过公司股份总数的</w:t>
            </w:r>
            <w:r>
              <w:rPr>
                <w:rFonts w:ascii="宋体" w:hAnsi="宋体" w:cs="宋体" w:eastAsia="宋体" w:hint="default"/>
                <w:spacing w:val="-26"/>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通过协议转让方式减持股份并导致本人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本企业所持</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公司股份低于</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的，本人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本企业将在减持后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内继续遵守上述承诺。本人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本企业通过协议转让方</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式减持股份的</w:t>
            </w:r>
            <w:r>
              <w:rPr>
                <w:rFonts w:ascii="宋体" w:hAnsi="宋体" w:cs="宋体" w:eastAsia="宋体" w:hint="default"/>
                <w:spacing w:val="-92"/>
                <w:sz w:val="18"/>
                <w:szCs w:val="18"/>
              </w:rPr>
              <w:t>，</w:t>
            </w:r>
            <w:r>
              <w:rPr>
                <w:rFonts w:ascii="宋体" w:hAnsi="宋体" w:cs="宋体" w:eastAsia="宋体" w:hint="default"/>
                <w:sz w:val="18"/>
                <w:szCs w:val="18"/>
              </w:rPr>
              <w:t>单个受让方的</w:t>
            </w:r>
            <w:r>
              <w:rPr>
                <w:rFonts w:ascii="宋体" w:hAnsi="宋体" w:cs="宋体" w:eastAsia="宋体" w:hint="default"/>
                <w:spacing w:val="2"/>
                <w:sz w:val="18"/>
                <w:szCs w:val="18"/>
              </w:rPr>
              <w:t>受</w:t>
            </w:r>
            <w:r>
              <w:rPr>
                <w:rFonts w:ascii="宋体" w:hAnsi="宋体" w:cs="宋体" w:eastAsia="宋体" w:hint="default"/>
                <w:sz w:val="18"/>
                <w:szCs w:val="18"/>
              </w:rPr>
              <w:t>让比例不得低于</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本企业在减持公司股份时，减持比例中的股份</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0"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总数按照发行股份的总股本计算。</w:t>
            </w: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364" w:hRule="exact"/>
        </w:trPr>
        <w:tc>
          <w:tcPr>
            <w:tcW w:w="1134" w:type="dxa"/>
            <w:vMerge/>
            <w:tcBorders>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公司在当年盈利且累计未分配利润为正的情况下</w:t>
            </w:r>
            <w:r>
              <w:rPr>
                <w:rFonts w:ascii="宋体" w:hAnsi="宋体" w:cs="宋体" w:eastAsia="宋体" w:hint="default"/>
                <w:spacing w:val="-87"/>
                <w:sz w:val="18"/>
                <w:szCs w:val="18"/>
              </w:rPr>
              <w:t>，</w:t>
            </w:r>
            <w:r>
              <w:rPr>
                <w:rFonts w:ascii="宋体" w:hAnsi="宋体" w:cs="宋体" w:eastAsia="宋体" w:hint="default"/>
                <w:sz w:val="18"/>
                <w:szCs w:val="18"/>
              </w:rPr>
              <w:t>采</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取现金方式分配股利</w:t>
            </w:r>
            <w:r>
              <w:rPr>
                <w:rFonts w:ascii="宋体" w:hAnsi="宋体" w:cs="宋体" w:eastAsia="宋体" w:hint="default"/>
                <w:spacing w:val="-87"/>
                <w:sz w:val="18"/>
                <w:szCs w:val="18"/>
              </w:rPr>
              <w:t>，</w:t>
            </w:r>
            <w:r>
              <w:rPr>
                <w:rFonts w:ascii="宋体" w:hAnsi="宋体" w:cs="宋体" w:eastAsia="宋体" w:hint="default"/>
                <w:sz w:val="18"/>
                <w:szCs w:val="18"/>
              </w:rPr>
              <w:t>每年以现金方式分配</w:t>
            </w:r>
            <w:r>
              <w:rPr>
                <w:rFonts w:ascii="宋体" w:hAnsi="宋体" w:cs="宋体" w:eastAsia="宋体" w:hint="default"/>
                <w:spacing w:val="1"/>
                <w:sz w:val="18"/>
                <w:szCs w:val="18"/>
              </w:rPr>
              <w:t>的</w:t>
            </w:r>
            <w:r>
              <w:rPr>
                <w:rFonts w:ascii="宋体" w:hAnsi="宋体" w:cs="宋体" w:eastAsia="宋体" w:hint="default"/>
                <w:sz w:val="18"/>
                <w:szCs w:val="18"/>
              </w:rPr>
              <w:t>利润不</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少于当年实现的可供分配利润的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。公司每年在</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按照公司章程、相关法规规定足额提取法定公积金</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盈余公积金后，在满足现金分红条件下，按照以下原</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则进行现金分红：</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06" w:right="0"/>
              <w:jc w:val="left"/>
              <w:rPr>
                <w:rFonts w:ascii="宋体" w:hAnsi="宋体" w:cs="宋体" w:eastAsia="宋体" w:hint="default"/>
                <w:sz w:val="18"/>
                <w:szCs w:val="18"/>
              </w:rPr>
            </w:pPr>
            <w:r>
              <w:rPr>
                <w:rFonts w:ascii="宋体" w:hAnsi="宋体" w:cs="宋体" w:eastAsia="宋体" w:hint="default"/>
                <w:sz w:val="18"/>
                <w:szCs w:val="18"/>
              </w:rPr>
              <w:t>①公司发展阶段属成熟期且无重大资金支出安排</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的，进行利润分配时，现金分红在本次利润分配中所</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占比例最低应达到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06" w:right="0"/>
              <w:jc w:val="left"/>
              <w:rPr>
                <w:rFonts w:ascii="宋体" w:hAnsi="宋体" w:cs="宋体" w:eastAsia="宋体" w:hint="default"/>
                <w:sz w:val="18"/>
                <w:szCs w:val="18"/>
              </w:rPr>
            </w:pPr>
            <w:r>
              <w:rPr>
                <w:rFonts w:ascii="宋体" w:hAnsi="宋体" w:cs="宋体" w:eastAsia="宋体" w:hint="default"/>
                <w:sz w:val="18"/>
                <w:szCs w:val="18"/>
              </w:rPr>
              <w:t>②公司发展阶段属成熟期且有重大资金支出安排</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298"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润建通信股份有限公司</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分红 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4"/>
              <w:jc w:val="left"/>
              <w:rPr>
                <w:rFonts w:ascii="宋体" w:hAnsi="宋体" w:cs="宋体" w:eastAsia="宋体" w:hint="default"/>
                <w:sz w:val="18"/>
                <w:szCs w:val="18"/>
              </w:rPr>
            </w:pPr>
            <w:r>
              <w:rPr>
                <w:rFonts w:ascii="宋体" w:hAnsi="宋体" w:cs="宋体" w:eastAsia="宋体" w:hint="default"/>
                <w:spacing w:val="-4"/>
                <w:sz w:val="18"/>
                <w:szCs w:val="18"/>
              </w:rPr>
              <w:t>的，进行利润分配时，现金分红在本次利润分配中所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占比例最低应达到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p>
            <w:pPr>
              <w:pStyle w:val="TableParagraph"/>
              <w:spacing w:line="316" w:lineRule="auto" w:before="37"/>
              <w:ind w:left="24" w:right="22" w:firstLine="182"/>
              <w:jc w:val="left"/>
              <w:rPr>
                <w:rFonts w:ascii="宋体" w:hAnsi="宋体" w:cs="宋体" w:eastAsia="宋体" w:hint="default"/>
                <w:sz w:val="18"/>
                <w:szCs w:val="18"/>
              </w:rPr>
            </w:pPr>
            <w:r>
              <w:rPr>
                <w:rFonts w:ascii="宋体" w:hAnsi="宋体" w:cs="宋体" w:eastAsia="宋体" w:hint="default"/>
                <w:sz w:val="18"/>
                <w:szCs w:val="18"/>
              </w:rPr>
              <w:t>③公司发展阶段属成长期且有重大资金支出安排 </w:t>
            </w:r>
            <w:r>
              <w:rPr>
                <w:rFonts w:ascii="宋体" w:hAnsi="宋体" w:cs="宋体" w:eastAsia="宋体" w:hint="default"/>
                <w:spacing w:val="-4"/>
                <w:sz w:val="18"/>
                <w:szCs w:val="18"/>
              </w:rPr>
              <w:t>的，进行利润分配时，现金分红在本次利润分配中所</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3-01</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占比例最低应达到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48"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06" w:right="0"/>
              <w:jc w:val="left"/>
              <w:rPr>
                <w:rFonts w:ascii="宋体" w:hAnsi="宋体" w:cs="宋体" w:eastAsia="宋体" w:hint="default"/>
                <w:sz w:val="18"/>
                <w:szCs w:val="18"/>
              </w:rPr>
            </w:pPr>
            <w:r>
              <w:rPr>
                <w:rFonts w:ascii="宋体" w:hAnsi="宋体" w:cs="宋体" w:eastAsia="宋体" w:hint="default"/>
                <w:sz w:val="18"/>
                <w:szCs w:val="18"/>
              </w:rPr>
              <w:t>公司实施现金分红时须同时满足下列条件：</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6"/>
              <w:jc w:val="right"/>
              <w:rPr>
                <w:rFonts w:ascii="宋体" w:hAnsi="宋体" w:cs="宋体" w:eastAsia="宋体" w:hint="default"/>
                <w:sz w:val="18"/>
                <w:szCs w:val="18"/>
              </w:rPr>
            </w:pPr>
            <w:r>
              <w:rPr>
                <w:rFonts w:ascii="宋体" w:hAnsi="宋体" w:cs="宋体" w:eastAsia="宋体" w:hint="default"/>
                <w:sz w:val="18"/>
                <w:szCs w:val="18"/>
              </w:rPr>
              <w:t>①公司该年度的可分配利润为正值</w:t>
            </w:r>
            <w:r>
              <w:rPr>
                <w:rFonts w:ascii="宋体" w:hAnsi="宋体" w:cs="宋体" w:eastAsia="宋体" w:hint="default"/>
                <w:spacing w:val="-2"/>
                <w:sz w:val="18"/>
                <w:szCs w:val="18"/>
              </w:rPr>
              <w:t> </w:t>
            </w:r>
            <w:r>
              <w:rPr>
                <w:rFonts w:ascii="宋体" w:hAnsi="宋体" w:cs="宋体" w:eastAsia="宋体" w:hint="default"/>
                <w:sz w:val="18"/>
                <w:szCs w:val="18"/>
              </w:rPr>
              <w:t>、且现金流充</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裕，实施现金分红不会影响公司后续持续经营；</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06" w:right="0"/>
              <w:jc w:val="left"/>
              <w:rPr>
                <w:rFonts w:ascii="宋体" w:hAnsi="宋体" w:cs="宋体" w:eastAsia="宋体" w:hint="default"/>
                <w:sz w:val="18"/>
                <w:szCs w:val="18"/>
              </w:rPr>
            </w:pPr>
            <w:r>
              <w:rPr>
                <w:rFonts w:ascii="宋体" w:hAnsi="宋体" w:cs="宋体" w:eastAsia="宋体" w:hint="default"/>
                <w:sz w:val="18"/>
                <w:szCs w:val="18"/>
              </w:rPr>
              <w:t>②公司累计可供分配利润为正值；</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06" w:right="0"/>
              <w:jc w:val="left"/>
              <w:rPr>
                <w:rFonts w:ascii="宋体" w:hAnsi="宋体" w:cs="宋体" w:eastAsia="宋体" w:hint="default"/>
                <w:sz w:val="18"/>
                <w:szCs w:val="18"/>
              </w:rPr>
            </w:pPr>
            <w:r>
              <w:rPr>
                <w:rFonts w:ascii="宋体" w:hAnsi="宋体" w:cs="宋体" w:eastAsia="宋体" w:hint="default"/>
                <w:sz w:val="18"/>
                <w:szCs w:val="18"/>
              </w:rPr>
              <w:t>③审计机构对公司的该年度财务报告出具标准无</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保留意见的审计报告。</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）在满足现金股利分配的条件下，若公司营收增</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长快速</w:t>
            </w:r>
            <w:r>
              <w:rPr>
                <w:rFonts w:ascii="宋体" w:hAnsi="宋体" w:cs="宋体" w:eastAsia="宋体" w:hint="default"/>
                <w:spacing w:val="-87"/>
                <w:sz w:val="18"/>
                <w:szCs w:val="18"/>
              </w:rPr>
              <w:t>，</w:t>
            </w:r>
            <w:r>
              <w:rPr>
                <w:rFonts w:ascii="宋体" w:hAnsi="宋体" w:cs="宋体" w:eastAsia="宋体" w:hint="default"/>
                <w:sz w:val="18"/>
                <w:szCs w:val="18"/>
              </w:rPr>
              <w:t>并且董事会认为公司股票价格与公司股本规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模不匹配时</w:t>
            </w:r>
            <w:r>
              <w:rPr>
                <w:rFonts w:ascii="宋体" w:hAnsi="宋体" w:cs="宋体" w:eastAsia="宋体" w:hint="default"/>
                <w:spacing w:val="-87"/>
                <w:sz w:val="18"/>
                <w:szCs w:val="18"/>
              </w:rPr>
              <w:t>，</w:t>
            </w:r>
            <w:r>
              <w:rPr>
                <w:rFonts w:ascii="宋体" w:hAnsi="宋体" w:cs="宋体" w:eastAsia="宋体" w:hint="default"/>
                <w:sz w:val="18"/>
                <w:szCs w:val="18"/>
              </w:rPr>
              <w:t>可以在保证最低现金分红比例和公司股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本规模合理的前提下</w:t>
            </w:r>
            <w:r>
              <w:rPr>
                <w:rFonts w:ascii="宋体" w:hAnsi="宋体" w:cs="宋体" w:eastAsia="宋体" w:hint="default"/>
                <w:spacing w:val="-87"/>
                <w:sz w:val="18"/>
                <w:szCs w:val="18"/>
              </w:rPr>
              <w:t>，</w:t>
            </w:r>
            <w:r>
              <w:rPr>
                <w:rFonts w:ascii="宋体" w:hAnsi="宋体" w:cs="宋体" w:eastAsia="宋体" w:hint="default"/>
                <w:sz w:val="18"/>
                <w:szCs w:val="18"/>
              </w:rPr>
              <w:t>为保持股本扩张与业绩增长相</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3.940002pt;margin-top:72.47998pt;width:27.85pt;height:695.4pt;mso-position-horizontal-relative:page;mso-position-vertical-relative:page;z-index:-1234456" coordorigin="9079,1450" coordsize="557,13908">
            <v:group style="position:absolute;left:9079;top:1450;width:557;height:5193" coordorigin="9079,1450" coordsize="557,5193">
              <v:shape style="position:absolute;left:9079;top:1450;width:557;height:5193" coordorigin="9079,1450" coordsize="557,5193" path="m9079,6642l9636,6642,9636,1450,9079,1450,9079,6642xe" filled="true" fillcolor="#ffffff" stroked="false">
                <v:path arrowok="t"/>
                <v:fill type="solid"/>
              </v:shape>
            </v:group>
            <v:group style="position:absolute;left:9079;top:6654;width:557;height:8704" coordorigin="9079,6654" coordsize="557,8704">
              <v:shape style="position:absolute;left:9079;top:6654;width:557;height:8704" coordorigin="9079,6654" coordsize="557,8704" path="m9079,15358l9636,15358,9636,6654,9079,6654,9079,15358xe" filled="true" fillcolor="#ffffff" stroked="false">
                <v:path arrowok="t"/>
                <v:fill type="solid"/>
              </v:shape>
            </v:group>
            <v:group style="position:absolute;left:9103;top:10341;width:512;height:353" coordorigin="9103,10341" coordsize="512,353">
              <v:shape style="position:absolute;left:9103;top:10341;width:512;height:353" coordorigin="9103,10341" coordsize="512,353" path="m9103,10693l9614,10693,9614,10341,9103,10341,9103,10693xe" filled="true" fillcolor="#ffffff" stroked="false">
                <v:path arrowok="t"/>
                <v:fill type="solid"/>
              </v:shape>
            </v:group>
            <v:group style="position:absolute;left:9103;top:10693;width:512;height:312" coordorigin="9103,10693" coordsize="512,312">
              <v:shape style="position:absolute;left:9103;top:10693;width:512;height:312" coordorigin="9103,10693" coordsize="512,312" path="m9103,11005l9614,11005,9614,10693,9103,10693,9103,11005xe" filled="true" fillcolor="#ffffff" stroked="false">
                <v:path arrowok="t"/>
                <v:fill type="solid"/>
              </v:shape>
            </v:group>
            <v:group style="position:absolute;left:9103;top:11005;width:512;height:312" coordorigin="9103,11005" coordsize="512,312">
              <v:shape style="position:absolute;left:9103;top:11005;width:512;height:312" coordorigin="9103,11005" coordsize="512,312" path="m9103,11317l9614,11317,9614,11005,9103,11005,9103,11317xe" filled="true" fillcolor="#ffffff" stroked="false">
                <v:path arrowok="t"/>
                <v:fill type="solid"/>
              </v:shape>
            </v:group>
            <v:group style="position:absolute;left:9103;top:11318;width:512;height:354" coordorigin="9103,11318" coordsize="512,354">
              <v:shape style="position:absolute;left:9103;top:11318;width:512;height:354" coordorigin="9103,11318" coordsize="512,354" path="m9103,11671l9614,11671,9614,11318,9103,11318,9103,1167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4"/>
      </w:tblGrid>
      <w:tr>
        <w:trPr>
          <w:trHeight w:val="5202"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2"/>
              <w:jc w:val="left"/>
              <w:rPr>
                <w:rFonts w:ascii="宋体" w:hAnsi="宋体" w:cs="宋体" w:eastAsia="宋体" w:hint="default"/>
                <w:sz w:val="18"/>
                <w:szCs w:val="18"/>
              </w:rPr>
            </w:pPr>
            <w:r>
              <w:rPr>
                <w:rFonts w:ascii="宋体" w:hAnsi="宋体" w:cs="宋体" w:eastAsia="宋体" w:hint="default"/>
                <w:spacing w:val="-4"/>
                <w:sz w:val="18"/>
                <w:szCs w:val="18"/>
              </w:rPr>
              <w:t>适应，提出并实施适当的股票股利分配预案，独立董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事应当对董事会提出的股票股利分配预案发表独立 意见。</w:t>
            </w:r>
          </w:p>
          <w:p>
            <w:pPr>
              <w:pStyle w:val="TableParagraph"/>
              <w:spacing w:line="314" w:lineRule="auto" w:before="59"/>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）公司在每个会计年度结束后，由董事会提出利 润分配预案。公司董事会在利润分配方案论证过程 </w:t>
            </w:r>
            <w:r>
              <w:rPr>
                <w:rFonts w:ascii="宋体" w:hAnsi="宋体" w:cs="宋体" w:eastAsia="宋体" w:hint="default"/>
                <w:spacing w:val="-4"/>
                <w:sz w:val="18"/>
                <w:szCs w:val="18"/>
              </w:rPr>
              <w:t>中，应与独立董事充分讨论，并通过多种渠道与股东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特别是中小股东进行沟通和交流。经公司二分之一以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上独立董事同意后，提交公司董事会、监事会审议</w:t>
            </w:r>
          </w:p>
          <w:p>
            <w:pPr>
              <w:pStyle w:val="TableParagraph"/>
              <w:spacing w:line="316" w:lineRule="auto" w:before="59"/>
              <w:ind w:left="24" w:right="22" w:firstLine="182"/>
              <w:jc w:val="left"/>
              <w:rPr>
                <w:rFonts w:ascii="宋体" w:hAnsi="宋体" w:cs="宋体" w:eastAsia="宋体" w:hint="default"/>
                <w:sz w:val="18"/>
                <w:szCs w:val="18"/>
              </w:rPr>
            </w:pPr>
            <w:r>
              <w:rPr>
                <w:rFonts w:ascii="宋体" w:hAnsi="宋体" w:cs="宋体" w:eastAsia="宋体" w:hint="default"/>
                <w:spacing w:val="-5"/>
                <w:sz w:val="18"/>
                <w:szCs w:val="18"/>
              </w:rPr>
              <w:t>公司董事会在制订利润分配预案时，应就公司发展</w:t>
            </w:r>
            <w:r>
              <w:rPr>
                <w:rFonts w:ascii="宋体" w:hAnsi="宋体" w:cs="宋体" w:eastAsia="宋体" w:hint="default"/>
                <w:sz w:val="18"/>
                <w:szCs w:val="18"/>
              </w:rPr>
              <w:t> 阶段和未来资金支出计划作出说明。</w:t>
            </w:r>
          </w:p>
          <w:p>
            <w:pPr>
              <w:pStyle w:val="TableParagraph"/>
              <w:spacing w:line="319" w:lineRule="auto" w:before="59"/>
              <w:ind w:left="24" w:right="22" w:firstLine="182"/>
              <w:jc w:val="left"/>
              <w:rPr>
                <w:rFonts w:ascii="宋体" w:hAnsi="宋体" w:cs="宋体" w:eastAsia="宋体" w:hint="default"/>
                <w:sz w:val="18"/>
                <w:szCs w:val="18"/>
              </w:rPr>
            </w:pPr>
            <w:r>
              <w:rPr>
                <w:rFonts w:ascii="宋体" w:hAnsi="宋体" w:cs="宋体" w:eastAsia="宋体" w:hint="default"/>
                <w:spacing w:val="-5"/>
                <w:sz w:val="18"/>
                <w:szCs w:val="18"/>
              </w:rPr>
              <w:t>董事会未作出年度现金利润分配预案的，应当在年</w:t>
            </w:r>
            <w:r>
              <w:rPr>
                <w:rFonts w:ascii="宋体" w:hAnsi="宋体" w:cs="宋体" w:eastAsia="宋体" w:hint="default"/>
                <w:sz w:val="18"/>
                <w:szCs w:val="18"/>
              </w:rPr>
              <w:t> 度报告中披露原因，独立董事应当对此发表独立意 见。</w:t>
            </w:r>
          </w:p>
          <w:p>
            <w:pPr>
              <w:pStyle w:val="TableParagraph"/>
              <w:spacing w:line="316" w:lineRule="auto" w:before="58"/>
              <w:ind w:left="24" w:right="23" w:firstLine="182"/>
              <w:jc w:val="left"/>
              <w:rPr>
                <w:rFonts w:ascii="宋体" w:hAnsi="宋体" w:cs="宋体" w:eastAsia="宋体" w:hint="default"/>
                <w:sz w:val="18"/>
                <w:szCs w:val="18"/>
              </w:rPr>
            </w:pPr>
            <w:r>
              <w:rPr>
                <w:rFonts w:ascii="宋体" w:hAnsi="宋体" w:cs="宋体" w:eastAsia="宋体" w:hint="default"/>
                <w:sz w:val="18"/>
                <w:szCs w:val="18"/>
              </w:rPr>
              <w:t>公司董事会须在股东大会召开后两个月内完成股 </w:t>
            </w:r>
            <w:r>
              <w:rPr>
                <w:rFonts w:ascii="宋体" w:hAnsi="宋体" w:cs="宋体" w:eastAsia="宋体" w:hint="default"/>
                <w:spacing w:val="-4"/>
                <w:sz w:val="18"/>
                <w:szCs w:val="18"/>
              </w:rPr>
              <w:t>利的派发事项。公司接受所有股东、独立董事、监事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和公众投资者对公司分红的建议和监督。</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871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蒋鹂北</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关于 同业 竞 争、 关联 交 易、 资金 占用 方面 的承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4" w:right="24"/>
              <w:jc w:val="left"/>
              <w:rPr>
                <w:rFonts w:ascii="宋体" w:hAnsi="宋体" w:cs="宋体" w:eastAsia="宋体" w:hint="default"/>
                <w:sz w:val="18"/>
                <w:szCs w:val="18"/>
              </w:rPr>
            </w:pPr>
            <w:r>
              <w:rPr>
                <w:rFonts w:ascii="宋体" w:hAnsi="宋体" w:cs="宋体" w:eastAsia="宋体" w:hint="default"/>
                <w:sz w:val="18"/>
                <w:szCs w:val="18"/>
              </w:rPr>
              <w:t>公司实际控制人李建国先生和蒋鹂北女士承诺如下 </w:t>
            </w:r>
            <w:r>
              <w:rPr>
                <w:rFonts w:ascii="宋体" w:hAnsi="宋体" w:cs="宋体" w:eastAsia="宋体" w:hint="default"/>
                <w:spacing w:val="-4"/>
                <w:sz w:val="18"/>
                <w:szCs w:val="18"/>
              </w:rPr>
              <w:t>本人控制的企业（发行人及其子公司除外）目前并没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有以任何形式从事或参与与发行人及其子公司主营</w:t>
            </w:r>
          </w:p>
          <w:p>
            <w:pPr>
              <w:pStyle w:val="TableParagraph"/>
              <w:spacing w:line="316" w:lineRule="auto" w:before="2"/>
              <w:ind w:left="24" w:right="22"/>
              <w:jc w:val="left"/>
              <w:rPr>
                <w:rFonts w:ascii="宋体" w:hAnsi="宋体" w:cs="宋体" w:eastAsia="宋体" w:hint="default"/>
                <w:sz w:val="18"/>
                <w:szCs w:val="18"/>
              </w:rPr>
            </w:pPr>
            <w:r>
              <w:rPr>
                <w:rFonts w:ascii="宋体" w:hAnsi="宋体" w:cs="宋体" w:eastAsia="宋体" w:hint="default"/>
                <w:sz w:val="18"/>
                <w:szCs w:val="18"/>
              </w:rPr>
              <w:t>业务构成或可能构成直接或间接竞争关系的业务或 </w:t>
            </w:r>
            <w:r>
              <w:rPr>
                <w:rFonts w:ascii="宋体" w:hAnsi="宋体" w:cs="宋体" w:eastAsia="宋体" w:hint="default"/>
                <w:spacing w:val="-4"/>
                <w:sz w:val="18"/>
                <w:szCs w:val="18"/>
              </w:rPr>
              <w:t>活动。本人保证本人及本人实际控制的除发行人及其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子公司以外的其他企业将不会在中国境内或境外以 </w:t>
            </w:r>
            <w:r>
              <w:rPr>
                <w:rFonts w:ascii="宋体" w:hAnsi="宋体" w:cs="宋体" w:eastAsia="宋体" w:hint="default"/>
                <w:spacing w:val="-4"/>
                <w:sz w:val="18"/>
                <w:szCs w:val="18"/>
              </w:rPr>
              <w:t>任何方式（包括但不限于单独经营、通过合资经营或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拥有另一公司或企业的股权及其它权益）直接或间接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从事或参与任何与发行人及其子公司构成竞争的任 </w:t>
            </w:r>
            <w:r>
              <w:rPr>
                <w:rFonts w:ascii="宋体" w:hAnsi="宋体" w:cs="宋体" w:eastAsia="宋体" w:hint="default"/>
                <w:spacing w:val="-4"/>
                <w:sz w:val="18"/>
                <w:szCs w:val="18"/>
              </w:rPr>
              <w:t>何业务或活动，不以任何方式从事或参与任何与发行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人及其子公司业务相同、相似或可能取代发行人及其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子公司业务的活动。本人如从任何第三方获得的商业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机会与发行人及其子公司经营的业务有竞争或可能 </w:t>
            </w:r>
            <w:r>
              <w:rPr>
                <w:rFonts w:ascii="宋体" w:hAnsi="宋体" w:cs="宋体" w:eastAsia="宋体" w:hint="default"/>
                <w:spacing w:val="-4"/>
                <w:sz w:val="18"/>
                <w:szCs w:val="18"/>
              </w:rPr>
              <w:t>竞争，本人将立即通知发行人，并将该商业机会让予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发行人或其子公司。本人承诺不利用任何方式从事影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响或可能影响发行人及其子公司经营、发展的业务或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活动。</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38" w:lineRule="auto"/>
              <w:ind w:left="24" w:right="24"/>
              <w:jc w:val="left"/>
              <w:rPr>
                <w:rFonts w:ascii="宋体" w:hAnsi="宋体" w:cs="宋体" w:eastAsia="宋体" w:hint="default"/>
                <w:sz w:val="18"/>
                <w:szCs w:val="18"/>
              </w:rPr>
            </w:pPr>
            <w:r>
              <w:rPr>
                <w:rFonts w:ascii="宋体" w:hAnsi="宋体" w:cs="宋体" w:eastAsia="宋体" w:hint="default"/>
                <w:spacing w:val="-4"/>
                <w:sz w:val="18"/>
                <w:szCs w:val="18"/>
              </w:rPr>
              <w:t>控股股东、实际控制人李建国先生就减少及规范关联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交易作出以下承诺：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、本人将严格按照《公司法》等法律法规以及《公</w:t>
            </w:r>
          </w:p>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司章程》等有关规定行使股东权利，不利用股东的地</w:t>
            </w:r>
          </w:p>
          <w:p>
            <w:pPr>
              <w:pStyle w:val="TableParagraph"/>
              <w:spacing w:line="316" w:lineRule="auto" w:before="76"/>
              <w:ind w:left="24" w:right="24"/>
              <w:jc w:val="left"/>
              <w:rPr>
                <w:rFonts w:ascii="宋体" w:hAnsi="宋体" w:cs="宋体" w:eastAsia="宋体" w:hint="default"/>
                <w:sz w:val="18"/>
                <w:szCs w:val="18"/>
              </w:rPr>
            </w:pPr>
            <w:r>
              <w:rPr>
                <w:rFonts w:ascii="宋体" w:hAnsi="宋体" w:cs="宋体" w:eastAsia="宋体" w:hint="default"/>
                <w:spacing w:val="-4"/>
                <w:sz w:val="18"/>
                <w:szCs w:val="18"/>
              </w:rPr>
              <w:t>位谋取不当的利益，不损害公司及其中小股东的合法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权益；</w:t>
            </w:r>
          </w:p>
          <w:p>
            <w:pPr>
              <w:pStyle w:val="TableParagraph"/>
              <w:spacing w:line="300" w:lineRule="auto" w:before="59"/>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、在股东大会对有关涉及本人事项的关联交易进行 表决时，履行回避表决的义务；</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、在任何情况下，不要求公司向本人提供任何形式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23" w:right="170"/>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58.769989pt;margin-top:72.47998pt;width:223.05pt;height:472.55pt;mso-position-horizontal-relative:page;mso-position-vertical-relative:page;z-index:-1234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6"/>
                      <w:szCs w:val="26"/>
                    </w:rPr>
                  </w:pPr>
                </w:p>
                <w:p>
                  <w:pPr>
                    <w:spacing w:before="0"/>
                    <w:ind w:left="0" w:right="498" w:firstLine="0"/>
                    <w:jc w:val="right"/>
                    <w:rPr>
                      <w:rFonts w:ascii="宋体" w:hAnsi="宋体" w:cs="宋体" w:eastAsia="宋体" w:hint="default"/>
                      <w:sz w:val="18"/>
                      <w:szCs w:val="18"/>
                    </w:rPr>
                  </w:pPr>
                  <w:r>
                    <w:rPr>
                      <w:rFonts w:ascii="宋体" w:hAnsi="宋体" w:cs="宋体" w:eastAsia="宋体" w:hint="default"/>
                      <w:sz w:val="18"/>
                      <w:szCs w:val="18"/>
                    </w:rPr>
                    <w:t>对于无法避免或者有合理原因而发生的关联交易，</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5"/>
                    <w:ind w:left="0" w:right="497" w:firstLine="0"/>
                    <w:jc w:val="right"/>
                    <w:rPr>
                      <w:rFonts w:ascii="宋体" w:hAnsi="宋体" w:cs="宋体" w:eastAsia="宋体" w:hint="default"/>
                      <w:sz w:val="18"/>
                      <w:szCs w:val="18"/>
                    </w:rPr>
                  </w:pPr>
                  <w:r>
                    <w:rPr>
                      <w:rFonts w:ascii="宋体" w:hAnsi="宋体" w:cs="宋体" w:eastAsia="宋体" w:hint="default"/>
                      <w:sz w:val="18"/>
                      <w:szCs w:val="18"/>
                    </w:rPr>
                    <w:t>易，</w:t>
                  </w:r>
                </w:p>
              </w:txbxContent>
            </v:textbox>
            <w10:wrap type="none"/>
          </v:shape>
        </w:pict>
      </w:r>
      <w:r>
        <w:rPr/>
        <w:pict>
          <v:group style="position:absolute;margin-left:453.940002pt;margin-top:72.47998pt;width:27.85pt;height:472.55pt;mso-position-horizontal-relative:page;mso-position-vertical-relative:page;z-index:-1234408" coordorigin="9079,1450" coordsize="557,9451">
            <v:shape style="position:absolute;left:9079;top:1450;width:557;height:9451" coordorigin="9079,1450" coordsize="557,9451" path="m9079,10900l9636,10900,9636,1450,9079,1450,9079,10900xe" filled="true" fillcolor="#ffffff" stroked="false">
              <v:path arrowok="t"/>
              <v:fill type="solid"/>
            </v:shape>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7"/>
      </w:tblGrid>
      <w:tr>
        <w:trPr>
          <w:trHeight w:val="9460"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的担保，不占用公司资源、资金；</w:t>
            </w:r>
          </w:p>
          <w:p>
            <w:pPr>
              <w:pStyle w:val="TableParagraph"/>
              <w:spacing w:line="309" w:lineRule="auto" w:before="117"/>
              <w:ind w:left="24"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、在本人作为发行人控股股东、实际控制人期间， 本人及附属企业尽量避免与发行人之间不必要的关 联交易发生；</w:t>
            </w:r>
          </w:p>
          <w:p>
            <w:pPr>
              <w:pStyle w:val="TableParagraph"/>
              <w:spacing w:line="314" w:lineRule="auto" w:before="62"/>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宋体" w:hAnsi="宋体" w:cs="宋体" w:eastAsia="宋体" w:hint="default"/>
                <w:spacing w:val="-4"/>
                <w:sz w:val="18"/>
                <w:szCs w:val="18"/>
              </w:rPr>
              <w:t>将遵循市场公正、公平、公开的原则，并依法签订协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议，履行合法程序，按照《公司章程》、有关法律法</w:t>
            </w:r>
            <w:r>
              <w:rPr>
                <w:rFonts w:ascii="宋体" w:hAnsi="宋体" w:cs="宋体" w:eastAsia="宋体" w:hint="default"/>
                <w:sz w:val="18"/>
                <w:szCs w:val="18"/>
              </w:rPr>
              <w:t> </w:t>
            </w:r>
            <w:r>
              <w:rPr>
                <w:rFonts w:ascii="宋体" w:hAnsi="宋体" w:cs="宋体" w:eastAsia="宋体" w:hint="default"/>
                <w:spacing w:val="-4"/>
                <w:sz w:val="18"/>
                <w:szCs w:val="18"/>
              </w:rPr>
              <w:t>规和证券交易所的有关规定履行信息披露义务，保证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不通过关联交易损害公司及其他股东的合法权益；</w:t>
            </w:r>
          </w:p>
          <w:p>
            <w:pPr>
              <w:pStyle w:val="TableParagraph"/>
              <w:spacing w:line="309" w:lineRule="auto" w:before="61"/>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、如违反上述承诺与发行人进行交易而给发行人及 </w:t>
            </w:r>
            <w:r>
              <w:rPr>
                <w:rFonts w:ascii="宋体" w:hAnsi="宋体" w:cs="宋体" w:eastAsia="宋体" w:hint="default"/>
                <w:spacing w:val="-4"/>
                <w:sz w:val="18"/>
                <w:szCs w:val="18"/>
              </w:rPr>
              <w:t>其他股东造成损失的，本人将依法承担相应的赔偿责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实际控制人蒋鹂北女士就减少及规范关联交易作出 以下承诺：</w:t>
            </w:r>
          </w:p>
          <w:p>
            <w:pPr>
              <w:pStyle w:val="TableParagraph"/>
              <w:spacing w:line="312" w:lineRule="auto" w:before="5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、在任何情况下，不要求公司向本人提供任何形式 </w:t>
            </w:r>
            <w:r>
              <w:rPr>
                <w:rFonts w:ascii="宋体" w:hAnsi="宋体" w:cs="宋体" w:eastAsia="宋体" w:hint="default"/>
                <w:spacing w:val="-4"/>
                <w:sz w:val="18"/>
                <w:szCs w:val="18"/>
              </w:rPr>
              <w:t>的担保，不占用公司资源、资金；不利用实际控制人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的地位谋取不当的利益，不损害公司及其中小股东的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合法权益；</w:t>
            </w:r>
          </w:p>
          <w:p>
            <w:pPr>
              <w:pStyle w:val="TableParagraph"/>
              <w:spacing w:line="300" w:lineRule="auto" w:before="63"/>
              <w:ind w:left="24"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、在本人作为发行人实际控制人期间，本人及附属 企业尽量避免与发行人之间不必要的关联交易发生</w:t>
            </w:r>
          </w:p>
          <w:p>
            <w:pPr>
              <w:pStyle w:val="TableParagraph"/>
              <w:spacing w:line="314" w:lineRule="auto" w:before="70"/>
              <w:ind w:left="24"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、对于无法避免或者有合理原因而发生的关联交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将遵循市场公正、公平、公开的原则，并依法签订协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议，履行合法程序，按照《公司章程》、有关法律法</w:t>
            </w:r>
            <w:r>
              <w:rPr>
                <w:rFonts w:ascii="宋体" w:hAnsi="宋体" w:cs="宋体" w:eastAsia="宋体" w:hint="default"/>
                <w:sz w:val="18"/>
                <w:szCs w:val="18"/>
              </w:rPr>
              <w:t> </w:t>
            </w:r>
            <w:r>
              <w:rPr>
                <w:rFonts w:ascii="宋体" w:hAnsi="宋体" w:cs="宋体" w:eastAsia="宋体" w:hint="default"/>
                <w:spacing w:val="-4"/>
                <w:sz w:val="18"/>
                <w:szCs w:val="18"/>
              </w:rPr>
              <w:t>规和证券交易所的有关规定履行信息披露义务，保证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不通过关联交易损害公司及其他股东的合法权益；</w:t>
            </w:r>
          </w:p>
          <w:p>
            <w:pPr>
              <w:pStyle w:val="TableParagraph"/>
              <w:spacing w:line="309" w:lineRule="auto" w:before="61"/>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、如违反上述承诺与发行人进行交易而给发行人及 </w:t>
            </w:r>
            <w:r>
              <w:rPr>
                <w:rFonts w:ascii="宋体" w:hAnsi="宋体" w:cs="宋体" w:eastAsia="宋体" w:hint="default"/>
                <w:spacing w:val="-4"/>
                <w:sz w:val="18"/>
                <w:szCs w:val="18"/>
              </w:rPr>
              <w:t>其他股东造成损失的，本人将依法承担相应的赔偿责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418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00" w:lineRule="auto"/>
              <w:ind w:left="23" w:right="23"/>
              <w:jc w:val="both"/>
              <w:rPr>
                <w:rFonts w:ascii="宋体" w:hAnsi="宋体" w:cs="宋体" w:eastAsia="宋体" w:hint="default"/>
                <w:sz w:val="18"/>
                <w:szCs w:val="18"/>
              </w:rPr>
            </w:pPr>
            <w:r>
              <w:rPr>
                <w:rFonts w:ascii="宋体" w:hAnsi="宋体" w:cs="宋体" w:eastAsia="宋体" w:hint="default"/>
                <w:sz w:val="18"/>
                <w:szCs w:val="18"/>
              </w:rPr>
              <w:t>方培豪</w:t>
            </w:r>
            <w:r>
              <w:rPr>
                <w:rFonts w:ascii="Times New Roman" w:hAnsi="Times New Roman" w:cs="Times New Roman" w:eastAsia="Times New Roman" w:hint="default"/>
                <w:sz w:val="18"/>
                <w:szCs w:val="18"/>
              </w:rPr>
              <w:t>;</w:t>
            </w:r>
            <w:r>
              <w:rPr>
                <w:rFonts w:ascii="宋体" w:hAnsi="宋体" w:cs="宋体" w:eastAsia="宋体" w:hint="default"/>
                <w:sz w:val="18"/>
                <w:szCs w:val="18"/>
              </w:rPr>
              <w:t>胡永乐</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r>
              <w:rPr>
                <w:rFonts w:ascii="Times New Roman" w:hAnsi="Times New Roman" w:cs="Times New Roman" w:eastAsia="Times New Roman" w:hint="default"/>
                <w:sz w:val="18"/>
                <w:szCs w:val="18"/>
              </w:rPr>
              <w:t>;</w:t>
            </w:r>
            <w:r>
              <w:rPr>
                <w:rFonts w:ascii="宋体" w:hAnsi="宋体" w:cs="宋体" w:eastAsia="宋体" w:hint="default"/>
                <w:sz w:val="18"/>
                <w:szCs w:val="18"/>
              </w:rPr>
              <w:t>梁姬</w:t>
            </w:r>
            <w:r>
              <w:rPr>
                <w:rFonts w:ascii="Times New Roman" w:hAnsi="Times New Roman" w:cs="Times New Roman" w:eastAsia="Times New Roman" w:hint="default"/>
                <w:sz w:val="18"/>
                <w:szCs w:val="18"/>
              </w:rPr>
              <w:t>; </w:t>
            </w:r>
            <w:r>
              <w:rPr>
                <w:rFonts w:ascii="宋体" w:hAnsi="宋体" w:cs="宋体" w:eastAsia="宋体" w:hint="default"/>
                <w:sz w:val="18"/>
                <w:szCs w:val="18"/>
              </w:rPr>
              <w:t>润建通信股份有限公司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沈湘 平</w:t>
            </w:r>
            <w:r>
              <w:rPr>
                <w:rFonts w:ascii="Times New Roman" w:hAnsi="Times New Roman" w:cs="Times New Roman" w:eastAsia="Times New Roman" w:hint="default"/>
                <w:sz w:val="18"/>
                <w:szCs w:val="18"/>
              </w:rPr>
              <w:t>;</w:t>
            </w:r>
            <w:r>
              <w:rPr>
                <w:rFonts w:ascii="宋体" w:hAnsi="宋体" w:cs="宋体" w:eastAsia="宋体" w:hint="default"/>
                <w:sz w:val="18"/>
                <w:szCs w:val="18"/>
              </w:rPr>
              <w:t>许文杰</w:t>
            </w:r>
            <w:r>
              <w:rPr>
                <w:rFonts w:ascii="Times New Roman" w:hAnsi="Times New Roman" w:cs="Times New Roman" w:eastAsia="Times New Roman" w:hint="default"/>
                <w:sz w:val="18"/>
                <w:szCs w:val="18"/>
              </w:rPr>
              <w:t>;</w:t>
            </w:r>
            <w:r>
              <w:rPr>
                <w:rFonts w:ascii="宋体" w:hAnsi="宋体" w:cs="宋体" w:eastAsia="宋体" w:hint="default"/>
                <w:sz w:val="18"/>
                <w:szCs w:val="18"/>
              </w:rPr>
              <w:t>杨兆云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IPO</w:t>
            </w:r>
          </w:p>
          <w:p>
            <w:pPr>
              <w:pStyle w:val="TableParagraph"/>
              <w:spacing w:line="316" w:lineRule="auto" w:before="63"/>
              <w:ind w:left="23" w:right="29"/>
              <w:jc w:val="both"/>
              <w:rPr>
                <w:rFonts w:ascii="宋体" w:hAnsi="宋体" w:cs="宋体" w:eastAsia="宋体" w:hint="default"/>
                <w:sz w:val="18"/>
                <w:szCs w:val="18"/>
              </w:rPr>
            </w:pPr>
            <w:r>
              <w:rPr>
                <w:rFonts w:ascii="宋体" w:hAnsi="宋体" w:cs="宋体" w:eastAsia="宋体" w:hint="default"/>
                <w:sz w:val="18"/>
                <w:szCs w:val="18"/>
              </w:rPr>
              <w:t>稳定 股价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（一）股价稳定措施的启动和停止</w:t>
            </w: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、启动条件及程序</w:t>
            </w:r>
          </w:p>
          <w:p>
            <w:pPr>
              <w:pStyle w:val="TableParagraph"/>
              <w:spacing w:line="309" w:lineRule="auto" w:before="104"/>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）启动条件：公司自本次发行并上市之日起三年 内，一旦出现连续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个交易日公司股票收盘价均低 于公司上一个会计年度末经审计的每股净资产情形 时（每股净资产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合并财务报表中归属于母公司普通 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年末公司股份总数；若因除权除 息等事项致使上述股票收盘价与公司上一会计年度 </w:t>
            </w:r>
            <w:r>
              <w:rPr>
                <w:rFonts w:ascii="宋体" w:hAnsi="宋体" w:cs="宋体" w:eastAsia="宋体" w:hint="default"/>
                <w:spacing w:val="-4"/>
                <w:sz w:val="18"/>
                <w:szCs w:val="18"/>
              </w:rPr>
              <w:t>末经审计的每股净资产不具可比性的，上述股票收盘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价应做相应调整，下同），公司将采取如公司回购股</w:t>
            </w:r>
            <w:r>
              <w:rPr>
                <w:rFonts w:ascii="宋体" w:hAnsi="宋体" w:cs="宋体" w:eastAsia="宋体" w:hint="default"/>
                <w:sz w:val="18"/>
                <w:szCs w:val="18"/>
              </w:rPr>
              <w:t> 份、公司控股股东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董事（独立董事除外）</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 人员增持公司股份等一项或者多项措施稳定公司股 </w:t>
            </w:r>
            <w:r>
              <w:rPr>
                <w:rFonts w:ascii="宋体" w:hAnsi="宋体" w:cs="宋体" w:eastAsia="宋体" w:hint="default"/>
                <w:spacing w:val="-4"/>
                <w:sz w:val="18"/>
                <w:szCs w:val="18"/>
              </w:rPr>
              <w:t>价，并保证该等股价稳定措施实施后，公司的股权分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3.940002pt;margin-top:72.47998pt;width:27.85pt;height:683.3pt;mso-position-horizontal-relative:page;mso-position-vertical-relative:page;z-index:-1234384" coordorigin="9079,1450" coordsize="557,13666">
            <v:shape style="position:absolute;left:9079;top:1450;width:557;height:13666" coordorigin="9079,1450" coordsize="557,13666" path="m9079,15115l9636,15115,9636,1450,9079,1450,9079,15115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4"/>
      </w:tblGrid>
      <w:tr>
        <w:trPr>
          <w:trHeight w:val="338"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布仍符合上市条件。</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）稳定股价具体方案的审议程序：公司应当在前</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述稳定股价措施的启动条件成立后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个交易日内召</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开董事会、</w:t>
            </w:r>
            <w:r>
              <w:rPr>
                <w:rFonts w:ascii="Times New Roman" w:hAnsi="Times New Roman" w:cs="Times New Roman" w:eastAsia="Times New Roman" w:hint="default"/>
                <w:sz w:val="18"/>
                <w:szCs w:val="18"/>
              </w:rPr>
              <w:t>25 </w:t>
            </w:r>
            <w:r>
              <w:rPr>
                <w:rFonts w:ascii="宋体" w:hAnsi="宋体" w:cs="宋体" w:eastAsia="宋体" w:hint="default"/>
                <w:sz w:val="18"/>
                <w:szCs w:val="18"/>
              </w:rPr>
              <w:t>个交易日内召开股东大会，审议稳定</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股价具体方案</w:t>
            </w:r>
            <w:r>
              <w:rPr>
                <w:rFonts w:ascii="宋体" w:hAnsi="宋体" w:cs="宋体" w:eastAsia="宋体" w:hint="default"/>
                <w:spacing w:val="-87"/>
                <w:sz w:val="18"/>
                <w:szCs w:val="18"/>
              </w:rPr>
              <w:t>。</w:t>
            </w:r>
            <w:r>
              <w:rPr>
                <w:rFonts w:ascii="宋体" w:hAnsi="宋体" w:cs="宋体" w:eastAsia="宋体" w:hint="default"/>
                <w:sz w:val="18"/>
                <w:szCs w:val="18"/>
              </w:rPr>
              <w:t>相关责任方应在股东大会审议通过该</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等方案后的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个交易日内</w:t>
            </w:r>
            <w:r>
              <w:rPr>
                <w:rFonts w:ascii="宋体" w:hAnsi="宋体" w:cs="宋体" w:eastAsia="宋体" w:hint="default"/>
                <w:spacing w:val="-87"/>
                <w:sz w:val="18"/>
                <w:szCs w:val="18"/>
              </w:rPr>
              <w:t>，</w:t>
            </w:r>
            <w:r>
              <w:rPr>
                <w:rFonts w:ascii="宋体" w:hAnsi="宋体" w:cs="宋体" w:eastAsia="宋体" w:hint="default"/>
                <w:sz w:val="18"/>
                <w:szCs w:val="18"/>
              </w:rPr>
              <w:t>启</w:t>
            </w:r>
            <w:r>
              <w:rPr>
                <w:rFonts w:ascii="宋体" w:hAnsi="宋体" w:cs="宋体" w:eastAsia="宋体" w:hint="default"/>
                <w:spacing w:val="-3"/>
                <w:sz w:val="18"/>
                <w:szCs w:val="18"/>
              </w:rPr>
              <w:t>动</w:t>
            </w:r>
            <w:r>
              <w:rPr>
                <w:rFonts w:ascii="宋体" w:hAnsi="宋体" w:cs="宋体" w:eastAsia="宋体" w:hint="default"/>
                <w:sz w:val="18"/>
                <w:szCs w:val="18"/>
              </w:rPr>
              <w:t>稳定股价具体方案的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6"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、停止条件</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在经股东大会审议通过的稳定股价具体方案正式公</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告之日起至其实施完毕之日的期间内，如在连续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个交易日内</w:t>
            </w:r>
            <w:r>
              <w:rPr>
                <w:rFonts w:ascii="宋体" w:hAnsi="宋体" w:cs="宋体" w:eastAsia="宋体" w:hint="default"/>
                <w:spacing w:val="-87"/>
                <w:sz w:val="18"/>
                <w:szCs w:val="18"/>
              </w:rPr>
              <w:t>，</w:t>
            </w:r>
            <w:r>
              <w:rPr>
                <w:rFonts w:ascii="宋体" w:hAnsi="宋体" w:cs="宋体" w:eastAsia="宋体" w:hint="default"/>
                <w:sz w:val="18"/>
                <w:szCs w:val="18"/>
              </w:rPr>
              <w:t>公司股票收盘价均不低于公司上一个会</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计年度末经审计的每股净资产时</w:t>
            </w:r>
            <w:r>
              <w:rPr>
                <w:rFonts w:ascii="宋体" w:hAnsi="宋体" w:cs="宋体" w:eastAsia="宋体" w:hint="default"/>
                <w:spacing w:val="-87"/>
                <w:sz w:val="18"/>
                <w:szCs w:val="18"/>
              </w:rPr>
              <w:t>，</w:t>
            </w:r>
            <w:r>
              <w:rPr>
                <w:rFonts w:ascii="宋体" w:hAnsi="宋体" w:cs="宋体" w:eastAsia="宋体" w:hint="default"/>
                <w:sz w:val="18"/>
                <w:szCs w:val="18"/>
              </w:rPr>
              <w:t>将停止实施稳定股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价具体方案。</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（二）稳定股价的具体措施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、公司回购股份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公司根据股东大会审议通过的稳定股价具体方案而</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回购股份的，应当符合《上市公司回购社会公众股份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管理办法（试行</w:t>
            </w:r>
            <w:r>
              <w:rPr>
                <w:rFonts w:ascii="宋体" w:hAnsi="宋体" w:cs="宋体" w:eastAsia="宋体" w:hint="default"/>
                <w:spacing w:val="-92"/>
                <w:sz w:val="18"/>
                <w:szCs w:val="18"/>
              </w:rPr>
              <w:t>）</w:t>
            </w:r>
            <w:r>
              <w:rPr>
                <w:rFonts w:ascii="宋体" w:hAnsi="宋体" w:cs="宋体" w:eastAsia="宋体" w:hint="default"/>
                <w:sz w:val="18"/>
                <w:szCs w:val="18"/>
              </w:rPr>
              <w:t>》等法律、</w:t>
            </w:r>
            <w:r>
              <w:rPr>
                <w:rFonts w:ascii="宋体" w:hAnsi="宋体" w:cs="宋体" w:eastAsia="宋体" w:hint="default"/>
                <w:spacing w:val="2"/>
                <w:sz w:val="18"/>
                <w:szCs w:val="18"/>
              </w:rPr>
              <w:t>法</w:t>
            </w:r>
            <w:r>
              <w:rPr>
                <w:rFonts w:ascii="宋体" w:hAnsi="宋体" w:cs="宋体" w:eastAsia="宋体" w:hint="default"/>
                <w:sz w:val="18"/>
                <w:szCs w:val="18"/>
              </w:rPr>
              <w:t>规、规范性文件和公</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司章程的规定</w:t>
            </w:r>
            <w:r>
              <w:rPr>
                <w:rFonts w:ascii="宋体" w:hAnsi="宋体" w:cs="宋体" w:eastAsia="宋体" w:hint="default"/>
                <w:spacing w:val="-87"/>
                <w:sz w:val="18"/>
                <w:szCs w:val="18"/>
              </w:rPr>
              <w:t>，</w:t>
            </w:r>
            <w:r>
              <w:rPr>
                <w:rFonts w:ascii="宋体" w:hAnsi="宋体" w:cs="宋体" w:eastAsia="宋体" w:hint="default"/>
                <w:sz w:val="18"/>
                <w:szCs w:val="18"/>
              </w:rPr>
              <w:t>并按照该等规定的要求履行有关向社</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会公众股东回购公司股份的具体程序。</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3"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公司回购股份的方式为集中竞价交易方式</w:t>
            </w:r>
            <w:r>
              <w:rPr>
                <w:rFonts w:ascii="宋体" w:hAnsi="宋体" w:cs="宋体" w:eastAsia="宋体" w:hint="default"/>
                <w:spacing w:val="-87"/>
                <w:sz w:val="18"/>
                <w:szCs w:val="18"/>
              </w:rPr>
              <w:t>、</w:t>
            </w:r>
            <w:r>
              <w:rPr>
                <w:rFonts w:ascii="宋体" w:hAnsi="宋体" w:cs="宋体" w:eastAsia="宋体" w:hint="default"/>
                <w:sz w:val="18"/>
                <w:szCs w:val="18"/>
              </w:rPr>
              <w:t>要约方式</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或中国证监会认可的其他方式。</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如公司采取回购股份的稳定股价措施</w:t>
            </w:r>
            <w:r>
              <w:rPr>
                <w:rFonts w:ascii="宋体" w:hAnsi="宋体" w:cs="宋体" w:eastAsia="宋体" w:hint="default"/>
                <w:spacing w:val="-87"/>
                <w:sz w:val="18"/>
                <w:szCs w:val="18"/>
              </w:rPr>
              <w:t>，</w:t>
            </w:r>
            <w:r>
              <w:rPr>
                <w:rFonts w:ascii="宋体" w:hAnsi="宋体" w:cs="宋体" w:eastAsia="宋体" w:hint="default"/>
                <w:sz w:val="18"/>
                <w:szCs w:val="18"/>
              </w:rPr>
              <w:t>应遵循下述原</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）公司用于回购股份的资金总额累计不超过公司</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首次公开发行新股所募集资金的总额；</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）单次用于回购股份的资金金额不高于上一个会</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计年度经审计的归属于母公司所有者的净利润的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6"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）单一会计年度用于回购股份的资金金额合计不</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超过上一会计年度经审计的归属于母公司所有者的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8"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15" w:right="0"/>
              <w:jc w:val="left"/>
              <w:rPr>
                <w:rFonts w:ascii="宋体" w:hAnsi="宋体" w:cs="宋体" w:eastAsia="宋体" w:hint="default"/>
                <w:sz w:val="18"/>
                <w:szCs w:val="18"/>
              </w:rPr>
            </w:pPr>
            <w:r>
              <w:rPr>
                <w:rFonts w:ascii="宋体" w:hAnsi="宋体" w:cs="宋体" w:eastAsia="宋体" w:hint="default"/>
                <w:sz w:val="18"/>
                <w:szCs w:val="18"/>
              </w:rPr>
              <w:t>超过上述标准的，本项股价稳定措施在当年度不再</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继续实施。但如下一年度继续出现稳定股价情形的</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公司将继续按照上述原则执行。</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、控股股东增持股份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6"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根据公司控股股东出具的承诺函</w:t>
            </w:r>
            <w:r>
              <w:rPr>
                <w:rFonts w:ascii="宋体" w:hAnsi="宋体" w:cs="宋体" w:eastAsia="宋体" w:hint="default"/>
                <w:spacing w:val="-87"/>
                <w:sz w:val="18"/>
                <w:szCs w:val="18"/>
              </w:rPr>
              <w:t>，</w:t>
            </w:r>
            <w:r>
              <w:rPr>
                <w:rFonts w:ascii="宋体" w:hAnsi="宋体" w:cs="宋体" w:eastAsia="宋体" w:hint="default"/>
                <w:sz w:val="18"/>
                <w:szCs w:val="18"/>
              </w:rPr>
              <w:t>若稳定股价具体方</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案涉及控股股东增持股份措施的</w:t>
            </w:r>
            <w:r>
              <w:rPr>
                <w:rFonts w:ascii="宋体" w:hAnsi="宋体" w:cs="宋体" w:eastAsia="宋体" w:hint="default"/>
                <w:spacing w:val="-87"/>
                <w:sz w:val="18"/>
                <w:szCs w:val="18"/>
              </w:rPr>
              <w:t>，</w:t>
            </w:r>
            <w:r>
              <w:rPr>
                <w:rFonts w:ascii="宋体" w:hAnsi="宋体" w:cs="宋体" w:eastAsia="宋体" w:hint="default"/>
                <w:sz w:val="18"/>
                <w:szCs w:val="18"/>
              </w:rPr>
              <w:t>则在实施完毕稳定</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股价具体方案中的公司回购股份措施后，连续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交易日每日股票收盘价均低于最近一期经审计的每</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股净资产（审计基准日后发生权益分派、公积金转增</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股本、配股等情况的，应做除权、除息处理</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公司</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3.940002pt;margin-top:72.47998pt;width:27.85pt;height:694.95pt;mso-position-horizontal-relative:page;mso-position-vertical-relative:page;z-index:-1234360" coordorigin="9079,1450" coordsize="557,13899">
            <v:shape style="position:absolute;left:9079;top:1450;width:557;height:13899" coordorigin="9079,1450" coordsize="557,13899" path="m9079,15348l9636,15348,9636,1450,9079,1450,9079,15348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4"/>
      </w:tblGrid>
      <w:tr>
        <w:trPr>
          <w:trHeight w:val="317"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控股股东根据法律、法规、规范性文件和公司章程的</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规定以增持公司股票的形式稳定公司股价。</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公司控股股东以增持公司股票的形式稳定公司股价</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遵循下述规则：</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6"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）在股东大会审议通过的单个稳定股价具体方案</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87"/>
                <w:sz w:val="18"/>
                <w:szCs w:val="18"/>
              </w:rPr>
              <w:t>，</w:t>
            </w:r>
            <w:r>
              <w:rPr>
                <w:rFonts w:ascii="宋体" w:hAnsi="宋体" w:cs="宋体" w:eastAsia="宋体" w:hint="default"/>
                <w:sz w:val="18"/>
                <w:szCs w:val="18"/>
              </w:rPr>
              <w:t>用于增持股票的资金金额不低于其最近一次获得</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的现金分红金额的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）在一个会计年度内股东大会审议通过了多个稳</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定股价具体方案的情况下</w:t>
            </w:r>
            <w:r>
              <w:rPr>
                <w:rFonts w:ascii="宋体" w:hAnsi="宋体" w:cs="宋体" w:eastAsia="宋体" w:hint="default"/>
                <w:spacing w:val="-87"/>
                <w:sz w:val="18"/>
                <w:szCs w:val="18"/>
              </w:rPr>
              <w:t>，</w:t>
            </w:r>
            <w:r>
              <w:rPr>
                <w:rFonts w:ascii="宋体" w:hAnsi="宋体" w:cs="宋体" w:eastAsia="宋体" w:hint="default"/>
                <w:sz w:val="18"/>
                <w:szCs w:val="18"/>
              </w:rPr>
              <w:t>股东在该会计年度内用于</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增持股票的资金金额合计不超过该股东最近一次获</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8"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得的公司现金分红金额的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3"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）在增持行为完成后的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个月内将不出售所增持</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6"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6"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超过上述第（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）项标准的，本项股价稳定措施在当</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年度不再继续实施</w:t>
            </w:r>
            <w:r>
              <w:rPr>
                <w:rFonts w:ascii="宋体" w:hAnsi="宋体" w:cs="宋体" w:eastAsia="宋体" w:hint="default"/>
                <w:spacing w:val="-87"/>
                <w:sz w:val="18"/>
                <w:szCs w:val="18"/>
              </w:rPr>
              <w:t>。</w:t>
            </w:r>
            <w:r>
              <w:rPr>
                <w:rFonts w:ascii="宋体" w:hAnsi="宋体" w:cs="宋体" w:eastAsia="宋体" w:hint="default"/>
                <w:sz w:val="18"/>
                <w:szCs w:val="18"/>
              </w:rPr>
              <w:t>但如下一会计年度继续出现稳定</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股价情形的，控股股东将继续按照上述原则执行。</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8"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、董事（独立董事除外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、高级管理人员增持股份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根据公司董事（独立董事除外，下同</w:t>
            </w:r>
            <w:r>
              <w:rPr>
                <w:rFonts w:ascii="宋体" w:hAnsi="宋体" w:cs="宋体" w:eastAsia="宋体" w:hint="default"/>
                <w:spacing w:val="-92"/>
                <w:sz w:val="18"/>
                <w:szCs w:val="18"/>
              </w:rPr>
              <w:t>）</w:t>
            </w:r>
            <w:r>
              <w:rPr>
                <w:rFonts w:ascii="宋体" w:hAnsi="宋体" w:cs="宋体" w:eastAsia="宋体" w:hint="default"/>
                <w:sz w:val="18"/>
                <w:szCs w:val="18"/>
              </w:rPr>
              <w:t>、高级管理人</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员出具的承诺函，若稳定股价具体方案涉及公司董</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事、高级管理人员增持股份措施的，则在实施完毕稳</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定股价具体方案中的控股股东增持股份措施后</w:t>
            </w:r>
            <w:r>
              <w:rPr>
                <w:rFonts w:ascii="宋体" w:hAnsi="宋体" w:cs="宋体" w:eastAsia="宋体" w:hint="default"/>
                <w:spacing w:val="-87"/>
                <w:sz w:val="18"/>
                <w:szCs w:val="18"/>
              </w:rPr>
              <w:t>，</w:t>
            </w:r>
            <w:r>
              <w:rPr>
                <w:rFonts w:ascii="宋体" w:hAnsi="宋体" w:cs="宋体" w:eastAsia="宋体" w:hint="default"/>
                <w:sz w:val="18"/>
                <w:szCs w:val="18"/>
              </w:rPr>
              <w:t>连续</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个交易日每日股票收盘价均低于最近一期经审计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的每股净资产（审计基准日后发生权益分派、公积金</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转增股本、配股等情况的，应做除权、除息处理</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公司董事、高级管理人员将根据法律、法规、规范性</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文件和公司章程的规定以增持公司股票的形式稳定</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公司股价。</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公司董事</w:t>
            </w:r>
            <w:r>
              <w:rPr>
                <w:rFonts w:ascii="宋体" w:hAnsi="宋体" w:cs="宋体" w:eastAsia="宋体" w:hint="default"/>
                <w:spacing w:val="-87"/>
                <w:sz w:val="18"/>
                <w:szCs w:val="18"/>
              </w:rPr>
              <w:t>、</w:t>
            </w:r>
            <w:r>
              <w:rPr>
                <w:rFonts w:ascii="宋体" w:hAnsi="宋体" w:cs="宋体" w:eastAsia="宋体" w:hint="default"/>
                <w:sz w:val="18"/>
                <w:szCs w:val="18"/>
              </w:rPr>
              <w:t>高级管理人员以增持公司股票的形式稳定</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公司股价，应遵循下述原则：</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）在股东大会审议通过的单个稳定股价具体方案</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中，董事、高级管理人员用于增持股份的资金金额不</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低于其因担任董事</w:t>
            </w:r>
            <w:r>
              <w:rPr>
                <w:rFonts w:ascii="宋体" w:hAnsi="宋体" w:cs="宋体" w:eastAsia="宋体" w:hint="default"/>
                <w:spacing w:val="-87"/>
                <w:sz w:val="18"/>
                <w:szCs w:val="18"/>
              </w:rPr>
              <w:t>、</w:t>
            </w:r>
            <w:r>
              <w:rPr>
                <w:rFonts w:ascii="宋体" w:hAnsi="宋体" w:cs="宋体" w:eastAsia="宋体" w:hint="default"/>
                <w:sz w:val="18"/>
                <w:szCs w:val="18"/>
              </w:rPr>
              <w:t>高级管理人员而在最近一个会计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年度从公司领取的税后薪酬的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）在一个会计年度内股东大会审议通过了多个稳</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定股价具体方案的情况下，董事、高级管理人员用于</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增持股份的资金金额不超过其因担任董事</w:t>
            </w:r>
            <w:r>
              <w:rPr>
                <w:rFonts w:ascii="宋体" w:hAnsi="宋体" w:cs="宋体" w:eastAsia="宋体" w:hint="default"/>
                <w:spacing w:val="-87"/>
                <w:sz w:val="18"/>
                <w:szCs w:val="18"/>
              </w:rPr>
              <w:t>、</w:t>
            </w:r>
            <w:r>
              <w:rPr>
                <w:rFonts w:ascii="宋体" w:hAnsi="宋体" w:cs="宋体" w:eastAsia="宋体" w:hint="default"/>
                <w:sz w:val="18"/>
                <w:szCs w:val="18"/>
              </w:rPr>
              <w:t>高级管理</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人员而在最近一个会计年度从公司领取的税后薪酬</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6"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）在增持行为完成后的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个月内将不出售所增持</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38"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超过上述第（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）项标准的，本项股价稳定措施在当</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年度不再继续实施</w:t>
            </w:r>
            <w:r>
              <w:rPr>
                <w:rFonts w:ascii="宋体" w:hAnsi="宋体" w:cs="宋体" w:eastAsia="宋体" w:hint="default"/>
                <w:spacing w:val="-87"/>
                <w:sz w:val="18"/>
                <w:szCs w:val="18"/>
              </w:rPr>
              <w:t>。</w:t>
            </w:r>
            <w:r>
              <w:rPr>
                <w:rFonts w:ascii="宋体" w:hAnsi="宋体" w:cs="宋体" w:eastAsia="宋体" w:hint="default"/>
                <w:sz w:val="18"/>
                <w:szCs w:val="18"/>
              </w:rPr>
              <w:t>但如下一会计年度继续出现稳定</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股价情形的，公司董事、高级管理人员将继续按照上</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7"/>
      </w:tblGrid>
      <w:tr>
        <w:trPr>
          <w:trHeight w:val="10828"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述原则执行。</w:t>
            </w:r>
          </w:p>
          <w:p>
            <w:pPr>
              <w:pStyle w:val="TableParagraph"/>
              <w:spacing w:line="324" w:lineRule="auto" w:before="117"/>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、其他稳定股价措施 </w:t>
            </w:r>
            <w:r>
              <w:rPr>
                <w:rFonts w:ascii="宋体" w:hAnsi="宋体" w:cs="宋体" w:eastAsia="宋体" w:hint="default"/>
                <w:spacing w:val="-4"/>
                <w:sz w:val="18"/>
                <w:szCs w:val="18"/>
              </w:rPr>
              <w:t>当股价稳定措施的启动条件成立时，公司还可以依照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法律、法规、规范性文件、公司章程及公司内部治理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制度的规定，及时履行相关法定程序后采取以下措施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稳定公司股价：</w:t>
            </w:r>
          </w:p>
          <w:p>
            <w:pPr>
              <w:pStyle w:val="TableParagraph"/>
              <w:spacing w:line="300" w:lineRule="auto" w:before="54"/>
              <w:ind w:left="24"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）在保证公司经营资金需求的前提下，实施利润 分配或资本公积金转增股本；</w:t>
            </w:r>
          </w:p>
          <w:p>
            <w:pPr>
              <w:pStyle w:val="TableParagraph"/>
              <w:spacing w:line="240" w:lineRule="auto" w:before="7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）限制高级管理人员薪酬；</w:t>
            </w:r>
          </w:p>
          <w:p>
            <w:pPr>
              <w:pStyle w:val="TableParagraph"/>
              <w:spacing w:line="300" w:lineRule="auto" w:before="101"/>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）法律、行政法规、规范性文件规定以及中国证 监会认可的其他方式。</w:t>
            </w:r>
          </w:p>
          <w:p>
            <w:pPr>
              <w:pStyle w:val="TableParagraph"/>
              <w:spacing w:line="338" w:lineRule="auto" w:before="72"/>
              <w:ind w:left="24" w:right="25"/>
              <w:jc w:val="left"/>
              <w:rPr>
                <w:rFonts w:ascii="宋体" w:hAnsi="宋体" w:cs="宋体" w:eastAsia="宋体" w:hint="default"/>
                <w:sz w:val="18"/>
                <w:szCs w:val="18"/>
              </w:rPr>
            </w:pPr>
            <w:r>
              <w:rPr>
                <w:rFonts w:ascii="宋体" w:hAnsi="宋体" w:cs="宋体" w:eastAsia="宋体" w:hint="default"/>
                <w:sz w:val="18"/>
                <w:szCs w:val="18"/>
              </w:rPr>
              <w:t>（三）股价稳定措施的豁免情形 股东大会审议通过的股价稳定具体方案实施完毕后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个交易日内，如股价稳定措施的启动条件成立</w:t>
            </w:r>
          </w:p>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的，公司不再继续实施稳定股价措施。</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w:t>
            </w:r>
          </w:p>
          <w:p>
            <w:pPr>
              <w:pStyle w:val="TableParagraph"/>
              <w:spacing w:line="338" w:lineRule="auto" w:before="63"/>
              <w:ind w:left="24" w:right="23"/>
              <w:jc w:val="left"/>
              <w:rPr>
                <w:rFonts w:ascii="宋体" w:hAnsi="宋体" w:cs="宋体" w:eastAsia="宋体" w:hint="default"/>
                <w:sz w:val="18"/>
                <w:szCs w:val="18"/>
              </w:rPr>
            </w:pPr>
            <w:r>
              <w:rPr>
                <w:rFonts w:ascii="宋体" w:hAnsi="宋体" w:cs="宋体" w:eastAsia="宋体" w:hint="default"/>
                <w:spacing w:val="-4"/>
                <w:sz w:val="18"/>
                <w:szCs w:val="18"/>
              </w:rPr>
              <w:t>后，启动条件再次成立时，公司将再次启动稳定股价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具体方案的审议程序。 尚未实施或者未履行完毕的稳定股价具体方案因停</w:t>
            </w:r>
          </w:p>
          <w:p>
            <w:pPr>
              <w:pStyle w:val="TableParagraph"/>
              <w:spacing w:line="307" w:lineRule="auto" w:before="2"/>
              <w:ind w:left="24" w:right="24"/>
              <w:jc w:val="both"/>
              <w:rPr>
                <w:rFonts w:ascii="宋体" w:hAnsi="宋体" w:cs="宋体" w:eastAsia="宋体" w:hint="default"/>
                <w:sz w:val="18"/>
                <w:szCs w:val="18"/>
              </w:rPr>
            </w:pPr>
            <w:r>
              <w:rPr>
                <w:rFonts w:ascii="宋体" w:hAnsi="宋体" w:cs="宋体" w:eastAsia="宋体" w:hint="default"/>
                <w:spacing w:val="-4"/>
                <w:sz w:val="18"/>
                <w:szCs w:val="18"/>
              </w:rPr>
              <w:t>止条件成立而停止实施的，则自稳定股价具体方案停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止实施后的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个交易日内不再继续实施稳定股价措 施。</w:t>
            </w:r>
            <w:r>
              <w:rPr>
                <w:rFonts w:ascii="Times New Roman" w:hAnsi="Times New Roman" w:cs="Times New Roman" w:eastAsia="Times New Roman" w:hint="default"/>
                <w:sz w:val="18"/>
                <w:szCs w:val="18"/>
              </w:rPr>
              <w:t>90 </w:t>
            </w:r>
            <w:r>
              <w:rPr>
                <w:rFonts w:ascii="宋体" w:hAnsi="宋体" w:cs="宋体" w:eastAsia="宋体" w:hint="default"/>
                <w:sz w:val="18"/>
                <w:szCs w:val="18"/>
              </w:rPr>
              <w:t>个交易日后，启动条件再次成立时，公司将 再次启动稳定股价具体方案的审议程序。</w:t>
            </w:r>
          </w:p>
          <w:p>
            <w:pPr>
              <w:pStyle w:val="TableParagraph"/>
              <w:spacing w:line="338" w:lineRule="auto" w:before="67"/>
              <w:ind w:left="24" w:right="24"/>
              <w:jc w:val="left"/>
              <w:rPr>
                <w:rFonts w:ascii="宋体" w:hAnsi="宋体" w:cs="宋体" w:eastAsia="宋体" w:hint="default"/>
                <w:sz w:val="18"/>
                <w:szCs w:val="18"/>
              </w:rPr>
            </w:pPr>
            <w:r>
              <w:rPr>
                <w:rFonts w:ascii="宋体" w:hAnsi="宋体" w:cs="宋体" w:eastAsia="宋体" w:hint="default"/>
                <w:sz w:val="18"/>
                <w:szCs w:val="18"/>
              </w:rPr>
              <w:t>（四）限制条件 </w:t>
            </w:r>
            <w:r>
              <w:rPr>
                <w:rFonts w:ascii="宋体" w:hAnsi="宋体" w:cs="宋体" w:eastAsia="宋体" w:hint="default"/>
                <w:spacing w:val="-4"/>
                <w:sz w:val="18"/>
                <w:szCs w:val="18"/>
              </w:rPr>
              <w:t>公司采取任何股价稳定措施均应符合法律、法规、规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范性文件和公司章程的规定，并确保不影响公司的上</w:t>
            </w:r>
          </w:p>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市地位。</w:t>
            </w:r>
          </w:p>
          <w:p>
            <w:pPr>
              <w:pStyle w:val="TableParagraph"/>
              <w:spacing w:line="338" w:lineRule="auto" w:before="115"/>
              <w:ind w:left="24" w:right="24"/>
              <w:jc w:val="left"/>
              <w:rPr>
                <w:rFonts w:ascii="宋体" w:hAnsi="宋体" w:cs="宋体" w:eastAsia="宋体" w:hint="default"/>
                <w:sz w:val="18"/>
                <w:szCs w:val="18"/>
              </w:rPr>
            </w:pPr>
            <w:r>
              <w:rPr>
                <w:rFonts w:ascii="宋体" w:hAnsi="宋体" w:cs="宋体" w:eastAsia="宋体" w:hint="default"/>
                <w:sz w:val="18"/>
                <w:szCs w:val="18"/>
              </w:rPr>
              <w:t>（五）其他 </w:t>
            </w:r>
            <w:r>
              <w:rPr>
                <w:rFonts w:ascii="宋体" w:hAnsi="宋体" w:cs="宋体" w:eastAsia="宋体" w:hint="default"/>
                <w:spacing w:val="-4"/>
                <w:sz w:val="18"/>
                <w:szCs w:val="18"/>
              </w:rPr>
              <w:t>公司在未来聘任新的董事（独立董事除外）、高级管</w:t>
            </w:r>
            <w:r>
              <w:rPr>
                <w:rFonts w:ascii="宋体" w:hAnsi="宋体" w:cs="宋体" w:eastAsia="宋体" w:hint="default"/>
                <w:sz w:val="18"/>
                <w:szCs w:val="18"/>
              </w:rPr>
              <w:t> </w:t>
            </w:r>
            <w:r>
              <w:rPr>
                <w:rFonts w:ascii="宋体" w:hAnsi="宋体" w:cs="宋体" w:eastAsia="宋体" w:hint="default"/>
                <w:spacing w:val="-4"/>
                <w:sz w:val="18"/>
                <w:szCs w:val="18"/>
              </w:rPr>
              <w:t>理人员前，将要求其签署承诺书，保证其履行公司首</w:t>
            </w:r>
          </w:p>
          <w:p>
            <w:pPr>
              <w:pStyle w:val="TableParagraph"/>
              <w:spacing w:line="319" w:lineRule="auto" w:before="2"/>
              <w:ind w:left="24" w:right="23"/>
              <w:jc w:val="both"/>
              <w:rPr>
                <w:rFonts w:ascii="宋体" w:hAnsi="宋体" w:cs="宋体" w:eastAsia="宋体" w:hint="default"/>
                <w:sz w:val="18"/>
                <w:szCs w:val="18"/>
              </w:rPr>
            </w:pPr>
            <w:r>
              <w:rPr>
                <w:rFonts w:ascii="宋体" w:hAnsi="宋体" w:cs="宋体" w:eastAsia="宋体" w:hint="default"/>
                <w:spacing w:val="-4"/>
                <w:sz w:val="18"/>
                <w:szCs w:val="18"/>
              </w:rPr>
              <w:t>次公开发行上市时董事（独立董事除外）、高级管理</w:t>
            </w:r>
            <w:r>
              <w:rPr>
                <w:rFonts w:ascii="宋体" w:hAnsi="宋体" w:cs="宋体" w:eastAsia="宋体" w:hint="default"/>
                <w:sz w:val="18"/>
                <w:szCs w:val="18"/>
              </w:rPr>
              <w:t> </w:t>
            </w:r>
            <w:r>
              <w:rPr>
                <w:rFonts w:ascii="宋体" w:hAnsi="宋体" w:cs="宋体" w:eastAsia="宋体" w:hint="default"/>
                <w:spacing w:val="-4"/>
                <w:sz w:val="18"/>
                <w:szCs w:val="18"/>
              </w:rPr>
              <w:t>人员已做出的稳定股价承诺，并要求其按照公司首次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公开发行上市时董事（独立董事除外）、高级管理人</w:t>
            </w:r>
            <w:r>
              <w:rPr>
                <w:rFonts w:ascii="宋体" w:hAnsi="宋体" w:cs="宋体" w:eastAsia="宋体" w:hint="default"/>
                <w:sz w:val="18"/>
                <w:szCs w:val="18"/>
              </w:rPr>
              <w:t> 员的承诺提出未履行承诺的约束措施。</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0"/>
              <w:ind w:left="23" w:right="50"/>
              <w:jc w:val="both"/>
              <w:rPr>
                <w:rFonts w:ascii="宋体" w:hAnsi="宋体" w:cs="宋体" w:eastAsia="宋体" w:hint="default"/>
                <w:sz w:val="18"/>
                <w:szCs w:val="18"/>
              </w:rPr>
            </w:pPr>
            <w:r>
              <w:rPr>
                <w:rFonts w:ascii="宋体" w:hAnsi="宋体" w:cs="宋体" w:eastAsia="宋体" w:hint="default"/>
                <w:sz w:val="18"/>
                <w:szCs w:val="18"/>
              </w:rPr>
              <w:t>方培豪</w:t>
            </w:r>
            <w:r>
              <w:rPr>
                <w:rFonts w:ascii="Times New Roman" w:hAnsi="Times New Roman" w:cs="Times New Roman" w:eastAsia="Times New Roman" w:hint="default"/>
                <w:sz w:val="18"/>
                <w:szCs w:val="18"/>
              </w:rPr>
              <w:t>;</w:t>
            </w:r>
            <w:r>
              <w:rPr>
                <w:rFonts w:ascii="宋体" w:hAnsi="宋体" w:cs="宋体" w:eastAsia="宋体" w:hint="default"/>
                <w:sz w:val="18"/>
                <w:szCs w:val="18"/>
              </w:rPr>
              <w:t>胡永乐</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r>
              <w:rPr>
                <w:rFonts w:ascii="Times New Roman" w:hAnsi="Times New Roman" w:cs="Times New Roman" w:eastAsia="Times New Roman" w:hint="default"/>
                <w:sz w:val="18"/>
                <w:szCs w:val="18"/>
              </w:rPr>
              <w:t>;</w:t>
            </w:r>
            <w:r>
              <w:rPr>
                <w:rFonts w:ascii="宋体" w:hAnsi="宋体" w:cs="宋体" w:eastAsia="宋体" w:hint="default"/>
                <w:sz w:val="18"/>
                <w:szCs w:val="18"/>
              </w:rPr>
              <w:t>李胜 兰</w:t>
            </w:r>
            <w:r>
              <w:rPr>
                <w:rFonts w:ascii="Times New Roman" w:hAnsi="Times New Roman" w:cs="Times New Roman" w:eastAsia="Times New Roman" w:hint="default"/>
                <w:sz w:val="18"/>
                <w:szCs w:val="18"/>
              </w:rPr>
              <w:t>;</w:t>
            </w:r>
            <w:r>
              <w:rPr>
                <w:rFonts w:ascii="宋体" w:hAnsi="宋体" w:cs="宋体" w:eastAsia="宋体" w:hint="default"/>
                <w:sz w:val="18"/>
                <w:szCs w:val="18"/>
              </w:rPr>
              <w:t>梁姬</w:t>
            </w:r>
            <w:r>
              <w:rPr>
                <w:rFonts w:ascii="Times New Roman" w:hAnsi="Times New Roman" w:cs="Times New Roman" w:eastAsia="Times New Roman" w:hint="default"/>
                <w:sz w:val="18"/>
                <w:szCs w:val="18"/>
              </w:rPr>
              <w:t>;</w:t>
            </w:r>
            <w:r>
              <w:rPr>
                <w:rFonts w:ascii="宋体" w:hAnsi="宋体" w:cs="宋体" w:eastAsia="宋体" w:hint="default"/>
                <w:sz w:val="18"/>
                <w:szCs w:val="18"/>
              </w:rPr>
              <w:t>马英华</w:t>
            </w:r>
            <w:r>
              <w:rPr>
                <w:rFonts w:ascii="Times New Roman" w:hAnsi="Times New Roman" w:cs="Times New Roman" w:eastAsia="Times New Roman" w:hint="default"/>
                <w:sz w:val="18"/>
                <w:szCs w:val="18"/>
              </w:rPr>
              <w:t>;</w:t>
            </w:r>
            <w:r>
              <w:rPr>
                <w:rFonts w:ascii="宋体" w:hAnsi="宋体" w:cs="宋体" w:eastAsia="宋体" w:hint="default"/>
                <w:sz w:val="18"/>
                <w:szCs w:val="18"/>
              </w:rPr>
              <w:t>沈湘平</w:t>
            </w:r>
            <w:r>
              <w:rPr>
                <w:rFonts w:ascii="Times New Roman" w:hAnsi="Times New Roman" w:cs="Times New Roman" w:eastAsia="Times New Roman" w:hint="default"/>
                <w:sz w:val="18"/>
                <w:szCs w:val="18"/>
              </w:rPr>
              <w:t>;</w:t>
            </w:r>
            <w:r>
              <w:rPr>
                <w:rFonts w:ascii="宋体" w:hAnsi="宋体" w:cs="宋体" w:eastAsia="宋体" w:hint="default"/>
                <w:sz w:val="18"/>
                <w:szCs w:val="18"/>
              </w:rPr>
              <w:t>万海 斌</w:t>
            </w:r>
            <w:r>
              <w:rPr>
                <w:rFonts w:ascii="Times New Roman" w:hAnsi="Times New Roman" w:cs="Times New Roman" w:eastAsia="Times New Roman" w:hint="default"/>
                <w:sz w:val="18"/>
                <w:szCs w:val="18"/>
              </w:rPr>
              <w:t>;</w:t>
            </w:r>
            <w:r>
              <w:rPr>
                <w:rFonts w:ascii="宋体" w:hAnsi="宋体" w:cs="宋体" w:eastAsia="宋体" w:hint="default"/>
                <w:sz w:val="18"/>
                <w:szCs w:val="18"/>
              </w:rPr>
              <w:t>许文杰</w:t>
            </w:r>
            <w:r>
              <w:rPr>
                <w:rFonts w:ascii="Times New Roman" w:hAnsi="Times New Roman" w:cs="Times New Roman" w:eastAsia="Times New Roman" w:hint="default"/>
                <w:sz w:val="18"/>
                <w:szCs w:val="18"/>
              </w:rPr>
              <w:t>;</w:t>
            </w:r>
            <w:r>
              <w:rPr>
                <w:rFonts w:ascii="宋体" w:hAnsi="宋体" w:cs="宋体" w:eastAsia="宋体" w:hint="default"/>
                <w:sz w:val="18"/>
                <w:szCs w:val="18"/>
              </w:rPr>
              <w:t>杨兆云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4"/>
              <w:jc w:val="left"/>
              <w:rPr>
                <w:rFonts w:ascii="宋体" w:hAnsi="宋体" w:cs="宋体" w:eastAsia="宋体" w:hint="default"/>
                <w:sz w:val="18"/>
                <w:szCs w:val="18"/>
              </w:rPr>
            </w:pPr>
            <w:r>
              <w:rPr>
                <w:rFonts w:ascii="宋体" w:hAnsi="宋体" w:cs="宋体" w:eastAsia="宋体" w:hint="default"/>
                <w:spacing w:val="-4"/>
                <w:sz w:val="18"/>
                <w:szCs w:val="18"/>
              </w:rPr>
              <w:t>董事、高级管理人员对公司填补回报措施能够得到切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实履行作出的如下承诺：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、承诺不无偿或以不公平 </w:t>
            </w:r>
            <w:r>
              <w:rPr>
                <w:rFonts w:ascii="宋体" w:hAnsi="宋体" w:cs="宋体" w:eastAsia="宋体" w:hint="default"/>
                <w:spacing w:val="-4"/>
                <w:sz w:val="18"/>
                <w:szCs w:val="18"/>
              </w:rPr>
              <w:t>条件向其他单位或者个人输送利益，也不采用其他方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、承诺对董事和高级管理人员的 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、承诺不动用公司资产从 事与其履行职责无关的投资、消费活动。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 董事会或薪酬委员会制定的薪酬制度与公司填补回 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、承诺拟公布的公司股 权激励的行权条件与公司填补回报措施的执行情况</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3" w:right="0"/>
              <w:jc w:val="left"/>
              <w:rPr>
                <w:rFonts w:ascii="Times New Roman" w:hAnsi="Times New Roman" w:cs="Times New Roman" w:eastAsia="Times New Roman" w:hint="default"/>
                <w:sz w:val="18"/>
                <w:szCs w:val="18"/>
              </w:rPr>
            </w:pPr>
            <w:r>
              <w:rPr>
                <w:rFonts w:ascii="Times New Roman"/>
                <w:sz w:val="18"/>
              </w:rPr>
              <w:t>2021-0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2-12</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3"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6.790009pt;margin-top:155.069977pt;width:115pt;height:253.6pt;mso-position-horizontal-relative:page;mso-position-vertical-relative:page;z-index:-1234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门处罚或被他人追索，</w:t>
                  </w:r>
                </w:p>
              </w:txbxContent>
            </v:textbox>
            <w10:wrap type="none"/>
          </v:shape>
        </w:pict>
      </w:r>
      <w:r>
        <w:rPr/>
        <w:pict>
          <v:group style="position:absolute;margin-left:453.940002pt;margin-top:155.069977pt;width:27.85pt;height:253.6pt;mso-position-horizontal-relative:page;mso-position-vertical-relative:page;z-index:-1234312" coordorigin="9079,3101" coordsize="557,5072">
            <v:group style="position:absolute;left:9079;top:3101;width:557;height:5072" coordorigin="9079,3101" coordsize="557,5072">
              <v:shape style="position:absolute;left:9079;top:3101;width:557;height:5072" coordorigin="9079,3101" coordsize="557,5072" path="m9079,8173l9636,8173,9636,3101,9079,3101,9079,8173xe" filled="true" fillcolor="#ffffff" stroked="false">
                <v:path arrowok="t"/>
                <v:fill type="solid"/>
              </v:shape>
            </v:group>
            <v:group style="position:absolute;left:9103;top:4974;width:512;height:351" coordorigin="9103,4974" coordsize="512,351">
              <v:shape style="position:absolute;left:9103;top:4974;width:512;height:351" coordorigin="9103,4974" coordsize="512,351" path="m9103,5324l9614,5324,9614,4974,9103,4974,9103,5324xe" filled="true" fillcolor="#ffffff" stroked="false">
                <v:path arrowok="t"/>
                <v:fill type="solid"/>
              </v:shape>
            </v:group>
            <v:group style="position:absolute;left:9103;top:5324;width:512;height:312" coordorigin="9103,5324" coordsize="512,312">
              <v:shape style="position:absolute;left:9103;top:5324;width:512;height:312" coordorigin="9103,5324" coordsize="512,312" path="m9103,5636l9614,5636,9614,5324,9103,5324,9103,5636xe" filled="true" fillcolor="#ffffff" stroked="false">
                <v:path arrowok="t"/>
                <v:fill type="solid"/>
              </v:shape>
            </v:group>
            <v:group style="position:absolute;left:9103;top:5636;width:512;height:312" coordorigin="9103,5636" coordsize="512,312">
              <v:shape style="position:absolute;left:9103;top:5636;width:512;height:312" coordorigin="9103,5636" coordsize="512,312" path="m9103,5948l9614,5948,9614,5636,9103,5636,9103,5948xe" filled="true" fillcolor="#ffffff" stroked="false">
                <v:path arrowok="t"/>
                <v:fill type="solid"/>
              </v:shape>
            </v:group>
            <v:group style="position:absolute;left:9103;top:5948;width:512;height:353" coordorigin="9103,5948" coordsize="512,353">
              <v:shape style="position:absolute;left:9103;top:5948;width:512;height:353" coordorigin="9103,5948" coordsize="512,353" path="m9103,6301l9614,6301,9614,5948,9103,5948,9103,630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4"/>
      </w:tblGrid>
      <w:tr>
        <w:trPr>
          <w:trHeight w:val="338"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相挂钩。</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4" w:type="dxa"/>
            <w:vMerge w:val="restart"/>
            <w:tcBorders>
              <w:top w:val="single" w:sz="4" w:space="0" w:color="000000"/>
              <w:left w:val="single" w:sz="4" w:space="0" w:color="000000"/>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如本人违反上述承诺或拒不履行上述承诺</w:t>
            </w:r>
            <w:r>
              <w:rPr>
                <w:rFonts w:ascii="宋体" w:hAnsi="宋体" w:cs="宋体" w:eastAsia="宋体" w:hint="default"/>
                <w:spacing w:val="-87"/>
                <w:sz w:val="18"/>
                <w:szCs w:val="18"/>
              </w:rPr>
              <w:t>，</w:t>
            </w:r>
            <w:r>
              <w:rPr>
                <w:rFonts w:ascii="宋体" w:hAnsi="宋体" w:cs="宋体" w:eastAsia="宋体" w:hint="default"/>
                <w:sz w:val="18"/>
                <w:szCs w:val="18"/>
              </w:rPr>
              <w:t>本人应在</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股东大会及中国证监会指定报刊公开作出解释并道</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歉；如本人违反上述承诺给公司或者股东造成损失</w:t>
            </w: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355"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的，本人将依法承担补偿责任。</w:t>
            </w:r>
            <w:r>
              <w:rPr>
                <w:rFonts w:ascii="Times New Roman" w:hAnsi="Times New Roman" w:cs="Times New Roman" w:eastAsia="Times New Roman" w:hint="default"/>
                <w:sz w:val="18"/>
                <w:szCs w:val="18"/>
              </w:rPr>
              <w:t>"</w:t>
            </w: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r>
        <w:trPr>
          <w:trHeight w:val="359" w:hRule="exact"/>
        </w:trPr>
        <w:tc>
          <w:tcPr>
            <w:tcW w:w="1134" w:type="dxa"/>
            <w:vMerge/>
            <w:tcBorders>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发行人实际控制人李建国先生和蒋鹂北女士出具以</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4"/>
                <w:sz w:val="18"/>
                <w:szCs w:val="18"/>
              </w:rPr>
              <w:t>下承诺：发行人将按照相关内部控制制度，规范房产</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租赁，严格控制瑕疵房产的数量及比重，确保承租的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瑕疵房产数量及面积比重在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年底之前降至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以下，在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年底之前降至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868"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蒋鹂北</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4" w:right="22"/>
              <w:jc w:val="left"/>
              <w:rPr>
                <w:rFonts w:ascii="宋体" w:hAnsi="宋体" w:cs="宋体" w:eastAsia="宋体" w:hint="default"/>
                <w:sz w:val="18"/>
                <w:szCs w:val="18"/>
              </w:rPr>
            </w:pPr>
            <w:r>
              <w:rPr>
                <w:rFonts w:ascii="宋体" w:hAnsi="宋体" w:cs="宋体" w:eastAsia="宋体" w:hint="default"/>
                <w:sz w:val="18"/>
                <w:szCs w:val="18"/>
              </w:rPr>
              <w:t>底之前降至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以下。发行人不得租用不符合安全 标准的房屋，并定期对租赁的房屋进行全面安全检 </w:t>
            </w:r>
            <w:r>
              <w:rPr>
                <w:rFonts w:ascii="宋体" w:hAnsi="宋体" w:cs="宋体" w:eastAsia="宋体" w:hint="default"/>
                <w:spacing w:val="-4"/>
                <w:sz w:val="18"/>
                <w:szCs w:val="18"/>
              </w:rPr>
              <w:t>查，避免发生安全隐患事故。若因他人主张权利或有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权部门行使职权而导致发行人及其分、子公司所签相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关房屋租赁合同无效或产生纠纷，导致发行人及其 </w:t>
            </w:r>
            <w:r>
              <w:rPr>
                <w:rFonts w:ascii="宋体" w:hAnsi="宋体" w:cs="宋体" w:eastAsia="宋体" w:hint="default"/>
                <w:spacing w:val="-13"/>
                <w:sz w:val="18"/>
                <w:szCs w:val="18"/>
              </w:rPr>
              <w:t>分、子公司需要搬迁、被有权部</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170"/>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或因租赁瑕疵房产发生安全隐患事故给发行人及其</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分、子公司造成损失的，本人愿意无条件地代发行人</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及其分、子公司承担相应责任，并赔偿其由此可能遭</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受的一切经济损失，且自愿放弃向发行人及其分、子</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公司追偿的权利。</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377" w:hRule="exact"/>
        </w:trPr>
        <w:tc>
          <w:tcPr>
            <w:tcW w:w="1134" w:type="dxa"/>
            <w:vMerge/>
            <w:tcBorders>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（一）发行人的承诺</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、公司首次公开发行股票并上市招股说明书不存在</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虚假记载、误导性陈述或者重大遗漏；</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、如公司招股说明书被相关监管机构认定存在虚假</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记载、误导性陈述或者重大遗漏，对判断公司是否符</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合法律规定的发行条件构成重大、实质影响的，公司</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将在证券监督管理部门作出上述认定时</w:t>
            </w:r>
            <w:r>
              <w:rPr>
                <w:rFonts w:ascii="宋体" w:hAnsi="宋体" w:cs="宋体" w:eastAsia="宋体" w:hint="default"/>
                <w:spacing w:val="-87"/>
                <w:sz w:val="18"/>
                <w:szCs w:val="18"/>
              </w:rPr>
              <w:t>，</w:t>
            </w:r>
            <w:r>
              <w:rPr>
                <w:rFonts w:ascii="宋体" w:hAnsi="宋体" w:cs="宋体" w:eastAsia="宋体" w:hint="default"/>
                <w:sz w:val="18"/>
                <w:szCs w:val="18"/>
              </w:rPr>
              <w:t>依法回购首</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621"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300"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方培豪</w:t>
            </w:r>
            <w:r>
              <w:rPr>
                <w:rFonts w:ascii="Times New Roman" w:hAnsi="Times New Roman" w:cs="Times New Roman" w:eastAsia="Times New Roman" w:hint="default"/>
                <w:sz w:val="18"/>
                <w:szCs w:val="18"/>
              </w:rPr>
              <w:t>;</w:t>
            </w:r>
            <w:r>
              <w:rPr>
                <w:rFonts w:ascii="宋体" w:hAnsi="宋体" w:cs="宋体" w:eastAsia="宋体" w:hint="default"/>
                <w:sz w:val="18"/>
                <w:szCs w:val="18"/>
              </w:rPr>
              <w:t>胡永乐</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r>
              <w:rPr>
                <w:rFonts w:ascii="Times New Roman" w:hAnsi="Times New Roman" w:cs="Times New Roman" w:eastAsia="Times New Roman" w:hint="default"/>
                <w:sz w:val="18"/>
                <w:szCs w:val="18"/>
              </w:rPr>
              <w:t>;</w:t>
            </w:r>
            <w:r>
              <w:rPr>
                <w:rFonts w:ascii="宋体" w:hAnsi="宋体" w:cs="宋体" w:eastAsia="宋体" w:hint="default"/>
                <w:sz w:val="18"/>
                <w:szCs w:val="18"/>
              </w:rPr>
              <w:t>李胜 兰</w:t>
            </w:r>
            <w:r>
              <w:rPr>
                <w:rFonts w:ascii="Times New Roman" w:hAnsi="Times New Roman" w:cs="Times New Roman" w:eastAsia="Times New Roman" w:hint="default"/>
                <w:sz w:val="18"/>
                <w:szCs w:val="18"/>
              </w:rPr>
              <w:t>;</w:t>
            </w:r>
            <w:r>
              <w:rPr>
                <w:rFonts w:ascii="宋体" w:hAnsi="宋体" w:cs="宋体" w:eastAsia="宋体" w:hint="default"/>
                <w:sz w:val="18"/>
                <w:szCs w:val="18"/>
              </w:rPr>
              <w:t>梁姬</w:t>
            </w:r>
            <w:r>
              <w:rPr>
                <w:rFonts w:ascii="Times New Roman" w:hAnsi="Times New Roman" w:cs="Times New Roman" w:eastAsia="Times New Roman" w:hint="default"/>
                <w:sz w:val="18"/>
                <w:szCs w:val="18"/>
              </w:rPr>
              <w:t>;</w:t>
            </w:r>
            <w:r>
              <w:rPr>
                <w:rFonts w:ascii="宋体" w:hAnsi="宋体" w:cs="宋体" w:eastAsia="宋体" w:hint="default"/>
                <w:sz w:val="18"/>
                <w:szCs w:val="18"/>
              </w:rPr>
              <w:t>马英华</w:t>
            </w:r>
            <w:r>
              <w:rPr>
                <w:rFonts w:ascii="Times New Roman" w:hAnsi="Times New Roman" w:cs="Times New Roman" w:eastAsia="Times New Roman" w:hint="default"/>
                <w:sz w:val="18"/>
                <w:szCs w:val="18"/>
              </w:rPr>
              <w:t>;</w:t>
            </w:r>
            <w:r>
              <w:rPr>
                <w:rFonts w:ascii="宋体" w:hAnsi="宋体" w:cs="宋体" w:eastAsia="宋体" w:hint="default"/>
                <w:sz w:val="18"/>
                <w:szCs w:val="18"/>
              </w:rPr>
              <w:t>欧宇菲</w:t>
            </w:r>
            <w:r>
              <w:rPr>
                <w:rFonts w:ascii="Times New Roman" w:hAnsi="Times New Roman" w:cs="Times New Roman" w:eastAsia="Times New Roman" w:hint="default"/>
                <w:sz w:val="18"/>
                <w:szCs w:val="18"/>
              </w:rPr>
              <w:t>;</w:t>
            </w:r>
            <w:r>
              <w:rPr>
                <w:rFonts w:ascii="宋体" w:hAnsi="宋体" w:cs="宋体" w:eastAsia="宋体" w:hint="default"/>
                <w:sz w:val="18"/>
                <w:szCs w:val="18"/>
              </w:rPr>
              <w:t>润建 通信股份有限公司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沈湘平</w:t>
            </w:r>
            <w:r>
              <w:rPr>
                <w:rFonts w:ascii="Times New Roman" w:hAnsi="Times New Roman" w:cs="Times New Roman" w:eastAsia="Times New Roman" w:hint="default"/>
                <w:sz w:val="18"/>
                <w:szCs w:val="18"/>
              </w:rPr>
              <w:t>; </w:t>
            </w:r>
            <w:r>
              <w:rPr>
                <w:rFonts w:ascii="宋体" w:hAnsi="宋体" w:cs="宋体" w:eastAsia="宋体" w:hint="default"/>
                <w:sz w:val="18"/>
                <w:szCs w:val="18"/>
              </w:rPr>
              <w:t>唐敏</w:t>
            </w:r>
            <w:r>
              <w:rPr>
                <w:rFonts w:ascii="Times New Roman" w:hAnsi="Times New Roman" w:cs="Times New Roman" w:eastAsia="Times New Roman" w:hint="default"/>
                <w:sz w:val="18"/>
                <w:szCs w:val="18"/>
              </w:rPr>
              <w:t>;</w:t>
            </w:r>
            <w:r>
              <w:rPr>
                <w:rFonts w:ascii="宋体" w:hAnsi="宋体" w:cs="宋体" w:eastAsia="宋体" w:hint="default"/>
                <w:sz w:val="18"/>
                <w:szCs w:val="18"/>
              </w:rPr>
              <w:t>陶秋鸿</w:t>
            </w:r>
            <w:r>
              <w:rPr>
                <w:rFonts w:ascii="Times New Roman" w:hAnsi="Times New Roman" w:cs="Times New Roman" w:eastAsia="Times New Roman" w:hint="default"/>
                <w:sz w:val="18"/>
                <w:szCs w:val="18"/>
              </w:rPr>
              <w:t>;</w:t>
            </w:r>
            <w:r>
              <w:rPr>
                <w:rFonts w:ascii="宋体" w:hAnsi="宋体" w:cs="宋体" w:eastAsia="宋体" w:hint="default"/>
                <w:sz w:val="18"/>
                <w:szCs w:val="18"/>
              </w:rPr>
              <w:t>万海斌</w:t>
            </w:r>
            <w:r>
              <w:rPr>
                <w:rFonts w:ascii="Times New Roman" w:hAnsi="Times New Roman" w:cs="Times New Roman" w:eastAsia="Times New Roman" w:hint="default"/>
                <w:sz w:val="18"/>
                <w:szCs w:val="18"/>
              </w:rPr>
              <w:t>;</w:t>
            </w:r>
            <w:r>
              <w:rPr>
                <w:rFonts w:ascii="宋体" w:hAnsi="宋体" w:cs="宋体" w:eastAsia="宋体" w:hint="default"/>
                <w:sz w:val="18"/>
                <w:szCs w:val="18"/>
              </w:rPr>
              <w:t>许文杰</w:t>
            </w:r>
            <w:r>
              <w:rPr>
                <w:rFonts w:ascii="Times New Roman" w:hAnsi="Times New Roman" w:cs="Times New Roman" w:eastAsia="Times New Roman" w:hint="default"/>
                <w:sz w:val="18"/>
                <w:szCs w:val="18"/>
              </w:rPr>
              <w:t>; </w:t>
            </w:r>
            <w:r>
              <w:rPr>
                <w:rFonts w:ascii="宋体" w:hAnsi="宋体" w:cs="宋体" w:eastAsia="宋体" w:hint="default"/>
                <w:sz w:val="18"/>
                <w:szCs w:val="18"/>
              </w:rPr>
              <w:t>杨兆云</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38" w:lineRule="auto" w:before="10"/>
              <w:ind w:left="24" w:right="22"/>
              <w:jc w:val="left"/>
              <w:rPr>
                <w:rFonts w:ascii="宋体" w:hAnsi="宋体" w:cs="宋体" w:eastAsia="宋体" w:hint="default"/>
                <w:sz w:val="18"/>
                <w:szCs w:val="18"/>
              </w:rPr>
            </w:pPr>
            <w:r>
              <w:rPr>
                <w:rFonts w:ascii="宋体" w:hAnsi="宋体" w:cs="宋体" w:eastAsia="宋体" w:hint="default"/>
                <w:spacing w:val="-4"/>
                <w:sz w:val="18"/>
                <w:szCs w:val="18"/>
              </w:rPr>
              <w:t>次公开发行的全部新股，回购价格按照发行价加算银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行同期存款利息确定； </w:t>
            </w:r>
            <w:r>
              <w:rPr>
                <w:rFonts w:ascii="Times New Roman" w:hAnsi="Times New Roman" w:cs="Times New Roman" w:eastAsia="Times New Roman" w:hint="default"/>
                <w:sz w:val="18"/>
                <w:szCs w:val="18"/>
              </w:rPr>
              <w:t>3</w:t>
            </w:r>
            <w:r>
              <w:rPr>
                <w:rFonts w:ascii="宋体" w:hAnsi="宋体" w:cs="宋体" w:eastAsia="宋体" w:hint="default"/>
                <w:sz w:val="18"/>
                <w:szCs w:val="18"/>
              </w:rPr>
              <w:t>、如公司招股说明书被相关监管机构认定存在虚假</w:t>
            </w:r>
          </w:p>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记载、误导性陈述或者重大遗漏，致使投资者在证券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交易中遭受损失的，公司将依法赔偿投资者损失。</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9" w:lineRule="auto" w:before="51"/>
              <w:ind w:left="23" w:right="170"/>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4"/>
                <w:sz w:val="18"/>
                <w:szCs w:val="18"/>
              </w:rPr>
              <w:t>（二）控股股东、实际控制人及董事、监事、高级管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理人员的承诺</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、公司首次公开发行股票并上市招股说明书不存在</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虚假记载、误导性陈述或者重大遗漏；</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、如公司招股说明书被相关监管机构认定存在虚假</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记载、误导性陈述或者重大遗漏，致使投资者在证券</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交易中遭受损失的，本人将依法赔偿投资者损失。</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71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3"/>
              <w:ind w:left="24" w:right="22"/>
              <w:jc w:val="left"/>
              <w:rPr>
                <w:rFonts w:ascii="宋体" w:hAnsi="宋体" w:cs="宋体" w:eastAsia="宋体" w:hint="default"/>
                <w:sz w:val="18"/>
                <w:szCs w:val="18"/>
              </w:rPr>
            </w:pPr>
            <w:r>
              <w:rPr>
                <w:rFonts w:ascii="宋体" w:hAnsi="宋体" w:cs="宋体" w:eastAsia="宋体" w:hint="default"/>
                <w:spacing w:val="-4"/>
                <w:sz w:val="18"/>
                <w:szCs w:val="18"/>
              </w:rPr>
              <w:t>保荐机构（主承销商）中信建投证券股份有限公司承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诺：本保荐机构根据《中华人民共和国公司法》、《中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3"/>
              <w:ind w:left="23" w:right="170"/>
              <w:jc w:val="left"/>
              <w:rPr>
                <w:rFonts w:ascii="宋体" w:hAnsi="宋体" w:cs="宋体" w:eastAsia="宋体" w:hint="default"/>
                <w:sz w:val="18"/>
                <w:szCs w:val="18"/>
              </w:rPr>
            </w:pPr>
            <w:r>
              <w:rPr>
                <w:rFonts w:ascii="宋体" w:hAnsi="宋体" w:cs="宋体" w:eastAsia="宋体" w:hint="default"/>
                <w:sz w:val="18"/>
                <w:szCs w:val="18"/>
              </w:rPr>
              <w:t>承诺 及法</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3"/>
              <w:ind w:left="23" w:right="98"/>
              <w:jc w:val="left"/>
              <w:rPr>
                <w:rFonts w:ascii="宋体" w:hAnsi="宋体" w:cs="宋体" w:eastAsia="宋体" w:hint="default"/>
                <w:sz w:val="18"/>
                <w:szCs w:val="18"/>
              </w:rPr>
            </w:pPr>
            <w:r>
              <w:rPr>
                <w:rFonts w:ascii="宋体" w:hAnsi="宋体" w:cs="宋体" w:eastAsia="宋体" w:hint="default"/>
                <w:sz w:val="18"/>
                <w:szCs w:val="18"/>
              </w:rPr>
              <w:t>正常 履行</w:t>
            </w:r>
          </w:p>
        </w:tc>
      </w:tr>
    </w:tbl>
    <w:p>
      <w:pPr>
        <w:spacing w:after="0" w:line="319"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6.77301pt;margin-top:72.47998pt;width:115.05pt;height:364.9pt;mso-position-horizontal-relative:page;mso-position-vertical-relative:page;z-index:-1234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897" w:right="0" w:firstLine="0"/>
                    <w:jc w:val="left"/>
                    <w:rPr>
                      <w:rFonts w:ascii="宋体" w:hAnsi="宋体" w:cs="宋体" w:eastAsia="宋体" w:hint="default"/>
                      <w:sz w:val="18"/>
                      <w:szCs w:val="18"/>
                    </w:rPr>
                  </w:pPr>
                  <w:r>
                    <w:rPr>
                      <w:rFonts w:ascii="宋体" w:hAnsi="宋体" w:cs="宋体" w:eastAsia="宋体" w:hint="default"/>
                      <w:sz w:val="18"/>
                      <w:szCs w:val="18"/>
                    </w:rPr>
                    <w:t>坚持独立、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（包括未能勤勉尽责、</w:t>
                  </w:r>
                </w:p>
              </w:txbxContent>
            </v:textbox>
            <w10:wrap type="none"/>
          </v:shape>
        </w:pict>
      </w:r>
      <w:r>
        <w:rPr/>
        <w:pict>
          <v:shape style="position:absolute;margin-left:366.77301pt;margin-top:437.839996pt;width:115.05pt;height:288.9pt;mso-position-horizontal-relative:page;mso-position-vertical-relative:page;z-index:-1234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给投资者造成损失的，</w:t>
                  </w:r>
                </w:p>
              </w:txbxContent>
            </v:textbox>
            <w10:wrap type="none"/>
          </v:shape>
        </w:pict>
      </w:r>
      <w:r>
        <w:rPr/>
        <w:pict>
          <v:group style="position:absolute;margin-left:453.940002pt;margin-top:72.475983pt;width:27.85pt;height:689.9pt;mso-position-horizontal-relative:page;mso-position-vertical-relative:page;z-index:-1234240" coordorigin="9079,1450" coordsize="557,13798">
            <v:group style="position:absolute;left:9079;top:1450;width:557;height:7298" coordorigin="9079,1450" coordsize="557,7298">
              <v:shape style="position:absolute;left:9079;top:1450;width:557;height:7298" coordorigin="9079,1450" coordsize="557,7298" path="m9079,8747l9636,8747,9636,1450,9079,1450,9079,8747xe" filled="true" fillcolor="#ffffff" stroked="false">
                <v:path arrowok="t"/>
                <v:fill type="solid"/>
              </v:shape>
            </v:group>
            <v:group style="position:absolute;left:9103;top:1450;width:512;height:313" coordorigin="9103,1450" coordsize="512,313">
              <v:shape style="position:absolute;left:9103;top:1450;width:512;height:313" coordorigin="9103,1450" coordsize="512,313" path="m9103,1762l9614,1762,9614,1450,9103,1450,9103,1762xe" filled="true" fillcolor="#ffffff" stroked="false">
                <v:path arrowok="t"/>
                <v:fill type="solid"/>
              </v:shape>
            </v:group>
            <v:group style="position:absolute;left:9103;top:1762;width:512;height:353" coordorigin="9103,1762" coordsize="512,353">
              <v:shape style="position:absolute;left:9103;top:1762;width:512;height:353" coordorigin="9103,1762" coordsize="512,353" path="m9103,2115l9614,2115,9614,1762,9103,1762,9103,2115xe" filled="true" fillcolor="#ffffff" stroked="false">
                <v:path arrowok="t"/>
                <v:fill type="solid"/>
              </v:shape>
            </v:group>
            <v:group style="position:absolute;left:9079;top:8757;width:557;height:5778" coordorigin="9079,8757" coordsize="557,5778">
              <v:shape style="position:absolute;left:9079;top:8757;width:557;height:5778" coordorigin="9079,8757" coordsize="557,5778" path="m9079,14534l9636,14534,9636,8757,9079,8757,9079,14534xe" filled="true" fillcolor="#ffffff" stroked="false">
                <v:path arrowok="t"/>
                <v:fill type="solid"/>
              </v:shape>
            </v:group>
            <v:group style="position:absolute;left:9103;top:10981;width:512;height:353" coordorigin="9103,10981" coordsize="512,353">
              <v:shape style="position:absolute;left:9103;top:10981;width:512;height:353" coordorigin="9103,10981" coordsize="512,353" path="m9103,11334l9614,11334,9614,10981,9103,10981,9103,11334xe" filled="true" fillcolor="#ffffff" stroked="false">
                <v:path arrowok="t"/>
                <v:fill type="solid"/>
              </v:shape>
            </v:group>
            <v:group style="position:absolute;left:9103;top:11334;width:512;height:313" coordorigin="9103,11334" coordsize="512,313">
              <v:shape style="position:absolute;left:9103;top:11334;width:512;height:313" coordorigin="9103,11334" coordsize="512,313" path="m9103,11647l9614,11647,9614,11334,9103,11334,9103,11647xe" filled="true" fillcolor="#ffffff" stroked="false">
                <v:path arrowok="t"/>
                <v:fill type="solid"/>
              </v:shape>
            </v:group>
            <v:group style="position:absolute;left:9103;top:11647;width:512;height:312" coordorigin="9103,11647" coordsize="512,312">
              <v:shape style="position:absolute;left:9103;top:11647;width:512;height:312" coordorigin="9103,11647" coordsize="512,312" path="m9103,11959l9614,11959,9614,11647,9103,11647,9103,11959xe" filled="true" fillcolor="#ffffff" stroked="false">
                <v:path arrowok="t"/>
                <v:fill type="solid"/>
              </v:shape>
            </v:group>
            <v:group style="position:absolute;left:9103;top:11959;width:512;height:351" coordorigin="9103,11959" coordsize="512,351">
              <v:shape style="position:absolute;left:9103;top:11959;width:512;height:351" coordorigin="9103,11959" coordsize="512,351" path="m9103,12309l9614,12309,9614,11959,9103,11959,9103,12309xe" filled="true" fillcolor="#ffffff" stroked="false">
                <v:path arrowok="t"/>
                <v:fill type="solid"/>
              </v:shape>
            </v:group>
            <v:group style="position:absolute;left:9079;top:14544;width:557;height:704" coordorigin="9079,14544" coordsize="557,704">
              <v:shape style="position:absolute;left:9079;top:14544;width:557;height:704" coordorigin="9079,14544" coordsize="557,704" path="m9079,15247l9636,15247,9636,14544,9079,14544,9079,15247xe" filled="true" fillcolor="#ffffff" stroked="false">
                <v:path arrowok="t"/>
                <v:fill type="solid"/>
              </v:shape>
            </v:group>
            <v:group style="position:absolute;left:9103;top:14563;width:512;height:353" coordorigin="9103,14563" coordsize="512,353">
              <v:shape style="position:absolute;left:9103;top:14563;width:512;height:353" coordorigin="9103,14563" coordsize="512,353" path="m9103,14916l9614,14916,9614,14563,9103,14563,9103,14916xe" filled="true" fillcolor="#ffffff" stroked="false">
                <v:path arrowok="t"/>
                <v:fill type="solid"/>
              </v:shape>
            </v:group>
            <v:group style="position:absolute;left:9103;top:14916;width:512;height:313" coordorigin="9103,14916" coordsize="512,313">
              <v:shape style="position:absolute;left:9103;top:14916;width:512;height:313" coordorigin="9103,14916" coordsize="512,313" path="m9103,15228l9614,15228,9614,14916,9103,14916,9103,15228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4"/>
      </w:tblGrid>
      <w:tr>
        <w:trPr>
          <w:trHeight w:val="322"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华人民共和国证券法</w:t>
            </w:r>
            <w:r>
              <w:rPr>
                <w:rFonts w:ascii="宋体" w:hAnsi="宋体" w:cs="宋体" w:eastAsia="宋体" w:hint="default"/>
                <w:spacing w:val="-92"/>
                <w:sz w:val="18"/>
                <w:szCs w:val="18"/>
              </w:rPr>
              <w:t>》</w:t>
            </w:r>
            <w:r>
              <w:rPr>
                <w:rFonts w:ascii="宋体" w:hAnsi="宋体" w:cs="宋体" w:eastAsia="宋体" w:hint="default"/>
                <w:spacing w:val="-178"/>
                <w:sz w:val="18"/>
                <w:szCs w:val="18"/>
              </w:rPr>
              <w:t>、</w:t>
            </w:r>
            <w:r>
              <w:rPr>
                <w:rFonts w:ascii="宋体" w:hAnsi="宋体" w:cs="宋体" w:eastAsia="宋体" w:hint="default"/>
                <w:sz w:val="18"/>
                <w:szCs w:val="18"/>
              </w:rPr>
              <w:t>《首次</w:t>
            </w:r>
            <w:r>
              <w:rPr>
                <w:rFonts w:ascii="宋体" w:hAnsi="宋体" w:cs="宋体" w:eastAsia="宋体" w:hint="default"/>
                <w:spacing w:val="2"/>
                <w:sz w:val="18"/>
                <w:szCs w:val="18"/>
              </w:rPr>
              <w:t>公</w:t>
            </w:r>
            <w:r>
              <w:rPr>
                <w:rFonts w:ascii="宋体" w:hAnsi="宋体" w:cs="宋体" w:eastAsia="宋体" w:hint="default"/>
                <w:sz w:val="18"/>
                <w:szCs w:val="18"/>
              </w:rPr>
              <w:t>开发行股票并上市管</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规要</w:t>
            </w:r>
          </w:p>
        </w:tc>
        <w:tc>
          <w:tcPr>
            <w:tcW w:w="4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理办法</w:t>
            </w:r>
            <w:r>
              <w:rPr>
                <w:rFonts w:ascii="宋体" w:hAnsi="宋体" w:cs="宋体" w:eastAsia="宋体" w:hint="default"/>
                <w:spacing w:val="-92"/>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《证券发行上市保</w:t>
            </w:r>
            <w:r>
              <w:rPr>
                <w:rFonts w:ascii="宋体" w:hAnsi="宋体" w:cs="宋体" w:eastAsia="宋体" w:hint="default"/>
                <w:spacing w:val="2"/>
                <w:sz w:val="18"/>
                <w:szCs w:val="18"/>
              </w:rPr>
              <w:t>荐</w:t>
            </w:r>
            <w:r>
              <w:rPr>
                <w:rFonts w:ascii="宋体" w:hAnsi="宋体" w:cs="宋体" w:eastAsia="宋体" w:hint="default"/>
                <w:sz w:val="18"/>
                <w:szCs w:val="18"/>
              </w:rPr>
              <w:t>业务管理办法</w:t>
            </w:r>
            <w:r>
              <w:rPr>
                <w:rFonts w:ascii="宋体" w:hAnsi="宋体" w:cs="宋体" w:eastAsia="宋体" w:hint="default"/>
                <w:spacing w:val="-92"/>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《保荐</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求的</w:t>
            </w: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人尽职调查工作准则</w:t>
            </w:r>
            <w:r>
              <w:rPr>
                <w:rFonts w:ascii="宋体" w:hAnsi="宋体" w:cs="宋体" w:eastAsia="宋体" w:hint="default"/>
                <w:spacing w:val="-89"/>
                <w:sz w:val="18"/>
                <w:szCs w:val="18"/>
              </w:rPr>
              <w:t>》</w:t>
            </w:r>
            <w:r>
              <w:rPr>
                <w:rFonts w:ascii="宋体" w:hAnsi="宋体" w:cs="宋体" w:eastAsia="宋体" w:hint="default"/>
                <w:sz w:val="18"/>
                <w:szCs w:val="18"/>
              </w:rPr>
              <w:t>等法律法规的规定，</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客观、公正的原则，诚实守信、勤勉尽责地对发行人</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进行全面尽职调查</w:t>
            </w:r>
            <w:r>
              <w:rPr>
                <w:rFonts w:ascii="宋体" w:hAnsi="宋体" w:cs="宋体" w:eastAsia="宋体" w:hint="default"/>
                <w:spacing w:val="-87"/>
                <w:sz w:val="18"/>
                <w:szCs w:val="18"/>
              </w:rPr>
              <w:t>，</w:t>
            </w:r>
            <w:r>
              <w:rPr>
                <w:rFonts w:ascii="宋体" w:hAnsi="宋体" w:cs="宋体" w:eastAsia="宋体" w:hint="default"/>
                <w:sz w:val="18"/>
                <w:szCs w:val="18"/>
              </w:rPr>
              <w:t>确认发行人符合首次公开发行并</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上市的法定条件。</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4"/>
              <w:jc w:val="right"/>
              <w:rPr>
                <w:rFonts w:ascii="宋体" w:hAnsi="宋体" w:cs="宋体" w:eastAsia="宋体" w:hint="default"/>
                <w:sz w:val="18"/>
                <w:szCs w:val="18"/>
              </w:rPr>
            </w:pPr>
            <w:r>
              <w:rPr>
                <w:rFonts w:ascii="宋体" w:hAnsi="宋体" w:cs="宋体" w:eastAsia="宋体" w:hint="default"/>
                <w:spacing w:val="-1"/>
                <w:sz w:val="18"/>
                <w:szCs w:val="18"/>
              </w:rPr>
              <w:t>本保荐机构已对发行人招股说明书及其摘要</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进行了核查，确认其不存在虚假记载、误导性陈述或</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重大遗漏，并对其真实性、准确性和完整性承担相应</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的法律责任</w:t>
            </w:r>
            <w:r>
              <w:rPr>
                <w:rFonts w:ascii="宋体" w:hAnsi="宋体" w:cs="宋体" w:eastAsia="宋体" w:hint="default"/>
                <w:spacing w:val="-87"/>
                <w:sz w:val="18"/>
                <w:szCs w:val="18"/>
              </w:rPr>
              <w:t>。</w:t>
            </w:r>
            <w:r>
              <w:rPr>
                <w:rFonts w:ascii="宋体" w:hAnsi="宋体" w:cs="宋体" w:eastAsia="宋体" w:hint="default"/>
                <w:sz w:val="18"/>
                <w:szCs w:val="18"/>
              </w:rPr>
              <w:t>本 </w:t>
            </w:r>
            <w:r>
              <w:rPr>
                <w:rFonts w:ascii="宋体" w:hAnsi="宋体" w:cs="宋体" w:eastAsia="宋体" w:hint="default"/>
                <w:spacing w:val="2"/>
                <w:sz w:val="18"/>
                <w:szCs w:val="18"/>
              </w:rPr>
              <w:t> </w:t>
            </w:r>
            <w:r>
              <w:rPr>
                <w:rFonts w:ascii="宋体" w:hAnsi="宋体" w:cs="宋体" w:eastAsia="宋体" w:hint="default"/>
                <w:sz w:val="18"/>
                <w:szCs w:val="18"/>
              </w:rPr>
              <w:t>保荐机构为</w:t>
            </w:r>
            <w:r>
              <w:rPr>
                <w:rFonts w:ascii="宋体" w:hAnsi="宋体" w:cs="宋体" w:eastAsia="宋体" w:hint="default"/>
                <w:spacing w:val="-3"/>
                <w:sz w:val="18"/>
                <w:szCs w:val="18"/>
              </w:rPr>
              <w:t>发</w:t>
            </w:r>
            <w:r>
              <w:rPr>
                <w:rFonts w:ascii="宋体" w:hAnsi="宋体" w:cs="宋体" w:eastAsia="宋体" w:hint="default"/>
                <w:sz w:val="18"/>
                <w:szCs w:val="18"/>
              </w:rPr>
              <w:t>行人本次发行出具的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文件不存在虚假记载、误导性陈述或重大遗漏，并对</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其真实性、准确性和完整性承担相应的法律责任。</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657" w:right="0"/>
              <w:jc w:val="left"/>
              <w:rPr>
                <w:rFonts w:ascii="宋体" w:hAnsi="宋体" w:cs="宋体" w:eastAsia="宋体" w:hint="default"/>
                <w:sz w:val="18"/>
                <w:szCs w:val="18"/>
              </w:rPr>
            </w:pPr>
            <w:r>
              <w:rPr>
                <w:rFonts w:ascii="宋体" w:hAnsi="宋体" w:cs="宋体" w:eastAsia="宋体" w:hint="default"/>
                <w:sz w:val="18"/>
                <w:szCs w:val="18"/>
              </w:rPr>
              <w:t>如因本保荐机构的过错</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未能保持职业审慎等）而导致为发行人本次发行制</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作、出具的文件存在虚假记载、误导性陈述或重大遗</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漏，致使投资者在买卖发行人股票时遭受实际损失</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（包括投资者的投资差额损失</w:t>
            </w:r>
            <w:r>
              <w:rPr>
                <w:rFonts w:ascii="宋体" w:hAnsi="宋体" w:cs="宋体" w:eastAsia="宋体" w:hint="default"/>
                <w:spacing w:val="-87"/>
                <w:sz w:val="18"/>
                <w:szCs w:val="18"/>
              </w:rPr>
              <w:t>、</w:t>
            </w:r>
            <w:r>
              <w:rPr>
                <w:rFonts w:ascii="宋体" w:hAnsi="宋体" w:cs="宋体" w:eastAsia="宋体" w:hint="default"/>
                <w:sz w:val="18"/>
                <w:szCs w:val="18"/>
              </w:rPr>
              <w:t>投资差额损失部分的</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佣金和印花税等</w:t>
            </w:r>
            <w:r>
              <w:rPr>
                <w:rFonts w:ascii="宋体" w:hAnsi="宋体" w:cs="宋体" w:eastAsia="宋体" w:hint="default"/>
                <w:spacing w:val="-92"/>
                <w:sz w:val="18"/>
                <w:szCs w:val="18"/>
              </w:rPr>
              <w:t>）</w:t>
            </w:r>
            <w:r>
              <w:rPr>
                <w:rFonts w:ascii="宋体" w:hAnsi="宋体" w:cs="宋体" w:eastAsia="宋体" w:hint="default"/>
                <w:sz w:val="18"/>
                <w:szCs w:val="18"/>
              </w:rPr>
              <w:t>，在该等事</w:t>
            </w:r>
            <w:r>
              <w:rPr>
                <w:rFonts w:ascii="宋体" w:hAnsi="宋体" w:cs="宋体" w:eastAsia="宋体" w:hint="default"/>
                <w:spacing w:val="2"/>
                <w:sz w:val="18"/>
                <w:szCs w:val="18"/>
              </w:rPr>
              <w:t>实</w:t>
            </w:r>
            <w:r>
              <w:rPr>
                <w:rFonts w:ascii="宋体" w:hAnsi="宋体" w:cs="宋体" w:eastAsia="宋体" w:hint="default"/>
                <w:sz w:val="18"/>
                <w:szCs w:val="18"/>
              </w:rPr>
              <w:t>被认定后，本保荐机</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构将按</w:t>
            </w:r>
            <w:r>
              <w:rPr>
                <w:rFonts w:ascii="宋体" w:hAnsi="宋体" w:cs="宋体" w:eastAsia="宋体" w:hint="default"/>
                <w:spacing w:val="-44"/>
                <w:sz w:val="18"/>
                <w:szCs w:val="18"/>
              </w:rPr>
              <w:t>照</w:t>
            </w:r>
            <w:r>
              <w:rPr>
                <w:rFonts w:ascii="宋体" w:hAnsi="宋体" w:cs="宋体" w:eastAsia="宋体" w:hint="default"/>
                <w:sz w:val="18"/>
                <w:szCs w:val="18"/>
              </w:rPr>
              <w:t>《中华人民共和国证券法</w:t>
            </w:r>
            <w:r>
              <w:rPr>
                <w:rFonts w:ascii="宋体" w:hAnsi="宋体" w:cs="宋体" w:eastAsia="宋体" w:hint="default"/>
                <w:spacing w:val="-92"/>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《最高人民法院</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关于审理证券市场因虚假陈述引发的民事赔偿案件</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的若干规定</w:t>
            </w:r>
            <w:r>
              <w:rPr>
                <w:rFonts w:ascii="宋体" w:hAnsi="宋体" w:cs="宋体" w:eastAsia="宋体" w:hint="default"/>
                <w:spacing w:val="-128"/>
                <w:sz w:val="18"/>
                <w:szCs w:val="18"/>
              </w:rPr>
              <w:t>》</w:t>
            </w:r>
            <w:r>
              <w:rPr>
                <w:rFonts w:ascii="宋体" w:hAnsi="宋体" w:cs="宋体" w:eastAsia="宋体" w:hint="default"/>
                <w:sz w:val="18"/>
                <w:szCs w:val="18"/>
              </w:rPr>
              <w:t>（法释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2003</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39"/>
                <w:sz w:val="18"/>
                <w:szCs w:val="18"/>
              </w:rPr>
              <w:t>）</w:t>
            </w:r>
            <w:r>
              <w:rPr>
                <w:rFonts w:ascii="宋体" w:hAnsi="宋体" w:cs="宋体" w:eastAsia="宋体" w:hint="default"/>
                <w:sz w:val="18"/>
                <w:szCs w:val="18"/>
              </w:rPr>
              <w:t>等法律</w:t>
            </w:r>
            <w:r>
              <w:rPr>
                <w:rFonts w:ascii="宋体" w:hAnsi="宋体" w:cs="宋体" w:eastAsia="宋体" w:hint="default"/>
                <w:spacing w:val="-1"/>
                <w:sz w:val="18"/>
                <w:szCs w:val="18"/>
              </w:rPr>
              <w:t>法</w:t>
            </w:r>
            <w:r>
              <w:rPr>
                <w:rFonts w:ascii="宋体" w:hAnsi="宋体" w:cs="宋体" w:eastAsia="宋体" w:hint="default"/>
                <w:sz w:val="18"/>
                <w:szCs w:val="18"/>
              </w:rPr>
              <w:t>规的规定与</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发行人及其他过错方向投资者依法承担损失赔偿责</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226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任，以确保投资者的合法权益得到保护。</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134" w:type="dxa"/>
            <w:vMerge/>
            <w:tcBorders>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发行人会计师大华会计师事务所（特殊普通合伙）承</w:t>
            </w: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87"/>
                <w:sz w:val="18"/>
                <w:szCs w:val="18"/>
              </w:rPr>
              <w:t>：</w:t>
            </w:r>
            <w:r>
              <w:rPr>
                <w:rFonts w:ascii="宋体" w:hAnsi="宋体" w:cs="宋体" w:eastAsia="宋体" w:hint="default"/>
                <w:sz w:val="18"/>
                <w:szCs w:val="18"/>
              </w:rPr>
              <w:t>本所及签字注册会计师已阅读招股说明书及其摘</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要</w:t>
            </w:r>
            <w:r>
              <w:rPr>
                <w:rFonts w:ascii="宋体" w:hAnsi="宋体" w:cs="宋体" w:eastAsia="宋体" w:hint="default"/>
                <w:spacing w:val="-87"/>
                <w:sz w:val="18"/>
                <w:szCs w:val="18"/>
              </w:rPr>
              <w:t>，</w:t>
            </w:r>
            <w:r>
              <w:rPr>
                <w:rFonts w:ascii="宋体" w:hAnsi="宋体" w:cs="宋体" w:eastAsia="宋体" w:hint="default"/>
                <w:sz w:val="18"/>
                <w:szCs w:val="18"/>
              </w:rPr>
              <w:t>确认招股说明书及其摘要与本所出具的审计报告</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内部控制鉴证报</w:t>
            </w:r>
            <w:r>
              <w:rPr>
                <w:rFonts w:ascii="宋体" w:hAnsi="宋体" w:cs="宋体" w:eastAsia="宋体" w:hint="default"/>
                <w:spacing w:val="-82"/>
                <w:sz w:val="18"/>
                <w:szCs w:val="18"/>
              </w:rPr>
              <w:t>告</w:t>
            </w:r>
            <w:r>
              <w:rPr>
                <w:rFonts w:ascii="宋体" w:hAnsi="宋体" w:cs="宋体" w:eastAsia="宋体" w:hint="default"/>
                <w:sz w:val="18"/>
                <w:szCs w:val="18"/>
              </w:rPr>
              <w:t>（大</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华核字</w:t>
            </w:r>
            <w:r>
              <w:rPr>
                <w:rFonts w:ascii="Times New Roman" w:hAnsi="Times New Roman" w:cs="Times New Roman" w:eastAsia="Times New Roman" w:hint="default"/>
                <w:sz w:val="18"/>
                <w:szCs w:val="18"/>
              </w:rPr>
              <w:t>[2018]000559</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号）及经本所核验的非经常性损</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益明细表（大华核字</w:t>
            </w:r>
            <w:r>
              <w:rPr>
                <w:rFonts w:ascii="Times New Roman" w:hAnsi="Times New Roman" w:cs="Times New Roman" w:eastAsia="Times New Roman" w:hint="default"/>
                <w:sz w:val="18"/>
                <w:szCs w:val="18"/>
              </w:rPr>
              <w:t>[2018]000561 </w:t>
            </w:r>
            <w:r>
              <w:rPr>
                <w:rFonts w:ascii="宋体" w:hAnsi="宋体" w:cs="宋体" w:eastAsia="宋体" w:hint="default"/>
                <w:sz w:val="18"/>
                <w:szCs w:val="18"/>
              </w:rPr>
              <w:t>号）无矛盾之处</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1888"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9" w:lineRule="auto"/>
              <w:ind w:left="23" w:right="74"/>
              <w:jc w:val="left"/>
              <w:rPr>
                <w:rFonts w:ascii="宋体" w:hAnsi="宋体" w:cs="宋体" w:eastAsia="宋体" w:hint="default"/>
                <w:sz w:val="18"/>
                <w:szCs w:val="18"/>
              </w:rPr>
            </w:pPr>
            <w:r>
              <w:rPr>
                <w:rFonts w:ascii="宋体" w:hAnsi="宋体" w:cs="宋体" w:eastAsia="宋体" w:hint="default"/>
                <w:sz w:val="18"/>
                <w:szCs w:val="18"/>
              </w:rPr>
              <w:t>大华会计师事务所（特殊普 通合伙）</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9" w:lineRule="auto"/>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26"/>
              <w:ind w:left="24" w:right="26" w:firstLine="633"/>
              <w:jc w:val="left"/>
              <w:rPr>
                <w:rFonts w:ascii="宋体" w:hAnsi="宋体" w:cs="宋体" w:eastAsia="宋体" w:hint="default"/>
                <w:sz w:val="18"/>
                <w:szCs w:val="18"/>
              </w:rPr>
            </w:pPr>
            <w:r>
              <w:rPr>
                <w:rFonts w:ascii="宋体" w:hAnsi="宋体" w:cs="宋体" w:eastAsia="宋体" w:hint="default"/>
                <w:sz w:val="18"/>
                <w:szCs w:val="18"/>
              </w:rPr>
              <w:t>本所及签字注册会计师对发行人在招股说明 书及其摘要中引用本所出具的审计报告（大华审字 </w:t>
            </w: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1"/>
                <w:sz w:val="18"/>
                <w:szCs w:val="18"/>
              </w:rPr>
              <w:t>001068</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号）、内部控制鉴证报告（大华核字</w:t>
            </w:r>
          </w:p>
          <w:p>
            <w:pPr>
              <w:pStyle w:val="TableParagraph"/>
              <w:spacing w:line="24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000559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号）及经本所核验的非经常性损益明</w:t>
            </w:r>
          </w:p>
          <w:p>
            <w:pPr>
              <w:pStyle w:val="TableParagraph"/>
              <w:spacing w:line="300" w:lineRule="auto" w:before="63"/>
              <w:ind w:left="24" w:right="24"/>
              <w:jc w:val="left"/>
              <w:rPr>
                <w:rFonts w:ascii="宋体" w:hAnsi="宋体" w:cs="宋体" w:eastAsia="宋体" w:hint="default"/>
                <w:sz w:val="18"/>
                <w:szCs w:val="18"/>
              </w:rPr>
            </w:pPr>
            <w:r>
              <w:rPr>
                <w:rFonts w:ascii="宋体" w:hAnsi="宋体" w:cs="宋体" w:eastAsia="宋体" w:hint="default"/>
                <w:sz w:val="18"/>
                <w:szCs w:val="18"/>
              </w:rPr>
              <w:t>细表（大华核字</w:t>
            </w:r>
            <w:r>
              <w:rPr>
                <w:rFonts w:ascii="Times New Roman" w:hAnsi="Times New Roman" w:cs="Times New Roman" w:eastAsia="Times New Roman" w:hint="default"/>
                <w:sz w:val="18"/>
                <w:szCs w:val="18"/>
              </w:rPr>
              <w:t>[2018] 000561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号）的内容无异议， </w:t>
            </w:r>
            <w:r>
              <w:rPr>
                <w:rFonts w:ascii="宋体" w:hAnsi="宋体" w:cs="宋体" w:eastAsia="宋体" w:hint="default"/>
                <w:spacing w:val="-4"/>
                <w:sz w:val="18"/>
                <w:szCs w:val="18"/>
              </w:rPr>
              <w:t>确认招股说明书不致因上述内容而出现虚假记载、误</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9" w:lineRule="auto"/>
              <w:ind w:left="23" w:right="170"/>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导性陈述或重大遗漏。</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5"/>
              <w:jc w:val="right"/>
              <w:rPr>
                <w:rFonts w:ascii="宋体" w:hAnsi="宋体" w:cs="宋体" w:eastAsia="宋体" w:hint="default"/>
                <w:sz w:val="18"/>
                <w:szCs w:val="18"/>
              </w:rPr>
            </w:pPr>
            <w:r>
              <w:rPr>
                <w:rFonts w:ascii="宋体" w:hAnsi="宋体" w:cs="宋体" w:eastAsia="宋体" w:hint="default"/>
                <w:spacing w:val="-1"/>
                <w:sz w:val="18"/>
                <w:szCs w:val="18"/>
              </w:rPr>
              <w:t>如因我们的过错，证明本所及签字注册会计</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师为发行人首次公开发行制作</w:t>
            </w:r>
            <w:r>
              <w:rPr>
                <w:rFonts w:ascii="宋体" w:hAnsi="宋体" w:cs="宋体" w:eastAsia="宋体" w:hint="default"/>
                <w:spacing w:val="-87"/>
                <w:sz w:val="18"/>
                <w:szCs w:val="18"/>
              </w:rPr>
              <w:t>、</w:t>
            </w:r>
            <w:r>
              <w:rPr>
                <w:rFonts w:ascii="宋体" w:hAnsi="宋体" w:cs="宋体" w:eastAsia="宋体" w:hint="default"/>
                <w:sz w:val="18"/>
                <w:szCs w:val="18"/>
              </w:rPr>
              <w:t>出具的文件有虚假记</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载</w:t>
            </w:r>
            <w:r>
              <w:rPr>
                <w:rFonts w:ascii="宋体" w:hAnsi="宋体" w:cs="宋体" w:eastAsia="宋体" w:hint="default"/>
                <w:spacing w:val="-89"/>
                <w:sz w:val="18"/>
                <w:szCs w:val="18"/>
              </w:rPr>
              <w:t>、</w:t>
            </w:r>
            <w:r>
              <w:rPr>
                <w:rFonts w:ascii="宋体" w:hAnsi="宋体" w:cs="宋体" w:eastAsia="宋体" w:hint="default"/>
                <w:sz w:val="18"/>
                <w:szCs w:val="18"/>
              </w:rPr>
              <w:t>误导性陈述或者重大遗漏，</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本所将依法与发行人及其他中介机构承担连带赔偿</w:t>
            </w: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34" w:type="dxa"/>
            <w:vMerge/>
            <w:tcBorders>
              <w:left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94" w:type="dxa"/>
            <w:tcBorders>
              <w:top w:val="nil" w:sz="6" w:space="0" w:color="auto"/>
              <w:left w:val="single" w:sz="4" w:space="0" w:color="000000"/>
              <w:bottom w:val="single" w:sz="4" w:space="0" w:color="000000"/>
              <w:right w:val="single" w:sz="4" w:space="0" w:color="000000"/>
            </w:tcBorders>
          </w:tcPr>
          <w:p>
            <w:pPr/>
          </w:p>
        </w:tc>
      </w:tr>
      <w:tr>
        <w:trPr>
          <w:trHeight w:val="71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北京国枫律师事务所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4" w:right="-34"/>
              <w:jc w:val="left"/>
              <w:rPr>
                <w:rFonts w:ascii="宋体" w:hAnsi="宋体" w:cs="宋体" w:eastAsia="宋体" w:hint="default"/>
                <w:sz w:val="18"/>
                <w:szCs w:val="18"/>
              </w:rPr>
            </w:pPr>
            <w:r>
              <w:rPr>
                <w:rFonts w:ascii="宋体" w:hAnsi="宋体" w:cs="宋体" w:eastAsia="宋体" w:hint="default"/>
                <w:spacing w:val="-4"/>
                <w:sz w:val="18"/>
                <w:szCs w:val="18"/>
              </w:rPr>
              <w:t>发行人律师北京国枫律师事务所的承诺：本所为本项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目制作、出具的申请文件真实、准确、完整、及时，</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3" w:right="170"/>
              <w:jc w:val="left"/>
              <w:rPr>
                <w:rFonts w:ascii="宋体" w:hAnsi="宋体" w:cs="宋体" w:eastAsia="宋体" w:hint="default"/>
                <w:sz w:val="18"/>
                <w:szCs w:val="18"/>
              </w:rPr>
            </w:pPr>
            <w:r>
              <w:rPr>
                <w:rFonts w:ascii="宋体" w:hAnsi="宋体" w:cs="宋体" w:eastAsia="宋体" w:hint="default"/>
                <w:sz w:val="18"/>
                <w:szCs w:val="18"/>
              </w:rPr>
              <w:t>承诺 及法</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3" w:right="98"/>
              <w:jc w:val="left"/>
              <w:rPr>
                <w:rFonts w:ascii="宋体" w:hAnsi="宋体" w:cs="宋体" w:eastAsia="宋体" w:hint="default"/>
                <w:sz w:val="18"/>
                <w:szCs w:val="18"/>
              </w:rPr>
            </w:pPr>
            <w:r>
              <w:rPr>
                <w:rFonts w:ascii="宋体" w:hAnsi="宋体" w:cs="宋体" w:eastAsia="宋体" w:hint="default"/>
                <w:sz w:val="18"/>
                <w:szCs w:val="18"/>
              </w:rPr>
              <w:t>正常 履行</w:t>
            </w:r>
          </w:p>
        </w:tc>
      </w:tr>
    </w:tbl>
    <w:p>
      <w:pPr>
        <w:spacing w:after="0" w:line="319"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3.940002pt;margin-top:72.475983pt;width:27.85pt;height:64.5pt;mso-position-horizontal-relative:page;mso-position-vertical-relative:page;z-index:-1234216" coordorigin="9079,1450" coordsize="557,1290">
            <v:group style="position:absolute;left:9079;top:1450;width:557;height:1290" coordorigin="9079,1450" coordsize="557,1290">
              <v:shape style="position:absolute;left:9079;top:1450;width:557;height:1290" coordorigin="9079,1450" coordsize="557,1290" path="m9079,2739l9636,2739,9636,1450,9079,1450,9079,2739xe" filled="true" fillcolor="#ffffff" stroked="false">
                <v:path arrowok="t"/>
                <v:fill type="solid"/>
              </v:shape>
            </v:group>
            <v:group style="position:absolute;left:9103;top:1450;width:512;height:313" coordorigin="9103,1450" coordsize="512,313">
              <v:shape style="position:absolute;left:9103;top:1450;width:512;height:313" coordorigin="9103,1450" coordsize="512,313" path="m9103,1762l9614,1762,9614,1450,9103,1450,9103,1762xe" filled="true" fillcolor="#ffffff" stroked="false">
                <v:path arrowok="t"/>
                <v:fill type="solid"/>
              </v:shape>
            </v:group>
            <v:group style="position:absolute;left:9103;top:1762;width:512;height:353" coordorigin="9103,1762" coordsize="512,353">
              <v:shape style="position:absolute;left:9103;top:1762;width:512;height:353" coordorigin="9103,1762" coordsize="512,353" path="m9103,2115l9614,2115,9614,1762,9103,1762,9103,2115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269"/>
        <w:gridCol w:w="425"/>
        <w:gridCol w:w="4112"/>
        <w:gridCol w:w="566"/>
        <w:gridCol w:w="566"/>
        <w:gridCol w:w="494"/>
      </w:tblGrid>
      <w:tr>
        <w:trPr>
          <w:trHeight w:val="1299"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2"/>
              <w:jc w:val="left"/>
              <w:rPr>
                <w:rFonts w:ascii="宋体" w:hAnsi="宋体" w:cs="宋体" w:eastAsia="宋体" w:hint="default"/>
                <w:sz w:val="18"/>
                <w:szCs w:val="18"/>
              </w:rPr>
            </w:pPr>
            <w:r>
              <w:rPr>
                <w:rFonts w:ascii="宋体" w:hAnsi="宋体" w:cs="宋体" w:eastAsia="宋体" w:hint="default"/>
                <w:spacing w:val="-4"/>
                <w:sz w:val="18"/>
                <w:szCs w:val="18"/>
              </w:rPr>
              <w:t>无虚假记载、误导性陈述或重大遗漏；若因本所未能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勤勉尽责，为本项目制作、出具的申请文件有虚假记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载、误导性陈述或重大遗漏，给投资者造成损失的 本所将依法赔偿投资者损失。</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70"/>
              <w:jc w:val="both"/>
              <w:rPr>
                <w:rFonts w:ascii="宋体" w:hAnsi="宋体" w:cs="宋体" w:eastAsia="宋体" w:hint="default"/>
                <w:sz w:val="18"/>
                <w:szCs w:val="18"/>
              </w:rPr>
            </w:pPr>
            <w:r>
              <w:rPr>
                <w:rFonts w:ascii="宋体" w:hAnsi="宋体" w:cs="宋体" w:eastAsia="宋体" w:hint="default"/>
                <w:sz w:val="18"/>
                <w:szCs w:val="18"/>
              </w:rPr>
              <w:t>规要 求的 期限</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20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蒋鹂北</w:t>
            </w:r>
            <w:r>
              <w:rPr>
                <w:rFonts w:ascii="Times New Roman" w:hAnsi="Times New Roman" w:cs="Times New Roman" w:eastAsia="Times New Roman" w:hint="default"/>
                <w:sz w:val="18"/>
                <w:szCs w:val="18"/>
              </w:rPr>
              <w:t>;</w:t>
            </w:r>
            <w:r>
              <w:rPr>
                <w:rFonts w:ascii="宋体" w:hAnsi="宋体" w:cs="宋体" w:eastAsia="宋体" w:hint="default"/>
                <w:sz w:val="18"/>
                <w:szCs w:val="18"/>
              </w:rPr>
              <w:t>李建国</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公司实际控制人李建国先生和蒋鹂北女士就发行人 </w:t>
            </w:r>
            <w:r>
              <w:rPr>
                <w:rFonts w:ascii="宋体" w:hAnsi="宋体" w:cs="宋体" w:eastAsia="宋体" w:hint="default"/>
                <w:spacing w:val="-4"/>
                <w:sz w:val="18"/>
                <w:szCs w:val="18"/>
              </w:rPr>
              <w:t>缴纳社保、住房公积金情况出具以下承诺：如发行人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及其下属子公司因首次公开发行并在境内证券交易 </w:t>
            </w:r>
            <w:r>
              <w:rPr>
                <w:rFonts w:ascii="宋体" w:hAnsi="宋体" w:cs="宋体" w:eastAsia="宋体" w:hint="default"/>
                <w:spacing w:val="-4"/>
                <w:sz w:val="18"/>
                <w:szCs w:val="18"/>
              </w:rPr>
              <w:t>所上市完成之日前的事由，因未足额、按时为公司全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体员工缴纳社会保险、住房公积金，导致发行人及其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下属子公司需补缴社会保险、住房公积金，或被相关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行政主管机关或司法机关处以罚金、征收滞纳金或被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任何其他方索赔的，本人将以现金支付方式无条件补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足公司应缴差额并承担发行人及其下属子公司因此 而受到的全部经济损失。</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70"/>
              <w:jc w:val="both"/>
              <w:rPr>
                <w:rFonts w:ascii="宋体" w:hAnsi="宋体" w:cs="宋体" w:eastAsia="宋体" w:hint="default"/>
                <w:sz w:val="18"/>
                <w:szCs w:val="18"/>
              </w:rPr>
            </w:pPr>
            <w:r>
              <w:rPr>
                <w:rFonts w:ascii="宋体" w:hAnsi="宋体" w:cs="宋体" w:eastAsia="宋体" w:hint="default"/>
                <w:sz w:val="18"/>
                <w:szCs w:val="18"/>
              </w:rPr>
              <w:t>承诺 及法 规要 求的 期限</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98"/>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4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line="259" w:lineRule="auto"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057"/>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right="1057"/>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101"/>
        <w:ind w:left="152" w:right="1000" w:firstLine="36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日，财政部发布的《关于修订印发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年度一般企业财务报表格式的通知》（财会【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1"/>
          <w:sz w:val="18"/>
          <w:szCs w:val="18"/>
        </w:rPr>
        <w:t>号），</w:t>
      </w:r>
      <w:r>
        <w:rPr>
          <w:rFonts w:ascii="宋体" w:hAnsi="宋体" w:cs="宋体" w:eastAsia="宋体" w:hint="default"/>
          <w:sz w:val="18"/>
          <w:szCs w:val="18"/>
        </w:rPr>
        <w:t> 要求对已执行新金融工具准则但未执行新收入准则和新租赁准则的企业应按如下规定编制财务报表：</w:t>
      </w:r>
    </w:p>
    <w:p>
      <w:pPr>
        <w:spacing w:line="300" w:lineRule="auto" w:before="72"/>
        <w:ind w:left="152" w:right="1112" w:firstLine="360"/>
        <w:jc w:val="left"/>
        <w:rPr>
          <w:rFonts w:ascii="宋体" w:hAnsi="宋体" w:cs="宋体" w:eastAsia="宋体" w:hint="default"/>
          <w:sz w:val="18"/>
          <w:szCs w:val="18"/>
        </w:rPr>
      </w:pPr>
      <w:r>
        <w:rPr>
          <w:rFonts w:ascii="宋体" w:hAnsi="宋体" w:cs="宋体" w:eastAsia="宋体" w:hint="default"/>
          <w:sz w:val="18"/>
          <w:szCs w:val="18"/>
        </w:rPr>
        <w:t>资产负债表中将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项目，反映资产 负债表日以公允价值计量且其变动计入其他综合收益的应收票据和应收账款等；将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 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53"/>
        <w:ind w:left="513" w:right="1057" w:firstLine="0"/>
        <w:jc w:val="left"/>
        <w:rPr>
          <w:rFonts w:ascii="宋体" w:hAnsi="宋体" w:cs="宋体" w:eastAsia="宋体" w:hint="default"/>
          <w:sz w:val="18"/>
          <w:szCs w:val="18"/>
        </w:rPr>
      </w:pPr>
      <w:r>
        <w:rPr>
          <w:rFonts w:ascii="宋体" w:hAnsi="宋体" w:cs="宋体" w:eastAsia="宋体" w:hint="default"/>
          <w:sz w:val="18"/>
          <w:szCs w:val="18"/>
        </w:rPr>
        <w:t>利润表中在投资收益项目下增加</w:t>
      </w: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r>
        <w:rPr>
          <w:rFonts w:ascii="宋体" w:hAnsi="宋体" w:cs="宋体" w:eastAsia="宋体" w:hint="default"/>
          <w:sz w:val="18"/>
          <w:szCs w:val="18"/>
        </w:rPr>
        <w:t>的明细项目。</w:t>
      </w:r>
    </w:p>
    <w:p>
      <w:pPr>
        <w:spacing w:line="300" w:lineRule="auto" w:before="101"/>
        <w:ind w:left="152" w:right="11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日，财政部发布了《关于修订印发《合并财务报表格式（</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版）》的通知》（财会【</w:t>
      </w:r>
      <w:r>
        <w:rPr>
          <w:rFonts w:ascii="Times New Roman" w:hAnsi="Times New Roman" w:cs="Times New Roman" w:eastAsia="Times New Roman" w:hint="default"/>
          <w:spacing w:val="-12"/>
          <w:sz w:val="18"/>
          <w:szCs w:val="18"/>
        </w:rPr>
        <w:t>2019</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pacing w:val="-25"/>
          <w:sz w:val="18"/>
          <w:szCs w:val="18"/>
        </w:rPr>
        <w:t>号），与</w:t>
      </w:r>
      <w:r>
        <w:rPr>
          <w:rFonts w:ascii="宋体" w:hAnsi="宋体" w:cs="宋体" w:eastAsia="宋体" w:hint="default"/>
          <w:sz w:val="18"/>
          <w:szCs w:val="18"/>
        </w:rPr>
        <w:t> 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号配套执行。</w:t>
      </w:r>
    </w:p>
    <w:p>
      <w:pPr>
        <w:spacing w:line="300" w:lineRule="auto" w:before="54"/>
        <w:ind w:left="152" w:right="1130" w:firstLine="360"/>
        <w:jc w:val="left"/>
        <w:rPr>
          <w:rFonts w:ascii="宋体" w:hAnsi="宋体" w:cs="宋体" w:eastAsia="宋体" w:hint="default"/>
          <w:sz w:val="18"/>
          <w:szCs w:val="18"/>
        </w:rPr>
      </w:pPr>
      <w:r>
        <w:rPr>
          <w:rFonts w:ascii="宋体" w:hAnsi="宋体" w:cs="宋体" w:eastAsia="宋体" w:hint="default"/>
          <w:spacing w:val="-3"/>
          <w:sz w:val="18"/>
          <w:szCs w:val="18"/>
        </w:rPr>
        <w:t>本公司根据财会【</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 </w:t>
      </w:r>
      <w:r>
        <w:rPr>
          <w:rFonts w:ascii="宋体" w:hAnsi="宋体" w:cs="宋体" w:eastAsia="宋体" w:hint="default"/>
          <w:spacing w:val="-5"/>
          <w:sz w:val="18"/>
          <w:szCs w:val="18"/>
        </w:rPr>
        <w:t>号、财会【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号规定的财务报表格式编制比较报表，并采用追溯调整法变更了相关财 务报表列报。</w:t>
      </w:r>
    </w:p>
    <w:p>
      <w:pPr>
        <w:spacing w:before="72"/>
        <w:ind w:left="513" w:right="1057" w:firstLine="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分</w:t>
      </w:r>
      <w:r>
        <w:rPr>
          <w:rFonts w:ascii="宋体" w:hAnsi="宋体" w:cs="宋体" w:eastAsia="宋体" w:hint="default"/>
          <w:sz w:val="18"/>
          <w:szCs w:val="18"/>
        </w:rPr>
        <w:t>别发布了《企业会计准则第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p>
    <w:p>
      <w:pPr>
        <w:spacing w:before="63"/>
        <w:ind w:left="152" w:right="105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49"/>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w:t>
      </w:r>
      <w:r>
        <w:rPr>
          <w:rFonts w:ascii="宋体" w:hAnsi="宋体" w:cs="宋体" w:eastAsia="宋体" w:hint="default"/>
          <w:spacing w:val="-58"/>
          <w:sz w:val="18"/>
          <w:szCs w:val="18"/>
        </w:rPr>
        <w:t>移</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pacing w:val="-149"/>
          <w:sz w:val="18"/>
          <w:szCs w:val="18"/>
        </w:rPr>
        <w:t>》</w:t>
      </w:r>
      <w:r>
        <w:rPr>
          <w:rFonts w:ascii="宋体" w:hAnsi="宋体" w:cs="宋体" w:eastAsia="宋体" w:hint="default"/>
          <w:sz w:val="18"/>
          <w:szCs w:val="18"/>
        </w:rPr>
        <w:t>（财</w:t>
      </w:r>
      <w:r>
        <w:rPr>
          <w:rFonts w:ascii="宋体" w:hAnsi="宋体" w:cs="宋体" w:eastAsia="宋体" w:hint="default"/>
          <w:spacing w:val="-58"/>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spacing w:val="-58"/>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49"/>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r>
        <w:rPr>
          <w:rFonts w:ascii="宋体" w:hAnsi="宋体" w:cs="宋体" w:eastAsia="宋体" w:hint="default"/>
          <w:spacing w:val="-58"/>
          <w:sz w:val="18"/>
          <w:szCs w:val="18"/>
        </w:rPr>
        <w:t>计</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spacing w:before="63"/>
        <w:ind w:left="152" w:right="1057" w:firstLine="0"/>
        <w:jc w:val="left"/>
        <w:rPr>
          <w:rFonts w:ascii="宋体" w:hAnsi="宋体" w:cs="宋体" w:eastAsia="宋体" w:hint="default"/>
          <w:sz w:val="18"/>
          <w:szCs w:val="18"/>
        </w:rPr>
      </w:pP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w:t>
      </w:r>
      <w:r>
        <w:rPr>
          <w:rFonts w:ascii="宋体" w:hAnsi="宋体" w:cs="宋体" w:eastAsia="宋体" w:hint="default"/>
          <w:spacing w:val="-3"/>
          <w:sz w:val="18"/>
          <w:szCs w:val="18"/>
        </w:rPr>
        <w: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宋体" w:hAnsi="宋体" w:cs="宋体" w:eastAsia="宋体" w:hint="default"/>
          <w:spacing w:val="-3"/>
          <w:sz w:val="18"/>
          <w:szCs w:val="18"/>
        </w:rPr>
        <w:t>工</w:t>
      </w:r>
      <w:r>
        <w:rPr>
          <w:rFonts w:ascii="宋体" w:hAnsi="宋体" w:cs="宋体" w:eastAsia="宋体" w:hint="default"/>
          <w:sz w:val="18"/>
          <w:szCs w:val="18"/>
        </w:rPr>
        <w:t>具列报（</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（财会</w:t>
      </w:r>
    </w:p>
    <w:p>
      <w:pPr>
        <w:spacing w:before="63"/>
        <w:ind w:left="152"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17"/>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宋体" w:hAnsi="宋体" w:cs="宋体" w:eastAsia="宋体" w:hint="default"/>
          <w:spacing w:val="-106"/>
          <w:sz w:val="18"/>
          <w:szCs w:val="18"/>
        </w:rPr>
        <w:t>）</w:t>
      </w:r>
      <w:r>
        <w:rPr>
          <w:rFonts w:ascii="宋体" w:hAnsi="宋体" w:cs="宋体" w:eastAsia="宋体" w:hint="default"/>
          <w:sz w:val="18"/>
          <w:szCs w:val="18"/>
        </w:rPr>
        <w:t>（上述准则</w:t>
      </w:r>
      <w:r>
        <w:rPr>
          <w:rFonts w:ascii="宋体" w:hAnsi="宋体" w:cs="宋体" w:eastAsia="宋体" w:hint="default"/>
          <w:spacing w:val="-3"/>
          <w:sz w:val="18"/>
          <w:szCs w:val="18"/>
        </w:rPr>
        <w:t>以</w:t>
      </w:r>
      <w:r>
        <w:rPr>
          <w:rFonts w:ascii="宋体" w:hAnsi="宋体" w:cs="宋体" w:eastAsia="宋体" w:hint="default"/>
          <w:sz w:val="18"/>
          <w:szCs w:val="18"/>
        </w:rPr>
        <w:t>下统称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新金融工具准则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pacing w:val="2"/>
          <w:sz w:val="18"/>
          <w:szCs w:val="18"/>
        </w:rPr>
        <w:t>要</w:t>
      </w:r>
      <w:r>
        <w:rPr>
          <w:rFonts w:ascii="宋体" w:hAnsi="宋体" w:cs="宋体" w:eastAsia="宋体" w:hint="default"/>
          <w:sz w:val="18"/>
          <w:szCs w:val="18"/>
        </w:rPr>
        <w:t>求境内上市企业自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日起执行新金融工具准</w:t>
      </w:r>
      <w:r>
        <w:rPr>
          <w:rFonts w:ascii="宋体" w:hAnsi="宋体" w:cs="宋体" w:eastAsia="宋体" w:hint="default"/>
          <w:spacing w:val="-3"/>
          <w:sz w:val="18"/>
          <w:szCs w:val="18"/>
        </w:rPr>
        <w:t>则</w:t>
      </w:r>
      <w:r>
        <w:rPr>
          <w:rFonts w:ascii="宋体" w:hAnsi="宋体" w:cs="宋体" w:eastAsia="宋体" w:hint="default"/>
          <w:spacing w:val="-15"/>
          <w:sz w:val="18"/>
          <w:szCs w:val="18"/>
        </w:rPr>
        <w:t>。</w:t>
      </w:r>
      <w:r>
        <w:rPr>
          <w:rFonts w:ascii="宋体" w:hAnsi="宋体" w:cs="宋体" w:eastAsia="宋体" w:hint="default"/>
          <w:sz w:val="18"/>
          <w:szCs w:val="18"/>
        </w:rPr>
        <w:t>本</w:t>
      </w:r>
    </w:p>
    <w:p>
      <w:pPr>
        <w:spacing w:before="63"/>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日执行上述新金融工具准则，对会计政策的相关内容进行调整。</w:t>
      </w:r>
    </w:p>
    <w:p>
      <w:pPr>
        <w:spacing w:before="101"/>
        <w:ind w:left="513" w:right="1057"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日之前的金融工具确认和计量与新金融工具准则要求不一致的，本公司按照新金融工具准则的规定，</w:t>
      </w:r>
    </w:p>
    <w:p>
      <w:pPr>
        <w:spacing w:before="63"/>
        <w:ind w:left="152" w:right="105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对金融工具的分类和计量（含减值）进行追溯调整，将金融工具原账面价值和在新金融工具准则施行日（即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spacing w:line="300" w:lineRule="auto" w:before="63"/>
        <w:ind w:left="152" w:right="1131" w:firstLine="0"/>
        <w:jc w:val="left"/>
        <w:rPr>
          <w:rFonts w:ascii="宋体" w:hAnsi="宋体" w:cs="宋体" w:eastAsia="宋体" w:hint="default"/>
          <w:sz w:val="18"/>
          <w:szCs w:val="18"/>
        </w:rPr>
      </w:pPr>
      <w:r>
        <w:rPr>
          <w:rFonts w:ascii="宋体" w:hAnsi="宋体" w:cs="宋体" w:eastAsia="宋体" w:hint="default"/>
          <w:sz w:val="18"/>
          <w:szCs w:val="18"/>
        </w:rPr>
        <w:t>日）的新账面价值之间的差额计入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日的留存收益或其他综合收益。同时，本公司未对比较财务报表数据进行 调整。</w:t>
      </w:r>
    </w:p>
    <w:p>
      <w:pPr>
        <w:spacing w:before="72"/>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3"/>
          <w:sz w:val="18"/>
          <w:szCs w:val="18"/>
        </w:rPr>
        <w:t>，</w:t>
      </w:r>
      <w:r>
        <w:rPr>
          <w:rFonts w:ascii="宋体" w:hAnsi="宋体" w:cs="宋体" w:eastAsia="宋体" w:hint="default"/>
          <w:sz w:val="18"/>
          <w:szCs w:val="18"/>
        </w:rPr>
        <w:t>财政部发</w:t>
      </w:r>
      <w:r>
        <w:rPr>
          <w:rFonts w:ascii="宋体" w:hAnsi="宋体" w:cs="宋体" w:eastAsia="宋体" w:hint="default"/>
          <w:spacing w:val="-15"/>
          <w:sz w:val="18"/>
          <w:szCs w:val="18"/>
        </w:rPr>
        <w:t>布</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w:t>
      </w:r>
      <w:r>
        <w:rPr>
          <w:rFonts w:ascii="宋体" w:hAnsi="宋体" w:cs="宋体" w:eastAsia="宋体" w:hint="default"/>
          <w:spacing w:val="-3"/>
          <w:sz w:val="18"/>
          <w:szCs w:val="18"/>
        </w:rPr>
        <w:t>货</w:t>
      </w:r>
      <w:r>
        <w:rPr>
          <w:rFonts w:ascii="宋体" w:hAnsi="宋体" w:cs="宋体" w:eastAsia="宋体" w:hint="default"/>
          <w:sz w:val="18"/>
          <w:szCs w:val="18"/>
        </w:rPr>
        <w:t>币性资产交换</w:t>
      </w:r>
      <w:r>
        <w:rPr>
          <w:rFonts w:ascii="宋体" w:hAnsi="宋体" w:cs="宋体" w:eastAsia="宋体" w:hint="default"/>
          <w:spacing w:val="-104"/>
          <w:sz w:val="18"/>
          <w:szCs w:val="18"/>
        </w:rPr>
        <w:t>》</w:t>
      </w:r>
      <w:r>
        <w:rPr>
          <w:rFonts w:ascii="宋体" w:hAnsi="宋体" w:cs="宋体" w:eastAsia="宋体" w:hint="default"/>
          <w:sz w:val="18"/>
          <w:szCs w:val="18"/>
        </w:rPr>
        <w:t>（财</w:t>
      </w:r>
      <w:r>
        <w:rPr>
          <w:rFonts w:ascii="宋体" w:hAnsi="宋体" w:cs="宋体" w:eastAsia="宋体" w:hint="default"/>
          <w:spacing w:val="-13"/>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根据要求</w:t>
      </w:r>
      <w:r>
        <w:rPr>
          <w:rFonts w:ascii="宋体" w:hAnsi="宋体" w:cs="宋体" w:eastAsia="宋体" w:hint="default"/>
          <w:spacing w:val="-13"/>
          <w:sz w:val="18"/>
          <w:szCs w:val="18"/>
        </w:rPr>
        <w:t>，</w:t>
      </w:r>
      <w:r>
        <w:rPr>
          <w:rFonts w:ascii="宋体" w:hAnsi="宋体" w:cs="宋体" w:eastAsia="宋体" w:hint="default"/>
          <w:sz w:val="18"/>
          <w:szCs w:val="18"/>
        </w:rPr>
        <w:t>本公司对</w:t>
      </w:r>
    </w:p>
    <w:p>
      <w:pPr>
        <w:spacing w:before="63"/>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日至执行日之间发生的非货币性资产交换，根据本准则进行调整，对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日之前发生的非货币性资</w:t>
      </w:r>
    </w:p>
    <w:p>
      <w:pPr>
        <w:spacing w:before="63"/>
        <w:ind w:left="152" w:right="1057" w:firstLine="0"/>
        <w:jc w:val="left"/>
        <w:rPr>
          <w:rFonts w:ascii="宋体" w:hAnsi="宋体" w:cs="宋体" w:eastAsia="宋体" w:hint="default"/>
          <w:sz w:val="18"/>
          <w:szCs w:val="18"/>
        </w:rPr>
      </w:pPr>
      <w:r>
        <w:rPr>
          <w:rFonts w:ascii="宋体" w:hAnsi="宋体" w:cs="宋体" w:eastAsia="宋体" w:hint="default"/>
          <w:sz w:val="18"/>
          <w:szCs w:val="18"/>
        </w:rPr>
        <w:t>产交换，不进行追溯调整，本公司于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日起执行本准则。</w:t>
      </w:r>
    </w:p>
    <w:p>
      <w:pPr>
        <w:spacing w:before="103"/>
        <w:ind w:left="513" w:right="105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w:t>
      </w:r>
      <w:r>
        <w:rPr>
          <w:rFonts w:ascii="宋体" w:hAnsi="宋体" w:cs="宋体" w:eastAsia="宋体" w:hint="default"/>
          <w:spacing w:val="-3"/>
          <w:sz w:val="18"/>
          <w:szCs w:val="18"/>
        </w:rPr>
        <w:t>发</w:t>
      </w:r>
      <w:r>
        <w:rPr>
          <w:rFonts w:ascii="宋体" w:hAnsi="宋体" w:cs="宋体" w:eastAsia="宋体" w:hint="default"/>
          <w:sz w:val="18"/>
          <w:szCs w:val="18"/>
        </w:rPr>
        <w:t>布《企业会计准则第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债</w:t>
      </w:r>
      <w:r>
        <w:rPr>
          <w:rFonts w:ascii="宋体" w:hAnsi="宋体" w:cs="宋体" w:eastAsia="宋体" w:hint="default"/>
          <w:sz w:val="18"/>
          <w:szCs w:val="18"/>
        </w:rPr>
        <w:t>务重组</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4"/>
          <w:sz w:val="18"/>
          <w:szCs w:val="18"/>
        </w:rPr>
        <w:t>）</w:t>
      </w:r>
      <w:r>
        <w:rPr>
          <w:rFonts w:ascii="宋体" w:hAnsi="宋体" w:cs="宋体" w:eastAsia="宋体" w:hint="default"/>
          <w:sz w:val="18"/>
          <w:szCs w:val="18"/>
        </w:rPr>
        <w:t>，根据要求，本公司对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spacing w:before="63"/>
        <w:ind w:left="152" w:right="1057"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日至执行日之间发生的债务重组，根据本准则进行调整，对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日之前发生的债务重组，不进行追溯调</w:t>
      </w:r>
    </w:p>
    <w:p>
      <w:pPr>
        <w:spacing w:line="338" w:lineRule="auto" w:before="63"/>
        <w:ind w:left="513" w:right="6983" w:hanging="361"/>
        <w:jc w:val="left"/>
        <w:rPr>
          <w:rFonts w:ascii="宋体" w:hAnsi="宋体" w:cs="宋体" w:eastAsia="宋体" w:hint="default"/>
          <w:sz w:val="18"/>
          <w:szCs w:val="18"/>
        </w:rPr>
      </w:pPr>
      <w:r>
        <w:rPr>
          <w:rFonts w:ascii="宋体" w:hAnsi="宋体" w:cs="宋体" w:eastAsia="宋体" w:hint="default"/>
          <w:sz w:val="18"/>
          <w:szCs w:val="18"/>
        </w:rPr>
        <w:t>整，本公司于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日起执行本准则。 相关列报调整影响如下：</w:t>
      </w:r>
    </w:p>
    <w:p>
      <w:pPr>
        <w:spacing w:before="43"/>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日受影响的合并资产负债表和母公司资产负债表</w:t>
      </w:r>
    </w:p>
    <w:p>
      <w:pPr>
        <w:spacing w:line="240" w:lineRule="auto" w:before="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2211"/>
        <w:gridCol w:w="1527"/>
        <w:gridCol w:w="1532"/>
        <w:gridCol w:w="1526"/>
        <w:gridCol w:w="1529"/>
      </w:tblGrid>
      <w:tr>
        <w:trPr>
          <w:trHeight w:val="433" w:hRule="exact"/>
        </w:trPr>
        <w:tc>
          <w:tcPr>
            <w:tcW w:w="2211" w:type="dxa"/>
            <w:vMerge w:val="restart"/>
            <w:tcBorders>
              <w:top w:val="single" w:sz="8" w:space="0" w:color="000000"/>
              <w:left w:val="single" w:sz="8" w:space="0" w:color="000000"/>
              <w:right w:val="single" w:sz="8"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888" w:right="0"/>
              <w:jc w:val="left"/>
              <w:rPr>
                <w:rFonts w:ascii="宋体" w:hAnsi="宋体" w:cs="宋体" w:eastAsia="宋体" w:hint="default"/>
                <w:sz w:val="18"/>
                <w:szCs w:val="18"/>
              </w:rPr>
            </w:pPr>
            <w:r>
              <w:rPr>
                <w:rFonts w:ascii="宋体" w:hAnsi="宋体" w:cs="宋体" w:eastAsia="宋体" w:hint="default"/>
                <w:sz w:val="18"/>
                <w:szCs w:val="18"/>
              </w:rPr>
              <w:t>合并资产负债表</w:t>
            </w:r>
          </w:p>
        </w:tc>
        <w:tc>
          <w:tcPr>
            <w:tcW w:w="30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796"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432" w:hRule="exact"/>
        </w:trPr>
        <w:tc>
          <w:tcPr>
            <w:tcW w:w="2211" w:type="dxa"/>
            <w:vMerge/>
            <w:tcBorders>
              <w:left w:val="single" w:sz="8" w:space="0" w:color="000000"/>
              <w:bottom w:val="single" w:sz="8" w:space="0" w:color="000000"/>
              <w:right w:val="single" w:sz="8" w:space="0" w:color="000000"/>
            </w:tcBorders>
          </w:tcPr>
          <w:p>
            <w:pPr/>
          </w:p>
        </w:tc>
        <w:tc>
          <w:tcPr>
            <w:tcW w:w="15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48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4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48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32" w:hRule="exact"/>
        </w:trPr>
        <w:tc>
          <w:tcPr>
            <w:tcW w:w="2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527" w:type="dxa"/>
            <w:tcBorders>
              <w:top w:val="single" w:sz="8" w:space="0" w:color="000000"/>
              <w:left w:val="single" w:sz="8" w:space="0" w:color="000000"/>
              <w:bottom w:val="single" w:sz="8" w:space="0" w:color="000000"/>
              <w:right w:val="single" w:sz="8" w:space="0" w:color="000000"/>
            </w:tcBorders>
          </w:tcPr>
          <w:p>
            <w:pP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149,768,601.26</w:t>
            </w:r>
          </w:p>
        </w:tc>
        <w:tc>
          <w:tcPr>
            <w:tcW w:w="1526" w:type="dxa"/>
            <w:tcBorders>
              <w:top w:val="single" w:sz="8" w:space="0" w:color="000000"/>
              <w:left w:val="single" w:sz="8" w:space="0" w:color="000000"/>
              <w:bottom w:val="single" w:sz="8" w:space="0" w:color="000000"/>
              <w:right w:val="single" w:sz="8" w:space="0" w:color="000000"/>
            </w:tcBorders>
          </w:tcPr>
          <w:p>
            <w:pP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149,768,601.26</w:t>
            </w:r>
          </w:p>
        </w:tc>
      </w:tr>
      <w:tr>
        <w:trPr>
          <w:trHeight w:val="432" w:hRule="exact"/>
        </w:trPr>
        <w:tc>
          <w:tcPr>
            <w:tcW w:w="2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5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382" w:right="0"/>
              <w:jc w:val="left"/>
              <w:rPr>
                <w:rFonts w:ascii="Times New Roman" w:hAnsi="Times New Roman" w:cs="Times New Roman" w:eastAsia="Times New Roman" w:hint="default"/>
                <w:sz w:val="18"/>
                <w:szCs w:val="18"/>
              </w:rPr>
            </w:pPr>
            <w:r>
              <w:rPr>
                <w:rFonts w:ascii="Times New Roman"/>
                <w:sz w:val="18"/>
              </w:rPr>
              <w:t>180,632,202.77</w:t>
            </w:r>
          </w:p>
        </w:tc>
        <w:tc>
          <w:tcPr>
            <w:tcW w:w="15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30,863,601.51</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381" w:right="0"/>
              <w:jc w:val="left"/>
              <w:rPr>
                <w:rFonts w:ascii="Times New Roman" w:hAnsi="Times New Roman" w:cs="Times New Roman" w:eastAsia="Times New Roman" w:hint="default"/>
                <w:sz w:val="18"/>
                <w:szCs w:val="18"/>
              </w:rPr>
            </w:pPr>
            <w:r>
              <w:rPr>
                <w:rFonts w:ascii="Times New Roman"/>
                <w:sz w:val="18"/>
              </w:rPr>
              <w:t>179,870,586.69</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30,101,985.43</w:t>
            </w:r>
          </w:p>
        </w:tc>
      </w:tr>
    </w:tbl>
    <w:p>
      <w:pPr>
        <w:spacing w:line="300" w:lineRule="auto" w:before="51"/>
        <w:ind w:left="152" w:right="1057" w:firstLine="360"/>
        <w:jc w:val="left"/>
        <w:rPr>
          <w:rFonts w:ascii="宋体" w:hAnsi="宋体" w:cs="宋体" w:eastAsia="宋体" w:hint="default"/>
          <w:sz w:val="18"/>
          <w:szCs w:val="18"/>
        </w:rPr>
      </w:pPr>
      <w:r>
        <w:rPr>
          <w:rFonts w:ascii="宋体" w:hAnsi="宋体" w:cs="宋体" w:eastAsia="宋体" w:hint="default"/>
          <w:sz w:val="18"/>
          <w:szCs w:val="18"/>
        </w:rPr>
        <w:t>上述会计政策变更分别经本公司于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日召开的第三届董事会第十八次会议、及于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 第三届董事会第二十一次会议批准。</w:t>
      </w:r>
    </w:p>
    <w:p>
      <w:pPr>
        <w:spacing w:line="240" w:lineRule="auto" w:before="8"/>
        <w:rPr>
          <w:rFonts w:ascii="宋体" w:hAnsi="宋体" w:cs="宋体" w:eastAsia="宋体" w:hint="default"/>
          <w:sz w:val="21"/>
          <w:szCs w:val="21"/>
        </w:rPr>
      </w:pPr>
    </w:p>
    <w:p>
      <w:pPr>
        <w:pStyle w:val="Heading3"/>
        <w:spacing w:line="240" w:lineRule="auto"/>
        <w:ind w:right="1057"/>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after="0" w:line="3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451" w:lineRule="auto" w:before="0"/>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合并财务报表范围及变化</w:t>
      </w:r>
    </w:p>
    <w:p>
      <w:pPr>
        <w:spacing w:before="76"/>
        <w:ind w:left="152"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）本报告期末纳入合并范围的子公司</w:t>
      </w:r>
    </w:p>
    <w:p>
      <w:pPr>
        <w:spacing w:line="240" w:lineRule="auto" w:before="11"/>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807"/>
        <w:gridCol w:w="3166"/>
        <w:gridCol w:w="1277"/>
        <w:gridCol w:w="1838"/>
        <w:gridCol w:w="985"/>
        <w:gridCol w:w="1001"/>
      </w:tblGrid>
      <w:tr>
        <w:trPr>
          <w:trHeight w:val="350" w:hRule="exact"/>
        </w:trPr>
        <w:tc>
          <w:tcPr>
            <w:tcW w:w="807" w:type="dxa"/>
            <w:vMerge w:val="restart"/>
            <w:tcBorders>
              <w:top w:val="single" w:sz="6" w:space="0" w:color="000000"/>
              <w:left w:val="single" w:sz="6" w:space="0" w:color="000000"/>
              <w:right w:val="single" w:sz="6" w:space="0" w:color="000000"/>
            </w:tcBorders>
          </w:tcPr>
          <w:p>
            <w:pPr>
              <w:pStyle w:val="TableParagraph"/>
              <w:spacing w:line="240" w:lineRule="auto" w:before="22"/>
              <w:ind w:left="146" w:right="0"/>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54"/>
                <w:sz w:val="18"/>
                <w:szCs w:val="18"/>
              </w:rPr>
              <w:t> </w:t>
            </w:r>
            <w:r>
              <w:rPr>
                <w:rFonts w:ascii="宋体" w:hAnsi="宋体" w:cs="宋体" w:eastAsia="宋体" w:hint="default"/>
                <w:sz w:val="18"/>
                <w:szCs w:val="18"/>
              </w:rPr>
              <w:t>号</w:t>
            </w:r>
          </w:p>
        </w:tc>
        <w:tc>
          <w:tcPr>
            <w:tcW w:w="3166" w:type="dxa"/>
            <w:vMerge w:val="restart"/>
            <w:tcBorders>
              <w:top w:val="single" w:sz="6" w:space="0" w:color="000000"/>
              <w:left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sz w:val="18"/>
                <w:szCs w:val="18"/>
              </w:rPr>
              <w:t>子公司简称</w:t>
            </w:r>
          </w:p>
        </w:tc>
        <w:tc>
          <w:tcPr>
            <w:tcW w:w="1838" w:type="dxa"/>
            <w:vMerge w:val="restart"/>
            <w:tcBorders>
              <w:top w:val="single" w:sz="6" w:space="0" w:color="000000"/>
              <w:left w:val="single" w:sz="6" w:space="0" w:color="000000"/>
              <w:right w:val="single" w:sz="6"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sz w:val="18"/>
                <w:szCs w:val="18"/>
              </w:rPr>
              <w:t>子公司关系</w:t>
            </w:r>
          </w:p>
        </w:tc>
        <w:tc>
          <w:tcPr>
            <w:tcW w:w="1985"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22"/>
              <w:ind w:left="5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48" w:hRule="exact"/>
        </w:trPr>
        <w:tc>
          <w:tcPr>
            <w:tcW w:w="807" w:type="dxa"/>
            <w:vMerge/>
            <w:tcBorders>
              <w:left w:val="single" w:sz="6" w:space="0" w:color="000000"/>
              <w:bottom w:val="single" w:sz="8" w:space="0" w:color="000000"/>
              <w:right w:val="single" w:sz="6" w:space="0" w:color="000000"/>
            </w:tcBorders>
          </w:tcPr>
          <w:p>
            <w:pPr/>
          </w:p>
        </w:tc>
        <w:tc>
          <w:tcPr>
            <w:tcW w:w="3166" w:type="dxa"/>
            <w:vMerge/>
            <w:tcBorders>
              <w:left w:val="single" w:sz="6" w:space="0" w:color="000000"/>
              <w:bottom w:val="single" w:sz="8" w:space="0" w:color="000000"/>
              <w:right w:val="single" w:sz="6" w:space="0" w:color="000000"/>
            </w:tcBorders>
          </w:tcPr>
          <w:p>
            <w:pPr/>
          </w:p>
        </w:tc>
        <w:tc>
          <w:tcPr>
            <w:tcW w:w="1277" w:type="dxa"/>
            <w:vMerge/>
            <w:tcBorders>
              <w:left w:val="single" w:sz="6" w:space="0" w:color="000000"/>
              <w:bottom w:val="single" w:sz="8" w:space="0" w:color="000000"/>
              <w:right w:val="single" w:sz="6" w:space="0" w:color="000000"/>
            </w:tcBorders>
          </w:tcPr>
          <w:p>
            <w:pPr/>
          </w:p>
        </w:tc>
        <w:tc>
          <w:tcPr>
            <w:tcW w:w="1838" w:type="dxa"/>
            <w:vMerge/>
            <w:tcBorders>
              <w:left w:val="single" w:sz="6" w:space="0" w:color="000000"/>
              <w:bottom w:val="single" w:sz="8" w:space="0" w:color="000000"/>
              <w:right w:val="single" w:sz="6" w:space="0" w:color="000000"/>
            </w:tcBorders>
          </w:tcPr>
          <w:p>
            <w:pP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0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317"/>
              <w:jc w:val="right"/>
              <w:rPr>
                <w:rFonts w:ascii="宋体" w:hAnsi="宋体" w:cs="宋体" w:eastAsia="宋体" w:hint="default"/>
                <w:sz w:val="18"/>
                <w:szCs w:val="18"/>
              </w:rPr>
            </w:pPr>
            <w:r>
              <w:rPr>
                <w:rFonts w:ascii="宋体" w:hAnsi="宋体" w:cs="宋体" w:eastAsia="宋体" w:hint="default"/>
                <w:sz w:val="18"/>
                <w:szCs w:val="18"/>
              </w:rPr>
              <w:t>间接</w:t>
            </w:r>
          </w:p>
        </w:tc>
      </w:tr>
      <w:tr>
        <w:trPr>
          <w:trHeight w:val="346"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1</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广西诚本规划设计咨询有限公司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诚本规划</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广西润联信息技术有限公司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润联信息</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3</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广州卓联科技有限公司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广州卓联</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4</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五象云谷有限公司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五象云谷</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5</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长嘉科技有限公司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长嘉科技</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润沃科技（山东）有限公司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润沃科技</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7</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广州汇柠科技有限公司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汇柠科技</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60.00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sz w:val="18"/>
              </w:rPr>
              <w:t>8</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广东南粤云视科技有限公司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南粤云视</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广西信安锐达科技有限公司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信安锐达</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sz w:val="18"/>
              </w:rPr>
              <w:t>10</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广州云谷创智科技有限公司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云谷创智</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11</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广州纵诺电力工程技术有限公司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纵诺电力</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sz w:val="18"/>
              </w:rPr>
              <w:t>12</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广州市赛皓达智能科技有限公司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赛皓达</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泺立能源子公司</w:t>
            </w:r>
          </w:p>
        </w:tc>
        <w:tc>
          <w:tcPr>
            <w:tcW w:w="985" w:type="dxa"/>
            <w:tcBorders>
              <w:top w:val="single" w:sz="8" w:space="0" w:color="000000"/>
              <w:left w:val="single" w:sz="6" w:space="0" w:color="000000"/>
              <w:bottom w:val="single" w:sz="8" w:space="0" w:color="000000"/>
              <w:right w:val="single" w:sz="6" w:space="0" w:color="000000"/>
            </w:tcBorders>
          </w:tcPr>
          <w:p>
            <w:pPr/>
          </w:p>
        </w:tc>
        <w:tc>
          <w:tcPr>
            <w:tcW w:w="10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24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8"/>
              <w:ind w:left="5" w:right="0"/>
              <w:jc w:val="center"/>
              <w:rPr>
                <w:rFonts w:ascii="Times New Roman" w:hAnsi="Times New Roman" w:cs="Times New Roman" w:eastAsia="Times New Roman" w:hint="default"/>
                <w:sz w:val="18"/>
                <w:szCs w:val="18"/>
              </w:rPr>
            </w:pPr>
            <w:r>
              <w:rPr>
                <w:rFonts w:ascii="Times New Roman"/>
                <w:sz w:val="18"/>
              </w:rPr>
              <w:t>13</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广州市恒泰电力工程有限公司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恒泰电力</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泺立能源子公司</w:t>
            </w:r>
          </w:p>
        </w:tc>
        <w:tc>
          <w:tcPr>
            <w:tcW w:w="985" w:type="dxa"/>
            <w:tcBorders>
              <w:top w:val="single" w:sz="8" w:space="0" w:color="000000"/>
              <w:left w:val="single" w:sz="6" w:space="0" w:color="000000"/>
              <w:bottom w:val="single" w:sz="8" w:space="0" w:color="000000"/>
              <w:right w:val="single" w:sz="6" w:space="0" w:color="000000"/>
            </w:tcBorders>
          </w:tcPr>
          <w:p>
            <w:pPr/>
          </w:p>
        </w:tc>
        <w:tc>
          <w:tcPr>
            <w:tcW w:w="10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8"/>
              <w:ind w:right="294"/>
              <w:jc w:val="right"/>
              <w:rPr>
                <w:rFonts w:ascii="Times New Roman" w:hAnsi="Times New Roman" w:cs="Times New Roman" w:eastAsia="Times New Roman" w:hint="default"/>
                <w:sz w:val="18"/>
                <w:szCs w:val="18"/>
              </w:rPr>
            </w:pPr>
            <w:r>
              <w:rPr>
                <w:rFonts w:ascii="Times New Roman"/>
                <w:sz w:val="18"/>
              </w:rPr>
              <w:t>51.00</w:t>
            </w:r>
          </w:p>
        </w:tc>
      </w:tr>
      <w:tr>
        <w:trPr>
          <w:trHeight w:val="348"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14</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广州市泺立能源科技有限公司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泺立能源</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sz w:val="18"/>
              </w:rPr>
              <w:t>15</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广州鑫广源电力设计有限公司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鑫广源</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70.00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16</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广东博深咨询有限公司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博深咨询</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51.00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5" w:right="0"/>
              <w:jc w:val="center"/>
              <w:rPr>
                <w:rFonts w:ascii="Times New Roman" w:hAnsi="Times New Roman" w:cs="Times New Roman" w:eastAsia="Times New Roman" w:hint="default"/>
                <w:sz w:val="18"/>
                <w:szCs w:val="18"/>
              </w:rPr>
            </w:pPr>
            <w:r>
              <w:rPr>
                <w:rFonts w:ascii="Times New Roman"/>
                <w:sz w:val="18"/>
              </w:rPr>
              <w:t>17</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润建国际有限公司</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润建国际</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8" w:space="0" w:color="000000"/>
              <w:left w:val="single" w:sz="6" w:space="0" w:color="000000"/>
              <w:bottom w:val="single" w:sz="8" w:space="0" w:color="000000"/>
              <w:right w:val="nil" w:sz="6" w:space="0" w:color="auto"/>
            </w:tcBorders>
          </w:tcPr>
          <w:p>
            <w:pPr/>
          </w:p>
        </w:tc>
      </w:tr>
      <w:tr>
        <w:trPr>
          <w:trHeight w:val="660" w:hRule="exact"/>
        </w:trPr>
        <w:tc>
          <w:tcPr>
            <w:tcW w:w="8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18</w:t>
            </w:r>
          </w:p>
        </w:tc>
        <w:tc>
          <w:tcPr>
            <w:tcW w:w="3166" w:type="dxa"/>
            <w:tcBorders>
              <w:top w:val="single" w:sz="8" w:space="0" w:color="000000"/>
              <w:left w:val="single" w:sz="6" w:space="0" w:color="000000"/>
              <w:bottom w:val="single" w:sz="8" w:space="0" w:color="000000"/>
              <w:right w:val="single" w:sz="6" w:space="0" w:color="000000"/>
            </w:tcBorders>
          </w:tcPr>
          <w:p>
            <w:pPr>
              <w:pStyle w:val="TableParagraph"/>
              <w:spacing w:line="362" w:lineRule="auto" w:before="60"/>
              <w:ind w:left="1197" w:right="90" w:hanging="1104"/>
              <w:jc w:val="left"/>
              <w:rPr>
                <w:rFonts w:ascii="Times New Roman" w:hAnsi="Times New Roman" w:cs="Times New Roman" w:eastAsia="Times New Roman" w:hint="default"/>
                <w:sz w:val="18"/>
                <w:szCs w:val="18"/>
              </w:rPr>
            </w:pPr>
            <w:r>
              <w:rPr>
                <w:rFonts w:ascii="Times New Roman"/>
                <w:sz w:val="18"/>
              </w:rPr>
              <w:t>R&amp;J</w:t>
            </w:r>
            <w:r>
              <w:rPr>
                <w:rFonts w:ascii="Times New Roman"/>
                <w:spacing w:val="-3"/>
                <w:sz w:val="18"/>
              </w:rPr>
              <w:t> </w:t>
            </w:r>
            <w:r>
              <w:rPr>
                <w:rFonts w:ascii="Times New Roman"/>
                <w:sz w:val="18"/>
              </w:rPr>
              <w:t>INTERNATIONAL(SINGAPORE)</w:t>
            </w:r>
            <w:r>
              <w:rPr>
                <w:rFonts w:ascii="Times New Roman"/>
                <w:w w:val="99"/>
                <w:sz w:val="18"/>
              </w:rPr>
              <w:t> </w:t>
            </w:r>
            <w:r>
              <w:rPr>
                <w:rFonts w:ascii="Times New Roman"/>
                <w:sz w:val="18"/>
              </w:rPr>
              <w:t>PTE.LTD.</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新加坡润建</w:t>
            </w:r>
          </w:p>
        </w:tc>
        <w:tc>
          <w:tcPr>
            <w:tcW w:w="18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本公司子公司</w:t>
            </w:r>
          </w:p>
        </w:tc>
        <w:tc>
          <w:tcPr>
            <w:tcW w:w="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8" w:space="0" w:color="000000"/>
              <w:left w:val="single" w:sz="6" w:space="0" w:color="000000"/>
              <w:bottom w:val="single" w:sz="8" w:space="0" w:color="000000"/>
              <w:right w:val="nil" w:sz="6" w:space="0" w:color="auto"/>
            </w:tcBorders>
          </w:tcPr>
          <w:p>
            <w:pPr/>
          </w:p>
        </w:tc>
      </w:tr>
    </w:tbl>
    <w:p>
      <w:pPr>
        <w:spacing w:line="240" w:lineRule="auto" w:before="7"/>
        <w:rPr>
          <w:rFonts w:ascii="宋体" w:hAnsi="宋体" w:cs="宋体" w:eastAsia="宋体" w:hint="default"/>
          <w:sz w:val="9"/>
          <w:szCs w:val="9"/>
        </w:rPr>
      </w:pPr>
    </w:p>
    <w:p>
      <w:pPr>
        <w:spacing w:line="453" w:lineRule="auto" w:before="44"/>
        <w:ind w:left="152" w:right="7604" w:firstLine="0"/>
        <w:jc w:val="left"/>
        <w:rPr>
          <w:rFonts w:ascii="宋体" w:hAnsi="宋体" w:cs="宋体" w:eastAsia="宋体" w:hint="default"/>
          <w:sz w:val="18"/>
          <w:szCs w:val="18"/>
        </w:rPr>
      </w:pPr>
      <w:r>
        <w:rPr/>
        <w:pict>
          <v:shape style="position:absolute;margin-left:56.279999pt;margin-top:40.671703pt;width:455.05pt;height:191.9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6"/>
                    <w:gridCol w:w="3368"/>
                    <w:gridCol w:w="1702"/>
                    <w:gridCol w:w="1277"/>
                    <w:gridCol w:w="1841"/>
                  </w:tblGrid>
                  <w:tr>
                    <w:trPr>
                      <w:trHeight w:val="351" w:hRule="exact"/>
                    </w:trPr>
                    <w:tc>
                      <w:tcPr>
                        <w:tcW w:w="8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54"/>
                            <w:sz w:val="18"/>
                            <w:szCs w:val="18"/>
                          </w:rPr>
                          <w:t> </w:t>
                        </w:r>
                        <w:r>
                          <w:rPr>
                            <w:rFonts w:ascii="宋体" w:hAnsi="宋体" w:cs="宋体" w:eastAsia="宋体" w:hint="default"/>
                            <w:sz w:val="18"/>
                            <w:szCs w:val="18"/>
                          </w:rPr>
                          <w:t>号</w:t>
                        </w:r>
                      </w:p>
                    </w:tc>
                    <w:tc>
                      <w:tcPr>
                        <w:tcW w:w="33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3"/>
                          <w:ind w:left="4" w:right="0"/>
                          <w:jc w:val="center"/>
                          <w:rPr>
                            <w:rFonts w:ascii="宋体" w:hAnsi="宋体" w:cs="宋体" w:eastAsia="宋体" w:hint="default"/>
                            <w:sz w:val="18"/>
                            <w:szCs w:val="18"/>
                          </w:rPr>
                        </w:pPr>
                        <w:r>
                          <w:rPr>
                            <w:rFonts w:ascii="宋体" w:hAnsi="宋体" w:cs="宋体" w:eastAsia="宋体" w:hint="default"/>
                            <w:sz w:val="18"/>
                            <w:szCs w:val="18"/>
                          </w:rPr>
                          <w:t>子公司简称</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3"/>
                          <w:ind w:left="271" w:right="0"/>
                          <w:jc w:val="left"/>
                          <w:rPr>
                            <w:rFonts w:ascii="宋体" w:hAnsi="宋体" w:cs="宋体" w:eastAsia="宋体" w:hint="default"/>
                            <w:sz w:val="18"/>
                            <w:szCs w:val="18"/>
                          </w:rPr>
                        </w:pPr>
                        <w:r>
                          <w:rPr>
                            <w:rFonts w:ascii="宋体" w:hAnsi="宋体" w:cs="宋体" w:eastAsia="宋体" w:hint="default"/>
                            <w:sz w:val="18"/>
                            <w:szCs w:val="18"/>
                          </w:rPr>
                          <w:t>报告期间</w:t>
                        </w:r>
                      </w:p>
                    </w:tc>
                    <w:tc>
                      <w:tcPr>
                        <w:tcW w:w="184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纳入合并范围原因</w:t>
                        </w:r>
                      </w:p>
                    </w:tc>
                  </w:tr>
                  <w:tr>
                    <w:trPr>
                      <w:trHeight w:val="346"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五象云谷有限公司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五象云谷</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8"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长嘉科技有限公司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长嘉科技</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8"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3</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润沃科技（山东）有限公司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润沃科技</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6"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4</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广州汇柠科技有限公司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汇柠科技</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8"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广东南粤云视科技有限公司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南粤云视</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346"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6</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广西信安锐达科技有限公司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信安锐达</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8"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广州云谷创智科技有限公司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云谷创智</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6"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8</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广州纵诺电力工程技术有限公司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纵诺电力</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8"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9</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广州市赛皓达智能科技有限公司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赛皓达</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8"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7" w:right="0"/>
                          <w:jc w:val="center"/>
                          <w:rPr>
                            <w:rFonts w:ascii="Times New Roman" w:hAnsi="Times New Roman" w:cs="Times New Roman" w:eastAsia="Times New Roman" w:hint="default"/>
                            <w:sz w:val="18"/>
                            <w:szCs w:val="18"/>
                          </w:rPr>
                        </w:pPr>
                        <w:r>
                          <w:rPr>
                            <w:rFonts w:ascii="Times New Roman"/>
                            <w:sz w:val="18"/>
                          </w:rPr>
                          <w:t>10</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广州市恒泰电力工程有限公司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恒泰电力</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并购合并</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）本报告期内合并财务报表范围变化 本报告期内新增子公司：</w:t>
      </w:r>
    </w:p>
    <w:p>
      <w:pPr>
        <w:spacing w:after="0" w:line="453"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886"/>
        <w:gridCol w:w="3368"/>
        <w:gridCol w:w="1702"/>
        <w:gridCol w:w="1277"/>
        <w:gridCol w:w="1841"/>
      </w:tblGrid>
      <w:tr>
        <w:trPr>
          <w:trHeight w:val="351" w:hRule="exact"/>
        </w:trPr>
        <w:tc>
          <w:tcPr>
            <w:tcW w:w="8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338"/>
              <w:jc w:val="right"/>
              <w:rPr>
                <w:rFonts w:ascii="Times New Roman" w:hAnsi="Times New Roman" w:cs="Times New Roman" w:eastAsia="Times New Roman" w:hint="default"/>
                <w:sz w:val="18"/>
                <w:szCs w:val="18"/>
              </w:rPr>
            </w:pPr>
            <w:r>
              <w:rPr>
                <w:rFonts w:ascii="Times New Roman"/>
                <w:sz w:val="18"/>
              </w:rPr>
              <w:t>11</w:t>
            </w:r>
          </w:p>
        </w:tc>
        <w:tc>
          <w:tcPr>
            <w:tcW w:w="336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广州市泺立能源科技有限公司</w:t>
            </w:r>
          </w:p>
        </w:tc>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泺立能源</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6"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338"/>
              <w:jc w:val="right"/>
              <w:rPr>
                <w:rFonts w:ascii="Times New Roman" w:hAnsi="Times New Roman" w:cs="Times New Roman" w:eastAsia="Times New Roman" w:hint="default"/>
                <w:sz w:val="18"/>
                <w:szCs w:val="18"/>
              </w:rPr>
            </w:pPr>
            <w:r>
              <w:rPr>
                <w:rFonts w:ascii="Times New Roman"/>
                <w:sz w:val="18"/>
              </w:rPr>
              <w:t>12</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广州鑫广源电力设计有限公司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鑫广源</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8"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338"/>
              <w:jc w:val="right"/>
              <w:rPr>
                <w:rFonts w:ascii="Times New Roman" w:hAnsi="Times New Roman" w:cs="Times New Roman" w:eastAsia="Times New Roman" w:hint="default"/>
                <w:sz w:val="18"/>
                <w:szCs w:val="18"/>
              </w:rPr>
            </w:pPr>
            <w:r>
              <w:rPr>
                <w:rFonts w:ascii="Times New Roman"/>
                <w:sz w:val="18"/>
              </w:rPr>
              <w:t>13</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广东博深咨询有限公司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博深咨询</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并购合并</w:t>
            </w:r>
          </w:p>
        </w:tc>
      </w:tr>
      <w:tr>
        <w:trPr>
          <w:trHeight w:val="346"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338"/>
              <w:jc w:val="right"/>
              <w:rPr>
                <w:rFonts w:ascii="Times New Roman" w:hAnsi="Times New Roman" w:cs="Times New Roman" w:eastAsia="Times New Roman" w:hint="default"/>
                <w:sz w:val="18"/>
                <w:szCs w:val="18"/>
              </w:rPr>
            </w:pPr>
            <w:r>
              <w:rPr>
                <w:rFonts w:ascii="Times New Roman"/>
                <w:sz w:val="18"/>
              </w:rPr>
              <w:t>14</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润建国际有限公司</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润建国际</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
              <w:ind w:right="6"/>
              <w:jc w:val="center"/>
              <w:rPr>
                <w:rFonts w:ascii="宋体" w:hAnsi="宋体" w:cs="宋体" w:eastAsia="宋体" w:hint="default"/>
                <w:sz w:val="18"/>
                <w:szCs w:val="18"/>
              </w:rPr>
            </w:pPr>
            <w:r>
              <w:rPr>
                <w:rFonts w:ascii="宋体" w:hAnsi="宋体" w:cs="宋体" w:eastAsia="宋体" w:hint="default"/>
                <w:sz w:val="18"/>
                <w:szCs w:val="18"/>
              </w:rPr>
              <w:t>新设合并</w:t>
            </w:r>
          </w:p>
        </w:tc>
      </w:tr>
      <w:tr>
        <w:trPr>
          <w:trHeight w:val="660" w:hRule="exact"/>
        </w:trPr>
        <w:tc>
          <w:tcPr>
            <w:tcW w:w="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338"/>
              <w:jc w:val="right"/>
              <w:rPr>
                <w:rFonts w:ascii="Times New Roman" w:hAnsi="Times New Roman" w:cs="Times New Roman" w:eastAsia="Times New Roman" w:hint="default"/>
                <w:sz w:val="18"/>
                <w:szCs w:val="18"/>
              </w:rPr>
            </w:pPr>
            <w:r>
              <w:rPr>
                <w:rFonts w:ascii="Times New Roman"/>
                <w:sz w:val="18"/>
              </w:rPr>
              <w:t>15</w:t>
            </w:r>
          </w:p>
        </w:tc>
        <w:tc>
          <w:tcPr>
            <w:tcW w:w="3368" w:type="dxa"/>
            <w:tcBorders>
              <w:top w:val="single" w:sz="8" w:space="0" w:color="000000"/>
              <w:left w:val="single" w:sz="6" w:space="0" w:color="000000"/>
              <w:bottom w:val="single" w:sz="8" w:space="0" w:color="000000"/>
              <w:right w:val="single" w:sz="6" w:space="0" w:color="000000"/>
            </w:tcBorders>
          </w:tcPr>
          <w:p>
            <w:pPr>
              <w:pStyle w:val="TableParagraph"/>
              <w:spacing w:line="362" w:lineRule="auto" w:before="60"/>
              <w:ind w:left="1298" w:right="191" w:hanging="1104"/>
              <w:jc w:val="left"/>
              <w:rPr>
                <w:rFonts w:ascii="Times New Roman" w:hAnsi="Times New Roman" w:cs="Times New Roman" w:eastAsia="Times New Roman" w:hint="default"/>
                <w:sz w:val="18"/>
                <w:szCs w:val="18"/>
              </w:rPr>
            </w:pPr>
            <w:r>
              <w:rPr>
                <w:rFonts w:ascii="Times New Roman"/>
                <w:sz w:val="18"/>
              </w:rPr>
              <w:t>R&amp;J</w:t>
            </w:r>
            <w:r>
              <w:rPr>
                <w:rFonts w:ascii="Times New Roman"/>
                <w:spacing w:val="-3"/>
                <w:sz w:val="18"/>
              </w:rPr>
              <w:t> </w:t>
            </w:r>
            <w:r>
              <w:rPr>
                <w:rFonts w:ascii="Times New Roman"/>
                <w:sz w:val="18"/>
              </w:rPr>
              <w:t>INTERNATIONAL(SINGAPORE)</w:t>
            </w:r>
            <w:r>
              <w:rPr>
                <w:rFonts w:ascii="Times New Roman"/>
                <w:w w:val="99"/>
                <w:sz w:val="18"/>
              </w:rPr>
              <w:t> </w:t>
            </w:r>
            <w:r>
              <w:rPr>
                <w:rFonts w:ascii="Times New Roman"/>
                <w:sz w:val="18"/>
              </w:rPr>
              <w:t>PTE.LTD.</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新加坡润建</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84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新设合并</w:t>
            </w:r>
          </w:p>
        </w:tc>
      </w:tr>
    </w:tbl>
    <w:p>
      <w:pPr>
        <w:spacing w:line="240" w:lineRule="auto" w:before="3"/>
        <w:rPr>
          <w:rFonts w:ascii="宋体" w:hAnsi="宋体" w:cs="宋体" w:eastAsia="宋体" w:hint="default"/>
          <w:sz w:val="18"/>
          <w:szCs w:val="18"/>
        </w:rPr>
      </w:pPr>
    </w:p>
    <w:p>
      <w:pPr>
        <w:pStyle w:val="Heading3"/>
        <w:spacing w:line="240" w:lineRule="auto" w:before="26"/>
        <w:ind w:right="1057"/>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纪玉红、崔勇趁、时静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057"/>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1057"/>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1057"/>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本报告期公司无重大诉讼、仲裁事项。</w:t>
      </w:r>
    </w:p>
    <w:p>
      <w:pPr>
        <w:spacing w:after="0" w:line="338"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3"/>
        <w:spacing w:line="240" w:lineRule="auto"/>
        <w:ind w:right="1057"/>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057"/>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3"/>
        <w:spacing w:line="240" w:lineRule="auto"/>
        <w:ind w:right="1057"/>
        <w:jc w:val="left"/>
        <w:rPr>
          <w:b w:val="0"/>
          <w:bCs w:val="0"/>
        </w:rPr>
      </w:pPr>
      <w:r>
        <w:rPr/>
        <w:t>十六、重大关联交易</w:t>
      </w:r>
      <w:r>
        <w:rPr>
          <w:b w:val="0"/>
          <w:bCs w:val="0"/>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40" w:lineRule="auto" w:before="0"/>
        <w:ind w:left="152" w:right="6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3"/>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5"/>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1"/>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7"/>
        <w:gridCol w:w="924"/>
        <w:gridCol w:w="1296"/>
        <w:gridCol w:w="1064"/>
        <w:gridCol w:w="1034"/>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7"/>
              <w:jc w:val="right"/>
              <w:rPr>
                <w:rFonts w:ascii="宋体" w:hAnsi="宋体" w:cs="宋体" w:eastAsia="宋体" w:hint="default"/>
                <w:sz w:val="18"/>
                <w:szCs w:val="18"/>
              </w:rPr>
            </w:pPr>
            <w:r>
              <w:rPr>
                <w:rFonts w:ascii="宋体" w:hAnsi="宋体" w:cs="宋体" w:eastAsia="宋体" w:hint="default"/>
                <w:spacing w:val="-1"/>
                <w:sz w:val="18"/>
                <w:szCs w:val="18"/>
              </w:rPr>
              <w:t>担保对象名称</w:t>
            </w:r>
          </w:p>
        </w:tc>
        <w:tc>
          <w:tcPr>
            <w:tcW w:w="92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1"/>
              <w:ind w:left="100"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潮州市紫莲生态农业 有限公司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07"/>
              <w:jc w:val="right"/>
              <w:rPr>
                <w:rFonts w:ascii="宋体" w:hAnsi="宋体" w:cs="宋体" w:eastAsia="宋体" w:hint="default"/>
                <w:sz w:val="18"/>
                <w:szCs w:val="18"/>
              </w:rPr>
            </w:pPr>
            <w:r>
              <w:rPr>
                <w:rFonts w:ascii="宋体" w:hAnsi="宋体" w:cs="宋体" w:eastAsia="宋体" w:hint="default"/>
                <w:spacing w:val="-1"/>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7"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5pt;height:683.55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9"/>
                    <w:gridCol w:w="923"/>
                    <w:gridCol w:w="911"/>
                    <w:gridCol w:w="1313"/>
                    <w:gridCol w:w="1044"/>
                    <w:gridCol w:w="1054"/>
                    <w:gridCol w:w="1047"/>
                    <w:gridCol w:w="785"/>
                    <w:gridCol w:w="790"/>
                  </w:tblGrid>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7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27"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3"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1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900</w:t>
                        </w:r>
                      </w:p>
                    </w:tc>
                  </w:tr>
                  <w:tr>
                    <w:trPr>
                      <w:trHeight w:val="1858" w:hRule="exact"/>
                    </w:trPr>
                    <w:tc>
                      <w:tcPr>
                        <w:tcW w:w="4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719" w:type="dxa"/>
                        <w:gridSpan w:val="5"/>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月收购恒泰电力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股权前，恒泰电力</w:t>
                        </w:r>
                      </w:p>
                      <w:p>
                        <w:pPr>
                          <w:pStyle w:val="TableParagraph"/>
                          <w:spacing w:line="300" w:lineRule="auto" w:before="63"/>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年第一次股东会于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日决定同意恒泰电力 为潮州市紫莲生态农业有限公司（下称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紫莲生态</w:t>
                        </w:r>
                        <w:r>
                          <w:rPr>
                            <w:rFonts w:ascii="Times New Roman" w:hAnsi="Times New Roman" w:cs="Times New Roman" w:eastAsia="Times New Roman" w:hint="default"/>
                            <w:sz w:val="18"/>
                            <w:szCs w:val="18"/>
                          </w:rPr>
                          <w:t>”</w:t>
                        </w:r>
                        <w:r>
                          <w:rPr>
                            <w:rFonts w:ascii="宋体" w:hAnsi="宋体" w:cs="宋体" w:eastAsia="宋体" w:hint="default"/>
                            <w:sz w:val="18"/>
                            <w:szCs w:val="18"/>
                          </w:rPr>
                          <w:t>）取得中 </w:t>
                        </w:r>
                        <w:r>
                          <w:rPr>
                            <w:rFonts w:ascii="宋体" w:hAnsi="宋体" w:cs="宋体" w:eastAsia="宋体" w:hint="default"/>
                            <w:spacing w:val="-4"/>
                            <w:w w:val="100"/>
                            <w:sz w:val="18"/>
                            <w:szCs w:val="18"/>
                          </w:rPr>
                          <w:t>国建设银行股份有限公司潮州市分行（下称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建行潮州分行</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spacing w:val="-28"/>
                            <w:w w:val="100"/>
                            <w:sz w:val="18"/>
                            <w:szCs w:val="18"/>
                          </w:rPr>
                          <w:t> </w:t>
                        </w: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万元贷款提供连带责任担保，恒泰电力于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日与中国建设银行股份有限公司潮州市分行签订</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32"/>
                            <w:sz w:val="18"/>
                            <w:szCs w:val="18"/>
                          </w:rPr>
                          <w:t>了</w:t>
                        </w:r>
                        <w:r>
                          <w:rPr>
                            <w:rFonts w:ascii="宋体" w:hAnsi="宋体" w:cs="宋体" w:eastAsia="宋体" w:hint="default"/>
                            <w:sz w:val="18"/>
                            <w:szCs w:val="18"/>
                          </w:rPr>
                          <w:t>《保证合同</w:t>
                        </w:r>
                        <w:r>
                          <w:rPr>
                            <w:rFonts w:ascii="宋体" w:hAnsi="宋体" w:cs="宋体" w:eastAsia="宋体" w:hint="default"/>
                            <w:spacing w:val="-92"/>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担保范围为紫莲生态取得建行潮州分行</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万元贷款的本金及利息等，担保期间为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日，紫莲生态已归还建</w:t>
                        </w:r>
                      </w:p>
                      <w:p>
                        <w:pPr>
                          <w:pStyle w:val="TableParagraph"/>
                          <w:spacing w:line="309"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行潮州分行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万元贷款，恒泰电力已解除上述担保，并取 </w:t>
                        </w:r>
                        <w:r>
                          <w:rPr>
                            <w:rFonts w:ascii="宋体" w:hAnsi="宋体" w:cs="宋体" w:eastAsia="宋体" w:hint="default"/>
                            <w:spacing w:val="-4"/>
                            <w:sz w:val="18"/>
                            <w:szCs w:val="18"/>
                          </w:rPr>
                          <w:t>得了建行潮州分行出具《担保责任解除通知书》，公司及恒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泰电力未发生担保责任及承担连带清偿责任。上述担保发生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在公司收购恒泰电力</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股权之前，已履行恒泰电力的审议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程序，公司收购恒泰电力</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股权后已采取签订反担保协议</w:t>
                        </w:r>
                      </w:p>
                    </w:tc>
                  </w:tr>
                  <w:tr>
                    <w:trPr>
                      <w:trHeight w:val="703" w:hRule="exact"/>
                    </w:trPr>
                    <w:tc>
                      <w:tcPr>
                        <w:tcW w:w="4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vMerge/>
                        <w:tcBorders>
                          <w:left w:val="single" w:sz="4" w:space="0" w:color="000000"/>
                          <w:right w:val="single" w:sz="4" w:space="0" w:color="000000"/>
                        </w:tcBorders>
                      </w:tcPr>
                      <w:p>
                        <w:pPr/>
                      </w:p>
                    </w:tc>
                  </w:tr>
                  <w:tr>
                    <w:trPr>
                      <w:trHeight w:val="1858" w:hRule="exact"/>
                    </w:trPr>
                    <w:tc>
                      <w:tcPr>
                        <w:tcW w:w="4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4719" w:type="dxa"/>
                        <w:gridSpan w:val="5"/>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855"/>
        <w:gridCol w:w="4719"/>
      </w:tblGrid>
      <w:tr>
        <w:trPr>
          <w:trHeight w:val="675"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2"/>
              <w:jc w:val="left"/>
              <w:rPr>
                <w:rFonts w:ascii="宋体" w:hAnsi="宋体" w:cs="宋体" w:eastAsia="宋体" w:hint="default"/>
                <w:sz w:val="18"/>
                <w:szCs w:val="18"/>
              </w:rPr>
            </w:pPr>
            <w:r>
              <w:rPr>
                <w:rFonts w:ascii="宋体" w:hAnsi="宋体" w:cs="宋体" w:eastAsia="宋体" w:hint="default"/>
                <w:spacing w:val="-1"/>
                <w:sz w:val="18"/>
                <w:szCs w:val="18"/>
              </w:rPr>
              <w:t>等措施保障上市公司权益。上述担保不涉及关联交易，已正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常到期解除，未对上市公司权益产生损害。</w:t>
            </w: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38" w:lineRule="auto" w:before="0"/>
        <w:ind w:left="152" w:right="76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47,580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112,980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20,780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161,760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20,780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41"/>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公司报告期不存在其他重大合同。</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4" w:lineRule="auto" w:before="0"/>
        <w:ind w:left="152" w:right="1128" w:firstLine="288"/>
        <w:jc w:val="both"/>
        <w:rPr>
          <w:rFonts w:ascii="宋体" w:hAnsi="宋体" w:cs="宋体" w:eastAsia="宋体" w:hint="default"/>
          <w:sz w:val="18"/>
          <w:szCs w:val="18"/>
        </w:rPr>
      </w:pPr>
      <w:r>
        <w:rPr>
          <w:rFonts w:ascii="宋体" w:hAnsi="宋体" w:cs="宋体" w:eastAsia="宋体" w:hint="default"/>
          <w:spacing w:val="-1"/>
          <w:sz w:val="18"/>
          <w:szCs w:val="18"/>
        </w:rPr>
        <w:t>公司自成立以来，一直积极履行企业应尽的义务，并积极承担社会责任。公司致力于建立健全内部管理和控制制度，组</w:t>
      </w:r>
      <w:r>
        <w:rPr>
          <w:rFonts w:ascii="宋体" w:hAnsi="宋体" w:cs="宋体" w:eastAsia="宋体" w:hint="default"/>
          <w:sz w:val="18"/>
          <w:szCs w:val="18"/>
        </w:rPr>
        <w:t> </w:t>
      </w:r>
      <w:r>
        <w:rPr>
          <w:rFonts w:ascii="宋体" w:hAnsi="宋体" w:cs="宋体" w:eastAsia="宋体" w:hint="default"/>
          <w:spacing w:val="-2"/>
          <w:sz w:val="18"/>
          <w:szCs w:val="18"/>
        </w:rPr>
        <w:t>织协调各职能部门工作，提高公司的治理水平。公司秉持公平、公正、公开的原则对待全体投资者，维护广大投资者特别是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中小投资者的利益</w:t>
      </w:r>
      <w:r>
        <w:rPr>
          <w:rFonts w:ascii="Times New Roman" w:hAnsi="Times New Roman" w:cs="Times New Roman" w:eastAsia="Times New Roman" w:hint="default"/>
          <w:sz w:val="18"/>
          <w:szCs w:val="18"/>
        </w:rPr>
        <w:t>,</w:t>
      </w:r>
      <w:r>
        <w:rPr>
          <w:rFonts w:ascii="宋体" w:hAnsi="宋体" w:cs="宋体" w:eastAsia="宋体" w:hint="default"/>
          <w:sz w:val="18"/>
          <w:szCs w:val="18"/>
        </w:rPr>
        <w:t>严格按照《公司法》、《公司章程》等的规定和要求，规范股东大会的召集、召开及表决程序，通过现 </w:t>
      </w:r>
      <w:r>
        <w:rPr>
          <w:rFonts w:ascii="宋体" w:hAnsi="宋体" w:cs="宋体" w:eastAsia="宋体" w:hint="default"/>
          <w:spacing w:val="-2"/>
          <w:sz w:val="18"/>
          <w:szCs w:val="18"/>
        </w:rPr>
        <w:t>场、网络等合法有效的方式，让更多的中小股东能够便捷有效参与其中，享有中小股东应有的权利，确保股东对公司重大事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项的知情权、参与权和表决权；同时，公司认真履行信息披露义务，通过投资者电话、电子邮箱、公司网站和投资者关系互</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动平台等多种方式与投资者进行沟通交流，加深广大投资者对公司的认识和了解；公司重视对投资者的合理回报，制定了相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对稳定的利润分配政策和分红方案以回报股东。</w:t>
      </w:r>
    </w:p>
    <w:p>
      <w:pPr>
        <w:spacing w:line="240" w:lineRule="auto" w:before="10"/>
        <w:rPr>
          <w:rFonts w:ascii="宋体" w:hAnsi="宋体" w:cs="宋体" w:eastAsia="宋体" w:hint="default"/>
          <w:sz w:val="13"/>
          <w:szCs w:val="13"/>
        </w:rPr>
      </w:pPr>
    </w:p>
    <w:p>
      <w:pPr>
        <w:spacing w:line="297" w:lineRule="auto" w:before="0"/>
        <w:ind w:left="152" w:right="1140" w:firstLine="288"/>
        <w:jc w:val="both"/>
        <w:rPr>
          <w:rFonts w:ascii="宋体" w:hAnsi="宋体" w:cs="宋体" w:eastAsia="宋体" w:hint="default"/>
          <w:sz w:val="18"/>
          <w:szCs w:val="18"/>
        </w:rPr>
      </w:pPr>
      <w:r>
        <w:rPr>
          <w:rFonts w:ascii="宋体" w:hAnsi="宋体" w:cs="宋体" w:eastAsia="宋体" w:hint="default"/>
          <w:sz w:val="18"/>
          <w:szCs w:val="18"/>
        </w:rPr>
        <w:t>坚持</w:t>
      </w:r>
      <w:r>
        <w:rPr>
          <w:rFonts w:ascii="Times New Roman" w:hAnsi="Times New Roman" w:cs="Times New Roman" w:eastAsia="Times New Roman" w:hint="default"/>
          <w:sz w:val="18"/>
          <w:szCs w:val="18"/>
        </w:rPr>
        <w:t>“</w:t>
      </w:r>
      <w:r>
        <w:rPr>
          <w:rFonts w:ascii="宋体" w:hAnsi="宋体" w:cs="宋体" w:eastAsia="宋体" w:hint="default"/>
          <w:sz w:val="18"/>
          <w:szCs w:val="18"/>
        </w:rPr>
        <w:t>以客户为中心</w:t>
      </w:r>
      <w:r>
        <w:rPr>
          <w:rFonts w:ascii="Times New Roman" w:hAnsi="Times New Roman" w:cs="Times New Roman" w:eastAsia="Times New Roman" w:hint="default"/>
          <w:sz w:val="18"/>
          <w:szCs w:val="18"/>
        </w:rPr>
        <w:t>”</w:t>
      </w:r>
      <w:r>
        <w:rPr>
          <w:rFonts w:ascii="宋体" w:hAnsi="宋体" w:cs="宋体" w:eastAsia="宋体" w:hint="default"/>
          <w:sz w:val="18"/>
          <w:szCs w:val="18"/>
        </w:rPr>
        <w:t>的价值导向，围绕客户需求进行产品、技术和服务创新。遵循平等、互利、共赢的原则，与客户、 供应商建立良好的合作关系。为客户提供合格产品，优质服务，实现共赢。</w:t>
      </w:r>
    </w:p>
    <w:p>
      <w:pPr>
        <w:spacing w:line="240" w:lineRule="auto" w:before="8"/>
        <w:rPr>
          <w:rFonts w:ascii="宋体" w:hAnsi="宋体" w:cs="宋体" w:eastAsia="宋体" w:hint="default"/>
          <w:sz w:val="14"/>
          <w:szCs w:val="14"/>
        </w:rPr>
      </w:pPr>
    </w:p>
    <w:p>
      <w:pPr>
        <w:spacing w:line="312" w:lineRule="auto" w:before="0"/>
        <w:ind w:left="152" w:right="1057" w:firstLine="288"/>
        <w:jc w:val="left"/>
        <w:rPr>
          <w:rFonts w:ascii="宋体" w:hAnsi="宋体" w:cs="宋体" w:eastAsia="宋体" w:hint="default"/>
          <w:sz w:val="18"/>
          <w:szCs w:val="18"/>
        </w:rPr>
      </w:pPr>
      <w:r>
        <w:rPr>
          <w:rFonts w:ascii="宋体" w:hAnsi="宋体" w:cs="宋体" w:eastAsia="宋体" w:hint="default"/>
          <w:sz w:val="18"/>
          <w:szCs w:val="18"/>
        </w:rPr>
        <w:t>公司秉承</w:t>
      </w:r>
      <w:r>
        <w:rPr>
          <w:rFonts w:ascii="Times New Roman" w:hAnsi="Times New Roman" w:cs="Times New Roman" w:eastAsia="Times New Roman" w:hint="default"/>
          <w:sz w:val="18"/>
          <w:szCs w:val="18"/>
        </w:rPr>
        <w:t>“</w:t>
      </w:r>
      <w:r>
        <w:rPr>
          <w:rFonts w:ascii="宋体" w:hAnsi="宋体" w:cs="宋体" w:eastAsia="宋体" w:hint="default"/>
          <w:sz w:val="18"/>
          <w:szCs w:val="18"/>
        </w:rPr>
        <w:t>情义</w:t>
      </w:r>
      <w:r>
        <w:rPr>
          <w:rFonts w:ascii="Times New Roman" w:hAnsi="Times New Roman" w:cs="Times New Roman" w:eastAsia="Times New Roman" w:hint="default"/>
          <w:sz w:val="18"/>
          <w:szCs w:val="18"/>
        </w:rPr>
        <w:t>·</w:t>
      </w:r>
      <w:r>
        <w:rPr>
          <w:rFonts w:ascii="宋体" w:hAnsi="宋体" w:cs="宋体" w:eastAsia="宋体" w:hint="default"/>
          <w:sz w:val="18"/>
          <w:szCs w:val="18"/>
        </w:rPr>
        <w:t>共享</w:t>
      </w:r>
      <w:r>
        <w:rPr>
          <w:rFonts w:ascii="Times New Roman" w:hAnsi="Times New Roman" w:cs="Times New Roman" w:eastAsia="Times New Roman" w:hint="default"/>
          <w:sz w:val="18"/>
          <w:szCs w:val="18"/>
        </w:rPr>
        <w:t>·</w:t>
      </w:r>
      <w:r>
        <w:rPr>
          <w:rFonts w:ascii="宋体" w:hAnsi="宋体" w:cs="宋体" w:eastAsia="宋体" w:hint="default"/>
          <w:sz w:val="18"/>
          <w:szCs w:val="18"/>
        </w:rPr>
        <w:t>凭良心</w:t>
      </w:r>
      <w:r>
        <w:rPr>
          <w:rFonts w:ascii="Times New Roman" w:hAnsi="Times New Roman" w:cs="Times New Roman" w:eastAsia="Times New Roman" w:hint="default"/>
          <w:sz w:val="18"/>
          <w:szCs w:val="18"/>
        </w:rPr>
        <w:t>”</w:t>
      </w:r>
      <w:r>
        <w:rPr>
          <w:rFonts w:ascii="宋体" w:hAnsi="宋体" w:cs="宋体" w:eastAsia="宋体" w:hint="default"/>
          <w:sz w:val="18"/>
          <w:szCs w:val="18"/>
        </w:rPr>
        <w:t>的经营哲学，坚持以人为本，注重人才战略发展。严格按照《劳动法》《劳动合同法》等 </w:t>
      </w:r>
      <w:r>
        <w:rPr>
          <w:rFonts w:ascii="宋体" w:hAnsi="宋体" w:cs="宋体" w:eastAsia="宋体" w:hint="default"/>
          <w:spacing w:val="-2"/>
          <w:sz w:val="18"/>
          <w:szCs w:val="18"/>
        </w:rPr>
        <w:t>法律法规的要求，制定了保障员工权益的制度，构建了一个较为完善的职业健康安全管理体系和薪酬管理体系，组织员工进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行免费常规体检，关爱员工的身心健康。公司为职工缴纳了医疗保险、养老保险、失业保险、工伤保险、生育保险和住房公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积金，为更好地保障员工的权益。</w:t>
      </w:r>
    </w:p>
    <w:p>
      <w:pPr>
        <w:spacing w:line="240" w:lineRule="auto" w:before="11"/>
        <w:rPr>
          <w:rFonts w:ascii="宋体" w:hAnsi="宋体" w:cs="宋体" w:eastAsia="宋体" w:hint="default"/>
          <w:sz w:val="13"/>
          <w:szCs w:val="13"/>
        </w:rPr>
      </w:pPr>
    </w:p>
    <w:p>
      <w:pPr>
        <w:spacing w:line="312" w:lineRule="auto" w:before="0"/>
        <w:ind w:left="152" w:right="1129" w:firstLine="288"/>
        <w:jc w:val="both"/>
        <w:rPr>
          <w:rFonts w:ascii="宋体" w:hAnsi="宋体" w:cs="宋体" w:eastAsia="宋体" w:hint="default"/>
          <w:sz w:val="18"/>
          <w:szCs w:val="18"/>
        </w:rPr>
      </w:pPr>
      <w:r>
        <w:rPr>
          <w:rFonts w:ascii="宋体" w:hAnsi="宋体" w:cs="宋体" w:eastAsia="宋体" w:hint="default"/>
          <w:sz w:val="18"/>
          <w:szCs w:val="18"/>
        </w:rPr>
        <w:t>公司将安全生产管理提升至战略高度，提出</w:t>
      </w:r>
      <w:r>
        <w:rPr>
          <w:rFonts w:ascii="Times New Roman" w:hAnsi="Times New Roman" w:cs="Times New Roman" w:eastAsia="Times New Roman" w:hint="default"/>
          <w:sz w:val="18"/>
          <w:szCs w:val="18"/>
        </w:rPr>
        <w:t>“</w:t>
      </w:r>
      <w:r>
        <w:rPr>
          <w:rFonts w:ascii="宋体" w:hAnsi="宋体" w:cs="宋体" w:eastAsia="宋体" w:hint="default"/>
          <w:sz w:val="18"/>
          <w:szCs w:val="18"/>
        </w:rPr>
        <w:t>安全就是我们的生命</w:t>
      </w:r>
      <w:r>
        <w:rPr>
          <w:rFonts w:ascii="Times New Roman" w:hAnsi="Times New Roman" w:cs="Times New Roman" w:eastAsia="Times New Roman" w:hint="default"/>
          <w:sz w:val="18"/>
          <w:szCs w:val="18"/>
        </w:rPr>
        <w:t>”</w:t>
      </w:r>
      <w:r>
        <w:rPr>
          <w:rFonts w:ascii="宋体" w:hAnsi="宋体" w:cs="宋体" w:eastAsia="宋体" w:hint="default"/>
          <w:sz w:val="18"/>
          <w:szCs w:val="18"/>
        </w:rPr>
        <w:t>发展观，从管理原则、制度设置、组织基础、现场管 </w:t>
      </w:r>
      <w:r>
        <w:rPr>
          <w:rFonts w:ascii="宋体" w:hAnsi="宋体" w:cs="宋体" w:eastAsia="宋体" w:hint="default"/>
          <w:spacing w:val="-2"/>
          <w:sz w:val="18"/>
          <w:szCs w:val="18"/>
        </w:rPr>
        <w:t>控等多维度强化安全生产管理，持续提升安全投入。不仅定期开展员工安全生产与技能方面的培训，随机评估管理层安全红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线、生产安全知识和安全管理履职的能力，建立起完整的安全防范与管控项目管理体系，还从技术上研究智能化的安全防护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用品和手段，在技术和装备的加持上保证安全有效管理。</w:t>
      </w:r>
    </w:p>
    <w:p>
      <w:pPr>
        <w:spacing w:line="240" w:lineRule="auto" w:before="11"/>
        <w:rPr>
          <w:rFonts w:ascii="宋体" w:hAnsi="宋体" w:cs="宋体" w:eastAsia="宋体" w:hint="default"/>
          <w:sz w:val="13"/>
          <w:szCs w:val="13"/>
        </w:rPr>
      </w:pPr>
    </w:p>
    <w:p>
      <w:pPr>
        <w:spacing w:line="309" w:lineRule="auto" w:before="0"/>
        <w:ind w:left="152" w:right="1128" w:firstLine="288"/>
        <w:jc w:val="both"/>
        <w:rPr>
          <w:rFonts w:ascii="宋体" w:hAnsi="宋体" w:cs="宋体" w:eastAsia="宋体" w:hint="default"/>
          <w:sz w:val="18"/>
          <w:szCs w:val="18"/>
        </w:rPr>
      </w:pPr>
      <w:r>
        <w:rPr>
          <w:rFonts w:ascii="宋体" w:hAnsi="宋体" w:cs="宋体" w:eastAsia="宋体" w:hint="default"/>
          <w:spacing w:val="-1"/>
          <w:sz w:val="18"/>
          <w:szCs w:val="18"/>
        </w:rPr>
        <w:t>此外，</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年为了支持教育事业发展，重点培育人才，以及公益扶贫爱心募捐，公司对广西工业技师学院、广州市越秀</w:t>
      </w:r>
      <w:r>
        <w:rPr>
          <w:rFonts w:ascii="宋体" w:hAnsi="宋体" w:cs="宋体" w:eastAsia="宋体" w:hint="default"/>
          <w:sz w:val="18"/>
          <w:szCs w:val="18"/>
        </w:rPr>
        <w:t> </w:t>
      </w:r>
      <w:r>
        <w:rPr>
          <w:rFonts w:ascii="宋体" w:hAnsi="宋体" w:cs="宋体" w:eastAsia="宋体" w:hint="default"/>
          <w:spacing w:val="-2"/>
          <w:sz w:val="18"/>
          <w:szCs w:val="18"/>
        </w:rPr>
        <w:t>教育发展基金会、广东省育实精英教育发展基金会、海南省白沙黎族自治县人民政府、武宣县禄新镇新学村文化楼建设、迪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庆州红十字会合计捐赠了</w:t>
      </w:r>
      <w:r>
        <w:rPr>
          <w:rFonts w:ascii="Times New Roman" w:hAnsi="Times New Roman" w:cs="Times New Roman" w:eastAsia="Times New Roman" w:hint="default"/>
          <w:sz w:val="18"/>
          <w:szCs w:val="18"/>
        </w:rPr>
        <w:t>132.5</w:t>
      </w:r>
      <w:r>
        <w:rPr>
          <w:rFonts w:ascii="宋体" w:hAnsi="宋体" w:cs="宋体" w:eastAsia="宋体" w:hint="default"/>
          <w:sz w:val="18"/>
          <w:szCs w:val="18"/>
        </w:rPr>
        <w:t>万元。</w:t>
      </w:r>
    </w:p>
    <w:p>
      <w:pPr>
        <w:spacing w:line="240" w:lineRule="auto" w:before="6"/>
        <w:rPr>
          <w:rFonts w:ascii="宋体" w:hAnsi="宋体" w:cs="宋体" w:eastAsia="宋体" w:hint="default"/>
          <w:sz w:val="12"/>
          <w:szCs w:val="12"/>
        </w:rPr>
      </w:pPr>
    </w:p>
    <w:p>
      <w:pPr>
        <w:spacing w:line="300" w:lineRule="auto" w:before="0"/>
        <w:ind w:left="152" w:right="1138" w:firstLine="576"/>
        <w:jc w:val="both"/>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年，面对抗击新型冠状病毒疫情的严峻形势，公司积极响应政府号召和要求，在包括湖北武汉火神山等疫情严 重地区在内的全国二十余个省份（自治区</w:t>
      </w:r>
      <w:r>
        <w:rPr>
          <w:rFonts w:ascii="Times New Roman" w:hAnsi="Times New Roman" w:cs="Times New Roman" w:eastAsia="Times New Roman" w:hint="default"/>
          <w:sz w:val="18"/>
          <w:szCs w:val="18"/>
        </w:rPr>
        <w:t>/</w:t>
      </w:r>
      <w:r>
        <w:rPr>
          <w:rFonts w:ascii="宋体" w:hAnsi="宋体" w:cs="宋体" w:eastAsia="宋体" w:hint="default"/>
          <w:sz w:val="18"/>
          <w:szCs w:val="18"/>
        </w:rPr>
        <w:t>市），加强通信建设与抢修、网络维护、重大抗击疫情单位保障等工作，全力以 赴保障通信和电力畅通，维护通信和电力安全。为更好履行社会责任，公司对外捐赠总额约人民币</w:t>
      </w:r>
      <w:r>
        <w:rPr>
          <w:rFonts w:ascii="Times New Roman" w:hAnsi="Times New Roman" w:cs="Times New Roman" w:eastAsia="Times New Roman" w:hint="default"/>
          <w:sz w:val="18"/>
          <w:szCs w:val="18"/>
        </w:rPr>
        <w:t>180</w:t>
      </w:r>
      <w:r>
        <w:rPr>
          <w:rFonts w:ascii="宋体" w:hAnsi="宋体" w:cs="宋体" w:eastAsia="宋体" w:hint="default"/>
          <w:sz w:val="18"/>
          <w:szCs w:val="18"/>
        </w:rPr>
        <w:t>万元的物资以助力新 型冠状病毒疫情防控。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9"/>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8"/>
        <w:rPr>
          <w:rFonts w:ascii="宋体" w:hAnsi="宋体" w:cs="宋体" w:eastAsia="宋体" w:hint="default"/>
          <w:sz w:val="19"/>
          <w:szCs w:val="19"/>
        </w:rPr>
      </w:pPr>
    </w:p>
    <w:p>
      <w:pPr>
        <w:pStyle w:val="Heading3"/>
        <w:spacing w:line="240" w:lineRule="auto"/>
        <w:ind w:right="1057"/>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057"/>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057"/>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0"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165,559,7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-21,414,7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-21,414,7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144,144,9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65.30%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2,075,680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0.94%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-2,075,68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163,484,0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74.06%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-19,339,0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-19,339,0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144,144,9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65.30%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79,908,85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36.20%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-14,179,5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-14,179,5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65,729,30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29.78%</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83,575,21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37.86%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-5,159,55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-5,159,55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78,415,66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35.52%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55,186,60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21,414,77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21,414,77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76,601,37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34.69%</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55,186,60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21,414,77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21,414,77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76,601,37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34.69%</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220,746,3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220,746,3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股份变动的批准情况</w:t>
      </w:r>
    </w:p>
    <w:p>
      <w:pPr>
        <w:spacing w:after="0" w:line="3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r>
        <w:rPr/>
        <w:pict>
          <v:shape style="position:absolute;margin-left:74.279999pt;margin-top:626.139954pt;width:119pt;height:50.9pt;mso-position-horizontal-relative:page;mso-position-vertical-relative:page;z-index:-12341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pict>
          <v:group style="position:absolute;margin-left:125.419998pt;margin-top:626.139954pt;width:67.850pt;height:50.9pt;mso-position-horizontal-relative:page;mso-position-vertical-relative:page;z-index:-1234120" coordorigin="2508,12523" coordsize="1357,1018">
            <v:group style="position:absolute;left:2508;top:12523;width:1357;height:1018" coordorigin="2508,12523" coordsize="1357,1018">
              <v:shape style="position:absolute;left:2508;top:12523;width:1357;height:1018" coordorigin="2508,12523" coordsize="1357,1018" path="m2508,13540l3865,13540,3865,12523,2508,12523,2508,13540xe" filled="true" fillcolor="#ffffff" stroked="false">
                <v:path arrowok="t"/>
                <v:fill type="solid"/>
              </v:shape>
            </v:group>
            <v:group style="position:absolute;left:2532;top:12835;width:1311;height:394" coordorigin="2532,12835" coordsize="1311,394">
              <v:shape style="position:absolute;left:2532;top:12835;width:1311;height:394" coordorigin="2532,12835" coordsize="1311,394" path="m2532,13228l3843,13228,3843,12835,2532,12835,2532,13228xe" filled="true" fillcolor="#ffffff" stroked="false">
                <v:path arrowok="t"/>
                <v:fill type="solid"/>
              </v:shape>
            </v:group>
            <w10:wrap type="none"/>
          </v:group>
        </w:pict>
      </w:r>
    </w:p>
    <w:p>
      <w:pPr>
        <w:spacing w:line="340" w:lineRule="auto" w:before="44"/>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39"/>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38" w:lineRule="auto" w:before="41"/>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43"/>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39"/>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公司认为必要或证券监管机构要求披露的其他内容</w:t>
      </w:r>
    </w:p>
    <w:p>
      <w:pPr>
        <w:spacing w:before="42"/>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广西盛欧投资管 理中心（有限合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5,995,210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5,995,210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珠江西江产业投 资基金管理有限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2,075,680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2,075,680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新余市鑫宏图投 资中心（有限合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1,942,356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1,942,356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郑志树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1,895,035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1,895,035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北京汇金嘉业投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太证资本管理有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广东广垦太证现 代农业股权投资 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吉林省现代农业 和新兴产业投资 基金有限公司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海通（吉林）现 代服务业创业投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279999pt;margin-top:729.096008pt;width:101pt;height:33.3pt;mso-position-horizontal-relative:page;mso-position-vertical-relative:page;z-index:-12340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（上海）</w:t>
                  </w:r>
                </w:p>
              </w:txbxContent>
            </v:textbox>
            <w10:wrap type="none"/>
          </v:shape>
        </w:pict>
      </w:r>
      <w:r>
        <w:rPr/>
        <w:pict>
          <v:group style="position:absolute;margin-left:125.419998pt;margin-top:729.096008pt;width:67.850pt;height:33.3pt;mso-position-horizontal-relative:page;mso-position-vertical-relative:page;z-index:-1234072" coordorigin="2508,14582" coordsize="1357,666">
            <v:group style="position:absolute;left:2508;top:14582;width:1357;height:666" coordorigin="2508,14582" coordsize="1357,666">
              <v:shape style="position:absolute;left:2508;top:14582;width:1357;height:666" coordorigin="2508,14582" coordsize="1357,666" path="m2508,15247l3865,15247,3865,14582,2508,14582,2508,15247xe" filled="true" fillcolor="#ffffff" stroked="false">
                <v:path arrowok="t"/>
                <v:fill type="solid"/>
              </v:shape>
            </v:group>
            <v:group style="position:absolute;left:2532;top:14719;width:1311;height:392" coordorigin="2532,14719" coordsize="1311,392">
              <v:shape style="position:absolute;left:2532;top:14719;width:1311;height:392" coordorigin="2532,14719" coordsize="1311,392" path="m2532,15110l3843,15110,3843,14719,2532,14719,2532,15110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456"/>
        <w:gridCol w:w="913"/>
        <w:gridCol w:w="1368"/>
        <w:gridCol w:w="1366"/>
        <w:gridCol w:w="1368"/>
        <w:gridCol w:w="1366"/>
        <w:gridCol w:w="1368"/>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资基金合伙企业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张红波</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939,849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680,000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郑品玉</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626,566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谢新仓</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北京德丰杰复华 创业投资基金管 理中心（有限合 伙）</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51" w:right="0"/>
              <w:jc w:val="left"/>
              <w:rPr>
                <w:rFonts w:ascii="Times New Roman" w:hAnsi="Times New Roman" w:cs="Times New Roman" w:eastAsia="Times New Roman" w:hint="default"/>
                <w:sz w:val="18"/>
                <w:szCs w:val="18"/>
              </w:rPr>
            </w:pPr>
            <w:r>
              <w:rPr>
                <w:rFonts w:ascii="Times New Roman"/>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北京新龙脉壹号 投资基金管理中 心（有限合伙）</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上海展瑞新富股 权投资基金管理 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66,505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邱红光</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42,120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42,120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李纪元</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24,385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谢卫</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赵丽云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刘子微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郑继宏</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邱雅萍</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肖慎平</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常先停</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刘冬岩</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谢志坚</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宋永芬</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张水虹</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上海胜道股权投 资管理企业（有 限合伙）</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王超</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于英</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22,080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众安财富 投资管理有限公</w:t>
            </w:r>
          </w:p>
        </w:tc>
        <w:tc>
          <w:tcPr>
            <w:tcW w:w="456" w:type="dxa"/>
            <w:tcBorders>
              <w:top w:val="single" w:sz="4" w:space="0" w:color="000000"/>
              <w:left w:val="single" w:sz="4" w:space="0" w:color="000000"/>
              <w:bottom w:val="single" w:sz="4" w:space="0" w:color="000000"/>
              <w:right w:val="nil" w:sz="6" w:space="0" w:color="auto"/>
            </w:tcBorders>
          </w:tcPr>
          <w:p>
            <w:pPr/>
          </w:p>
        </w:tc>
        <w:tc>
          <w:tcPr>
            <w:tcW w:w="9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19,810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郑剑雄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魏荣恒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李喜跃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关学忠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丁京安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刘宇飞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谢二庆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陈翠华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李滨芫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袁晓丽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黄建君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赵春荣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朱登煌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李孝先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鲍惠忠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21,414,773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21,414,773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Times New Roman" w:hAnsi="Times New Roman" w:cs="Times New Roman" w:eastAsia="Times New Roman" w:hint="default"/>
          <w:sz w:val="20"/>
          <w:szCs w:val="20"/>
        </w:rPr>
      </w:pPr>
    </w:p>
    <w:p>
      <w:pPr>
        <w:pStyle w:val="Heading3"/>
        <w:spacing w:line="240" w:lineRule="auto" w:before="26"/>
        <w:ind w:right="1057"/>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23"/>
        <w:gridCol w:w="489"/>
        <w:gridCol w:w="749"/>
        <w:gridCol w:w="826"/>
        <w:gridCol w:w="329"/>
        <w:gridCol w:w="461"/>
        <w:gridCol w:w="761"/>
        <w:gridCol w:w="866"/>
        <w:gridCol w:w="306"/>
        <w:gridCol w:w="1043"/>
        <w:gridCol w:w="151"/>
        <w:gridCol w:w="1198"/>
      </w:tblGrid>
      <w:tr>
        <w:trPr>
          <w:trHeight w:val="196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28,146</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31,500</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3" w:right="48"/>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13"/>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1"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78,415,66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78,415,66</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8,583,000</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珠海弘泽熙元投 </w:t>
            </w:r>
            <w:r>
              <w:rPr>
                <w:rFonts w:ascii="宋体" w:hAnsi="宋体" w:cs="宋体" w:eastAsia="宋体" w:hint="default"/>
                <w:spacing w:val="-4"/>
                <w:sz w:val="18"/>
                <w:szCs w:val="18"/>
              </w:rPr>
              <w:t>资管理中心（有限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52,103,82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52,103,82</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7,970,000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广西威克德力投 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13,625,47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13,625,47</w:t>
            </w:r>
          </w:p>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平潭盛欧投资中 心（有限合伙）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5,995,210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5,995,210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南平鑫宏图企业 </w:t>
            </w:r>
            <w:r>
              <w:rPr>
                <w:rFonts w:ascii="宋体" w:hAnsi="宋体" w:cs="宋体" w:eastAsia="宋体" w:hint="default"/>
                <w:spacing w:val="-4"/>
                <w:sz w:val="18"/>
                <w:szCs w:val="18"/>
              </w:rPr>
              <w:t>管理合伙企业（有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1,684,456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1,684,456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黄燕</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1,039,800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1,039,800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吉林省现代农业 和新兴产业投资 基金有限公司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4"/>
                <w:sz w:val="18"/>
                <w:szCs w:val="18"/>
              </w:rPr>
              <w:t>海通（吉林）现代</w:t>
            </w:r>
            <w:r>
              <w:rPr>
                <w:rFonts w:ascii="宋体" w:hAnsi="宋体" w:cs="宋体" w:eastAsia="宋体" w:hint="default"/>
                <w:sz w:val="18"/>
                <w:szCs w:val="18"/>
              </w:rPr>
              <w:t> 服务业创业投资 </w:t>
            </w:r>
            <w:r>
              <w:rPr>
                <w:rFonts w:ascii="宋体" w:hAnsi="宋体" w:cs="宋体" w:eastAsia="宋体" w:hint="default"/>
                <w:spacing w:val="-4"/>
                <w:sz w:val="18"/>
                <w:szCs w:val="18"/>
              </w:rPr>
              <w:t>基金合伙企业（有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北京汇金嘉业投 资有限公司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1,000,000</w:t>
            </w:r>
          </w:p>
        </w:tc>
      </w:tr>
      <w:tr>
        <w:trPr>
          <w:trHeight w:val="67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广东广垦太证现 代农业股权投资</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5"/>
              <w:jc w:val="left"/>
              <w:rPr>
                <w:rFonts w:ascii="宋体" w:hAnsi="宋体" w:cs="宋体" w:eastAsia="宋体" w:hint="default"/>
                <w:sz w:val="18"/>
                <w:szCs w:val="18"/>
              </w:rPr>
            </w:pPr>
            <w:r>
              <w:rPr>
                <w:rFonts w:ascii="宋体" w:hAnsi="宋体" w:cs="宋体" w:eastAsia="宋体" w:hint="default"/>
                <w:sz w:val="18"/>
                <w:szCs w:val="18"/>
              </w:rPr>
              <w:t>基金（有限合伙）</w:t>
            </w:r>
          </w:p>
        </w:tc>
        <w:tc>
          <w:tcPr>
            <w:tcW w:w="14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2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4" w:space="0" w:color="000000"/>
              <w:right w:val="single" w:sz="4" w:space="0" w:color="000000"/>
            </w:tcBorders>
          </w:tcPr>
          <w:p>
            <w:pPr>
              <w:pStyle w:val="TableParagraph"/>
              <w:spacing w:line="309" w:lineRule="auto" w:before="51"/>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、蒋鹂北女士系李建国先生配偶、公司共同实际控制人；蒋鹂北女士为珠海弘泽熙 </w:t>
            </w:r>
            <w:r>
              <w:rPr>
                <w:rFonts w:ascii="宋体" w:hAnsi="宋体" w:cs="宋体" w:eastAsia="宋体" w:hint="default"/>
                <w:spacing w:val="-1"/>
                <w:sz w:val="18"/>
                <w:szCs w:val="18"/>
              </w:rPr>
              <w:t>元投资管理中心（有限合伙）的普通合伙人，蒋鹂北女士与李建国先生持有该合伙企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业全部合伙份额；</w:t>
            </w:r>
          </w:p>
          <w:p>
            <w:pPr>
              <w:pStyle w:val="TableParagraph"/>
              <w:spacing w:line="300" w:lineRule="auto" w:before="65"/>
              <w:ind w:left="26" w:right="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、广西威克德力投资管理中心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有限合伙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系公司为激励管理层及骨干员工所设立的持</w:t>
            </w:r>
            <w:r>
              <w:rPr>
                <w:rFonts w:ascii="宋体" w:hAnsi="宋体" w:cs="宋体" w:eastAsia="宋体" w:hint="default"/>
                <w:spacing w:val="-71"/>
                <w:sz w:val="18"/>
                <w:szCs w:val="18"/>
              </w:rPr>
              <w:t> </w:t>
            </w:r>
            <w:r>
              <w:rPr>
                <w:rFonts w:ascii="宋体" w:hAnsi="宋体" w:cs="宋体" w:eastAsia="宋体" w:hint="default"/>
                <w:spacing w:val="-3"/>
                <w:sz w:val="18"/>
                <w:szCs w:val="18"/>
              </w:rPr>
              <w:t>股平台，李建国先生持有威克德力</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73.39%</w:t>
            </w:r>
            <w:r>
              <w:rPr>
                <w:rFonts w:ascii="宋体" w:hAnsi="宋体" w:cs="宋体" w:eastAsia="宋体" w:hint="default"/>
                <w:spacing w:val="-2"/>
                <w:sz w:val="18"/>
                <w:szCs w:val="18"/>
              </w:rPr>
              <w:t>的合伙份额，为该合伙企业的执行事务合伙</w:t>
            </w:r>
            <w:r>
              <w:rPr>
                <w:rFonts w:ascii="宋体" w:hAnsi="宋体" w:cs="宋体" w:eastAsia="宋体" w:hint="default"/>
                <w:sz w:val="18"/>
                <w:szCs w:val="18"/>
              </w:rPr>
              <w:t> 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vMerge/>
            <w:tcBorders>
              <w:left w:val="single" w:sz="4" w:space="0" w:color="000000"/>
              <w:right w:val="single" w:sz="4" w:space="0" w:color="000000"/>
            </w:tcBorders>
          </w:tcPr>
          <w:p>
            <w:pPr/>
          </w:p>
        </w:tc>
      </w:tr>
      <w:tr>
        <w:trPr>
          <w:trHeight w:val="82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平潭盛欧投资中心（有限合伙）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5,995,210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5,995,210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南平鑫宏图企业管理合伙企业（有限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1,684,456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1,684,456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黄燕</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1,039,800</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吉林省现代农业和新兴产业投资基 金有限公司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海通（吉林）现代服务业创业投资基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金合伙企业（有限合伙）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北京汇金嘉业投资有限公司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广东广垦太证现代农业股权投资基 金（有限合伙）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徐建华</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939,749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939,749</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游庆明</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755,900</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548,500</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0"/>
              <w:jc w:val="both"/>
              <w:rPr>
                <w:rFonts w:ascii="宋体" w:hAnsi="宋体" w:cs="宋体" w:eastAsia="宋体" w:hint="default"/>
                <w:sz w:val="18"/>
                <w:szCs w:val="18"/>
              </w:rPr>
            </w:pPr>
            <w:r>
              <w:rPr>
                <w:rFonts w:ascii="宋体" w:hAnsi="宋体" w:cs="宋体" w:eastAsia="宋体" w:hint="default"/>
                <w:spacing w:val="-1"/>
                <w:sz w:val="18"/>
                <w:szCs w:val="18"/>
              </w:rPr>
              <w:t>公司未知前十名无限售条件普通股股东之间是否存在关联关系，也未知是否属于一致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行动人。公司未知前十名无限售条件普通股股东和前十名普通股股东之间是否存在关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联关系，也未知是否属于一致行动人。</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名普通股股东中，股东黄燕在报告期末持有股份数量为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1,039,800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股，均为信用</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证券账户持有，黄燕报告期初未进入前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名普通股股东名单。</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3"/>
              <w:jc w:val="right"/>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6"/>
              <w:jc w:val="right"/>
              <w:rPr>
                <w:rFonts w:ascii="宋体" w:hAnsi="宋体" w:cs="宋体" w:eastAsia="宋体" w:hint="default"/>
                <w:sz w:val="18"/>
                <w:szCs w:val="18"/>
              </w:rPr>
            </w:pPr>
            <w:r>
              <w:rPr>
                <w:rFonts w:ascii="宋体" w:hAnsi="宋体" w:cs="宋体" w:eastAsia="宋体" w:hint="default"/>
                <w:sz w:val="18"/>
                <w:szCs w:val="18"/>
              </w:rPr>
              <w:t>中华人民共和国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李建国系润建股份有限公司董事长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05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6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蒋鹂北</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蒋鹂北女士系李建国先生配偶、公司共同实际控制人；蒋鹂北女士为珠海弘泽熙元投资管理</w:t>
            </w:r>
            <w:r>
              <w:rPr>
                <w:rFonts w:ascii="宋体" w:hAnsi="宋体" w:cs="宋体" w:eastAsia="宋体" w:hint="default"/>
                <w:sz w:val="18"/>
                <w:szCs w:val="18"/>
              </w:rPr>
              <w:t> 中心（有限合伙）的普通合伙人，蒋鹂北女士与李建国先生持有该合伙企业全部合伙份额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105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3"/>
        <w:rPr>
          <w:rFonts w:ascii="宋体" w:hAnsi="宋体" w:cs="宋体" w:eastAsia="宋体" w:hint="default"/>
          <w:sz w:val="15"/>
          <w:szCs w:val="15"/>
        </w:rPr>
      </w:pPr>
    </w:p>
    <w:p>
      <w:pPr>
        <w:spacing w:line="2752" w:lineRule="exact"/>
        <w:ind w:left="2562"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031183" cy="174764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031183" cy="1747647"/>
                    </a:xfrm>
                    <a:prstGeom prst="rect">
                      <a:avLst/>
                    </a:prstGeom>
                  </pic:spPr>
                </pic:pic>
              </a:graphicData>
            </a:graphic>
          </wp:inline>
        </w:drawing>
      </w:r>
      <w:r>
        <w:rPr>
          <w:rFonts w:ascii="宋体" w:hAnsi="宋体" w:cs="宋体" w:eastAsia="宋体" w:hint="default"/>
          <w:position w:val="-54"/>
          <w:sz w:val="20"/>
          <w:szCs w:val="20"/>
        </w:rPr>
      </w:r>
    </w:p>
    <w:p>
      <w:pPr>
        <w:spacing w:after="0" w:line="2752" w:lineRule="exact"/>
        <w:rPr>
          <w:rFonts w:ascii="宋体" w:hAnsi="宋体" w:cs="宋体" w:eastAsia="宋体" w:hint="default"/>
          <w:sz w:val="20"/>
          <w:szCs w:val="20"/>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057"/>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4" w:right="1057"/>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057"/>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057"/>
        <w:jc w:val="left"/>
        <w:rPr>
          <w:b w:val="0"/>
          <w:bCs w:val="0"/>
        </w:rPr>
      </w:pPr>
      <w:r>
        <w:rPr/>
        <w:pict>
          <v:shape style="position:absolute;margin-left:471.583008pt;margin-top:32.855602pt;width:63.6pt;height:50.9pt;mso-position-horizontal-relative:page;mso-position-vertical-relative:paragraph;z-index:-12340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11"/>
              <w:jc w:val="righ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1"/>
              <w:jc w:val="righ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78,415,66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78,415,66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78,415,66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78,415,66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3"/>
        <w:rPr>
          <w:rFonts w:ascii="宋体" w:hAnsi="宋体" w:cs="宋体" w:eastAsia="宋体" w:hint="default"/>
          <w:b/>
          <w:bCs/>
          <w:sz w:val="18"/>
          <w:szCs w:val="18"/>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2" w:right="373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一、董事</w:t>
      </w:r>
    </w:p>
    <w:p>
      <w:pPr>
        <w:spacing w:line="222"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李建国先生</w:t>
      </w:r>
    </w:p>
    <w:p>
      <w:pPr>
        <w:spacing w:line="240" w:lineRule="auto" w:before="10"/>
        <w:rPr>
          <w:rFonts w:ascii="宋体" w:hAnsi="宋体" w:cs="宋体" w:eastAsia="宋体" w:hint="default"/>
          <w:sz w:val="17"/>
          <w:szCs w:val="17"/>
        </w:rPr>
      </w:pPr>
    </w:p>
    <w:p>
      <w:pPr>
        <w:spacing w:line="300" w:lineRule="auto" w:before="0"/>
        <w:ind w:left="152" w:right="1130"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月出生，中国国籍，无境外永久居留权，本科学历，高级工程师。</w:t>
      </w:r>
      <w:r>
        <w:rPr>
          <w:rFonts w:ascii="Times New Roman" w:hAnsi="Times New Roman" w:cs="Times New Roman" w:eastAsia="Times New Roman" w:hint="default"/>
          <w:spacing w:val="-2"/>
          <w:sz w:val="18"/>
          <w:szCs w:val="18"/>
        </w:rPr>
        <w:t>1982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1984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月期间在海南军区守备</w:t>
      </w:r>
      <w:r>
        <w:rPr>
          <w:rFonts w:ascii="Times New Roman" w:hAnsi="Times New Roman" w:cs="Times New Roman" w:eastAsia="Times New Roman" w:hint="default"/>
          <w:spacing w:val="-2"/>
          <w:sz w:val="18"/>
          <w:szCs w:val="18"/>
        </w:rPr>
        <w:t>121</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5"/>
          <w:sz w:val="18"/>
          <w:szCs w:val="18"/>
        </w:rPr>
      </w:r>
      <w:r>
        <w:rPr>
          <w:rFonts w:ascii="宋体" w:hAnsi="宋体" w:cs="宋体" w:eastAsia="宋体" w:hint="default"/>
          <w:sz w:val="18"/>
          <w:szCs w:val="18"/>
        </w:rPr>
        <w:t>师担任战士；</w:t>
      </w:r>
      <w:r>
        <w:rPr>
          <w:rFonts w:ascii="Times New Roman" w:hAnsi="Times New Roman" w:cs="Times New Roman" w:eastAsia="Times New Roman" w:hint="default"/>
          <w:sz w:val="18"/>
          <w:szCs w:val="18"/>
        </w:rPr>
        <w:t>1984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1986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月期间在桂林陆军学院担任学员；</w:t>
      </w:r>
      <w:r>
        <w:rPr>
          <w:rFonts w:ascii="Times New Roman" w:hAnsi="Times New Roman" w:cs="Times New Roman" w:eastAsia="Times New Roman" w:hint="default"/>
          <w:sz w:val="18"/>
          <w:szCs w:val="18"/>
        </w:rPr>
        <w:t>1986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月期间在广州军区第二通信总站 担任军官；</w:t>
      </w:r>
      <w:r>
        <w:rPr>
          <w:rFonts w:ascii="Times New Roman" w:hAnsi="Times New Roman" w:cs="Times New Roman" w:eastAsia="Times New Roman" w:hint="default"/>
          <w:sz w:val="18"/>
          <w:szCs w:val="18"/>
        </w:rPr>
        <w:t>1994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月期间在广东中人企业（集团）有限公司担任项目经理；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月期间在</w:t>
      </w:r>
      <w:r>
        <w:rPr>
          <w:rFonts w:ascii="宋体" w:hAnsi="宋体" w:cs="宋体" w:eastAsia="宋体" w:hint="default"/>
          <w:spacing w:val="-86"/>
          <w:sz w:val="18"/>
          <w:szCs w:val="18"/>
        </w:rPr>
        <w:t> </w:t>
      </w:r>
      <w:r>
        <w:rPr>
          <w:rFonts w:ascii="宋体" w:hAnsi="宋体" w:cs="宋体" w:eastAsia="宋体" w:hint="default"/>
          <w:spacing w:val="-5"/>
          <w:sz w:val="18"/>
          <w:szCs w:val="18"/>
        </w:rPr>
        <w:t>广东中人集团建设有限公司担任项目经理；</w:t>
      </w:r>
      <w:r>
        <w:rPr>
          <w:rFonts w:ascii="Times New Roman" w:hAnsi="Times New Roman" w:cs="Times New Roman" w:eastAsia="Times New Roman" w:hint="default"/>
          <w:spacing w:val="-5"/>
          <w:sz w:val="18"/>
          <w:szCs w:val="18"/>
        </w:rPr>
        <w:t>2003</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月至</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月期间在润建有限工作，曾先后担任执行董事、董事长；</w:t>
      </w:r>
      <w:r>
        <w:rPr>
          <w:rFonts w:ascii="Times New Roman" w:hAnsi="Times New Roman" w:cs="Times New Roman" w:eastAsia="Times New Roman" w:hint="default"/>
          <w:spacing w:val="-5"/>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月至今担任润建股份董事长。</w:t>
      </w:r>
    </w:p>
    <w:p>
      <w:pPr>
        <w:spacing w:line="240" w:lineRule="auto" w:before="12"/>
        <w:rPr>
          <w:rFonts w:ascii="宋体" w:hAnsi="宋体" w:cs="宋体" w:eastAsia="宋体" w:hint="default"/>
          <w:sz w:val="12"/>
          <w:szCs w:val="12"/>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许文杰先生</w:t>
      </w:r>
    </w:p>
    <w:p>
      <w:pPr>
        <w:spacing w:line="240" w:lineRule="auto" w:before="11"/>
        <w:rPr>
          <w:rFonts w:ascii="宋体" w:hAnsi="宋体" w:cs="宋体" w:eastAsia="宋体" w:hint="default"/>
          <w:sz w:val="17"/>
          <w:szCs w:val="17"/>
        </w:rPr>
      </w:pPr>
    </w:p>
    <w:p>
      <w:pPr>
        <w:spacing w:line="300" w:lineRule="auto" w:before="0"/>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1975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月出生，中国国籍，无境外永久居留权，研究生学历，高级工程师。</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月期间在广州环信信息有</w:t>
      </w:r>
      <w:r>
        <w:rPr>
          <w:rFonts w:ascii="宋体" w:hAnsi="宋体" w:cs="宋体" w:eastAsia="宋体" w:hint="default"/>
          <w:spacing w:val="-86"/>
          <w:sz w:val="18"/>
          <w:szCs w:val="18"/>
        </w:rPr>
        <w:t> </w:t>
      </w:r>
      <w:r>
        <w:rPr>
          <w:rFonts w:ascii="宋体" w:hAnsi="宋体" w:cs="宋体" w:eastAsia="宋体" w:hint="default"/>
          <w:sz w:val="18"/>
          <w:szCs w:val="18"/>
        </w:rPr>
        <w:t>限公司担任项目经理；</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月在润建有限任职，先后担任执行董事、总经理；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月至今在润建股份任 职，其中</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月至今担任总经理，</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月至今担任董事，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月至今担任副董事长。</w:t>
      </w:r>
    </w:p>
    <w:p>
      <w:pPr>
        <w:spacing w:line="240" w:lineRule="auto" w:before="12"/>
        <w:rPr>
          <w:rFonts w:ascii="宋体" w:hAnsi="宋体" w:cs="宋体" w:eastAsia="宋体" w:hint="default"/>
          <w:sz w:val="12"/>
          <w:szCs w:val="12"/>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梁姬女士</w:t>
      </w:r>
    </w:p>
    <w:p>
      <w:pPr>
        <w:spacing w:line="240" w:lineRule="auto" w:before="10"/>
        <w:rPr>
          <w:rFonts w:ascii="宋体" w:hAnsi="宋体" w:cs="宋体" w:eastAsia="宋体" w:hint="default"/>
          <w:sz w:val="17"/>
          <w:szCs w:val="17"/>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1972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月出生，中国国籍，无境外永久居留权，研究生学历。</w:t>
      </w:r>
      <w:r>
        <w:rPr>
          <w:rFonts w:ascii="Times New Roman" w:hAnsi="Times New Roman" w:cs="Times New Roman" w:eastAsia="Times New Roman" w:hint="default"/>
          <w:sz w:val="18"/>
          <w:szCs w:val="18"/>
        </w:rPr>
        <w:t>1990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月期间在南宁市钢精厂担任工业会计；</w:t>
      </w:r>
    </w:p>
    <w:p>
      <w:pPr>
        <w:spacing w:line="300" w:lineRule="auto" w:before="63"/>
        <w:ind w:left="152" w:right="113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月期间在广东中人润建发展有限公司担任财务经理；</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月在润建有限工作，先后担 任公司财务部经理、审计结算部经理、财务总监；</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月至今在润建股份担任董事、财务总监。</w:t>
      </w:r>
    </w:p>
    <w:p>
      <w:pPr>
        <w:spacing w:line="240" w:lineRule="auto" w:before="12"/>
        <w:rPr>
          <w:rFonts w:ascii="宋体" w:hAnsi="宋体" w:cs="宋体" w:eastAsia="宋体" w:hint="default"/>
          <w:sz w:val="12"/>
          <w:szCs w:val="12"/>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沈湘平先生</w:t>
      </w:r>
    </w:p>
    <w:p>
      <w:pPr>
        <w:spacing w:line="240" w:lineRule="auto" w:before="10"/>
        <w:rPr>
          <w:rFonts w:ascii="宋体" w:hAnsi="宋体" w:cs="宋体" w:eastAsia="宋体" w:hint="default"/>
          <w:sz w:val="17"/>
          <w:szCs w:val="17"/>
        </w:rPr>
      </w:pPr>
    </w:p>
    <w:p>
      <w:pPr>
        <w:spacing w:line="300" w:lineRule="auto" w:before="0"/>
        <w:ind w:left="152" w:right="103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1977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月出生，中国国籍，无境外永久居留权，研究生学历，高级工程师，高级经济师。</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月期间在惠</w:t>
      </w:r>
      <w:r>
        <w:rPr>
          <w:rFonts w:ascii="宋体" w:hAnsi="宋体" w:cs="宋体" w:eastAsia="宋体" w:hint="default"/>
          <w:spacing w:val="-87"/>
          <w:sz w:val="18"/>
          <w:szCs w:val="18"/>
        </w:rPr>
        <w:t> </w:t>
      </w:r>
      <w:r>
        <w:rPr>
          <w:rFonts w:ascii="宋体" w:hAnsi="宋体" w:cs="宋体" w:eastAsia="宋体" w:hint="default"/>
          <w:spacing w:val="-2"/>
          <w:sz w:val="18"/>
          <w:szCs w:val="18"/>
        </w:rPr>
        <w:t>州市小金口中学担任物理教师；</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月期间在暨南大学攻读硕士；</w:t>
      </w:r>
      <w:r>
        <w:rPr>
          <w:rFonts w:ascii="Times New Roman" w:hAnsi="Times New Roman" w:cs="Times New Roman" w:eastAsia="Times New Roman" w:hint="default"/>
          <w:spacing w:val="-2"/>
          <w:sz w:val="18"/>
          <w:szCs w:val="18"/>
        </w:rPr>
        <w:t>2006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月在润建有限工作，</w:t>
      </w:r>
    </w:p>
    <w:p>
      <w:pPr>
        <w:spacing w:after="0" w:line="300"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line="451" w:lineRule="auto" w:before="44"/>
        <w:ind w:left="152" w:right="1131" w:firstLine="0"/>
        <w:jc w:val="both"/>
        <w:rPr>
          <w:rFonts w:ascii="宋体" w:hAnsi="宋体" w:cs="宋体" w:eastAsia="宋体" w:hint="default"/>
          <w:sz w:val="18"/>
          <w:szCs w:val="18"/>
        </w:rPr>
      </w:pPr>
      <w:r>
        <w:rPr>
          <w:rFonts w:ascii="宋体" w:hAnsi="宋体" w:cs="宋体" w:eastAsia="宋体" w:hint="default"/>
          <w:sz w:val="18"/>
          <w:szCs w:val="18"/>
        </w:rPr>
        <w:t>先后担任人事行政部经理、副总经理；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月至今在润建股份担任副总经理、董事会秘书，</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月至今担任董事。 方培豪先生</w:t>
      </w:r>
    </w:p>
    <w:p>
      <w:pPr>
        <w:spacing w:line="300" w:lineRule="auto" w:before="74"/>
        <w:ind w:left="152" w:right="1126"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1968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月出生，中国国籍，无境外永久居留权，本科学历，工程师。</w:t>
      </w:r>
      <w:r>
        <w:rPr>
          <w:rFonts w:ascii="Times New Roman" w:hAnsi="Times New Roman" w:cs="Times New Roman" w:eastAsia="Times New Roman" w:hint="default"/>
          <w:sz w:val="18"/>
          <w:szCs w:val="18"/>
        </w:rPr>
        <w:t>1994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月期间在广东邮电学院担任教 师；</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月期间在广东粤讯工程有限公司担任经理；</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月期间在惠州邮电工程有限公司 </w:t>
      </w:r>
      <w:r>
        <w:rPr>
          <w:rFonts w:ascii="宋体" w:hAnsi="宋体" w:cs="宋体" w:eastAsia="宋体" w:hint="default"/>
          <w:spacing w:val="-2"/>
          <w:sz w:val="18"/>
          <w:szCs w:val="18"/>
        </w:rPr>
        <w:t>担任经理；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月期间在广州逸信电子科技有限公司担任董事长、总经理；</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月起在润建股份股份有</w:t>
      </w:r>
      <w:r>
        <w:rPr>
          <w:rFonts w:ascii="宋体" w:hAnsi="宋体" w:cs="宋体" w:eastAsia="宋体" w:hint="default"/>
          <w:spacing w:val="-49"/>
          <w:sz w:val="18"/>
          <w:szCs w:val="18"/>
        </w:rPr>
        <w:t> </w:t>
      </w:r>
      <w:r>
        <w:rPr>
          <w:rFonts w:ascii="宋体" w:hAnsi="宋体" w:cs="宋体" w:eastAsia="宋体" w:hint="default"/>
          <w:sz w:val="18"/>
          <w:szCs w:val="18"/>
        </w:rPr>
        <w:t>限公司担任董事。</w:t>
      </w:r>
    </w:p>
    <w:p>
      <w:pPr>
        <w:spacing w:line="240" w:lineRule="auto" w:before="4"/>
        <w:rPr>
          <w:rFonts w:ascii="宋体" w:hAnsi="宋体" w:cs="宋体" w:eastAsia="宋体" w:hint="default"/>
          <w:sz w:val="14"/>
          <w:szCs w:val="14"/>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胡永乐先生</w:t>
      </w:r>
    </w:p>
    <w:p>
      <w:pPr>
        <w:spacing w:line="240" w:lineRule="auto" w:before="10"/>
        <w:rPr>
          <w:rFonts w:ascii="宋体" w:hAnsi="宋体" w:cs="宋体" w:eastAsia="宋体" w:hint="default"/>
          <w:sz w:val="17"/>
          <w:szCs w:val="17"/>
        </w:rPr>
      </w:pPr>
    </w:p>
    <w:p>
      <w:pPr>
        <w:spacing w:line="300" w:lineRule="auto" w:before="0"/>
        <w:ind w:left="152" w:right="1130"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1980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月出生，中国国籍，无境外永久居留权，研究生学历，高级工程师。</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月期间在</w:t>
      </w:r>
      <w:r>
        <w:rPr>
          <w:rFonts w:ascii="Times New Roman" w:hAnsi="Times New Roman" w:cs="Times New Roman" w:eastAsia="Times New Roman" w:hint="default"/>
          <w:spacing w:val="-2"/>
          <w:sz w:val="18"/>
          <w:szCs w:val="18"/>
        </w:rPr>
        <w:t>Shinki</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Corporation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of Hong Kong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担任工程师；</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月期间在华为技术有限公担任工程师；</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月在润 </w:t>
      </w:r>
      <w:r>
        <w:rPr>
          <w:rFonts w:ascii="宋体" w:hAnsi="宋体" w:cs="宋体" w:eastAsia="宋体" w:hint="default"/>
          <w:spacing w:val="-2"/>
          <w:sz w:val="18"/>
          <w:szCs w:val="18"/>
        </w:rPr>
        <w:t>建有限工作，历任网络部、研发部总经理；</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月至今在润建股份任职，其中</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月至今先后担任研发部主管、创研</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院院长，</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月至今担任董事。</w:t>
      </w:r>
    </w:p>
    <w:p>
      <w:pPr>
        <w:spacing w:line="240" w:lineRule="auto" w:before="12"/>
        <w:rPr>
          <w:rFonts w:ascii="宋体" w:hAnsi="宋体" w:cs="宋体" w:eastAsia="宋体" w:hint="default"/>
          <w:sz w:val="12"/>
          <w:szCs w:val="12"/>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李胜兰女士</w:t>
      </w:r>
    </w:p>
    <w:p>
      <w:pPr>
        <w:spacing w:line="240" w:lineRule="auto" w:before="10"/>
        <w:rPr>
          <w:rFonts w:ascii="宋体" w:hAnsi="宋体" w:cs="宋体" w:eastAsia="宋体" w:hint="default"/>
          <w:sz w:val="17"/>
          <w:szCs w:val="17"/>
        </w:rPr>
      </w:pPr>
    </w:p>
    <w:p>
      <w:pPr>
        <w:spacing w:line="300" w:lineRule="auto" w:before="0"/>
        <w:ind w:left="152" w:right="10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1960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月出生，中国国籍，无境外永久居留权，博士研究生学历，教授。</w:t>
      </w:r>
      <w:r>
        <w:rPr>
          <w:rFonts w:ascii="Times New Roman" w:hAnsi="Times New Roman" w:cs="Times New Roman" w:eastAsia="Times New Roman" w:hint="default"/>
          <w:sz w:val="18"/>
          <w:szCs w:val="18"/>
        </w:rPr>
        <w:t>1977</w:t>
      </w:r>
      <w:r>
        <w:rPr>
          <w:rFonts w:ascii="宋体" w:hAnsi="宋体" w:cs="宋体" w:eastAsia="宋体" w:hint="default"/>
          <w:sz w:val="18"/>
          <w:szCs w:val="18"/>
        </w:rPr>
        <w:t>年至</w:t>
      </w:r>
      <w:r>
        <w:rPr>
          <w:rFonts w:ascii="Times New Roman" w:hAnsi="Times New Roman" w:cs="Times New Roman" w:eastAsia="Times New Roman" w:hint="default"/>
          <w:sz w:val="18"/>
          <w:szCs w:val="18"/>
        </w:rPr>
        <w:t>1979</w:t>
      </w:r>
      <w:r>
        <w:rPr>
          <w:rFonts w:ascii="宋体" w:hAnsi="宋体" w:cs="宋体" w:eastAsia="宋体" w:hint="default"/>
          <w:sz w:val="18"/>
          <w:szCs w:val="18"/>
        </w:rPr>
        <w:t>年期间在兰州市公交公司四车队担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任文书；</w:t>
      </w:r>
      <w:r>
        <w:rPr>
          <w:rFonts w:ascii="Times New Roman" w:hAnsi="Times New Roman" w:cs="Times New Roman" w:eastAsia="Times New Roman" w:hint="default"/>
          <w:spacing w:val="-3"/>
          <w:sz w:val="18"/>
          <w:szCs w:val="18"/>
        </w:rPr>
        <w:t>1979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1983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月在西北师范大学政治系攻读本科学位；</w:t>
      </w:r>
      <w:r>
        <w:rPr>
          <w:rFonts w:ascii="Times New Roman" w:hAnsi="Times New Roman" w:cs="Times New Roman" w:eastAsia="Times New Roman" w:hint="default"/>
          <w:spacing w:val="-3"/>
          <w:sz w:val="18"/>
          <w:szCs w:val="18"/>
        </w:rPr>
        <w:t>1983</w:t>
      </w:r>
      <w:r>
        <w:rPr>
          <w:rFonts w:ascii="宋体" w:hAnsi="宋体" w:cs="宋体" w:eastAsia="宋体" w:hint="default"/>
          <w:spacing w:val="-3"/>
          <w:sz w:val="18"/>
          <w:szCs w:val="18"/>
        </w:rPr>
        <w:t>年至</w:t>
      </w:r>
      <w:r>
        <w:rPr>
          <w:rFonts w:ascii="Times New Roman" w:hAnsi="Times New Roman" w:cs="Times New Roman" w:eastAsia="Times New Roman" w:hint="default"/>
          <w:spacing w:val="-3"/>
          <w:sz w:val="18"/>
          <w:szCs w:val="18"/>
        </w:rPr>
        <w:t>1988</w:t>
      </w:r>
      <w:r>
        <w:rPr>
          <w:rFonts w:ascii="宋体" w:hAnsi="宋体" w:cs="宋体" w:eastAsia="宋体" w:hint="default"/>
          <w:spacing w:val="-3"/>
          <w:sz w:val="18"/>
          <w:szCs w:val="18"/>
        </w:rPr>
        <w:t>年期间在西北师范大学政治系担任讲师；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pacing w:val="-5"/>
          <w:sz w:val="18"/>
          <w:szCs w:val="18"/>
        </w:rPr>
        <w:t>1988</w:t>
      </w:r>
      <w:r>
        <w:rPr>
          <w:rFonts w:ascii="宋体" w:hAnsi="宋体" w:cs="宋体" w:eastAsia="宋体" w:hint="default"/>
          <w:spacing w:val="-5"/>
          <w:sz w:val="18"/>
          <w:szCs w:val="18"/>
        </w:rPr>
        <w:t>年至</w:t>
      </w:r>
      <w:r>
        <w:rPr>
          <w:rFonts w:ascii="Times New Roman" w:hAnsi="Times New Roman" w:cs="Times New Roman" w:eastAsia="Times New Roman" w:hint="default"/>
          <w:spacing w:val="-5"/>
          <w:sz w:val="18"/>
          <w:szCs w:val="18"/>
        </w:rPr>
        <w:t>1991</w:t>
      </w:r>
      <w:r>
        <w:rPr>
          <w:rFonts w:ascii="宋体" w:hAnsi="宋体" w:cs="宋体" w:eastAsia="宋体" w:hint="default"/>
          <w:spacing w:val="-5"/>
          <w:sz w:val="18"/>
          <w:szCs w:val="18"/>
        </w:rPr>
        <w:t>年期间在兰州大学攻读硕士学位；</w:t>
      </w:r>
      <w:r>
        <w:rPr>
          <w:rFonts w:ascii="Times New Roman" w:hAnsi="Times New Roman" w:cs="Times New Roman" w:eastAsia="Times New Roman" w:hint="default"/>
          <w:spacing w:val="-5"/>
          <w:sz w:val="18"/>
          <w:szCs w:val="18"/>
        </w:rPr>
        <w:t>1991</w:t>
      </w:r>
      <w:r>
        <w:rPr>
          <w:rFonts w:ascii="宋体" w:hAnsi="宋体" w:cs="宋体" w:eastAsia="宋体" w:hint="default"/>
          <w:spacing w:val="-5"/>
          <w:sz w:val="18"/>
          <w:szCs w:val="18"/>
        </w:rPr>
        <w:t>年至</w:t>
      </w:r>
      <w:r>
        <w:rPr>
          <w:rFonts w:ascii="Times New Roman" w:hAnsi="Times New Roman" w:cs="Times New Roman" w:eastAsia="Times New Roman" w:hint="default"/>
          <w:spacing w:val="-5"/>
          <w:sz w:val="18"/>
          <w:szCs w:val="18"/>
        </w:rPr>
        <w:t>1999</w:t>
      </w:r>
      <w:r>
        <w:rPr>
          <w:rFonts w:ascii="宋体" w:hAnsi="宋体" w:cs="宋体" w:eastAsia="宋体" w:hint="default"/>
          <w:spacing w:val="-5"/>
          <w:sz w:val="18"/>
          <w:szCs w:val="18"/>
        </w:rPr>
        <w:t>年期间在兰州大学管理科学系担任系副主任（主持工作）；</w:t>
      </w:r>
      <w:r>
        <w:rPr>
          <w:rFonts w:ascii="Times New Roman" w:hAnsi="Times New Roman" w:cs="Times New Roman" w:eastAsia="Times New Roman" w:hint="default"/>
          <w:spacing w:val="-5"/>
          <w:sz w:val="18"/>
          <w:szCs w:val="18"/>
        </w:rPr>
        <w:t>1999</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年期间在中山大学岭南学院经济学系担任系主任；</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月期间在中山大学岭南学院担任副院长；</w:t>
      </w:r>
      <w:r>
        <w:rPr>
          <w:rFonts w:ascii="Times New Roman" w:hAnsi="Times New Roman" w:cs="Times New Roman" w:eastAsia="Times New Roman" w:hint="default"/>
          <w:spacing w:val="-2"/>
          <w:sz w:val="18"/>
          <w:szCs w:val="18"/>
        </w:rPr>
        <w:t>2016</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月至今任中山大学岭南学院经济学教授、博士生导师；</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月担任广州白云电器设备股份有限公司独 </w:t>
      </w:r>
      <w:r>
        <w:rPr>
          <w:rFonts w:ascii="宋体" w:hAnsi="宋体" w:cs="宋体" w:eastAsia="宋体" w:hint="default"/>
          <w:spacing w:val="-2"/>
          <w:sz w:val="18"/>
          <w:szCs w:val="18"/>
        </w:rPr>
        <w:t>立董事；</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月至今担任润建股份独立董事；</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月至今担任广弘股份有限公司独立董事；</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月至今担任粤桂</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股份独立董事；</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月至今担任箭牌家居集团股份有限公司独立董事。</w:t>
      </w:r>
    </w:p>
    <w:p>
      <w:pPr>
        <w:spacing w:line="240" w:lineRule="auto" w:before="12"/>
        <w:rPr>
          <w:rFonts w:ascii="宋体" w:hAnsi="宋体" w:cs="宋体" w:eastAsia="宋体" w:hint="default"/>
          <w:sz w:val="12"/>
          <w:szCs w:val="12"/>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马英华女士</w:t>
      </w:r>
    </w:p>
    <w:p>
      <w:pPr>
        <w:spacing w:line="240" w:lineRule="auto" w:before="10"/>
        <w:rPr>
          <w:rFonts w:ascii="宋体" w:hAnsi="宋体" w:cs="宋体" w:eastAsia="宋体" w:hint="default"/>
          <w:sz w:val="17"/>
          <w:szCs w:val="17"/>
        </w:rPr>
      </w:pPr>
    </w:p>
    <w:p>
      <w:pPr>
        <w:spacing w:line="300" w:lineRule="auto" w:before="0"/>
        <w:ind w:left="152" w:right="10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1963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月出生，中国国籍，无境外永久居留权，本科学历，教授。</w:t>
      </w:r>
      <w:r>
        <w:rPr>
          <w:rFonts w:ascii="Times New Roman" w:hAnsi="Times New Roman" w:cs="Times New Roman" w:eastAsia="Times New Roman" w:hint="default"/>
          <w:sz w:val="18"/>
          <w:szCs w:val="18"/>
        </w:rPr>
        <w:t>1986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月在哈尔滨财贸大学任教；</w:t>
      </w:r>
      <w:r>
        <w:rPr>
          <w:rFonts w:ascii="Times New Roman" w:hAnsi="Times New Roman" w:cs="Times New Roman" w:eastAsia="Times New Roman" w:hint="default"/>
          <w:sz w:val="18"/>
          <w:szCs w:val="18"/>
        </w:rPr>
        <w:t>1995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月在广西财专（广西财院前身）任教，担任会计系副主任；</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月，在广西财经学院任教，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担任会计系副主任；</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月至今在广西财经学院会计与审计学院担任教授；</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月至今担任润建股份独立董事。</w:t>
      </w:r>
    </w:p>
    <w:p>
      <w:pPr>
        <w:spacing w:line="240" w:lineRule="auto" w:before="12"/>
        <w:rPr>
          <w:rFonts w:ascii="宋体" w:hAnsi="宋体" w:cs="宋体" w:eastAsia="宋体" w:hint="default"/>
          <w:sz w:val="12"/>
          <w:szCs w:val="12"/>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万海斌先生</w:t>
      </w:r>
    </w:p>
    <w:p>
      <w:pPr>
        <w:spacing w:line="240" w:lineRule="auto" w:before="10"/>
        <w:rPr>
          <w:rFonts w:ascii="宋体" w:hAnsi="宋体" w:cs="宋体" w:eastAsia="宋体" w:hint="default"/>
          <w:sz w:val="17"/>
          <w:szCs w:val="17"/>
        </w:rPr>
      </w:pPr>
    </w:p>
    <w:p>
      <w:pPr>
        <w:spacing w:line="300" w:lineRule="auto" w:before="0"/>
        <w:ind w:left="152" w:right="1047"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1979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月出生，中国国籍，无境外永久居留权，博士研究生学历，副教授。</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月期间在广西大学电子科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学与技术系担任助教；</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月期间在广西大学电子科学与技术系担任讲师；</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月期间在</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广西大学通信工程系担任教师；</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月至今在广西大学通信工程系担任副教授；</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月至今担任润建股份独立董事。</w:t>
      </w:r>
    </w:p>
    <w:p>
      <w:pPr>
        <w:spacing w:line="240" w:lineRule="auto" w:before="13"/>
        <w:rPr>
          <w:rFonts w:ascii="宋体" w:hAnsi="宋体" w:cs="宋体" w:eastAsia="宋体" w:hint="default"/>
          <w:sz w:val="12"/>
          <w:szCs w:val="12"/>
        </w:rPr>
      </w:pPr>
    </w:p>
    <w:p>
      <w:pPr>
        <w:spacing w:line="477" w:lineRule="auto" w:before="0"/>
        <w:ind w:left="152" w:right="10034" w:firstLine="0"/>
        <w:jc w:val="left"/>
        <w:rPr>
          <w:rFonts w:ascii="宋体" w:hAnsi="宋体" w:cs="宋体" w:eastAsia="宋体" w:hint="default"/>
          <w:sz w:val="18"/>
          <w:szCs w:val="18"/>
        </w:rPr>
      </w:pPr>
      <w:r>
        <w:rPr>
          <w:rFonts w:ascii="宋体" w:hAnsi="宋体" w:cs="宋体" w:eastAsia="宋体" w:hint="default"/>
          <w:sz w:val="18"/>
          <w:szCs w:val="18"/>
        </w:rPr>
        <w:t>二、监事 唐敏女士</w:t>
      </w:r>
    </w:p>
    <w:p>
      <w:pPr>
        <w:spacing w:line="304" w:lineRule="auto" w:before="54"/>
        <w:ind w:left="152" w:right="1129"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1984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月出生，中国国籍，无境外永久居留权，本科学历。</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月期间在广西鑫辉通讯有限公司担任市场</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部职员；</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月期间在广西东冠投资有限公司担任市场部职员；</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月在润建有限工作， 先后担任审计部客户经理、线路工程部客户经理、工程建设部主管、工程建设部副主任、审计部主管；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月至今在润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建股份工作，先后担任审计部总经理助理、广西公司经管部副经理、经管部副总经理、综合管理部总经理、电力与新能源事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业群副总裁，</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月至今担任润建股份监事会主席。</w:t>
      </w:r>
    </w:p>
    <w:p>
      <w:pPr>
        <w:spacing w:line="240" w:lineRule="auto" w:before="10"/>
        <w:rPr>
          <w:rFonts w:ascii="宋体" w:hAnsi="宋体" w:cs="宋体" w:eastAsia="宋体" w:hint="default"/>
          <w:sz w:val="12"/>
          <w:szCs w:val="12"/>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陶秋鸿女士</w:t>
      </w:r>
    </w:p>
    <w:p>
      <w:pPr>
        <w:spacing w:line="240" w:lineRule="auto" w:before="8"/>
        <w:rPr>
          <w:rFonts w:ascii="宋体" w:hAnsi="宋体" w:cs="宋体" w:eastAsia="宋体" w:hint="default"/>
          <w:sz w:val="17"/>
          <w:szCs w:val="17"/>
        </w:rPr>
      </w:pPr>
    </w:p>
    <w:p>
      <w:pPr>
        <w:spacing w:before="0"/>
        <w:ind w:left="152"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月出生，中国国籍，无境外永久居留权，本科学历。</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月在中铁寻呼有限公司担任话务员；</w:t>
      </w:r>
      <w:r>
        <w:rPr>
          <w:rFonts w:ascii="Times New Roman" w:hAnsi="Times New Roman" w:cs="Times New Roman" w:eastAsia="Times New Roman" w:hint="default"/>
          <w:sz w:val="18"/>
          <w:szCs w:val="18"/>
        </w:rPr>
        <w:t>2003</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11</w:t>
      </w:r>
      <w:r>
        <w:rPr>
          <w:rFonts w:ascii="宋体" w:hAnsi="宋体" w:cs="宋体" w:eastAsia="宋体" w:hint="default"/>
          <w:spacing w:val="-3"/>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月在广东怡</w:t>
      </w:r>
      <w:r>
        <w:rPr>
          <w:rFonts w:ascii="宋体" w:hAnsi="宋体" w:cs="宋体" w:eastAsia="宋体" w:hint="default"/>
          <w:spacing w:val="-3"/>
          <w:sz w:val="18"/>
          <w:szCs w:val="18"/>
        </w:rPr>
        <w:t>创</w:t>
      </w:r>
      <w:r>
        <w:rPr>
          <w:rFonts w:ascii="宋体" w:hAnsi="宋体" w:cs="宋体" w:eastAsia="宋体" w:hint="default"/>
          <w:sz w:val="18"/>
          <w:szCs w:val="18"/>
        </w:rPr>
        <w:t>科技有限公司担任无线工程项目部综合支撑经理</w:t>
      </w:r>
      <w:r>
        <w:rPr>
          <w:rFonts w:ascii="宋体" w:hAnsi="宋体" w:cs="宋体" w:eastAsia="宋体" w:hint="default"/>
          <w:spacing w:val="-8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11</w:t>
      </w:r>
      <w:r>
        <w:rPr>
          <w:rFonts w:ascii="宋体" w:hAnsi="宋体" w:cs="宋体" w:eastAsia="宋体" w:hint="default"/>
          <w:spacing w:val="-3"/>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3"/>
          <w:sz w:val="18"/>
          <w:szCs w:val="18"/>
        </w:rPr>
        <w:t>月</w:t>
      </w:r>
      <w:r>
        <w:rPr>
          <w:rFonts w:ascii="宋体" w:hAnsi="宋体" w:cs="宋体" w:eastAsia="宋体" w:hint="default"/>
          <w:sz w:val="18"/>
          <w:szCs w:val="18"/>
        </w:rPr>
        <w:t>至</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月在润建有限担任</w:t>
      </w:r>
      <w:r>
        <w:rPr>
          <w:rFonts w:ascii="宋体" w:hAnsi="宋体" w:cs="宋体" w:eastAsia="宋体" w:hint="default"/>
          <w:spacing w:val="-3"/>
          <w:sz w:val="18"/>
          <w:szCs w:val="18"/>
        </w:rPr>
        <w:t>工</w:t>
      </w:r>
      <w:r>
        <w:rPr>
          <w:rFonts w:ascii="宋体" w:hAnsi="宋体" w:cs="宋体" w:eastAsia="宋体" w:hint="default"/>
          <w:sz w:val="18"/>
          <w:szCs w:val="18"/>
        </w:rPr>
        <w:t>程</w:t>
      </w:r>
    </w:p>
    <w:p>
      <w:pPr>
        <w:spacing w:after="0"/>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line="300" w:lineRule="auto" w:before="44"/>
        <w:ind w:left="152" w:right="1124" w:firstLine="0"/>
        <w:jc w:val="left"/>
        <w:rPr>
          <w:rFonts w:ascii="宋体" w:hAnsi="宋体" w:cs="宋体" w:eastAsia="宋体" w:hint="default"/>
          <w:sz w:val="18"/>
          <w:szCs w:val="18"/>
        </w:rPr>
      </w:pPr>
      <w:r>
        <w:rPr>
          <w:rFonts w:ascii="宋体" w:hAnsi="宋体" w:cs="宋体" w:eastAsia="宋体" w:hint="default"/>
          <w:sz w:val="18"/>
          <w:szCs w:val="18"/>
        </w:rPr>
        <w:t>建设部主管；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月至今在润建股份工作，先后担任工程建设部主管、工程建设部总经理助理、工程建设部经理、交付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管理部总经理，</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月至今担任监事。</w:t>
      </w:r>
    </w:p>
    <w:p>
      <w:pPr>
        <w:spacing w:line="240" w:lineRule="auto" w:before="1"/>
        <w:rPr>
          <w:rFonts w:ascii="宋体" w:hAnsi="宋体" w:cs="宋体" w:eastAsia="宋体" w:hint="default"/>
          <w:sz w:val="13"/>
          <w:szCs w:val="13"/>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欧宇菲女士</w:t>
      </w:r>
    </w:p>
    <w:p>
      <w:pPr>
        <w:spacing w:line="240" w:lineRule="auto" w:before="8"/>
        <w:rPr>
          <w:rFonts w:ascii="宋体" w:hAnsi="宋体" w:cs="宋体" w:eastAsia="宋体" w:hint="default"/>
          <w:sz w:val="17"/>
          <w:szCs w:val="17"/>
        </w:rPr>
      </w:pPr>
    </w:p>
    <w:p>
      <w:pPr>
        <w:spacing w:line="300" w:lineRule="auto"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1989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月出生，中国国籍，无境外永久居留权，本科学历。</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月在润建股份担任人事专员；</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今先后但任润建股份人事主管、创研院人事经理；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月至今在润建股份担任职工代表监事。</w:t>
      </w:r>
    </w:p>
    <w:p>
      <w:pPr>
        <w:spacing w:line="466" w:lineRule="exact" w:before="9"/>
        <w:ind w:left="152" w:right="9314" w:firstLine="0"/>
        <w:jc w:val="left"/>
        <w:rPr>
          <w:rFonts w:ascii="宋体" w:hAnsi="宋体" w:cs="宋体" w:eastAsia="宋体" w:hint="default"/>
          <w:sz w:val="18"/>
          <w:szCs w:val="18"/>
        </w:rPr>
      </w:pPr>
      <w:r>
        <w:rPr>
          <w:rFonts w:ascii="宋体" w:hAnsi="宋体" w:cs="宋体" w:eastAsia="宋体" w:hint="default"/>
          <w:sz w:val="18"/>
          <w:szCs w:val="18"/>
        </w:rPr>
        <w:t>三、高级管理人员 杨兆云先生</w:t>
      </w:r>
    </w:p>
    <w:p>
      <w:pPr>
        <w:spacing w:line="300" w:lineRule="auto" w:before="49"/>
        <w:ind w:left="152"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1964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月出生，中国国籍，无境外永久居留权，本科学历，高级工程师。</w:t>
      </w:r>
      <w:r>
        <w:rPr>
          <w:rFonts w:ascii="Times New Roman" w:hAnsi="Times New Roman" w:cs="Times New Roman" w:eastAsia="Times New Roman" w:hint="default"/>
          <w:sz w:val="18"/>
          <w:szCs w:val="18"/>
        </w:rPr>
        <w:t>1984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月期间在广西邮电管理局北 海市邮电局担任科长；</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月期间在广西北海电信实业有限公司担任总经理；</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月期</w:t>
      </w:r>
      <w:r>
        <w:rPr>
          <w:rFonts w:ascii="宋体" w:hAnsi="宋体" w:cs="宋体" w:eastAsia="宋体" w:hint="default"/>
          <w:spacing w:val="-3"/>
          <w:sz w:val="18"/>
          <w:szCs w:val="18"/>
        </w:rPr>
        <w:t> </w:t>
      </w:r>
      <w:r>
        <w:rPr>
          <w:rFonts w:ascii="宋体" w:hAnsi="宋体" w:cs="宋体" w:eastAsia="宋体" w:hint="default"/>
          <w:sz w:val="18"/>
          <w:szCs w:val="18"/>
        </w:rPr>
        <w:t>间在北海电信有限公司担任副总经理；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月期间在北海电信有限公司合浦分公司担任总经理；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 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月在润建有限工作，担任部门经理；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月至今在润建股份任职，其中</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月担任部门经理，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月至今担任副总经理，</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月担任董事。</w:t>
      </w:r>
    </w:p>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08"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20"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43"/>
              <w:jc w:val="left"/>
              <w:rPr>
                <w:rFonts w:ascii="宋体" w:hAnsi="宋体" w:cs="宋体" w:eastAsia="宋体" w:hint="default"/>
                <w:sz w:val="18"/>
                <w:szCs w:val="18"/>
              </w:rPr>
            </w:pPr>
            <w:r>
              <w:rPr>
                <w:rFonts w:ascii="宋体" w:hAnsi="宋体" w:cs="宋体" w:eastAsia="宋体" w:hint="default"/>
                <w:sz w:val="18"/>
                <w:szCs w:val="18"/>
              </w:rPr>
              <w:t>广西威克德力投资管理中心（有限合伙）</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4" w:right="142"/>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平潭盛欧投资管理中心（有限合伙）</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2" w:right="1057" w:firstLine="0"/>
        <w:jc w:val="left"/>
        <w:rPr>
          <w:rFonts w:ascii="宋体" w:hAnsi="宋体" w:cs="宋体" w:eastAsia="宋体" w:hint="default"/>
          <w:sz w:val="18"/>
          <w:szCs w:val="18"/>
        </w:rPr>
      </w:pPr>
      <w:r>
        <w:rPr/>
        <w:pict>
          <v:group style="position:absolute;margin-left:279.410004pt;margin-top:-71.438293pt;width:53.35pt;height:35.3pt;mso-position-horizontal-relative:page;mso-position-vertical-relative:paragraph;z-index:-1234024" coordorigin="5588,-1429" coordsize="1067,706">
            <v:group style="position:absolute;left:5588;top:-1429;width:1067;height:706" coordorigin="5588,-1429" coordsize="1067,706">
              <v:shape style="position:absolute;left:5588;top:-1429;width:1067;height:706" coordorigin="5588,-1429" coordsize="1067,706" path="m5588,-723l6654,-723,6654,-1429,5588,-1429,5588,-723xe" filled="true" fillcolor="#ffffff" stroked="false">
                <v:path arrowok="t"/>
                <v:fill type="solid"/>
              </v:shape>
            </v:group>
            <v:group style="position:absolute;left:5610;top:-1429;width:1023;height:353" coordorigin="5610,-1429" coordsize="1023,353">
              <v:shape style="position:absolute;left:5610;top:-1429;width:1023;height:353" coordorigin="5610,-1429" coordsize="1023,353" path="m5610,-1076l6633,-1076,6633,-1429,5610,-1429,5610,-1076xe" filled="true" fillcolor="#ffffff" stroked="false">
                <v:path arrowok="t"/>
                <v:fill type="solid"/>
              </v:shape>
            </v:group>
            <v:group style="position:absolute;left:5610;top:-1076;width:1023;height:353" coordorigin="5610,-1076" coordsize="1023,353">
              <v:shape style="position:absolute;left:5610;top:-1076;width:1023;height:353" coordorigin="5610,-1076" coordsize="1023,353" path="m5610,-723l6633,-723,6633,-1076,5610,-1076,5610,-723xe" filled="true" fillcolor="#ffffff" stroked="false">
                <v:path arrowok="t"/>
                <v:fill type="solid"/>
              </v:shape>
            </v:group>
            <w10:wrap type="none"/>
          </v:group>
        </w:pict>
      </w:r>
      <w:r>
        <w:rPr>
          <w:rFonts w:ascii="宋体" w:hAnsi="宋体" w:cs="宋体" w:eastAsia="宋体" w:hint="default"/>
          <w:sz w:val="18"/>
          <w:szCs w:val="18"/>
        </w:rPr>
        <w:t>在其他单位任职情况</w:t>
      </w:r>
    </w:p>
    <w:p>
      <w:pPr>
        <w:spacing w:before="117"/>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20"/>
        <w:gridCol w:w="1627"/>
        <w:gridCol w:w="925"/>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6" w:right="98"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长嘉科技有限公司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润建国际有限公司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五象云谷有限公司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长嘉科技有限公司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润沃科技（山东）有限公司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润建国际有限公司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广州汇柠科技有限公司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296"/>
              <w:jc w:val="left"/>
              <w:rPr>
                <w:rFonts w:ascii="Times New Roman" w:hAnsi="Times New Roman" w:cs="Times New Roman" w:eastAsia="Times New Roman" w:hint="default"/>
                <w:sz w:val="18"/>
                <w:szCs w:val="18"/>
              </w:rPr>
            </w:pPr>
            <w:r>
              <w:rPr>
                <w:rFonts w:ascii="Times New Roman"/>
                <w:sz w:val="18"/>
              </w:rPr>
              <w:t>R&amp;J</w:t>
            </w:r>
            <w:r>
              <w:rPr>
                <w:rFonts w:ascii="Times New Roman"/>
                <w:spacing w:val="-19"/>
                <w:sz w:val="18"/>
              </w:rPr>
              <w:t> </w:t>
            </w:r>
            <w:r>
              <w:rPr>
                <w:rFonts w:ascii="Times New Roman"/>
                <w:sz w:val="18"/>
              </w:rPr>
              <w:t>INTERNATIONAL(SINGAPORE)</w:t>
            </w:r>
            <w:r>
              <w:rPr>
                <w:rFonts w:ascii="Times New Roman"/>
                <w:w w:val="99"/>
                <w:sz w:val="18"/>
              </w:rPr>
              <w:t> </w:t>
            </w:r>
            <w:r>
              <w:rPr>
                <w:rFonts w:ascii="Times New Roman"/>
                <w:spacing w:val="-3"/>
                <w:sz w:val="18"/>
              </w:rPr>
              <w:t>PTE.LTD.</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董事兼法定 代表人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山东旋几工业自动化有限公司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广州市明锐电气技术有限公司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长嘉科技有限公司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润建国际有限公司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20"/>
        <w:gridCol w:w="1627"/>
        <w:gridCol w:w="925"/>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五象云谷有限公司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广州市泺立能源科技有限公司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296"/>
              <w:jc w:val="left"/>
              <w:rPr>
                <w:rFonts w:ascii="Times New Roman" w:hAnsi="Times New Roman" w:cs="Times New Roman" w:eastAsia="Times New Roman" w:hint="default"/>
                <w:sz w:val="18"/>
                <w:szCs w:val="18"/>
              </w:rPr>
            </w:pPr>
            <w:r>
              <w:rPr>
                <w:rFonts w:ascii="Times New Roman"/>
                <w:sz w:val="18"/>
              </w:rPr>
              <w:t>R&amp;J</w:t>
            </w:r>
            <w:r>
              <w:rPr>
                <w:rFonts w:ascii="Times New Roman"/>
                <w:spacing w:val="-18"/>
                <w:sz w:val="18"/>
              </w:rPr>
              <w:t> </w:t>
            </w:r>
            <w:r>
              <w:rPr>
                <w:rFonts w:ascii="Times New Roman"/>
                <w:sz w:val="18"/>
              </w:rPr>
              <w:t>INTERNATIONAL(SINGAPORE)</w:t>
            </w:r>
            <w:r>
              <w:rPr>
                <w:rFonts w:ascii="Times New Roman"/>
                <w:w w:val="99"/>
                <w:sz w:val="18"/>
              </w:rPr>
              <w:t> </w:t>
            </w:r>
            <w:r>
              <w:rPr>
                <w:rFonts w:ascii="Times New Roman"/>
                <w:spacing w:val="-3"/>
                <w:sz w:val="18"/>
              </w:rPr>
              <w:t>PTE.LTD.</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董事兼法定 代表人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山东旋几工业自动化有限公司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广西诚本规划设计咨询有限公司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执行董事、 总经理兼法 人代表</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广西润联信息技术有限公司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总经理兼法 人代表</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广东南粤云视科技有限公司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胡永乐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广州云谷创智科技有限公司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4"/>
              <w:jc w:val="both"/>
              <w:rPr>
                <w:rFonts w:ascii="宋体" w:hAnsi="宋体" w:cs="宋体" w:eastAsia="宋体" w:hint="default"/>
                <w:sz w:val="18"/>
                <w:szCs w:val="18"/>
              </w:rPr>
            </w:pPr>
            <w:r>
              <w:rPr>
                <w:rFonts w:ascii="宋体" w:hAnsi="宋体" w:cs="宋体" w:eastAsia="宋体" w:hint="default"/>
                <w:sz w:val="18"/>
                <w:szCs w:val="18"/>
              </w:rPr>
              <w:t>执行董事兼 总经理、法 定代表人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胡永乐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山东旋几工业自动化有限公司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万海斌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广西大学计算机与电子信息学院</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万海斌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广西悦捷信息科技有限公司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中山大学岭南学院经济学系</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广东广弘控股股份有限公司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广西粤桂广业控股股份有限公司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箭牌家居集团股份有限公司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马英华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南宁市信华财务信息咨询工作室</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经营者</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广西盛唐国医养生有限责任公司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五象云谷有限公司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广州汇柠科技有限公司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广州卓联科技有限公司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4"/>
              <w:jc w:val="both"/>
              <w:rPr>
                <w:rFonts w:ascii="宋体" w:hAnsi="宋体" w:cs="宋体" w:eastAsia="宋体" w:hint="default"/>
                <w:sz w:val="18"/>
                <w:szCs w:val="18"/>
              </w:rPr>
            </w:pPr>
            <w:r>
              <w:rPr>
                <w:rFonts w:ascii="宋体" w:hAnsi="宋体" w:cs="宋体" w:eastAsia="宋体" w:hint="default"/>
                <w:sz w:val="18"/>
                <w:szCs w:val="18"/>
              </w:rPr>
              <w:t>执行董事兼 总经理、法 定代表人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杨兆云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广西信安锐达科技有限公司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执行董事兼 总经理、法 定代表人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057"/>
        <w:jc w:val="left"/>
        <w:rPr>
          <w:b w:val="0"/>
          <w:bCs w:val="0"/>
        </w:rPr>
      </w:pPr>
      <w:r>
        <w:rPr/>
        <w:t>四、董事、监事、高级管理人员报酬情况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董事、监事、高级管理人员报酬的决策程序：在年度报告中列示并提交由公司股东大会审议，高级管理人员报酬由公司董事</w:t>
      </w:r>
    </w:p>
    <w:p>
      <w:pPr>
        <w:spacing w:after="0" w:line="36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line="312" w:lineRule="auto" w:before="44"/>
        <w:ind w:left="152" w:right="1025" w:firstLine="0"/>
        <w:jc w:val="left"/>
        <w:rPr>
          <w:rFonts w:ascii="宋体" w:hAnsi="宋体" w:cs="宋体" w:eastAsia="宋体" w:hint="default"/>
          <w:sz w:val="18"/>
          <w:szCs w:val="18"/>
        </w:rPr>
      </w:pPr>
      <w:r>
        <w:rPr>
          <w:rFonts w:ascii="宋体" w:hAnsi="宋体" w:cs="宋体" w:eastAsia="宋体" w:hint="default"/>
          <w:spacing w:val="-2"/>
          <w:sz w:val="18"/>
          <w:szCs w:val="18"/>
        </w:rPr>
        <w:t>会决定。公司董事会薪酬与考核委员会按照《董事会薪酬与考核委员会实施细则》认真履行职责，对公司年度报告中董事和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高管人员所披露薪酬事项进行了审核，核查意见如下：</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年度公司董事、监事及高管人员披露的薪酬情况符合公司薪酬管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理制度，未有违反公司薪酬管理制度及与公司薪酬管理制度不一致的情形发生。独立董事对公司</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年年度报告中关于董事、</w:t>
      </w:r>
      <w:r>
        <w:rPr>
          <w:rFonts w:ascii="宋体" w:hAnsi="宋体" w:cs="宋体" w:eastAsia="宋体" w:hint="default"/>
          <w:sz w:val="18"/>
          <w:szCs w:val="18"/>
        </w:rPr>
        <w:t> </w:t>
      </w:r>
      <w:r>
        <w:rPr>
          <w:rFonts w:ascii="宋体" w:hAnsi="宋体" w:cs="宋体" w:eastAsia="宋体" w:hint="default"/>
          <w:spacing w:val="-2"/>
          <w:sz w:val="18"/>
          <w:szCs w:val="18"/>
        </w:rPr>
        <w:t>高级管理人员薪酬进行了审核，并发表了同意的独立董事意见，认为公司能严格按照公司董事和高级管理人员薪酬和有关业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绩考核制度执行，薪酬发放的程序符合有关法律法规及《公司章程》的规定，不存在损害公司和全体股东利益的情形，</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年年度报告中关于董事、高级管理人员薪酬的披露内容与实际情况一致。 董事、监事、高级管理人员报酬确定依据：董事长、副董事长、董事、监事薪酬按其在公司担任的实际工作岗位领取薪酬， </w:t>
      </w:r>
      <w:r>
        <w:rPr>
          <w:rFonts w:ascii="宋体" w:hAnsi="宋体" w:cs="宋体" w:eastAsia="宋体" w:hint="default"/>
          <w:spacing w:val="-4"/>
          <w:sz w:val="18"/>
          <w:szCs w:val="18"/>
        </w:rPr>
        <w:t>不领取董事、监事津贴；实际报酬依据公司盈利水平及各董事、监事、高级管理人员的分工及履职情况、绩效考核情况确定。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董事、监事和高级管理人员报酬的实际支付情况</w:t>
      </w:r>
      <w:r>
        <w:rPr>
          <w:rFonts w:ascii="宋体" w:hAnsi="宋体" w:cs="宋体" w:eastAsia="宋体" w:hint="default"/>
          <w:spacing w:val="-4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年度公司实际支付董事、监事、高级管理人员报酬共计</w:t>
      </w:r>
      <w:r>
        <w:rPr>
          <w:rFonts w:ascii="Times New Roman" w:hAnsi="Times New Roman" w:cs="Times New Roman" w:eastAsia="Times New Roman" w:hint="default"/>
          <w:sz w:val="18"/>
          <w:szCs w:val="18"/>
        </w:rPr>
        <w:t>282.50</w:t>
      </w:r>
      <w:r>
        <w:rPr>
          <w:rFonts w:ascii="宋体" w:hAnsi="宋体" w:cs="宋体" w:eastAsia="宋体" w:hint="default"/>
          <w:sz w:val="18"/>
          <w:szCs w:val="18"/>
        </w:rPr>
        <w:t>万元。</w:t>
      </w:r>
    </w:p>
    <w:p>
      <w:pPr>
        <w:spacing w:line="357" w:lineRule="auto" w:before="44"/>
        <w:ind w:left="152" w:right="6794"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 公司报告期内董事、监事和高级管理人员报酬情况</w:t>
      </w:r>
    </w:p>
    <w:p>
      <w:pPr>
        <w:spacing w:before="2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副董事长兼总经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董事兼副总经理 兼董事会秘书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胡永乐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方培豪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万海斌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马英华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杨兆云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陶秋鸿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欧宇菲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282.50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057"/>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3,528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3,854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3,854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2,760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779</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3,854</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大学专科以下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1,071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1,574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1,175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3,854</w:t>
            </w:r>
          </w:p>
        </w:tc>
      </w:tr>
    </w:tbl>
    <w:p>
      <w:pPr>
        <w:spacing w:line="240" w:lineRule="auto" w:before="3"/>
        <w:rPr>
          <w:rFonts w:ascii="宋体" w:hAnsi="宋体" w:cs="宋体" w:eastAsia="宋体" w:hint="default"/>
          <w:b/>
          <w:bCs/>
          <w:sz w:val="19"/>
          <w:szCs w:val="19"/>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公司具有完善的薪酬体系，公司结合市场薪资提升情况，参照同行业内薪资水平，以及内部员工晋升发展需要，每年度都会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进行不等幅度的调薪，采取不同的激励措施，提升员工的满意度，更能极大地提升员工的工作积极性，提高工作效率，为企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业创造更多的利润。</w:t>
      </w:r>
    </w:p>
    <w:p>
      <w:pPr>
        <w:spacing w:line="319" w:lineRule="auto" w:before="59"/>
        <w:ind w:left="152" w:right="1199"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本报告期，职工薪酬总额计入成本金额</w:t>
      </w:r>
      <w:r>
        <w:rPr>
          <w:rFonts w:ascii="Times New Roman" w:hAnsi="Times New Roman" w:cs="Times New Roman" w:eastAsia="Times New Roman" w:hint="default"/>
          <w:sz w:val="18"/>
          <w:szCs w:val="18"/>
        </w:rPr>
        <w:t>19,917.17</w:t>
      </w:r>
      <w:r>
        <w:rPr>
          <w:rFonts w:ascii="宋体" w:hAnsi="宋体" w:cs="宋体" w:eastAsia="宋体" w:hint="default"/>
          <w:sz w:val="18"/>
          <w:szCs w:val="18"/>
        </w:rPr>
        <w:t>万元，占公司成本总额比</w:t>
      </w:r>
      <w:r>
        <w:rPr>
          <w:rFonts w:ascii="Times New Roman" w:hAnsi="Times New Roman" w:cs="Times New Roman" w:eastAsia="Times New Roman" w:hint="default"/>
          <w:sz w:val="18"/>
          <w:szCs w:val="18"/>
        </w:rPr>
        <w:t>7%</w:t>
      </w:r>
      <w:r>
        <w:rPr>
          <w:rFonts w:ascii="宋体" w:hAnsi="宋体" w:cs="宋体" w:eastAsia="宋体" w:hint="default"/>
          <w:sz w:val="18"/>
          <w:szCs w:val="18"/>
        </w:rPr>
        <w:t>；核心技术人员职工薪酬支出</w:t>
      </w:r>
      <w:r>
        <w:rPr>
          <w:rFonts w:ascii="Times New Roman" w:hAnsi="Times New Roman" w:cs="Times New Roman" w:eastAsia="Times New Roman" w:hint="default"/>
          <w:sz w:val="18"/>
          <w:szCs w:val="18"/>
        </w:rPr>
        <w:t>102.75</w:t>
      </w:r>
      <w:r>
        <w:rPr>
          <w:rFonts w:ascii="宋体" w:hAnsi="宋体" w:cs="宋体" w:eastAsia="宋体" w:hint="default"/>
          <w:sz w:val="18"/>
          <w:szCs w:val="18"/>
        </w:rPr>
        <w:t>万元，占 本报告期职工薪酬总额比</w:t>
      </w:r>
      <w:r>
        <w:rPr>
          <w:rFonts w:ascii="Times New Roman" w:hAnsi="Times New Roman" w:cs="Times New Roman" w:eastAsia="Times New Roman" w:hint="default"/>
          <w:sz w:val="18"/>
          <w:szCs w:val="18"/>
        </w:rPr>
        <w:t>0.36%</w:t>
      </w:r>
      <w:r>
        <w:rPr>
          <w:rFonts w:ascii="宋体" w:hAnsi="宋体" w:cs="宋体" w:eastAsia="宋体" w:hint="default"/>
          <w:sz w:val="18"/>
          <w:szCs w:val="18"/>
        </w:rPr>
        <w:t>。</w:t>
      </w:r>
    </w:p>
    <w:p>
      <w:pPr>
        <w:spacing w:line="240" w:lineRule="auto" w:before="13"/>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9" w:lineRule="auto" w:before="0"/>
        <w:ind w:left="152" w:right="1129" w:firstLine="0"/>
        <w:jc w:val="both"/>
        <w:rPr>
          <w:rFonts w:ascii="宋体" w:hAnsi="宋体" w:cs="宋体" w:eastAsia="宋体" w:hint="default"/>
          <w:sz w:val="18"/>
          <w:szCs w:val="18"/>
        </w:rPr>
      </w:pPr>
      <w:r>
        <w:rPr>
          <w:rFonts w:ascii="宋体" w:hAnsi="宋体" w:cs="宋体" w:eastAsia="宋体" w:hint="default"/>
          <w:sz w:val="18"/>
          <w:szCs w:val="18"/>
        </w:rPr>
        <w:t>公司具有完善的培训体系，采用内训</w:t>
      </w:r>
      <w:r>
        <w:rPr>
          <w:rFonts w:ascii="Times New Roman" w:hAnsi="Times New Roman" w:cs="Times New Roman" w:eastAsia="Times New Roman" w:hint="default"/>
          <w:sz w:val="18"/>
          <w:szCs w:val="18"/>
        </w:rPr>
        <w:t>+</w:t>
      </w:r>
      <w:r>
        <w:rPr>
          <w:rFonts w:ascii="宋体" w:hAnsi="宋体" w:cs="宋体" w:eastAsia="宋体" w:hint="default"/>
          <w:sz w:val="18"/>
          <w:szCs w:val="18"/>
        </w:rPr>
        <w:t>外训结合的模式，提升员工的综合素质和工作技能，以及管理者的管理能力。针对不 </w:t>
      </w:r>
      <w:r>
        <w:rPr>
          <w:rFonts w:ascii="宋体" w:hAnsi="宋体" w:cs="宋体" w:eastAsia="宋体" w:hint="default"/>
          <w:spacing w:val="-2"/>
          <w:sz w:val="18"/>
          <w:szCs w:val="18"/>
        </w:rPr>
        <w:t>同阶段的员工，公司开展不同的培训，有新员工入职培训，在职人员技能提升培训等。针对工程师，公司有完善的考试晋升</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制度，畅通的提升通道。</w:t>
      </w:r>
    </w:p>
    <w:p>
      <w:pPr>
        <w:spacing w:line="240" w:lineRule="auto" w:before="0"/>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067"/>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057"/>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spacing w:before="0"/>
        <w:ind w:left="513" w:right="1000" w:firstLine="0"/>
        <w:jc w:val="left"/>
        <w:rPr>
          <w:rFonts w:ascii="宋体" w:hAnsi="宋体" w:cs="宋体" w:eastAsia="宋体" w:hint="default"/>
          <w:sz w:val="18"/>
          <w:szCs w:val="18"/>
        </w:rPr>
      </w:pPr>
      <w:r>
        <w:rPr>
          <w:rFonts w:ascii="宋体" w:hAnsi="宋体" w:cs="宋体" w:eastAsia="宋体" w:hint="default"/>
          <w:spacing w:val="-4"/>
          <w:sz w:val="18"/>
          <w:szCs w:val="18"/>
        </w:rPr>
        <w:t>报告期内，公司严格按照《公司法》、《证劵法》、《上市公司治理准则》、《深圳证券交易所创业板股票上市规则》、</w:t>
      </w:r>
    </w:p>
    <w:p>
      <w:pPr>
        <w:spacing w:line="316" w:lineRule="auto" w:before="76"/>
        <w:ind w:left="152" w:right="1034" w:firstLine="0"/>
        <w:jc w:val="left"/>
        <w:rPr>
          <w:rFonts w:ascii="宋体" w:hAnsi="宋体" w:cs="宋体" w:eastAsia="宋体" w:hint="default"/>
          <w:sz w:val="18"/>
          <w:szCs w:val="18"/>
        </w:rPr>
      </w:pPr>
      <w:r>
        <w:rPr>
          <w:rFonts w:ascii="宋体" w:hAnsi="宋体" w:cs="宋体" w:eastAsia="宋体" w:hint="default"/>
          <w:spacing w:val="-2"/>
          <w:sz w:val="18"/>
          <w:szCs w:val="18"/>
        </w:rPr>
        <w:t>《深圳证券交易所创业板上市公司规范运作指引》等法律法规的要求，不断完善公司的法人治理结构，建立健全公司内部管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理和控制制度，持续深入开展公司治理活动，促进了公司规范运作，提高了公司治理水平。报告期内，公司整体运作规范、</w:t>
      </w:r>
      <w:r>
        <w:rPr>
          <w:rFonts w:ascii="宋体" w:hAnsi="宋体" w:cs="宋体" w:eastAsia="宋体" w:hint="default"/>
          <w:sz w:val="18"/>
          <w:szCs w:val="18"/>
        </w:rPr>
        <w:t> </w:t>
      </w:r>
      <w:r>
        <w:rPr>
          <w:rFonts w:ascii="宋体" w:hAnsi="宋体" w:cs="宋体" w:eastAsia="宋体" w:hint="default"/>
          <w:spacing w:val="-2"/>
          <w:sz w:val="18"/>
          <w:szCs w:val="18"/>
        </w:rPr>
        <w:t>独立性强、信息披露规范，公司治理的实际状况符合《上市公司治理准则》和《深圳证券交易所创业板上市公司规范运作指</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引》的要求。</w:t>
      </w:r>
    </w:p>
    <w:p>
      <w:pPr>
        <w:spacing w:line="316" w:lineRule="auto" w:before="19"/>
        <w:ind w:left="513" w:right="1057" w:hanging="361"/>
        <w:jc w:val="left"/>
        <w:rPr>
          <w:rFonts w:ascii="宋体" w:hAnsi="宋体" w:cs="宋体" w:eastAsia="宋体" w:hint="default"/>
          <w:sz w:val="18"/>
          <w:szCs w:val="18"/>
        </w:rPr>
      </w:pPr>
      <w:r>
        <w:rPr>
          <w:rFonts w:ascii="宋体" w:hAnsi="宋体" w:cs="宋体" w:eastAsia="宋体" w:hint="default"/>
          <w:sz w:val="18"/>
          <w:szCs w:val="18"/>
        </w:rPr>
        <w:t>（一）关于股东与股东大会 </w:t>
      </w:r>
      <w:r>
        <w:rPr>
          <w:rFonts w:ascii="宋体" w:hAnsi="宋体" w:cs="宋体" w:eastAsia="宋体" w:hint="default"/>
          <w:spacing w:val="-2"/>
          <w:sz w:val="18"/>
          <w:szCs w:val="18"/>
        </w:rPr>
        <w:t>公司严格按照《公司章程》、《股东大会议事规则》等规定和要求，规范股东大会召集、召开、表决程序，切实保证中</w:t>
      </w:r>
    </w:p>
    <w:p>
      <w:pPr>
        <w:spacing w:line="316" w:lineRule="auto" w:before="19"/>
        <w:ind w:left="152" w:right="1057" w:firstLine="0"/>
        <w:jc w:val="left"/>
        <w:rPr>
          <w:rFonts w:ascii="宋体" w:hAnsi="宋体" w:cs="宋体" w:eastAsia="宋体" w:hint="default"/>
          <w:sz w:val="18"/>
          <w:szCs w:val="18"/>
        </w:rPr>
      </w:pPr>
      <w:r>
        <w:rPr>
          <w:rFonts w:ascii="宋体" w:hAnsi="宋体" w:cs="宋体" w:eastAsia="宋体" w:hint="default"/>
          <w:spacing w:val="-2"/>
          <w:sz w:val="18"/>
          <w:szCs w:val="18"/>
        </w:rPr>
        <w:t>小股东的权益，平等对待所有投资者，使他们能够充分行使自己的权利。聘请律师列席股东大会并对股东大会的召开和表决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程序出具法律意见书，充分尊重和维护全体股东的合法权益。</w:t>
      </w:r>
    </w:p>
    <w:p>
      <w:pPr>
        <w:spacing w:line="316" w:lineRule="auto" w:before="19"/>
        <w:ind w:left="513" w:right="1057" w:hanging="361"/>
        <w:jc w:val="left"/>
        <w:rPr>
          <w:rFonts w:ascii="宋体" w:hAnsi="宋体" w:cs="宋体" w:eastAsia="宋体" w:hint="default"/>
          <w:sz w:val="18"/>
          <w:szCs w:val="18"/>
        </w:rPr>
      </w:pPr>
      <w:r>
        <w:rPr>
          <w:rFonts w:ascii="宋体" w:hAnsi="宋体" w:cs="宋体" w:eastAsia="宋体" w:hint="default"/>
          <w:sz w:val="18"/>
          <w:szCs w:val="18"/>
        </w:rPr>
        <w:t>（二）关于公司与控股股东 </w:t>
      </w:r>
      <w:r>
        <w:rPr>
          <w:rFonts w:ascii="宋体" w:hAnsi="宋体" w:cs="宋体" w:eastAsia="宋体" w:hint="default"/>
          <w:spacing w:val="-2"/>
          <w:sz w:val="18"/>
          <w:szCs w:val="18"/>
        </w:rPr>
        <w:t>公司控股股东积极参加监管部门的培训，加强对有关控股股东行为规范的法律、法规的学习，严格规范自己的行为，未</w:t>
      </w:r>
    </w:p>
    <w:p>
      <w:pPr>
        <w:spacing w:line="316" w:lineRule="auto" w:before="19"/>
        <w:ind w:left="152" w:right="1000" w:firstLine="0"/>
        <w:jc w:val="left"/>
        <w:rPr>
          <w:rFonts w:ascii="宋体" w:hAnsi="宋体" w:cs="宋体" w:eastAsia="宋体" w:hint="default"/>
          <w:sz w:val="18"/>
          <w:szCs w:val="18"/>
        </w:rPr>
      </w:pPr>
      <w:r>
        <w:rPr>
          <w:rFonts w:ascii="宋体" w:hAnsi="宋体" w:cs="宋体" w:eastAsia="宋体" w:hint="default"/>
          <w:spacing w:val="-4"/>
          <w:sz w:val="18"/>
          <w:szCs w:val="18"/>
        </w:rPr>
        <w:t>出现超越股东大会直接或间接干预公司的决策和经营活动。公司拥有独立完整的业务和自主经营能力，在业务、资产、人员、</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机构、财务上独立于控股股东，公司董事会、监事会和内部机构能够独立运作。</w:t>
      </w:r>
    </w:p>
    <w:p>
      <w:pPr>
        <w:spacing w:line="316" w:lineRule="auto" w:before="19"/>
        <w:ind w:left="513" w:right="1033" w:hanging="361"/>
        <w:jc w:val="left"/>
        <w:rPr>
          <w:rFonts w:ascii="宋体" w:hAnsi="宋体" w:cs="宋体" w:eastAsia="宋体" w:hint="default"/>
          <w:sz w:val="18"/>
          <w:szCs w:val="18"/>
        </w:rPr>
      </w:pPr>
      <w:r>
        <w:rPr>
          <w:rFonts w:ascii="宋体" w:hAnsi="宋体" w:cs="宋体" w:eastAsia="宋体" w:hint="default"/>
          <w:sz w:val="18"/>
          <w:szCs w:val="18"/>
        </w:rPr>
        <w:t>（三）关于董事和董事会 公司严格按照《公司法》、《公司章程》的规定，严格董事的选聘程序，确保公司董事选聘公开、公平、公正、独立。</w:t>
      </w:r>
    </w:p>
    <w:p>
      <w:pPr>
        <w:spacing w:line="309" w:lineRule="auto" w:before="19"/>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各位董事能够依据《董事会议事规则》、《独立董事工作制度》、《深圳证券交易所创业板上市公司规范运作指引》等开展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工作，出席董事会和股东大会，勤勉尽责地履行职责和义务，同时积极参加相关培训，熟悉相关法律法规。董事会下设的专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门委员会，各尽其责，提高了董事会的办事效率。 公司董事会由</w:t>
      </w:r>
      <w:r>
        <w:rPr>
          <w:rFonts w:ascii="Times New Roman" w:hAnsi="Times New Roman" w:cs="Times New Roman" w:eastAsia="Times New Roman" w:hint="default"/>
          <w:sz w:val="18"/>
          <w:szCs w:val="18"/>
        </w:rPr>
        <w:t>9</w:t>
      </w:r>
      <w:r>
        <w:rPr>
          <w:rFonts w:ascii="宋体" w:hAnsi="宋体" w:cs="宋体" w:eastAsia="宋体" w:hint="default"/>
          <w:sz w:val="18"/>
          <w:szCs w:val="18"/>
        </w:rPr>
        <w:t>名董事组成，其中独立董事</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名，董事会的人数及构成符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合相关法律、法规和《公司章程》的要求。独立董事中</w:t>
      </w:r>
      <w:r>
        <w:rPr>
          <w:rFonts w:ascii="Times New Roman" w:hAnsi="Times New Roman" w:cs="Times New Roman" w:eastAsia="Times New Roman" w:hint="default"/>
          <w:sz w:val="18"/>
          <w:szCs w:val="18"/>
        </w:rPr>
        <w:t>1</w:t>
      </w:r>
      <w:r>
        <w:rPr>
          <w:rFonts w:ascii="宋体" w:hAnsi="宋体" w:cs="宋体" w:eastAsia="宋体" w:hint="default"/>
          <w:sz w:val="18"/>
          <w:szCs w:val="18"/>
        </w:rPr>
        <w:t>名为会计专业人士，符合中国证监会《关于在上市公司建立独立董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事制度的指导意见》的要求。</w:t>
      </w:r>
    </w:p>
    <w:p>
      <w:pPr>
        <w:spacing w:before="24"/>
        <w:ind w:left="152" w:right="1057" w:firstLine="0"/>
        <w:jc w:val="left"/>
        <w:rPr>
          <w:rFonts w:ascii="宋体" w:hAnsi="宋体" w:cs="宋体" w:eastAsia="宋体" w:hint="default"/>
          <w:sz w:val="18"/>
          <w:szCs w:val="18"/>
        </w:rPr>
      </w:pPr>
      <w:r>
        <w:rPr>
          <w:rFonts w:ascii="宋体" w:hAnsi="宋体" w:cs="宋体" w:eastAsia="宋体" w:hint="default"/>
          <w:sz w:val="18"/>
          <w:szCs w:val="18"/>
        </w:rPr>
        <w:t>（四）关于监事和监事会</w:t>
      </w:r>
    </w:p>
    <w:p>
      <w:pPr>
        <w:spacing w:line="309" w:lineRule="auto" w:before="76"/>
        <w:ind w:left="152" w:right="1134" w:firstLine="360"/>
        <w:jc w:val="both"/>
        <w:rPr>
          <w:rFonts w:ascii="宋体" w:hAnsi="宋体" w:cs="宋体" w:eastAsia="宋体" w:hint="default"/>
          <w:sz w:val="18"/>
          <w:szCs w:val="18"/>
        </w:rPr>
      </w:pPr>
      <w:r>
        <w:rPr>
          <w:rFonts w:ascii="宋体" w:hAnsi="宋体" w:cs="宋体" w:eastAsia="宋体" w:hint="default"/>
          <w:sz w:val="18"/>
          <w:szCs w:val="18"/>
        </w:rPr>
        <w:t>公司监事会设监事</w:t>
      </w:r>
      <w:r>
        <w:rPr>
          <w:rFonts w:ascii="Times New Roman" w:hAnsi="Times New Roman" w:cs="Times New Roman" w:eastAsia="Times New Roman" w:hint="default"/>
          <w:sz w:val="18"/>
          <w:szCs w:val="18"/>
        </w:rPr>
        <w:t>3</w:t>
      </w:r>
      <w:r>
        <w:rPr>
          <w:rFonts w:ascii="宋体" w:hAnsi="宋体" w:cs="宋体" w:eastAsia="宋体" w:hint="default"/>
          <w:sz w:val="18"/>
          <w:szCs w:val="18"/>
        </w:rPr>
        <w:t>名，其中职工监事</w:t>
      </w:r>
      <w:r>
        <w:rPr>
          <w:rFonts w:ascii="Times New Roman" w:hAnsi="Times New Roman" w:cs="Times New Roman" w:eastAsia="Times New Roman" w:hint="default"/>
          <w:sz w:val="18"/>
          <w:szCs w:val="18"/>
        </w:rPr>
        <w:t>1 </w:t>
      </w:r>
      <w:r>
        <w:rPr>
          <w:rFonts w:ascii="宋体" w:hAnsi="宋体" w:cs="宋体" w:eastAsia="宋体" w:hint="default"/>
          <w:sz w:val="18"/>
          <w:szCs w:val="18"/>
        </w:rPr>
        <w:t>名，监事会的人数和构成符合法律、法规和《公司章程》的要求。各位监事能 </w:t>
      </w:r>
      <w:r>
        <w:rPr>
          <w:rFonts w:ascii="宋体" w:hAnsi="宋体" w:cs="宋体" w:eastAsia="宋体" w:hint="default"/>
          <w:spacing w:val="-2"/>
          <w:sz w:val="18"/>
          <w:szCs w:val="18"/>
        </w:rPr>
        <w:t>够按照《监事会议事规则》的要求，认真履行自己的职责，对公司重要事项、财务状况以及董事、高管人员、财务负责人履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行职责的合法合规性进行监督。</w:t>
      </w:r>
    </w:p>
    <w:p>
      <w:pPr>
        <w:spacing w:line="300" w:lineRule="auto" w:before="24"/>
        <w:ind w:left="513" w:right="1000" w:hanging="28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宋体" w:hAnsi="宋体" w:cs="宋体" w:eastAsia="宋体" w:hint="default"/>
          <w:sz w:val="18"/>
          <w:szCs w:val="18"/>
        </w:rPr>
        <w:t>关于绩效评价与激励约束</w:t>
      </w:r>
      <w:r>
        <w:rPr>
          <w:rFonts w:ascii="宋体" w:hAnsi="宋体" w:cs="宋体" w:eastAsia="宋体" w:hint="default"/>
          <w:w w:val="99"/>
          <w:sz w:val="18"/>
          <w:szCs w:val="18"/>
        </w:rPr>
        <w:t> </w:t>
      </w:r>
      <w:r>
        <w:rPr>
          <w:rFonts w:ascii="宋体" w:hAnsi="宋体" w:cs="宋体" w:eastAsia="宋体" w:hint="default"/>
          <w:spacing w:val="-4"/>
          <w:sz w:val="18"/>
          <w:szCs w:val="18"/>
        </w:rPr>
        <w:t>公司正逐步完善和建立公正、透明的董事、监事和经理人员的绩效评价标准和激励约束机制，公司经理人员的聘任公开、</w:t>
      </w:r>
    </w:p>
    <w:p>
      <w:pPr>
        <w:spacing w:line="316" w:lineRule="auto" w:before="32"/>
        <w:ind w:left="152" w:right="1057" w:firstLine="0"/>
        <w:jc w:val="left"/>
        <w:rPr>
          <w:rFonts w:ascii="宋体" w:hAnsi="宋体" w:cs="宋体" w:eastAsia="宋体" w:hint="default"/>
          <w:sz w:val="18"/>
          <w:szCs w:val="18"/>
        </w:rPr>
      </w:pPr>
      <w:r>
        <w:rPr>
          <w:rFonts w:ascii="宋体" w:hAnsi="宋体" w:cs="宋体" w:eastAsia="宋体" w:hint="default"/>
          <w:spacing w:val="-2"/>
          <w:sz w:val="18"/>
          <w:szCs w:val="18"/>
        </w:rPr>
        <w:t>透明，符合法律法规的规定。经营者的收入与企业经营业绩挂钩，报告期内，高级管理人员均认真履行了工作职责，较好地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完成了经营管理任务。</w:t>
      </w:r>
    </w:p>
    <w:p>
      <w:pPr>
        <w:spacing w:line="316" w:lineRule="auto" w:before="19"/>
        <w:ind w:left="513" w:right="1057" w:hanging="361"/>
        <w:jc w:val="left"/>
        <w:rPr>
          <w:rFonts w:ascii="宋体" w:hAnsi="宋体" w:cs="宋体" w:eastAsia="宋体" w:hint="default"/>
          <w:sz w:val="18"/>
          <w:szCs w:val="18"/>
        </w:rPr>
      </w:pPr>
      <w:r>
        <w:rPr>
          <w:rFonts w:ascii="宋体" w:hAnsi="宋体" w:cs="宋体" w:eastAsia="宋体" w:hint="default"/>
          <w:sz w:val="18"/>
          <w:szCs w:val="18"/>
        </w:rPr>
        <w:t>（六）关于相关利益者 </w:t>
      </w:r>
      <w:r>
        <w:rPr>
          <w:rFonts w:ascii="宋体" w:hAnsi="宋体" w:cs="宋体" w:eastAsia="宋体" w:hint="default"/>
          <w:spacing w:val="-2"/>
          <w:sz w:val="18"/>
          <w:szCs w:val="18"/>
        </w:rPr>
        <w:t>公司充分尊重和维护相关利益者的合法权益，积极与相关利益者合作，加强与各方的沟通和交流，实现股东、员工、社</w:t>
      </w:r>
    </w:p>
    <w:p>
      <w:pPr>
        <w:spacing w:before="19"/>
        <w:ind w:left="152" w:right="1057" w:firstLine="0"/>
        <w:jc w:val="left"/>
        <w:rPr>
          <w:rFonts w:ascii="宋体" w:hAnsi="宋体" w:cs="宋体" w:eastAsia="宋体" w:hint="default"/>
          <w:sz w:val="18"/>
          <w:szCs w:val="18"/>
        </w:rPr>
      </w:pPr>
      <w:r>
        <w:rPr>
          <w:rFonts w:ascii="宋体" w:hAnsi="宋体" w:cs="宋体" w:eastAsia="宋体" w:hint="default"/>
          <w:sz w:val="18"/>
          <w:szCs w:val="18"/>
        </w:rPr>
        <w:t>会等各方利益的协调平衡，共同推动公司持续、健康的发展。</w:t>
      </w:r>
    </w:p>
    <w:p>
      <w:pPr>
        <w:spacing w:line="338" w:lineRule="auto" w:before="76"/>
        <w:ind w:left="152" w:right="1057" w:firstLine="0"/>
        <w:jc w:val="left"/>
        <w:rPr>
          <w:rFonts w:ascii="宋体" w:hAnsi="宋体" w:cs="宋体" w:eastAsia="宋体" w:hint="default"/>
          <w:sz w:val="18"/>
          <w:szCs w:val="18"/>
        </w:rPr>
      </w:pPr>
      <w:r>
        <w:rPr>
          <w:rFonts w:ascii="宋体" w:hAnsi="宋体" w:cs="宋体" w:eastAsia="宋体" w:hint="default"/>
          <w:sz w:val="18"/>
          <w:szCs w:val="18"/>
        </w:rPr>
        <w:t>（七）关于信息披露与透明度 </w:t>
      </w:r>
      <w:r>
        <w:rPr>
          <w:rFonts w:ascii="宋体" w:hAnsi="宋体" w:cs="宋体" w:eastAsia="宋体" w:hint="default"/>
          <w:spacing w:val="-2"/>
          <w:sz w:val="18"/>
          <w:szCs w:val="18"/>
        </w:rPr>
        <w:t>公司严格按照有关法律法规以及《公司章程》、《信息披露制度》等的要求，真实、准确、及时、公平、完整地披露有关信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息；公司董事会秘书负责信息披露工作，并指定《证券时报》和中国证监会指定创业板信息披露网站为公司信息披露的指定</w:t>
      </w:r>
    </w:p>
    <w:p>
      <w:pPr>
        <w:spacing w:line="357" w:lineRule="auto" w:before="2"/>
        <w:ind w:left="152" w:right="3554" w:firstLine="0"/>
        <w:jc w:val="left"/>
        <w:rPr>
          <w:rFonts w:ascii="宋体" w:hAnsi="宋体" w:cs="宋体" w:eastAsia="宋体" w:hint="default"/>
          <w:sz w:val="18"/>
          <w:szCs w:val="18"/>
        </w:rPr>
      </w:pPr>
      <w:r>
        <w:rPr>
          <w:rFonts w:ascii="宋体" w:hAnsi="宋体" w:cs="宋体" w:eastAsia="宋体" w:hint="default"/>
          <w:sz w:val="18"/>
          <w:szCs w:val="18"/>
        </w:rPr>
        <w:t>报纸和网站，确保公司所有股东能够以平等的机会获得信息。 公司治理的实际状况与中国证监会发布的有关上市公司治理的规范性文件是否存在重大差异</w:t>
      </w:r>
    </w:p>
    <w:p>
      <w:pPr>
        <w:spacing w:before="29"/>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公司治理的实际状况与中国证监会发布的有关上市公司治理的规范性文件不存在重大差异。</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公司在业务、人员、资产、机构、财务等方面与控股股东相互独立，公司具有独立完整的业务及自主经营能力。</w:t>
      </w:r>
    </w:p>
    <w:p>
      <w:pPr>
        <w:spacing w:line="300" w:lineRule="auto" w:before="76"/>
        <w:ind w:left="513" w:right="1057" w:hanging="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、业务 </w:t>
      </w:r>
      <w:r>
        <w:rPr>
          <w:rFonts w:ascii="宋体" w:hAnsi="宋体" w:cs="宋体" w:eastAsia="宋体" w:hint="default"/>
          <w:spacing w:val="-2"/>
          <w:sz w:val="18"/>
          <w:szCs w:val="18"/>
        </w:rPr>
        <w:t>公司拥有独立开展经营活动的资产、人员、资质和能力，具有面向市场独立自主持续经营的能力。不以依法行使股东权</w:t>
      </w:r>
    </w:p>
    <w:p>
      <w:pPr>
        <w:spacing w:line="316" w:lineRule="auto" w:before="31"/>
        <w:ind w:left="152" w:right="1034" w:firstLine="0"/>
        <w:jc w:val="left"/>
        <w:rPr>
          <w:rFonts w:ascii="宋体" w:hAnsi="宋体" w:cs="宋体" w:eastAsia="宋体" w:hint="default"/>
          <w:sz w:val="18"/>
          <w:szCs w:val="18"/>
        </w:rPr>
      </w:pPr>
      <w:r>
        <w:rPr>
          <w:rFonts w:ascii="宋体" w:hAnsi="宋体" w:cs="宋体" w:eastAsia="宋体" w:hint="default"/>
          <w:spacing w:val="-2"/>
          <w:sz w:val="18"/>
          <w:szCs w:val="18"/>
        </w:rPr>
        <w:t>利以外的任何方式干预上市公司的重大决策事项。公司业务独立于控股股东，拥有独立完整的经营管理部、研发部门、技术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部门、财务核算等部门，独立开展业务，与实际控制人控制的其他单位之间无同业竞争，不依赖于股东或其它任何关联方。</w:t>
      </w:r>
    </w:p>
    <w:p>
      <w:pPr>
        <w:spacing w:line="300" w:lineRule="auto" w:before="19"/>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、人员 </w:t>
      </w:r>
      <w:r>
        <w:rPr>
          <w:rFonts w:ascii="宋体" w:hAnsi="宋体" w:cs="宋体" w:eastAsia="宋体" w:hint="default"/>
          <w:spacing w:val="-2"/>
          <w:sz w:val="18"/>
          <w:szCs w:val="18"/>
        </w:rPr>
        <w:t>公司根据《公司法》、《公司章程》的有关规定选举产生公司董事、监事并聘用高级管理人员，公司在劳动、人事及工</w:t>
      </w:r>
    </w:p>
    <w:p>
      <w:pPr>
        <w:spacing w:line="316" w:lineRule="auto" w:before="32"/>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资管理等方面完全独立于控股股东及关联方。公司总经理、副总经理、董事会秘书、财务负责人等高级管理人员没有在控股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股东控制的其他企业及其关联方中担任除董事、监事以外的其它职务。不存在控股股东及关联方干预上市公司董事会和股东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大会已经作出的人事任免决定的情形。</w:t>
      </w:r>
    </w:p>
    <w:p>
      <w:pPr>
        <w:spacing w:line="300" w:lineRule="auto" w:before="19"/>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 </w:t>
      </w:r>
      <w:r>
        <w:rPr>
          <w:rFonts w:ascii="宋体" w:hAnsi="宋体" w:cs="宋体" w:eastAsia="宋体" w:hint="default"/>
          <w:spacing w:val="-2"/>
          <w:sz w:val="18"/>
          <w:szCs w:val="18"/>
        </w:rPr>
        <w:t>公司现有资产产权明晰，拥有经营所需的技术、专利、商标、设备和房产，拥有独立完整的资产结构。公司对所属资产</w:t>
      </w:r>
    </w:p>
    <w:p>
      <w:pPr>
        <w:spacing w:before="31"/>
        <w:ind w:left="152" w:right="0" w:firstLine="0"/>
        <w:jc w:val="both"/>
        <w:rPr>
          <w:rFonts w:ascii="宋体" w:hAnsi="宋体" w:cs="宋体" w:eastAsia="宋体" w:hint="default"/>
          <w:sz w:val="18"/>
          <w:szCs w:val="18"/>
        </w:rPr>
      </w:pPr>
      <w:r>
        <w:rPr>
          <w:rFonts w:ascii="宋体" w:hAnsi="宋体" w:cs="宋体" w:eastAsia="宋体" w:hint="default"/>
          <w:sz w:val="18"/>
          <w:szCs w:val="18"/>
        </w:rPr>
        <w:t>拥有完整的所有权，不存在股东或其关联方占用公司资金、资产之情形。</w:t>
      </w:r>
    </w:p>
    <w:p>
      <w:pPr>
        <w:spacing w:line="300" w:lineRule="auto" w:before="76"/>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 </w:t>
      </w:r>
      <w:r>
        <w:rPr>
          <w:rFonts w:ascii="宋体" w:hAnsi="宋体" w:cs="宋体" w:eastAsia="宋体" w:hint="default"/>
          <w:spacing w:val="-2"/>
          <w:sz w:val="18"/>
          <w:szCs w:val="18"/>
        </w:rPr>
        <w:t>根据《公司法》、《公司章程》等规定，公司设立了股东大会、董事会、独立董事、监事会等机构，形成了有效的法人</w:t>
      </w:r>
    </w:p>
    <w:p>
      <w:pPr>
        <w:spacing w:line="316" w:lineRule="auto" w:before="31"/>
        <w:ind w:left="152" w:right="1057" w:firstLine="0"/>
        <w:jc w:val="left"/>
        <w:rPr>
          <w:rFonts w:ascii="宋体" w:hAnsi="宋体" w:cs="宋体" w:eastAsia="宋体" w:hint="default"/>
          <w:sz w:val="18"/>
          <w:szCs w:val="18"/>
        </w:rPr>
      </w:pPr>
      <w:r>
        <w:rPr>
          <w:rFonts w:ascii="宋体" w:hAnsi="宋体" w:cs="宋体" w:eastAsia="宋体" w:hint="default"/>
          <w:spacing w:val="-2"/>
          <w:sz w:val="18"/>
          <w:szCs w:val="18"/>
        </w:rPr>
        <w:t>治理结构，并依照法律、法规和公司章程独立行使职权。在内部机构设置上，公司建立了适合自身发展的独立和完整的组织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机构，明确了各职能部门的职责，各部门独立运作，不存在混合经营、相互干预的情况。</w:t>
      </w:r>
    </w:p>
    <w:p>
      <w:pPr>
        <w:spacing w:line="324" w:lineRule="auto" w:before="19"/>
        <w:ind w:left="152" w:right="105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、财务 </w:t>
      </w:r>
      <w:r>
        <w:rPr>
          <w:rFonts w:ascii="宋体" w:hAnsi="宋体" w:cs="宋体" w:eastAsia="宋体" w:hint="default"/>
          <w:spacing w:val="-2"/>
          <w:sz w:val="18"/>
          <w:szCs w:val="18"/>
        </w:rPr>
        <w:t>公司设立了独立的财务会计部门，并配备了专职的财务人员，根据《企业会计制度》建立了规范、独立的财务管理制度和对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分、子公司的财务管理制度。独立进行财务决策。公司独立开设银行账户，未与控股股东及其关联方共用一个银行账户。公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司独立纳税。财务人员不在控股股东控制的其他企业及其关联方处兼职和领取报酬。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
                <w:sz w:val="18"/>
                <w:szCs w:val="18"/>
              </w:rPr>
              <w:t> </w:t>
            </w:r>
            <w:r>
              <w:rPr>
                <w:rFonts w:ascii="宋体" w:hAnsi="宋体" w:cs="宋体" w:eastAsia="宋体" w:hint="default"/>
                <w:sz w:val="18"/>
                <w:szCs w:val="18"/>
              </w:rPr>
              <w:t>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2019-001</w:t>
            </w: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第一次临时股 东大会决议公告</w:t>
            </w:r>
          </w:p>
        </w:tc>
      </w:tr>
      <w:tr>
        <w:trPr>
          <w:trHeight w:val="9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68.05%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
                <w:sz w:val="18"/>
                <w:szCs w:val="18"/>
              </w:rPr>
              <w:t> </w:t>
            </w:r>
            <w:r>
              <w:rPr>
                <w:rFonts w:ascii="宋体" w:hAnsi="宋体" w:cs="宋体" w:eastAsia="宋体" w:hint="default"/>
                <w:sz w:val="18"/>
                <w:szCs w:val="18"/>
              </w:rPr>
              <w:t>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2019-014</w:t>
            </w:r>
          </w:p>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第二次临时股</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东大会决议公告</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68.03%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
                <w:sz w:val="18"/>
                <w:szCs w:val="18"/>
              </w:rPr>
              <w:t> </w:t>
            </w:r>
            <w:r>
              <w:rPr>
                <w:rFonts w:ascii="宋体" w:hAnsi="宋体" w:cs="宋体" w:eastAsia="宋体" w:hint="default"/>
                <w:sz w:val="18"/>
                <w:szCs w:val="18"/>
              </w:rPr>
              <w:t>公告</w:t>
            </w:r>
            <w:r>
              <w:rPr>
                <w:rFonts w:ascii="宋体" w:hAnsi="宋体" w:cs="宋体" w:eastAsia="宋体" w:hint="default"/>
                <w:sz w:val="18"/>
                <w:szCs w:val="18"/>
              </w:rPr>
              <w:t> 编号：</w:t>
            </w:r>
            <w:r>
              <w:rPr>
                <w:rFonts w:ascii="Times New Roman" w:hAnsi="Times New Roman" w:cs="Times New Roman" w:eastAsia="Times New Roman" w:hint="default"/>
                <w:sz w:val="18"/>
                <w:szCs w:val="18"/>
              </w:rPr>
              <w:t>2019-035</w:t>
            </w: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 决议公告</w:t>
            </w:r>
          </w:p>
        </w:tc>
      </w:tr>
    </w:tbl>
    <w:p>
      <w:pPr>
        <w:spacing w:line="240" w:lineRule="auto" w:before="3"/>
        <w:rPr>
          <w:rFonts w:ascii="宋体" w:hAnsi="宋体" w:cs="宋体" w:eastAsia="宋体" w:hint="default"/>
          <w:b/>
          <w:bCs/>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057"/>
        <w:jc w:val="left"/>
        <w:rPr>
          <w:b w:val="0"/>
          <w:bCs w:val="0"/>
        </w:rPr>
      </w:pP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马英华</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万海斌</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52"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line="314" w:lineRule="auto" w:before="43"/>
        <w:ind w:left="152" w:right="1128" w:firstLine="0"/>
        <w:jc w:val="both"/>
        <w:rPr>
          <w:rFonts w:ascii="宋体" w:hAnsi="宋体" w:cs="宋体" w:eastAsia="宋体" w:hint="default"/>
          <w:sz w:val="18"/>
          <w:szCs w:val="18"/>
        </w:rPr>
      </w:pPr>
      <w:r>
        <w:rPr>
          <w:rFonts w:ascii="宋体" w:hAnsi="宋体" w:cs="宋体" w:eastAsia="宋体" w:hint="default"/>
          <w:spacing w:val="-2"/>
          <w:sz w:val="18"/>
          <w:szCs w:val="18"/>
        </w:rPr>
        <w:t>公司独立董事根据《公司法》《证券法》《公司章程》和公司《独立董事工作制度》等法律法规的规定，关注公司运作的规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范性，独立履行职责，对公司的制度完善和日常经营决策等方面提出了许多宝贵的专业性意见，对报告期内公司使用闲置募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集资金进行现金管理、内部控制自我评价报告、</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年度利润分配预案、会计政策变更、募集资金存放与使用情况、调整部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分募集资金投资项目实施方案等需要独立董事发表意见的事项出具了独立、公正的独立董事意见，为完善公司监督机制，维</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护公司和全体股东的合法权益发挥了应有的作用。</w:t>
      </w:r>
    </w:p>
    <w:p>
      <w:pPr>
        <w:spacing w:after="0" w:line="314"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00" w:lineRule="auto" w:before="0"/>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、战略与决策委员会 </w:t>
      </w:r>
      <w:r>
        <w:rPr>
          <w:rFonts w:ascii="宋体" w:hAnsi="宋体" w:cs="宋体" w:eastAsia="宋体" w:hint="default"/>
          <w:spacing w:val="-2"/>
          <w:sz w:val="18"/>
          <w:szCs w:val="18"/>
        </w:rPr>
        <w:t>报告期内，战略与决策委员会严格按照《战略与决策委员会工作细则》开展工作。在报告期内，战略与决策委员会通过</w:t>
      </w:r>
    </w:p>
    <w:p>
      <w:pPr>
        <w:spacing w:line="316" w:lineRule="auto" w:before="31"/>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召开会议，结合国内外经济形势和公司所处行业的特点，对公司经营现状、发展前景、公司目前所处的风险和机遇进行了深</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入地分析，为公司发展战略的实施提出了宝贵的建议，保证了公司发展规划和战略决策的科学性，为公司的持续、稳健发展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提供了战略层面的支持。第三届董事会战略与决策委员会成员为李建国、许文杰、万海斌，其中李建国为召集人。</w:t>
      </w:r>
    </w:p>
    <w:p>
      <w:pPr>
        <w:spacing w:line="300" w:lineRule="auto" w:before="19"/>
        <w:ind w:left="513" w:right="10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、提名委员会 </w:t>
      </w:r>
      <w:r>
        <w:rPr>
          <w:rFonts w:ascii="宋体" w:hAnsi="宋体" w:cs="宋体" w:eastAsia="宋体" w:hint="default"/>
          <w:spacing w:val="-4"/>
          <w:sz w:val="18"/>
          <w:szCs w:val="18"/>
        </w:rPr>
        <w:t>报告期内，提名委员会严格按照《提名委员会工作细则》开展工作，对董事、高级管理人员人选从其职业、学历、职称、</w:t>
      </w:r>
    </w:p>
    <w:p>
      <w:pPr>
        <w:spacing w:line="316" w:lineRule="auto" w:before="31"/>
        <w:ind w:left="152" w:right="1057" w:firstLine="0"/>
        <w:jc w:val="left"/>
        <w:rPr>
          <w:rFonts w:ascii="宋体" w:hAnsi="宋体" w:cs="宋体" w:eastAsia="宋体" w:hint="default"/>
          <w:sz w:val="18"/>
          <w:szCs w:val="18"/>
        </w:rPr>
      </w:pPr>
      <w:r>
        <w:rPr>
          <w:rFonts w:ascii="宋体" w:hAnsi="宋体" w:cs="宋体" w:eastAsia="宋体" w:hint="default"/>
          <w:spacing w:val="-2"/>
          <w:sz w:val="18"/>
          <w:szCs w:val="18"/>
        </w:rPr>
        <w:t>详细的工作经历、全部兼职等情况切实进行了审查。第三届董事会提名委员会成员为许文杰、李胜兰、马英华，其中李胜兰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为召集人。</w:t>
      </w:r>
    </w:p>
    <w:p>
      <w:pPr>
        <w:spacing w:line="300" w:lineRule="auto" w:before="19"/>
        <w:ind w:left="513"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、薪酬与考核委员会 </w:t>
      </w:r>
      <w:r>
        <w:rPr>
          <w:rFonts w:ascii="宋体" w:hAnsi="宋体" w:cs="宋体" w:eastAsia="宋体" w:hint="default"/>
          <w:spacing w:val="-2"/>
          <w:sz w:val="18"/>
          <w:szCs w:val="18"/>
        </w:rPr>
        <w:t>报告期内，薪酬与考核委员会依据《薪酬与考核委员会工作细则》等有关规定，对公司年度报告中董事和高管人员所披</w:t>
      </w:r>
    </w:p>
    <w:p>
      <w:pPr>
        <w:spacing w:line="309" w:lineRule="auto" w:before="31"/>
        <w:ind w:left="152" w:right="1000" w:firstLine="0"/>
        <w:jc w:val="left"/>
        <w:rPr>
          <w:rFonts w:ascii="宋体" w:hAnsi="宋体" w:cs="宋体" w:eastAsia="宋体" w:hint="default"/>
          <w:sz w:val="18"/>
          <w:szCs w:val="18"/>
        </w:rPr>
      </w:pPr>
      <w:r>
        <w:rPr>
          <w:rFonts w:ascii="宋体" w:hAnsi="宋体" w:cs="宋体" w:eastAsia="宋体" w:hint="default"/>
          <w:spacing w:val="-2"/>
          <w:sz w:val="18"/>
          <w:szCs w:val="18"/>
        </w:rPr>
        <w:t>露薪酬事项进行了审核，核查认为</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年度公司董事、监事及高管人员披露的薪酬情况符合公司薪酬管理制度，未有违反公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司薪酬管理制度及与公司薪酬管理制度不一致的情形发生。第三届董事会薪酬与考核委员会成员为李建国、万海斌、李胜兰，</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其中万海斌为召集人。</w:t>
      </w:r>
    </w:p>
    <w:p>
      <w:pPr>
        <w:spacing w:line="324" w:lineRule="auto" w:before="24"/>
        <w:ind w:left="152" w:right="105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 </w:t>
      </w:r>
      <w:r>
        <w:rPr>
          <w:rFonts w:ascii="宋体" w:hAnsi="宋体" w:cs="宋体" w:eastAsia="宋体" w:hint="default"/>
          <w:spacing w:val="-2"/>
          <w:sz w:val="18"/>
          <w:szCs w:val="18"/>
        </w:rPr>
        <w:t>审计委员会根据《上市公司治理准则》和《公司章程》、《审计委员会工作细则》的相关规定，认真审议了公司编制的定期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报告和其他重大事项，促进了公司内部控制的有效运行。公司第三届董事会审计委员会委员为梁姬、马英华、李胜兰，其中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马英华为召集人。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1057"/>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7"/>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4"/>
        <w:rPr>
          <w:rFonts w:ascii="宋体" w:hAnsi="宋体" w:cs="宋体" w:eastAsia="宋体" w:hint="default"/>
          <w:sz w:val="19"/>
          <w:szCs w:val="19"/>
        </w:rPr>
      </w:pPr>
    </w:p>
    <w:p>
      <w:pPr>
        <w:pStyle w:val="Heading3"/>
        <w:spacing w:line="240" w:lineRule="auto"/>
        <w:ind w:right="1057"/>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公司建立了完善的绩效考评体系，公司制订《高级管理人员薪酬及考核管理制度》。公司董事会按年度对公司高级管理</w:t>
      </w:r>
      <w:r>
        <w:rPr>
          <w:rFonts w:ascii="宋体" w:hAnsi="宋体" w:cs="宋体" w:eastAsia="宋体" w:hint="default"/>
          <w:sz w:val="18"/>
          <w:szCs w:val="18"/>
        </w:rPr>
        <w:t> </w:t>
      </w:r>
      <w:r>
        <w:rPr>
          <w:rFonts w:ascii="宋体" w:hAnsi="宋体" w:cs="宋体" w:eastAsia="宋体" w:hint="default"/>
          <w:spacing w:val="-2"/>
          <w:sz w:val="18"/>
          <w:szCs w:val="18"/>
        </w:rPr>
        <w:t>人员的业绩和履职情况进行考评，高级管理人员的工作绩效与其收入直接挂钩。公司不断研究改进高级管理人员的绩效评价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标准、程序和相关激励与约束机制，董事会提名、薪酬与考核委员会按照《提名、薪酬与考核委员会工作细则》、《高级管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理人员薪酬及考核管理制度》，对高级管理人员的工作能力、履职情况、责任目标完成情况进行考评，制定薪酬方案报公司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董事会审批，使公司高级管理人员的考评和激励标准化、程序化、合理化。</w:t>
      </w:r>
    </w:p>
    <w:p>
      <w:pPr>
        <w:spacing w:line="240" w:lineRule="auto" w:before="9"/>
        <w:rPr>
          <w:rFonts w:ascii="宋体" w:hAnsi="宋体" w:cs="宋体" w:eastAsia="宋体" w:hint="default"/>
          <w:sz w:val="20"/>
          <w:szCs w:val="20"/>
        </w:rPr>
      </w:pPr>
    </w:p>
    <w:p>
      <w:pPr>
        <w:pStyle w:val="Heading3"/>
        <w:spacing w:line="240" w:lineRule="auto"/>
        <w:ind w:right="1057"/>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年度内部控制自我评价报告于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日刊登在巨潮资讯网</w:t>
            </w:r>
          </w:p>
          <w:p>
            <w:pPr>
              <w:pStyle w:val="TableParagraph"/>
              <w:spacing w:line="240" w:lineRule="auto" w:before="63"/>
              <w:ind w:left="24"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4" w:space="0" w:color="000000"/>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9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7"/>
              <w:jc w:val="both"/>
              <w:rPr>
                <w:rFonts w:ascii="宋体" w:hAnsi="宋体" w:cs="宋体" w:eastAsia="宋体" w:hint="default"/>
                <w:sz w:val="18"/>
                <w:szCs w:val="18"/>
              </w:rPr>
            </w:pPr>
            <w:r>
              <w:rPr>
                <w:rFonts w:ascii="宋体" w:hAnsi="宋体" w:cs="宋体" w:eastAsia="宋体" w:hint="default"/>
                <w:sz w:val="18"/>
                <w:szCs w:val="18"/>
              </w:rPr>
              <w:t>财务报告重大缺陷的迹象包括：不采取任 何行动导致潜在错报或造成经济损失、经 营目标无法实现的可能性。财务报告重要 缺陷的迹象包括：不采取任何行动导致潜 在错报或造成经济损失、经营目标无法实 现的可能性不大。一般缺陷是指除上述重 大缺陷、重要缺陷之外的其他控制缺陷。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51"/>
              <w:ind w:left="26" w:right="-43"/>
              <w:jc w:val="left"/>
              <w:rPr>
                <w:rFonts w:ascii="宋体" w:hAnsi="宋体" w:cs="宋体" w:eastAsia="宋体" w:hint="default"/>
                <w:sz w:val="18"/>
                <w:szCs w:val="18"/>
              </w:rPr>
            </w:pPr>
            <w:r>
              <w:rPr>
                <w:rFonts w:ascii="宋体" w:hAnsi="宋体" w:cs="宋体" w:eastAsia="宋体" w:hint="default"/>
                <w:spacing w:val="-4"/>
                <w:sz w:val="18"/>
                <w:szCs w:val="18"/>
              </w:rPr>
              <w:t>非财务报告重大缺陷的迹象包括：不采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取任何行动导致潜在错报或造成经济 </w:t>
            </w:r>
            <w:r>
              <w:rPr>
                <w:rFonts w:ascii="宋体" w:hAnsi="宋体" w:cs="宋体" w:eastAsia="宋体" w:hint="default"/>
                <w:spacing w:val="-4"/>
                <w:sz w:val="18"/>
                <w:szCs w:val="18"/>
              </w:rPr>
              <w:t>损失、经营目标无法实现的可能性。财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务报告重要缺陷的迹象包括：不采取任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何行动导致潜在错报或造成经济损失、 </w:t>
            </w:r>
            <w:r>
              <w:rPr>
                <w:rFonts w:ascii="宋体" w:hAnsi="宋体" w:cs="宋体" w:eastAsia="宋体" w:hint="default"/>
                <w:spacing w:val="-4"/>
                <w:sz w:val="18"/>
                <w:szCs w:val="18"/>
              </w:rPr>
              <w:t>经营目标无法实现的可能性不大。一般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缺陷是指除上述重大缺陷、重要缺陷之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外的其他控制缺陷。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09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1409"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7" w:lineRule="auto"/>
              <w:ind w:left="24" w:right="16"/>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指标。①如果该缺陷单独或连同其他缺陷 可能导致的财务报告错报金额小于营业收 入的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，小于总资产的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，则认定 </w:t>
            </w:r>
            <w:r>
              <w:rPr>
                <w:rFonts w:ascii="宋体" w:hAnsi="宋体" w:cs="宋体" w:eastAsia="宋体" w:hint="default"/>
                <w:spacing w:val="-5"/>
                <w:sz w:val="18"/>
                <w:szCs w:val="18"/>
              </w:rPr>
              <w:t>为一般缺陷；②如果超过营业收入的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但小于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，超过总资产的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，则认定为重要缺陷；③如果超过营业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，超过总资产的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 为重大缺陷。</w:t>
            </w:r>
          </w:p>
        </w:tc>
        <w:tc>
          <w:tcPr>
            <w:tcW w:w="3053" w:type="dxa"/>
            <w:vMerge w:val="restart"/>
            <w:tcBorders>
              <w:top w:val="single" w:sz="4" w:space="0" w:color="000000"/>
              <w:left w:val="single" w:sz="4" w:space="0" w:color="000000"/>
              <w:right w:val="single" w:sz="4" w:space="0" w:color="000000"/>
            </w:tcBorders>
          </w:tcPr>
          <w:p>
            <w:pPr>
              <w:pStyle w:val="TableParagraph"/>
              <w:spacing w:line="307" w:lineRule="auto" w:before="51"/>
              <w:ind w:left="26" w:right="19"/>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量指标。①如果该缺陷单独或连同其他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，小于总资产的 </w:t>
            </w:r>
            <w:r>
              <w:rPr>
                <w:rFonts w:ascii="Times New Roman" w:hAnsi="Times New Roman" w:cs="Times New Roman" w:eastAsia="Times New Roman" w:hint="default"/>
                <w:sz w:val="18"/>
                <w:szCs w:val="18"/>
              </w:rPr>
              <w:t>0.25%</w:t>
            </w:r>
            <w:r>
              <w:rPr>
                <w:rFonts w:ascii="宋体" w:hAnsi="宋体" w:cs="宋体" w:eastAsia="宋体" w:hint="default"/>
                <w:sz w:val="18"/>
                <w:szCs w:val="18"/>
              </w:rPr>
              <w:t>，则认定为一般缺陷；②如果超 过营业收入的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1.5%</w:t>
            </w:r>
            <w:r>
              <w:rPr>
                <w:rFonts w:ascii="宋体" w:hAnsi="宋体" w:cs="宋体" w:eastAsia="宋体" w:hint="default"/>
                <w:spacing w:val="-8"/>
                <w:sz w:val="18"/>
                <w:szCs w:val="18"/>
              </w:rPr>
              <w:t>，超过</w:t>
            </w:r>
            <w:r>
              <w:rPr>
                <w:rFonts w:ascii="宋体" w:hAnsi="宋体" w:cs="宋体" w:eastAsia="宋体" w:hint="default"/>
                <w:sz w:val="18"/>
                <w:szCs w:val="18"/>
              </w:rPr>
              <w:t> 总资产的 </w:t>
            </w: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 重要缺陷；③如果超过营业收入的 </w:t>
            </w:r>
            <w:r>
              <w:rPr>
                <w:rFonts w:ascii="Times New Roman" w:hAnsi="Times New Roman" w:cs="Times New Roman" w:eastAsia="Times New Roman" w:hint="default"/>
                <w:sz w:val="18"/>
                <w:szCs w:val="18"/>
              </w:rPr>
              <w:t>1.5%</w:t>
            </w:r>
            <w:r>
              <w:rPr>
                <w:rFonts w:ascii="宋体" w:hAnsi="宋体" w:cs="宋体" w:eastAsia="宋体" w:hint="default"/>
                <w:sz w:val="18"/>
                <w:szCs w:val="18"/>
              </w:rPr>
              <w:t>，超过总资产的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 大缺陷。</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40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3"/>
        <w:spacing w:line="240" w:lineRule="auto" w:before="26"/>
        <w:ind w:right="1057"/>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057"/>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057"/>
        <w:jc w:val="left"/>
        <w:rPr>
          <w:b w:val="0"/>
          <w:bCs w:val="0"/>
        </w:rPr>
      </w:pPr>
      <w:bookmarkStart w:name="_bookmark11" w:id="12"/>
      <w:bookmarkEnd w:id="12"/>
      <w:r>
        <w:rPr>
          <w:b w:val="0"/>
          <w:bCs w:val="0"/>
        </w:rPr>
      </w:r>
      <w:r>
        <w:rPr/>
        <w:t>第十二节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057"/>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容诚审字</w:t>
            </w:r>
            <w:r>
              <w:rPr>
                <w:rFonts w:ascii="Times New Roman" w:hAnsi="Times New Roman" w:cs="Times New Roman" w:eastAsia="Times New Roman" w:hint="default"/>
                <w:sz w:val="18"/>
                <w:szCs w:val="18"/>
              </w:rPr>
              <w:t>[2020]100Z0300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纪玉红、崔勇趁、时静</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3"/>
        <w:rPr>
          <w:rFonts w:ascii="宋体" w:hAnsi="宋体" w:cs="宋体" w:eastAsia="宋体" w:hint="default"/>
          <w:b/>
          <w:bCs/>
          <w:sz w:val="26"/>
          <w:szCs w:val="26"/>
        </w:rPr>
      </w:pPr>
    </w:p>
    <w:p>
      <w:pPr>
        <w:spacing w:line="357" w:lineRule="auto" w:before="0"/>
        <w:ind w:left="635" w:right="-20" w:hanging="483"/>
        <w:jc w:val="left"/>
        <w:rPr>
          <w:rFonts w:ascii="宋体" w:hAnsi="宋体" w:cs="宋体" w:eastAsia="宋体" w:hint="default"/>
          <w:sz w:val="24"/>
          <w:szCs w:val="24"/>
        </w:rPr>
      </w:pPr>
      <w:r>
        <w:rPr>
          <w:rFonts w:ascii="宋体" w:hAnsi="宋体" w:cs="宋体" w:eastAsia="宋体" w:hint="default"/>
          <w:sz w:val="24"/>
          <w:szCs w:val="24"/>
        </w:rPr>
        <w:t>润建股份有限公司全体股东： </w:t>
      </w:r>
      <w:r>
        <w:rPr>
          <w:rFonts w:ascii="宋体" w:hAnsi="宋体" w:cs="宋体" w:eastAsia="宋体" w:hint="default"/>
          <w:b/>
          <w:bCs/>
          <w:sz w:val="24"/>
          <w:szCs w:val="24"/>
        </w:rPr>
        <w:t>一、审计意见</w:t>
      </w:r>
      <w:r>
        <w:rPr>
          <w:rFonts w:ascii="宋体" w:hAnsi="宋体" w:cs="宋体" w:eastAsia="宋体" w:hint="default"/>
          <w:sz w:val="24"/>
          <w:szCs w:val="24"/>
        </w:rPr>
      </w:r>
    </w:p>
    <w:p>
      <w:pPr>
        <w:spacing w:before="51"/>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73" w:space="1007"/>
            <w:col w:w="6650"/>
          </w:cols>
        </w:sectPr>
      </w:pPr>
    </w:p>
    <w:p>
      <w:pPr>
        <w:pStyle w:val="BodyText"/>
        <w:spacing w:line="312" w:lineRule="exact" w:before="67"/>
        <w:ind w:right="1000" w:firstLine="480"/>
        <w:jc w:val="left"/>
      </w:pPr>
      <w:r>
        <w:rPr/>
        <w:t>我们审计了润建股份有限公司（以下简称润建股份公司）财务报表，包括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spacing w:val="-2"/>
        </w:rPr>
        <w:t>日的合并及母公司资产负债表，</w:t>
      </w:r>
      <w:r>
        <w:rPr>
          <w:rFonts w:ascii="Times New Roman" w:hAnsi="Times New Roman" w:cs="Times New Roman" w:eastAsia="Times New Roman" w:hint="default"/>
          <w:spacing w:val="-2"/>
        </w:rPr>
        <w:t>2019</w:t>
      </w:r>
      <w:r>
        <w:rPr>
          <w:spacing w:val="-2"/>
        </w:rPr>
        <w:t>年度的合并及母公司利润表、合并及母公司现金流量表、</w:t>
      </w:r>
      <w:r>
        <w:rPr>
          <w:spacing w:val="-115"/>
        </w:rPr>
        <w:t> </w:t>
      </w:r>
      <w:r>
        <w:rPr>
          <w:spacing w:val="-115"/>
        </w:rPr>
      </w:r>
      <w:r>
        <w:rPr/>
        <w:t>合并及母公司所有者权益变动表以及相关财务报表附注。</w:t>
      </w:r>
    </w:p>
    <w:p>
      <w:pPr>
        <w:pStyle w:val="BodyText"/>
        <w:spacing w:line="312" w:lineRule="exact" w:before="156"/>
        <w:ind w:right="1135" w:firstLine="480"/>
        <w:jc w:val="both"/>
      </w:pPr>
      <w:r>
        <w:rPr/>
        <w:t>我们认为，后附的财务报表在所有重大方面按照企业会计准则的规定编制，公允反映了 润建股份公司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w:t>
      </w:r>
      <w:r>
        <w:rPr>
          <w:spacing w:val="-90"/>
        </w:rPr>
        <w:t> </w:t>
      </w:r>
      <w:r>
        <w:rPr>
          <w:spacing w:val="-90"/>
        </w:rPr>
      </w:r>
      <w:r>
        <w:rPr/>
        <w:t>果和现金流量。</w:t>
      </w:r>
    </w:p>
    <w:p>
      <w:pPr>
        <w:spacing w:line="468" w:lineRule="exact" w:before="31"/>
        <w:ind w:left="633" w:right="1124"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BodyText"/>
        <w:spacing w:line="260" w:lineRule="exact"/>
        <w:ind w:right="1000"/>
        <w:jc w:val="left"/>
      </w:pPr>
      <w:r>
        <w:rPr/>
        <w:t>务报表审计的责任</w:t>
      </w:r>
      <w:r>
        <w:rPr>
          <w:rFonts w:ascii="Times New Roman" w:hAnsi="Times New Roman" w:cs="Times New Roman" w:eastAsia="Times New Roman" w:hint="default"/>
        </w:rPr>
        <w:t>”</w:t>
      </w:r>
      <w:r>
        <w:rPr/>
        <w:t>部分进一步阐述了我们在这些准则下的责任。按照中国注册会计师职业道</w:t>
      </w:r>
    </w:p>
    <w:p>
      <w:pPr>
        <w:pStyle w:val="BodyText"/>
        <w:spacing w:line="312" w:lineRule="exact" w:before="20"/>
        <w:ind w:right="1057"/>
        <w:jc w:val="left"/>
      </w:pPr>
      <w:r>
        <w:rPr/>
        <w:t>德守则，我们独立于润建股份公司，并履行了职业道德方面的其他责任。我们相信，我们获</w:t>
      </w:r>
      <w:r>
        <w:rPr>
          <w:spacing w:val="-91"/>
        </w:rPr>
        <w:t> </w:t>
      </w:r>
      <w:r>
        <w:rPr>
          <w:spacing w:val="-91"/>
        </w:rPr>
      </w:r>
      <w:r>
        <w:rPr/>
        <w:t>取的审计证据是充分、适当的，为发表审计意见提供了基础。</w:t>
      </w:r>
    </w:p>
    <w:p>
      <w:pPr>
        <w:pStyle w:val="BodyText"/>
        <w:spacing w:line="468" w:lineRule="exact" w:before="31"/>
        <w:ind w:left="633" w:right="1057"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252" w:lineRule="exact"/>
        <w:ind w:right="1057"/>
        <w:jc w:val="left"/>
      </w:pPr>
      <w:r>
        <w:rPr/>
        <w:t>项的应对以对财务报表整体进行审计并形成审计意见为背景，我们不对这些事项单独发表意</w:t>
      </w:r>
    </w:p>
    <w:p>
      <w:pPr>
        <w:pStyle w:val="BodyText"/>
        <w:spacing w:line="313" w:lineRule="exact"/>
        <w:ind w:right="1057"/>
        <w:jc w:val="left"/>
      </w:pPr>
      <w:r>
        <w:rPr/>
        <w:t>见。</w:t>
      </w:r>
    </w:p>
    <w:p>
      <w:pPr>
        <w:spacing w:line="240" w:lineRule="auto" w:before="10"/>
        <w:rPr>
          <w:rFonts w:ascii="宋体" w:hAnsi="宋体" w:cs="宋体" w:eastAsia="宋体" w:hint="default"/>
          <w:sz w:val="9"/>
          <w:szCs w:val="9"/>
        </w:rPr>
      </w:pPr>
    </w:p>
    <w:p>
      <w:pPr>
        <w:pStyle w:val="BodyText"/>
        <w:spacing w:line="240" w:lineRule="auto" w:before="26"/>
        <w:ind w:left="633" w:right="1057"/>
        <w:jc w:val="left"/>
      </w:pPr>
      <w:r>
        <w:rPr/>
        <w:t>我们确定下列事项是需要在审计报告中沟通的关键审计事项。</w:t>
      </w:r>
    </w:p>
    <w:p>
      <w:pPr>
        <w:pStyle w:val="BodyText"/>
        <w:spacing w:line="240" w:lineRule="auto" w:before="154"/>
        <w:ind w:left="633" w:right="1057"/>
        <w:jc w:val="left"/>
      </w:pPr>
      <w:r>
        <w:rPr/>
        <w:t>（一）</w:t>
      </w:r>
      <w:r>
        <w:rPr>
          <w:spacing w:val="-61"/>
        </w:rPr>
        <w:t> </w:t>
      </w:r>
      <w:r>
        <w:rPr/>
        <w:t>完工百分比法确认通信网络建设服务收入</w:t>
      </w:r>
    </w:p>
    <w:p>
      <w:pPr>
        <w:pStyle w:val="BodyText"/>
        <w:spacing w:line="460" w:lineRule="atLeast" w:before="26"/>
        <w:ind w:left="633" w:right="1057"/>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参见财务报表附注三、</w:t>
      </w:r>
      <w:r>
        <w:rPr>
          <w:rFonts w:ascii="Times New Roman" w:hAnsi="Times New Roman" w:cs="Times New Roman" w:eastAsia="Times New Roman" w:hint="default"/>
        </w:rPr>
        <w:t>25</w:t>
      </w:r>
      <w:r>
        <w:rPr/>
        <w:t>收入确认原则和计量方法和附注五、</w:t>
      </w:r>
      <w:r>
        <w:rPr>
          <w:rFonts w:ascii="Times New Roman" w:hAnsi="Times New Roman" w:cs="Times New Roman" w:eastAsia="Times New Roman" w:hint="default"/>
        </w:rPr>
        <w:t>31</w:t>
      </w:r>
      <w:r>
        <w:rPr/>
        <w:t>营业收入及营业成本。 </w:t>
      </w:r>
      <w:r>
        <w:rPr>
          <w:rFonts w:ascii="Times New Roman" w:hAnsi="Times New Roman" w:cs="Times New Roman" w:eastAsia="Times New Roman" w:hint="default"/>
          <w:spacing w:val="3"/>
        </w:rPr>
        <w:t>2019</w:t>
      </w:r>
      <w:r>
        <w:rPr>
          <w:spacing w:val="3"/>
        </w:rPr>
        <w:t>年度，润建股份公司采用完工百分比法确认的通信网络建设服务收入为</w:t>
      </w:r>
      <w:r>
        <w:rPr>
          <w:rFonts w:ascii="Times New Roman" w:hAnsi="Times New Roman" w:cs="Times New Roman" w:eastAsia="Times New Roman" w:hint="default"/>
          <w:spacing w:val="3"/>
        </w:rPr>
        <w:t>200,889.45</w:t>
      </w:r>
    </w:p>
    <w:p>
      <w:pPr>
        <w:pStyle w:val="BodyText"/>
        <w:spacing w:line="312" w:lineRule="exact"/>
        <w:ind w:right="1057"/>
        <w:jc w:val="left"/>
      </w:pPr>
      <w:r>
        <w:rPr/>
        <w:t>万元，占当期营业收入的比重为</w:t>
      </w:r>
      <w:r>
        <w:rPr>
          <w:rFonts w:ascii="Times New Roman" w:hAnsi="Times New Roman" w:cs="Times New Roman" w:eastAsia="Times New Roman" w:hint="default"/>
        </w:rPr>
        <w:t>54.05%</w:t>
      </w:r>
      <w:r>
        <w:rPr/>
        <w:t>。</w:t>
      </w:r>
    </w:p>
    <w:p>
      <w:pPr>
        <w:pStyle w:val="BodyText"/>
        <w:spacing w:line="240" w:lineRule="auto" w:before="136"/>
        <w:ind w:left="633" w:right="1057"/>
        <w:jc w:val="left"/>
      </w:pPr>
      <w:r>
        <w:rPr/>
        <w:t>由于润建股份公司通信网络建设服务收入金额重大，且通信网络建设服务收入的确认及</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057"/>
        <w:jc w:val="left"/>
      </w:pPr>
      <w:r>
        <w:rPr/>
        <w:t>与之相关的完工百分比涉及管理层的重大会计估计，因此我们将完工百分比法确认通信网络</w:t>
      </w:r>
      <w:r>
        <w:rPr>
          <w:spacing w:val="-89"/>
        </w:rPr>
        <w:t> </w:t>
      </w:r>
      <w:r>
        <w:rPr>
          <w:spacing w:val="-89"/>
        </w:rPr>
      </w:r>
      <w:r>
        <w:rPr/>
        <w:t>建设服务收入作为关键审计事项。</w:t>
      </w:r>
    </w:p>
    <w:p>
      <w:pPr>
        <w:pStyle w:val="BodyText"/>
        <w:spacing w:line="338" w:lineRule="auto" w:before="125"/>
        <w:ind w:left="633" w:right="4273"/>
        <w:jc w:val="left"/>
      </w:pPr>
      <w:r>
        <w:rPr>
          <w:rFonts w:ascii="Times New Roman" w:hAnsi="Times New Roman" w:cs="Times New Roman" w:eastAsia="Times New Roman" w:hint="default"/>
        </w:rPr>
        <w:t>2.</w:t>
      </w:r>
      <w:r>
        <w:rPr/>
        <w:t>审计应对 我们对通信网络建设服务收入确认实施的相关程序包括：</w:t>
      </w:r>
    </w:p>
    <w:p>
      <w:pPr>
        <w:pStyle w:val="BodyText"/>
        <w:spacing w:line="240" w:lineRule="auto" w:before="55"/>
        <w:ind w:left="633" w:right="1057"/>
        <w:jc w:val="left"/>
      </w:pPr>
      <w:r>
        <w:rPr/>
        <w:t>（</w:t>
      </w:r>
      <w:r>
        <w:rPr>
          <w:rFonts w:ascii="Times New Roman" w:hAnsi="Times New Roman" w:cs="Times New Roman" w:eastAsia="Times New Roman" w:hint="default"/>
        </w:rPr>
        <w:t>1</w:t>
      </w:r>
      <w:r>
        <w:rPr/>
        <w:t>）测试与通信网络建设服务预算编制和收入确认相关的内部控制。</w:t>
      </w:r>
    </w:p>
    <w:p>
      <w:pPr>
        <w:pStyle w:val="BodyText"/>
        <w:spacing w:line="312" w:lineRule="exact" w:before="166"/>
        <w:ind w:right="1000" w:firstLine="480"/>
        <w:jc w:val="left"/>
      </w:pPr>
      <w:r>
        <w:rPr>
          <w:spacing w:val="-6"/>
        </w:rPr>
        <w:t>（</w:t>
      </w:r>
      <w:r>
        <w:rPr>
          <w:rFonts w:ascii="Times New Roman" w:hAnsi="Times New Roman" w:cs="Times New Roman" w:eastAsia="Times New Roman" w:hint="default"/>
          <w:spacing w:val="-6"/>
        </w:rPr>
        <w:t>2</w:t>
      </w:r>
      <w:r>
        <w:rPr>
          <w:spacing w:val="-6"/>
        </w:rPr>
        <w:t>）获取通信网络建设服务台账，重新计算通信网络建设服务合同完工百分比的准确性，</w:t>
      </w:r>
      <w:r>
        <w:rPr/>
        <w:t> 并抽样检查重大通信网络建设服务合同外部确认的工作量确认单，复核关键合同条款。</w:t>
      </w:r>
    </w:p>
    <w:p>
      <w:pPr>
        <w:pStyle w:val="BodyText"/>
        <w:spacing w:line="312" w:lineRule="exact" w:before="156"/>
        <w:ind w:right="1128" w:firstLine="480"/>
        <w:jc w:val="both"/>
      </w:pPr>
      <w:r>
        <w:rPr>
          <w:spacing w:val="-3"/>
        </w:rPr>
        <w:t>（</w:t>
      </w:r>
      <w:r>
        <w:rPr>
          <w:rFonts w:ascii="Times New Roman" w:hAnsi="Times New Roman" w:cs="Times New Roman" w:eastAsia="Times New Roman" w:hint="default"/>
          <w:spacing w:val="-3"/>
        </w:rPr>
        <w:t>3</w:t>
      </w:r>
      <w:r>
        <w:rPr>
          <w:spacing w:val="-3"/>
        </w:rPr>
        <w:t>）选取通信网络建设服务合同样本，检查预计总收入、预计总成本所依据的合同和成</w:t>
      </w:r>
      <w:r>
        <w:rPr/>
        <w:t> 本预算资料，评价公司管理层对预计总收入和预计总成本的估计是否充分。</w:t>
      </w:r>
    </w:p>
    <w:p>
      <w:pPr>
        <w:pStyle w:val="BodyText"/>
        <w:spacing w:line="312" w:lineRule="exact" w:before="156"/>
        <w:ind w:right="1132" w:firstLine="480"/>
        <w:jc w:val="both"/>
      </w:pPr>
      <w:r>
        <w:rPr>
          <w:spacing w:val="-3"/>
        </w:rPr>
        <w:t>（</w:t>
      </w:r>
      <w:r>
        <w:rPr>
          <w:rFonts w:ascii="Times New Roman" w:hAnsi="Times New Roman" w:cs="Times New Roman" w:eastAsia="Times New Roman" w:hint="default"/>
          <w:spacing w:val="-3"/>
        </w:rPr>
        <w:t>4</w:t>
      </w:r>
      <w:r>
        <w:rPr>
          <w:spacing w:val="-3"/>
        </w:rPr>
        <w:t>）选取样本对本年度发生的项目成本进行测试，包括获取通信网络建设服务项目采购</w:t>
      </w:r>
      <w:r>
        <w:rPr/>
        <w:t> 支出台账，检查采购合同、采购发票、工程结算记录，测试实际发生总成本的真实性及准确</w:t>
      </w:r>
      <w:r>
        <w:rPr>
          <w:spacing w:val="-90"/>
        </w:rPr>
        <w:t> </w:t>
      </w:r>
      <w:r>
        <w:rPr>
          <w:spacing w:val="-90"/>
        </w:rPr>
      </w:r>
      <w:r>
        <w:rPr/>
        <w:t>性，并与预算总成本对比，确定项目成本是否完整。</w:t>
      </w:r>
    </w:p>
    <w:p>
      <w:pPr>
        <w:pStyle w:val="BodyText"/>
        <w:spacing w:line="240" w:lineRule="auto" w:before="125"/>
        <w:ind w:left="633" w:right="1000"/>
        <w:jc w:val="left"/>
      </w:pPr>
      <w:r>
        <w:rPr>
          <w:spacing w:val="-6"/>
        </w:rPr>
        <w:t>（</w:t>
      </w:r>
      <w:r>
        <w:rPr>
          <w:rFonts w:ascii="Times New Roman" w:hAnsi="Times New Roman" w:cs="Times New Roman" w:eastAsia="Times New Roman" w:hint="default"/>
          <w:spacing w:val="-6"/>
        </w:rPr>
        <w:t>5</w:t>
      </w:r>
      <w:r>
        <w:rPr>
          <w:spacing w:val="-6"/>
        </w:rPr>
        <w:t>）执行截止性测试程序，检查相关项目收入、项目成本是否被记录在恰当的会计期间。</w:t>
      </w:r>
    </w:p>
    <w:p>
      <w:pPr>
        <w:pStyle w:val="BodyText"/>
        <w:spacing w:line="312" w:lineRule="exact" w:before="166"/>
        <w:ind w:right="1130" w:firstLine="480"/>
        <w:jc w:val="both"/>
      </w:pPr>
      <w:r>
        <w:rPr>
          <w:spacing w:val="-3"/>
        </w:rPr>
        <w:t>（</w:t>
      </w:r>
      <w:r>
        <w:rPr>
          <w:rFonts w:ascii="Times New Roman" w:hAnsi="Times New Roman" w:cs="Times New Roman" w:eastAsia="Times New Roman" w:hint="default"/>
          <w:spacing w:val="-3"/>
        </w:rPr>
        <w:t>6</w:t>
      </w:r>
      <w:r>
        <w:rPr>
          <w:spacing w:val="-3"/>
        </w:rPr>
        <w:t>）选取通信网络建设服务项目样本，对工程形象进度进行现场查看，与工程管理部门</w:t>
      </w:r>
      <w:r>
        <w:rPr/>
        <w:t> 讨论确认工程的完工程度，并与外部验收确认的进度及账面记录进行比较，对异常偏差执行</w:t>
      </w:r>
      <w:r>
        <w:rPr>
          <w:spacing w:val="-87"/>
        </w:rPr>
        <w:t> </w:t>
      </w:r>
      <w:r>
        <w:rPr>
          <w:spacing w:val="-87"/>
        </w:rPr>
      </w:r>
      <w:r>
        <w:rPr/>
        <w:t>进一步的检查程序。</w:t>
      </w:r>
    </w:p>
    <w:p>
      <w:pPr>
        <w:pStyle w:val="BodyText"/>
        <w:spacing w:line="240" w:lineRule="auto" w:before="125"/>
        <w:ind w:left="633" w:right="1057"/>
        <w:jc w:val="left"/>
      </w:pPr>
      <w:r>
        <w:rPr>
          <w:spacing w:val="-3"/>
        </w:rPr>
        <w:t>（</w:t>
      </w:r>
      <w:r>
        <w:rPr>
          <w:rFonts w:ascii="Times New Roman" w:hAnsi="Times New Roman" w:cs="Times New Roman" w:eastAsia="Times New Roman" w:hint="default"/>
          <w:spacing w:val="-3"/>
        </w:rPr>
        <w:t>7</w:t>
      </w:r>
      <w:r>
        <w:rPr>
          <w:spacing w:val="-3"/>
        </w:rPr>
        <w:t>）对本期主要执行项目的合同信息、工作量确认单信息、项目进度列式清单向客户函</w:t>
      </w:r>
    </w:p>
    <w:p>
      <w:pPr>
        <w:pStyle w:val="BodyText"/>
        <w:spacing w:line="294" w:lineRule="exact"/>
        <w:ind w:right="1057"/>
        <w:jc w:val="left"/>
      </w:pPr>
      <w:r>
        <w:rPr/>
        <w:t>证。</w:t>
      </w:r>
    </w:p>
    <w:p>
      <w:pPr>
        <w:pStyle w:val="BodyText"/>
        <w:spacing w:line="240" w:lineRule="auto" w:before="154"/>
        <w:ind w:left="633" w:right="1057"/>
        <w:jc w:val="left"/>
      </w:pPr>
      <w:r>
        <w:rPr/>
        <w:t>基于上述工作结果，我们认为相关证据能够支持润建股份公司管理层对于通信网络建设</w:t>
      </w:r>
    </w:p>
    <w:p>
      <w:pPr>
        <w:pStyle w:val="BodyText"/>
        <w:spacing w:line="312" w:lineRule="exact"/>
        <w:ind w:right="1057"/>
        <w:jc w:val="left"/>
      </w:pPr>
      <w:r>
        <w:rPr/>
        <w:t>服务收入确认做出的会计估计。</w:t>
      </w:r>
    </w:p>
    <w:p>
      <w:pPr>
        <w:pStyle w:val="BodyText"/>
        <w:spacing w:line="240" w:lineRule="auto" w:before="154"/>
        <w:ind w:left="633" w:right="1057"/>
        <w:jc w:val="left"/>
      </w:pPr>
      <w:r>
        <w:rPr/>
        <w:t>（二）</w:t>
      </w:r>
      <w:r>
        <w:rPr>
          <w:spacing w:val="-61"/>
        </w:rPr>
        <w:t> </w:t>
      </w:r>
      <w:r>
        <w:rPr/>
        <w:t>应收款项的坏账准备</w:t>
      </w:r>
    </w:p>
    <w:p>
      <w:pPr>
        <w:pStyle w:val="BodyText"/>
        <w:spacing w:line="240" w:lineRule="auto" w:before="154"/>
        <w:ind w:left="633" w:right="1057"/>
        <w:jc w:val="left"/>
      </w:pPr>
      <w:r>
        <w:rPr>
          <w:rFonts w:ascii="Times New Roman" w:hAnsi="Times New Roman" w:cs="Times New Roman" w:eastAsia="Times New Roman" w:hint="default"/>
        </w:rPr>
        <w:t>1.</w:t>
      </w:r>
      <w:r>
        <w:rPr/>
        <w:t>事项描述</w:t>
      </w:r>
    </w:p>
    <w:p>
      <w:pPr>
        <w:pStyle w:val="BodyText"/>
        <w:spacing w:line="312" w:lineRule="exact" w:before="166"/>
        <w:ind w:right="1129" w:firstLine="480"/>
        <w:jc w:val="both"/>
      </w:pPr>
      <w:r>
        <w:rPr/>
        <w:t>参见财务报表附注三、</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金融工具，附注三、</w:t>
      </w:r>
      <w:r>
        <w:rPr>
          <w:rFonts w:ascii="Times New Roman" w:hAnsi="Times New Roman" w:cs="Times New Roman" w:eastAsia="Times New Roman" w:hint="default"/>
        </w:rPr>
        <w:t>12</w:t>
      </w:r>
      <w:r>
        <w:rPr/>
        <w:t>应收款项，以及附注五、</w:t>
      </w:r>
      <w:r>
        <w:rPr>
          <w:rFonts w:ascii="Times New Roman" w:hAnsi="Times New Roman" w:cs="Times New Roman" w:eastAsia="Times New Roman" w:hint="default"/>
        </w:rPr>
        <w:t>3</w:t>
      </w:r>
      <w:r>
        <w:rPr/>
        <w:t>应收票据， 五、</w:t>
      </w:r>
      <w:r>
        <w:rPr>
          <w:rFonts w:ascii="Times New Roman" w:hAnsi="Times New Roman" w:cs="Times New Roman" w:eastAsia="Times New Roman" w:hint="default"/>
        </w:rPr>
        <w:t>4</w:t>
      </w:r>
      <w:r>
        <w:rPr/>
        <w:t>应收账款和附注五、</w:t>
      </w:r>
      <w:r>
        <w:rPr>
          <w:rFonts w:ascii="Times New Roman" w:hAnsi="Times New Roman" w:cs="Times New Roman" w:eastAsia="Times New Roman" w:hint="default"/>
        </w:rPr>
        <w:t>7</w:t>
      </w:r>
      <w:r>
        <w:rPr/>
        <w:t>其他应收款（以下合称</w:t>
      </w:r>
      <w:r>
        <w:rPr>
          <w:rFonts w:ascii="Times New Roman" w:hAnsi="Times New Roman" w:cs="Times New Roman" w:eastAsia="Times New Roman" w:hint="default"/>
        </w:rPr>
        <w:t>“</w:t>
      </w:r>
      <w:r>
        <w:rPr/>
        <w:t>应收款项</w:t>
      </w:r>
      <w:r>
        <w:rPr>
          <w:rFonts w:ascii="Times New Roman" w:hAnsi="Times New Roman" w:cs="Times New Roman" w:eastAsia="Times New Roman" w:hint="default"/>
        </w:rPr>
        <w:t>”</w:t>
      </w:r>
      <w:r>
        <w:rPr/>
        <w:t>）。</w:t>
      </w:r>
    </w:p>
    <w:p>
      <w:pPr>
        <w:pStyle w:val="BodyText"/>
        <w:spacing w:line="322" w:lineRule="exact" w:before="125"/>
        <w:ind w:left="633" w:right="100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日，润建股份公司的应收款项原值为</w:t>
      </w:r>
      <w:r>
        <w:rPr>
          <w:rFonts w:ascii="Times New Roman" w:hAnsi="Times New Roman" w:cs="Times New Roman" w:eastAsia="Times New Roman" w:hint="default"/>
        </w:rPr>
        <w:t>213,029.04</w:t>
      </w:r>
      <w:r>
        <w:rPr/>
        <w:t>万元，已计提坏账准备</w:t>
      </w:r>
    </w:p>
    <w:p>
      <w:pPr>
        <w:pStyle w:val="BodyText"/>
        <w:spacing w:line="322" w:lineRule="exact"/>
        <w:ind w:right="1057"/>
        <w:jc w:val="left"/>
      </w:pPr>
      <w:r>
        <w:rPr>
          <w:rFonts w:ascii="Times New Roman" w:hAnsi="Times New Roman" w:cs="Times New Roman" w:eastAsia="Times New Roman" w:hint="default"/>
        </w:rPr>
        <w:t>18,812.27</w:t>
      </w:r>
      <w:r>
        <w:rPr/>
        <w:t>万元，账面价值为</w:t>
      </w:r>
      <w:r>
        <w:rPr>
          <w:rFonts w:ascii="Times New Roman" w:hAnsi="Times New Roman" w:cs="Times New Roman" w:eastAsia="Times New Roman" w:hint="default"/>
        </w:rPr>
        <w:t>194,216.77</w:t>
      </w:r>
      <w:r>
        <w:rPr/>
        <w:t>万元，占期末资产总额的</w:t>
      </w:r>
      <w:r>
        <w:rPr>
          <w:rFonts w:ascii="Times New Roman" w:hAnsi="Times New Roman" w:cs="Times New Roman" w:eastAsia="Times New Roman" w:hint="default"/>
        </w:rPr>
        <w:t>39.34%</w:t>
      </w:r>
      <w:r>
        <w:rPr/>
        <w:t>。</w:t>
      </w:r>
    </w:p>
    <w:p>
      <w:pPr>
        <w:pStyle w:val="BodyText"/>
        <w:spacing w:line="312" w:lineRule="exact" w:before="166"/>
        <w:ind w:right="1133" w:firstLine="494"/>
        <w:jc w:val="both"/>
      </w:pPr>
      <w:r>
        <w:rPr/>
        <w:t>对于应收账款，无论是否存在重大融资成分，润建股份公司始终按照相当于整个存续期 内预期信用损失的金额计量其损失准备。当单项金融资产无法以合理成本评估预期信用损失</w:t>
      </w:r>
      <w:r>
        <w:rPr>
          <w:spacing w:val="-90"/>
        </w:rPr>
        <w:t> </w:t>
      </w:r>
      <w:r>
        <w:rPr>
          <w:spacing w:val="-90"/>
        </w:rPr>
      </w:r>
      <w:r>
        <w:rPr/>
        <w:t>的信息时，润建股份公司依据信用风险特征对应收账款划分组合，在组合基础上计算预期信</w:t>
      </w:r>
      <w:r>
        <w:rPr>
          <w:spacing w:val="-89"/>
        </w:rPr>
        <w:t> </w:t>
      </w:r>
      <w:r>
        <w:rPr>
          <w:spacing w:val="-89"/>
        </w:rPr>
      </w:r>
      <w:r>
        <w:rPr/>
        <w:t>用损失。对于划分为组合的应收账款，润建股份公司参考历史信用损失经验，结合当前状况</w:t>
      </w:r>
      <w:r>
        <w:rPr>
          <w:spacing w:val="-91"/>
        </w:rPr>
        <w:t> </w:t>
      </w:r>
      <w:r>
        <w:rPr>
          <w:spacing w:val="-91"/>
        </w:rPr>
      </w:r>
      <w:r>
        <w:rPr/>
        <w:t>以及对未来经济状况的预测，通过违约风险敞口和整个存续期预期信用损失率，计算预期信</w:t>
      </w:r>
      <w:r>
        <w:rPr>
          <w:spacing w:val="-86"/>
        </w:rPr>
        <w:t> </w:t>
      </w:r>
      <w:r>
        <w:rPr>
          <w:spacing w:val="-86"/>
        </w:rPr>
      </w:r>
      <w:r>
        <w:rPr/>
        <w:t>用损失。</w:t>
      </w:r>
    </w:p>
    <w:p>
      <w:pPr>
        <w:pStyle w:val="BodyText"/>
        <w:spacing w:line="312" w:lineRule="exact" w:before="156"/>
        <w:ind w:right="1131" w:firstLine="494"/>
        <w:jc w:val="both"/>
      </w:pPr>
      <w:r>
        <w:rPr/>
        <w:t>由于应收款项可收回金额方面涉及管理层运用重大会计估计和判断，并且管理层的估计 和判断具有不确定性，基于应收款项坏账准备的计提对于财务报表具有重要性，我们将应收</w:t>
      </w:r>
      <w:r>
        <w:rPr>
          <w:spacing w:val="-90"/>
        </w:rPr>
        <w:t> </w:t>
      </w:r>
      <w:r>
        <w:rPr>
          <w:spacing w:val="-90"/>
        </w:rPr>
      </w:r>
      <w:r>
        <w:rPr/>
        <w:t>款项的减值确定为关键审计事项。</w:t>
      </w:r>
    </w:p>
    <w:p>
      <w:pPr>
        <w:pStyle w:val="BodyText"/>
        <w:spacing w:line="302" w:lineRule="exact"/>
        <w:ind w:left="633" w:right="1057"/>
        <w:jc w:val="left"/>
      </w:pPr>
      <w:r>
        <w:rPr>
          <w:rFonts w:ascii="Times New Roman" w:hAnsi="Times New Roman" w:cs="Times New Roman" w:eastAsia="Times New Roman" w:hint="default"/>
        </w:rPr>
        <w:t>2.</w:t>
      </w:r>
      <w:r>
        <w:rPr/>
        <w:t>审计应对</w:t>
      </w:r>
    </w:p>
    <w:p>
      <w:pPr>
        <w:spacing w:after="0" w:line="302"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left="633" w:right="1057"/>
        <w:jc w:val="left"/>
      </w:pPr>
      <w:r>
        <w:rPr/>
        <w:t>我们对应收款项坏账准备实施的相关程序包括：</w:t>
      </w:r>
    </w:p>
    <w:p>
      <w:pPr>
        <w:pStyle w:val="BodyText"/>
        <w:spacing w:line="240" w:lineRule="auto" w:before="154"/>
        <w:ind w:left="633" w:right="1057"/>
        <w:jc w:val="left"/>
      </w:pPr>
      <w:r>
        <w:rPr/>
        <w:t>（</w:t>
      </w:r>
      <w:r>
        <w:rPr>
          <w:rFonts w:ascii="Times New Roman" w:hAnsi="Times New Roman" w:cs="Times New Roman" w:eastAsia="Times New Roman" w:hint="default"/>
        </w:rPr>
        <w:t>1</w:t>
      </w:r>
      <w:r>
        <w:rPr/>
        <w:t>）评价和测试对应收款项可回收性进行评估相关的内部控制。</w:t>
      </w:r>
    </w:p>
    <w:p>
      <w:pPr>
        <w:pStyle w:val="BodyText"/>
        <w:spacing w:line="312" w:lineRule="exact" w:before="166"/>
        <w:ind w:right="1130" w:firstLine="480"/>
        <w:jc w:val="both"/>
      </w:pPr>
      <w:r>
        <w:rPr>
          <w:spacing w:val="-3"/>
        </w:rPr>
        <w:t>（</w:t>
      </w:r>
      <w:r>
        <w:rPr>
          <w:rFonts w:ascii="Times New Roman" w:hAnsi="Times New Roman" w:cs="Times New Roman" w:eastAsia="Times New Roman" w:hint="default"/>
          <w:spacing w:val="-3"/>
        </w:rPr>
        <w:t>2</w:t>
      </w:r>
      <w:r>
        <w:rPr>
          <w:spacing w:val="-3"/>
        </w:rPr>
        <w:t>）分析应收款项坏账准备会计估计的合理性，包括确定应收款项组合的依据、金额重</w:t>
      </w:r>
      <w:r>
        <w:rPr/>
        <w:t> 大的判断、单独计提坏账准备的判断等，评估管理层将应收款项划分为若干组合进行减值评</w:t>
      </w:r>
      <w:r>
        <w:rPr>
          <w:spacing w:val="-91"/>
        </w:rPr>
        <w:t> </w:t>
      </w:r>
      <w:r>
        <w:rPr>
          <w:spacing w:val="-91"/>
        </w:rPr>
      </w:r>
      <w:r>
        <w:rPr/>
        <w:t>估的方法和计算是否适当。</w:t>
      </w:r>
    </w:p>
    <w:p>
      <w:pPr>
        <w:pStyle w:val="BodyText"/>
        <w:spacing w:line="312" w:lineRule="exact" w:before="156"/>
        <w:ind w:right="1131" w:firstLine="480"/>
        <w:jc w:val="both"/>
      </w:pPr>
      <w:r>
        <w:rPr>
          <w:spacing w:val="-3"/>
        </w:rPr>
        <w:t>（</w:t>
      </w:r>
      <w:r>
        <w:rPr>
          <w:rFonts w:ascii="Times New Roman" w:hAnsi="Times New Roman" w:cs="Times New Roman" w:eastAsia="Times New Roman" w:hint="default"/>
          <w:spacing w:val="-3"/>
        </w:rPr>
        <w:t>3</w:t>
      </w:r>
      <w:r>
        <w:rPr>
          <w:spacing w:val="-3"/>
        </w:rPr>
        <w:t>）复核了管理层用来计算预期信用损失率的历史信用损失经验数据及关键假设的合理</w:t>
      </w:r>
      <w:r>
        <w:rPr/>
        <w:t> 性，从而评估管理层对应收账款的信用风险评估和识别的合理性。</w:t>
      </w:r>
    </w:p>
    <w:p>
      <w:pPr>
        <w:pStyle w:val="BodyText"/>
        <w:spacing w:line="312" w:lineRule="exact" w:before="156"/>
        <w:ind w:right="1133" w:firstLine="480"/>
        <w:jc w:val="both"/>
      </w:pPr>
      <w:r>
        <w:rPr>
          <w:spacing w:val="-3"/>
        </w:rPr>
        <w:t>（</w:t>
      </w:r>
      <w:r>
        <w:rPr>
          <w:rFonts w:ascii="Times New Roman" w:hAnsi="Times New Roman" w:cs="Times New Roman" w:eastAsia="Times New Roman" w:hint="default"/>
          <w:spacing w:val="-3"/>
        </w:rPr>
        <w:t>4</w:t>
      </w:r>
      <w:r>
        <w:rPr>
          <w:spacing w:val="-3"/>
        </w:rPr>
        <w:t>）选取样本，检查与应收款项余额相关的销售合同、销售发票、结算审定记录，评价</w:t>
      </w:r>
      <w:r>
        <w:rPr/>
        <w:t> 管理层所编制的应收款项账龄明细表的账龄区间划分是否恰当。</w:t>
      </w:r>
    </w:p>
    <w:p>
      <w:pPr>
        <w:pStyle w:val="BodyText"/>
        <w:spacing w:line="240" w:lineRule="auto" w:before="126"/>
        <w:ind w:left="633" w:right="1057"/>
        <w:jc w:val="left"/>
      </w:pPr>
      <w:r>
        <w:rPr/>
        <w:t>（</w:t>
      </w:r>
      <w:r>
        <w:rPr>
          <w:rFonts w:ascii="Times New Roman" w:hAnsi="Times New Roman" w:cs="Times New Roman" w:eastAsia="Times New Roman" w:hint="default"/>
        </w:rPr>
        <w:t>5</w:t>
      </w:r>
      <w:r>
        <w:rPr/>
        <w:t>）获取应收款项坏账准备计提表，分析检查管理层坏账计提金额的准确性。</w:t>
      </w:r>
    </w:p>
    <w:p>
      <w:pPr>
        <w:pStyle w:val="BodyText"/>
        <w:spacing w:line="450" w:lineRule="atLeast" w:before="18"/>
        <w:ind w:left="633" w:right="1057"/>
        <w:jc w:val="left"/>
      </w:pPr>
      <w:r>
        <w:rPr/>
        <w:t>（</w:t>
      </w:r>
      <w:r>
        <w:rPr>
          <w:rFonts w:ascii="Times New Roman" w:hAnsi="Times New Roman" w:cs="Times New Roman" w:eastAsia="Times New Roman" w:hint="default"/>
        </w:rPr>
        <w:t>6</w:t>
      </w:r>
      <w:r>
        <w:rPr/>
        <w:t>）选取样本对金额重大、账龄长的应收款项余额实施了函证程序。 基于上述工作结果，我们认为相关证据能够支持润建股份公司管理层对于应收款项坏账</w:t>
      </w:r>
    </w:p>
    <w:p>
      <w:pPr>
        <w:spacing w:line="357" w:lineRule="auto" w:before="0"/>
        <w:ind w:left="635" w:right="8114" w:hanging="483"/>
        <w:jc w:val="left"/>
        <w:rPr>
          <w:rFonts w:ascii="宋体" w:hAnsi="宋体" w:cs="宋体" w:eastAsia="宋体" w:hint="default"/>
          <w:sz w:val="24"/>
          <w:szCs w:val="24"/>
        </w:rPr>
      </w:pPr>
      <w:r>
        <w:rPr>
          <w:rFonts w:ascii="宋体" w:hAnsi="宋体" w:cs="宋体" w:eastAsia="宋体" w:hint="default"/>
          <w:sz w:val="24"/>
          <w:szCs w:val="24"/>
        </w:rPr>
        <w:t>准备作出的判断和估计。 </w:t>
      </w:r>
      <w:r>
        <w:rPr>
          <w:rFonts w:ascii="宋体" w:hAnsi="宋体" w:cs="宋体" w:eastAsia="宋体" w:hint="default"/>
          <w:b/>
          <w:bCs/>
          <w:sz w:val="24"/>
          <w:szCs w:val="24"/>
        </w:rPr>
        <w:t>四、其他信息</w:t>
      </w:r>
      <w:r>
        <w:rPr>
          <w:rFonts w:ascii="宋体" w:hAnsi="宋体" w:cs="宋体" w:eastAsia="宋体" w:hint="default"/>
          <w:sz w:val="24"/>
          <w:szCs w:val="24"/>
        </w:rPr>
      </w:r>
    </w:p>
    <w:p>
      <w:pPr>
        <w:pStyle w:val="BodyText"/>
        <w:spacing w:line="313" w:lineRule="exact" w:before="36"/>
        <w:ind w:left="633" w:right="1057"/>
        <w:jc w:val="left"/>
      </w:pPr>
      <w:r>
        <w:rPr/>
        <w:t>润建股份公司管理层（以下简称管理层）对其他信息负责。其他信息包括润建股份公司</w:t>
      </w:r>
    </w:p>
    <w:p>
      <w:pPr>
        <w:pStyle w:val="BodyText"/>
        <w:spacing w:line="331" w:lineRule="exact"/>
        <w:ind w:right="1057"/>
        <w:jc w:val="left"/>
      </w:pPr>
      <w:r>
        <w:rPr>
          <w:rFonts w:ascii="Times New Roman" w:hAnsi="Times New Roman" w:cs="Times New Roman" w:eastAsia="Times New Roman" w:hint="default"/>
        </w:rPr>
        <w:t>2019</w:t>
      </w:r>
      <w:r>
        <w:rPr/>
        <w:t>年度报告中涵盖的信息，但不包括财务报表和我们的审计报告。</w:t>
      </w:r>
    </w:p>
    <w:p>
      <w:pPr>
        <w:pStyle w:val="BodyText"/>
        <w:spacing w:line="240" w:lineRule="auto" w:before="135"/>
        <w:ind w:right="1136" w:firstLine="480"/>
        <w:jc w:val="both"/>
      </w:pPr>
      <w:r>
        <w:rPr/>
        <w:t>我们对财务报表发表的审计意见不涵盖其他信息，我们也不对其他信息发表任何形式的 鉴证结论。</w:t>
      </w:r>
    </w:p>
    <w:p>
      <w:pPr>
        <w:pStyle w:val="BodyText"/>
        <w:spacing w:line="312" w:lineRule="exact" w:before="184"/>
        <w:ind w:right="1140" w:firstLine="480"/>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BodyText"/>
        <w:spacing w:line="312" w:lineRule="exact" w:before="156"/>
        <w:ind w:right="1140" w:firstLine="480"/>
        <w:jc w:val="both"/>
      </w:pPr>
      <w:r>
        <w:rPr/>
        <w:t>基于我们已执行的工作，如果我们确定其他信息存在重大错报，我们应当报告该事实。 在这方面，我们无任何事项需要报告。</w:t>
      </w:r>
    </w:p>
    <w:p>
      <w:pPr>
        <w:spacing w:line="468" w:lineRule="exact" w:before="31"/>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润建股份公司管理层负责按照企业会计准则的规定编制财务报表，使其实现公允反映，</w:t>
      </w:r>
    </w:p>
    <w:p>
      <w:pPr>
        <w:pStyle w:val="BodyText"/>
        <w:spacing w:line="252" w:lineRule="exact"/>
        <w:ind w:right="0"/>
        <w:jc w:val="left"/>
      </w:pPr>
      <w:r>
        <w:rPr/>
        <w:t>并设计、执行和维护必要的内部控制，以使财务报表不存在由于舞弊或错误导致的重大错报。</w:t>
      </w:r>
    </w:p>
    <w:p>
      <w:pPr>
        <w:pStyle w:val="BodyText"/>
        <w:spacing w:line="312" w:lineRule="exact" w:before="185"/>
        <w:ind w:right="1137" w:firstLine="480"/>
        <w:jc w:val="both"/>
      </w:pPr>
      <w:r>
        <w:rPr/>
        <w:t>在编制财务报表时，管理层负责评估润建股份公司的持续经营能力，披露与持续经营相 关的事项，并运用持续经营假设，除非管理层计划清算润建股份公司、终止运营或别无其他</w:t>
      </w:r>
      <w:r>
        <w:rPr>
          <w:spacing w:val="-91"/>
        </w:rPr>
        <w:t> </w:t>
      </w:r>
      <w:r>
        <w:rPr>
          <w:spacing w:val="-91"/>
        </w:rPr>
      </w:r>
      <w:r>
        <w:rPr/>
        <w:t>现实的选择。</w:t>
      </w:r>
    </w:p>
    <w:p>
      <w:pPr>
        <w:spacing w:line="357" w:lineRule="auto" w:before="125"/>
        <w:ind w:left="635" w:right="5234" w:hanging="3"/>
        <w:jc w:val="left"/>
        <w:rPr>
          <w:rFonts w:ascii="宋体" w:hAnsi="宋体" w:cs="宋体" w:eastAsia="宋体" w:hint="default"/>
          <w:sz w:val="24"/>
          <w:szCs w:val="24"/>
        </w:rPr>
      </w:pPr>
      <w:r>
        <w:rPr>
          <w:rFonts w:ascii="宋体" w:hAnsi="宋体" w:cs="宋体" w:eastAsia="宋体" w:hint="default"/>
          <w:sz w:val="24"/>
          <w:szCs w:val="24"/>
        </w:rPr>
        <w:t>治理层负责监督润建股份公司的财务报告过程。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237" w:lineRule="auto" w:before="39"/>
        <w:ind w:right="1133" w:firstLine="480"/>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w:t>
      </w:r>
      <w:r>
        <w:rPr>
          <w:spacing w:val="-87"/>
        </w:rPr>
        <w:t> </w:t>
      </w:r>
      <w:r>
        <w:rPr>
          <w:spacing w:val="-87"/>
        </w:rPr>
      </w:r>
      <w:r>
        <w:rPr/>
        <w:t>则执行的审计在某一重大错报存在时总能发现。错报可能由于舞弊或错误导致，如果合理预</w:t>
      </w:r>
      <w:r>
        <w:rPr>
          <w:spacing w:val="-89"/>
        </w:rPr>
        <w:t> </w:t>
      </w:r>
      <w:r>
        <w:rPr>
          <w:spacing w:val="-89"/>
        </w:rPr>
      </w:r>
      <w:r>
        <w:rPr/>
        <w:t>期错报单独或汇总起来可能影响财务报表使用者依据财务报表作出的经济决策，则通常认为</w:t>
      </w:r>
      <w:r>
        <w:rPr>
          <w:spacing w:val="-88"/>
        </w:rPr>
        <w:t> </w:t>
      </w:r>
      <w:r>
        <w:rPr>
          <w:spacing w:val="-88"/>
        </w:rPr>
      </w:r>
      <w:r>
        <w:rPr/>
        <w:t>错报是重大的。</w:t>
      </w:r>
    </w:p>
    <w:p>
      <w:pPr>
        <w:spacing w:after="0" w:line="237" w:lineRule="auto"/>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40" w:firstLine="480"/>
        <w:jc w:val="both"/>
      </w:pPr>
      <w:r>
        <w:rPr/>
        <w:t>在按照审计准则执行审计工作的过程中，我们运用职业判断，并保持职业怀疑。同时， 我们也执行以下工作：</w:t>
      </w:r>
    </w:p>
    <w:p>
      <w:pPr>
        <w:pStyle w:val="BodyText"/>
        <w:spacing w:line="312" w:lineRule="exact" w:before="156"/>
        <w:ind w:right="1132" w:firstLine="480"/>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w:t>
      </w:r>
      <w:r>
        <w:rPr/>
        <w:t> 应对这些风险，并获取充分、适当的审计证据，作为发表审计意见的基础。由于舞弊可能涉</w:t>
      </w:r>
      <w:r>
        <w:rPr>
          <w:spacing w:val="-91"/>
        </w:rPr>
        <w:t> </w:t>
      </w:r>
      <w:r>
        <w:rPr>
          <w:spacing w:val="-91"/>
        </w:rPr>
      </w:r>
      <w:r>
        <w:rPr/>
        <w:t>及串通、伪造、故意遗漏、虚假陈述或凌驾于内部控制之上，未能发现由于舞弊导致的重大</w:t>
      </w:r>
      <w:r>
        <w:rPr>
          <w:spacing w:val="-87"/>
        </w:rPr>
        <w:t> </w:t>
      </w:r>
      <w:r>
        <w:rPr>
          <w:spacing w:val="-87"/>
        </w:rPr>
      </w:r>
      <w:r>
        <w:rPr/>
        <w:t>错报的风险高于未能发现由于错误导致的重大错报的风险。</w:t>
      </w:r>
    </w:p>
    <w:p>
      <w:pPr>
        <w:spacing w:line="312" w:lineRule="exact" w:before="156"/>
        <w:ind w:left="152" w:right="1128" w:firstLine="480"/>
        <w:jc w:val="both"/>
        <w:rPr>
          <w:rFonts w:ascii="宋体" w:hAnsi="宋体" w:cs="宋体" w:eastAsia="宋体" w:hint="default"/>
          <w:sz w:val="25"/>
          <w:szCs w:val="25"/>
        </w:rPr>
      </w:pPr>
      <w:r>
        <w:rPr>
          <w:rFonts w:ascii="宋体" w:hAnsi="宋体" w:cs="宋体" w:eastAsia="宋体" w:hint="default"/>
          <w:i/>
          <w:spacing w:val="-3"/>
          <w:w w:val="95"/>
          <w:sz w:val="25"/>
          <w:szCs w:val="25"/>
        </w:rPr>
        <w:t>（</w:t>
      </w:r>
      <w:r>
        <w:rPr>
          <w:rFonts w:ascii="Times New Roman" w:hAnsi="Times New Roman" w:cs="Times New Roman" w:eastAsia="Times New Roman" w:hint="default"/>
          <w:i/>
          <w:spacing w:val="-3"/>
          <w:w w:val="95"/>
          <w:sz w:val="24"/>
          <w:szCs w:val="24"/>
        </w:rPr>
        <w:t>2</w:t>
      </w:r>
      <w:r>
        <w:rPr>
          <w:rFonts w:ascii="宋体" w:hAnsi="宋体" w:cs="宋体" w:eastAsia="宋体" w:hint="default"/>
          <w:i/>
          <w:spacing w:val="-3"/>
          <w:w w:val="95"/>
          <w:sz w:val="25"/>
          <w:szCs w:val="25"/>
        </w:rPr>
        <w:t>）了解与审计相关的内部控制，以设计恰当的审计程序，但目的并非对内部控制的有</w:t>
      </w:r>
      <w:r>
        <w:rPr>
          <w:rFonts w:ascii="宋体" w:hAnsi="宋体" w:cs="宋体" w:eastAsia="宋体" w:hint="default"/>
          <w:i/>
          <w:w w:val="95"/>
          <w:sz w:val="25"/>
          <w:szCs w:val="25"/>
        </w:rPr>
        <w:t> </w:t>
      </w:r>
      <w:r>
        <w:rPr>
          <w:rFonts w:ascii="宋体" w:hAnsi="宋体" w:cs="宋体" w:eastAsia="宋体" w:hint="default"/>
          <w:i/>
          <w:sz w:val="25"/>
          <w:szCs w:val="25"/>
        </w:rPr>
        <w:t>效性发表意见。</w:t>
      </w:r>
      <w:r>
        <w:rPr>
          <w:rFonts w:ascii="宋体" w:hAnsi="宋体" w:cs="宋体" w:eastAsia="宋体" w:hint="default"/>
          <w:sz w:val="25"/>
          <w:szCs w:val="25"/>
        </w:rPr>
      </w:r>
    </w:p>
    <w:p>
      <w:pPr>
        <w:pStyle w:val="BodyText"/>
        <w:spacing w:line="291" w:lineRule="exact"/>
        <w:ind w:left="633" w:right="1057"/>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5" w:lineRule="auto"/>
        <w:ind w:right="1133" w:firstLine="480"/>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w:t>
      </w:r>
      <w:r>
        <w:rPr/>
        <w:t> 能导致对润建股份公司持续经营能力产生重大疑虑的事项或情况是否存在重大不确定性得出</w:t>
      </w:r>
      <w:r>
        <w:rPr>
          <w:spacing w:val="-91"/>
        </w:rPr>
        <w:t> </w:t>
      </w:r>
      <w:r>
        <w:rPr>
          <w:spacing w:val="-91"/>
        </w:rPr>
      </w:r>
      <w:r>
        <w:rPr/>
        <w:t>结论。如果我们得出结论认为存在重大不确定性，审计准则要求我们在审计报告中提请报表</w:t>
      </w:r>
      <w:r>
        <w:rPr>
          <w:spacing w:val="-87"/>
        </w:rPr>
        <w:t> </w:t>
      </w:r>
      <w:r>
        <w:rPr>
          <w:spacing w:val="-87"/>
        </w:rPr>
      </w:r>
      <w:r>
        <w:rPr/>
        <w:t>使用者注意财务报表中的相关披露；如果披露不充分，我们应当发表非无保留意见。我们的</w:t>
      </w:r>
      <w:r>
        <w:rPr>
          <w:spacing w:val="-89"/>
        </w:rPr>
        <w:t> </w:t>
      </w:r>
      <w:r>
        <w:rPr>
          <w:spacing w:val="-89"/>
        </w:rPr>
      </w:r>
      <w:r>
        <w:rPr/>
        <w:t>结论基于截至审计报告日可获得的信息。然而，未来的事项或情况可能导致润建股份公司不</w:t>
      </w:r>
      <w:r>
        <w:rPr>
          <w:spacing w:val="-91"/>
        </w:rPr>
        <w:t> </w:t>
      </w:r>
      <w:r>
        <w:rPr>
          <w:spacing w:val="-91"/>
        </w:rPr>
      </w:r>
      <w:r>
        <w:rPr/>
        <w:t>能持续经营。</w:t>
      </w:r>
    </w:p>
    <w:p>
      <w:pPr>
        <w:pStyle w:val="BodyText"/>
        <w:spacing w:line="312" w:lineRule="exact" w:before="29"/>
        <w:ind w:right="1129" w:firstLine="480"/>
        <w:jc w:val="both"/>
      </w:pPr>
      <w:r>
        <w:rPr>
          <w:spacing w:val="-3"/>
        </w:rPr>
        <w:t>（</w:t>
      </w:r>
      <w:r>
        <w:rPr>
          <w:rFonts w:ascii="Times New Roman" w:hAnsi="Times New Roman" w:cs="Times New Roman" w:eastAsia="Times New Roman" w:hint="default"/>
          <w:spacing w:val="-3"/>
        </w:rPr>
        <w:t>5</w:t>
      </w:r>
      <w:r>
        <w:rPr>
          <w:spacing w:val="-3"/>
        </w:rPr>
        <w:t>）评价财务报表的总体列报、结构和内容，并评价财务报表是否公允反映相关交易和</w:t>
      </w:r>
      <w:r>
        <w:rPr/>
        <w:t> 事项。</w:t>
      </w:r>
    </w:p>
    <w:p>
      <w:pPr>
        <w:pStyle w:val="BodyText"/>
        <w:spacing w:line="312" w:lineRule="exact"/>
        <w:ind w:right="1130" w:firstLine="480"/>
        <w:jc w:val="right"/>
      </w:pPr>
      <w:r>
        <w:rPr>
          <w:spacing w:val="-3"/>
        </w:rPr>
        <w:t>（</w:t>
      </w:r>
      <w:r>
        <w:rPr>
          <w:rFonts w:ascii="Times New Roman" w:hAnsi="Times New Roman" w:cs="Times New Roman" w:eastAsia="Times New Roman" w:hint="default"/>
          <w:spacing w:val="-3"/>
        </w:rPr>
        <w:t>6</w:t>
      </w:r>
      <w:r>
        <w:rPr>
          <w:spacing w:val="-3"/>
        </w:rPr>
        <w:t>）就润建股份公司中实体或业务活动的财务信息获取充分、适当的审计证据，以对财</w:t>
      </w:r>
      <w:r>
        <w:rPr/>
        <w:t> 务报表发表审计意见。我们负责指导、监督和执行集团审计，并对审计意见承担全部责任。 我们与治理层就计划的审计范围、时间安排和重大审计发现等事项进行沟通，包括沟通</w:t>
      </w:r>
    </w:p>
    <w:p>
      <w:pPr>
        <w:pStyle w:val="BodyText"/>
        <w:spacing w:line="283" w:lineRule="exact"/>
        <w:ind w:right="1057"/>
        <w:jc w:val="left"/>
      </w:pPr>
      <w:r>
        <w:rPr/>
        <w:t>我们在审计中识别出的值得关注的内部控制缺陷。</w:t>
      </w:r>
    </w:p>
    <w:p>
      <w:pPr>
        <w:pStyle w:val="BodyText"/>
        <w:spacing w:line="312" w:lineRule="exact" w:before="185"/>
        <w:ind w:right="1138" w:firstLine="480"/>
        <w:jc w:val="both"/>
      </w:pPr>
      <w:r>
        <w:rPr/>
        <w:t>我们还就已遵守与独立性相关的职业道德要求向治理层提供声明，并与治理层沟通可能 被合理认为影响我们独立性的所有关系和其他事项，以及相关的防范措施。</w:t>
      </w:r>
    </w:p>
    <w:p>
      <w:pPr>
        <w:pStyle w:val="BodyText"/>
        <w:spacing w:line="312" w:lineRule="exact" w:before="156"/>
        <w:ind w:right="1139" w:firstLine="480"/>
        <w:jc w:val="both"/>
      </w:pPr>
      <w:r>
        <w:rPr/>
        <w:t>从与治理层沟通过的事项中，我们确定哪些事项对本期财务报表审计最为重要，因而构 成关键审计事项。我们在审计报告中描述这些事项，除非法律法规禁止公开披露这些事项，</w:t>
      </w:r>
      <w:r>
        <w:rPr>
          <w:spacing w:val="-91"/>
        </w:rPr>
        <w:t> </w:t>
      </w:r>
      <w:r>
        <w:rPr>
          <w:spacing w:val="-91"/>
        </w:rPr>
      </w:r>
      <w:r>
        <w:rPr/>
        <w:t>或在极少数情形下，如果合理预期在审计报告中沟通某事项造成的负面后果超过在公众利益</w:t>
      </w:r>
      <w:r>
        <w:rPr>
          <w:spacing w:val="-91"/>
        </w:rPr>
        <w:t> </w:t>
      </w:r>
      <w:r>
        <w:rPr>
          <w:spacing w:val="-91"/>
        </w:rPr>
      </w:r>
      <w:r>
        <w:rPr/>
        <w:t>方面产生的益处，我们确定不应在审计报告中沟通该事项。</w:t>
      </w:r>
    </w:p>
    <w:p>
      <w:pPr>
        <w:pStyle w:val="BodyText"/>
        <w:spacing w:line="312" w:lineRule="exact" w:before="156"/>
        <w:ind w:right="1133" w:firstLine="480"/>
        <w:jc w:val="both"/>
      </w:pPr>
      <w:r>
        <w:rPr/>
        <w:t>以下无正文，为容诚会计师事务所（特殊普通合伙）容诚审字</w:t>
      </w:r>
      <w:r>
        <w:rPr>
          <w:rFonts w:ascii="Times New Roman" w:hAnsi="Times New Roman" w:cs="Times New Roman" w:eastAsia="Times New Roman" w:hint="default"/>
        </w:rPr>
        <w:t>[2020]100Z0300</w:t>
      </w:r>
      <w:r>
        <w:rPr/>
        <w:t>号报告之</w:t>
      </w:r>
      <w:r>
        <w:rPr>
          <w:spacing w:val="2"/>
        </w:rPr>
        <w:t> </w:t>
      </w:r>
      <w:r>
        <w:rPr/>
        <w:t>签字盖章页。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pStyle w:val="BodyText"/>
        <w:tabs>
          <w:tab w:pos="3540" w:val="left" w:leader="none"/>
        </w:tabs>
        <w:spacing w:line="240" w:lineRule="auto"/>
        <w:ind w:left="273" w:right="1057"/>
        <w:jc w:val="left"/>
      </w:pPr>
      <w:r>
        <w:rPr/>
        <w:t>容诚会计师事务所</w:t>
        <w:tab/>
        <w:t>中国注册会计师（项目合伙人）：</w:t>
      </w:r>
    </w:p>
    <w:p>
      <w:pPr>
        <w:pStyle w:val="BodyText"/>
        <w:spacing w:line="240" w:lineRule="auto" w:before="74"/>
        <w:ind w:left="393" w:right="1057"/>
        <w:jc w:val="left"/>
      </w:pPr>
      <w:r>
        <w:rPr/>
        <w:t>（特殊普通合伙）</w:t>
      </w:r>
    </w:p>
    <w:p>
      <w:pPr>
        <w:pStyle w:val="BodyText"/>
        <w:spacing w:line="240" w:lineRule="auto" w:before="74"/>
        <w:ind w:left="199" w:right="1455"/>
        <w:jc w:val="center"/>
      </w:pPr>
      <w:r>
        <w:rPr/>
        <w:t>中国注册会计师：</w:t>
      </w:r>
    </w:p>
    <w:p>
      <w:pPr>
        <w:spacing w:line="240" w:lineRule="auto" w:before="8"/>
        <w:rPr>
          <w:rFonts w:ascii="宋体" w:hAnsi="宋体" w:cs="宋体" w:eastAsia="宋体" w:hint="default"/>
          <w:sz w:val="35"/>
          <w:szCs w:val="35"/>
        </w:rPr>
      </w:pPr>
    </w:p>
    <w:p>
      <w:pPr>
        <w:pStyle w:val="BodyText"/>
        <w:tabs>
          <w:tab w:pos="3549" w:val="left" w:leader="none"/>
        </w:tabs>
        <w:spacing w:line="240" w:lineRule="auto"/>
        <w:ind w:left="873" w:right="1057"/>
        <w:jc w:val="left"/>
      </w:pPr>
      <w:r>
        <w:rPr>
          <w:spacing w:val="-1"/>
        </w:rPr>
        <w:t>中国</w:t>
      </w:r>
      <w:r>
        <w:rPr>
          <w:rFonts w:ascii="Times New Roman" w:hAnsi="Times New Roman" w:cs="Times New Roman" w:eastAsia="Times New Roman" w:hint="default"/>
          <w:spacing w:val="-1"/>
        </w:rPr>
        <w:t>·</w:t>
      </w:r>
      <w:r>
        <w:rPr>
          <w:spacing w:val="-1"/>
        </w:rPr>
        <w:t>北京</w:t>
        <w:tab/>
      </w:r>
      <w:r>
        <w:rPr/>
        <w:t>中国注册会计师：</w:t>
      </w:r>
    </w:p>
    <w:p>
      <w:pPr>
        <w:spacing w:line="240" w:lineRule="auto" w:before="3"/>
        <w:rPr>
          <w:rFonts w:ascii="宋体" w:hAnsi="宋体" w:cs="宋体" w:eastAsia="宋体" w:hint="default"/>
          <w:sz w:val="34"/>
          <w:szCs w:val="34"/>
        </w:rPr>
      </w:pPr>
    </w:p>
    <w:p>
      <w:pPr>
        <w:pStyle w:val="BodyText"/>
        <w:spacing w:line="240" w:lineRule="auto"/>
        <w:ind w:left="199" w:right="1815"/>
        <w:jc w:val="center"/>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w:t>
      </w:r>
    </w:p>
    <w:p>
      <w:pPr>
        <w:spacing w:after="0" w:line="240" w:lineRule="auto"/>
        <w:jc w:val="cente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1057"/>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编制单位：润建股份有限公司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1,193,168,555.04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1,374,119,862.21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209,445,913.39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7,770,933.75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3,665,356.99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1,834,667,503.24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1,468,850,517.11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2,611,336.90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96,085,835.66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15,394,479.17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99,729,265.32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100,404,456.02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823,506,294.64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633,160,199.86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27,677,001.55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180,632,202.77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4,294,662,639.49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3,776,227,074.13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48,286,791.28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1,410,103.86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16,375,000.00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202,118,290.87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63,840,044.46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12,928,707.48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2,705,988.77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95,046,944.17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10,212,316.57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559,874.76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917,988.05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42,716,089.22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38,356,869.85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224,473,999.83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642,505,697.61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137,443,311.56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4,937,168,337.10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3,913,670,385.69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465,720,000.00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986,693,584.71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593,392,685.27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280,636,376.03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164,142,973.30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99,250,557.70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167,928,240.19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99,600,928.06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107,048,979.59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82,312,044.63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20,847,536.84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4,741,549.26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2,018,955,040.39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1,283,360,415.19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1,535,536.52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1,535,536.52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2,020,490,576.91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1,283,360,415.19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220,746,347.00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220,746,347.00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1,406,305,871.38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1,406,305,871.38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51,645,664.09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38,930,772.35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126,302,331.71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104,811,789.16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1,041,581,307.63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859,515,190.61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2,846,581,521.81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2,630,309,970.50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70,096,238.38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2,916,677,760.19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2,630,309,970.50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4,937,168,337.10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3,913,670,385.69</w:t>
            </w:r>
          </w:p>
        </w:tc>
      </w:tr>
    </w:tbl>
    <w:p>
      <w:pPr>
        <w:spacing w:line="240" w:lineRule="auto" w:before="2"/>
        <w:rPr>
          <w:rFonts w:ascii="Times New Roman" w:hAnsi="Times New Roman" w:cs="Times New Roman" w:eastAsia="Times New Roman" w:hint="default"/>
          <w:sz w:val="23"/>
          <w:szCs w:val="23"/>
        </w:rPr>
      </w:pPr>
    </w:p>
    <w:p>
      <w:pPr>
        <w:tabs>
          <w:tab w:pos="3605" w:val="left" w:leader="none"/>
          <w:tab w:pos="7749" w:val="left" w:leader="none"/>
        </w:tabs>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法定代表人：许文杰</w:t>
        <w:tab/>
      </w:r>
      <w:r>
        <w:rPr>
          <w:rFonts w:ascii="宋体" w:hAnsi="宋体" w:cs="宋体" w:eastAsia="宋体" w:hint="default"/>
          <w:spacing w:val="-1"/>
          <w:sz w:val="18"/>
          <w:szCs w:val="18"/>
        </w:rPr>
        <w:t>主管会计工作负责人：梁姬</w:t>
        <w:tab/>
      </w:r>
      <w:r>
        <w:rPr>
          <w:rFonts w:ascii="宋体" w:hAnsi="宋体" w:cs="宋体" w:eastAsia="宋体" w:hint="default"/>
          <w:sz w:val="18"/>
          <w:szCs w:val="18"/>
        </w:rPr>
        <w:t>会计机构负责人：黄宇</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1,057,417,701.81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1,329,349,662.34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186,308,894.23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448,431.54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3,665,356.99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1,731,359,893.55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1,468,850,517.11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34,629,559.95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15,392,479.17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140,454,303.93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101,149,828.45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728,789,397.33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628,810,889.69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26,255,585.72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179,870,586.69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3,905,663,768.06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3,727,089,320.44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231,739,940.45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41,293,253.03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16,375,000.00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198,476,452.05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63,835,888.96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3,714,124.04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2,705,988.77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10,212,316.57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10,212,316.57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537,392.71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917,988.05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38,356,720.84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37,753,001.91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216,940,386.62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716,352,333.28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176,718,437.29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4,622,016,101.34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3,903,807,757.73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465,720,000.00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937,378,771.47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590,743,343.71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185,009,159.69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160,046,575.92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93,667,856.83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165,955,799.71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78,105,704.60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106,974,534.74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31,537,552.23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20,847,536.84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1,791,419,044.82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1,274,567,790.92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226,334.13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226,334.13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1,791,645,378.95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1,274,567,790.92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220,746,347.00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220,746,347.00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1,404,452,245.18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1,404,452,245.18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51,645,664.09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38,930,772.35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126,302,331.71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104,811,789.16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1,027,224,134.41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860,298,813.12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2,830,370,722.39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2,629,239,966.81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4,622,016,101.34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3,903,807,757.73</w:t>
            </w:r>
          </w:p>
        </w:tc>
      </w:tr>
    </w:tbl>
    <w:p>
      <w:pPr>
        <w:spacing w:line="240" w:lineRule="auto" w:before="10"/>
        <w:rPr>
          <w:rFonts w:ascii="Times New Roman" w:hAnsi="Times New Roman" w:cs="Times New Roman" w:eastAsia="Times New Roman" w:hint="default"/>
          <w:sz w:val="21"/>
          <w:szCs w:val="21"/>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3,717,024,985.94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3,231,680,137.02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3,717,024,985.94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3,231,680,137.02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3,420,932,115.04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2,981,238,163.67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3,066,359,767.17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2,585,299,525.16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 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20,885,696.73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12,949,842.22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110,562,516.12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104,539,228.27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112,419,336.04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158,403,064.96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117,995,642.98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110,388,843.38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-7,290,844.00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9,657,659.68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6,346,033.39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11,531,247.63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17,991,790.58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3,988,261.48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11,192,857.58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13,125,604.83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15,843,651.65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14,645,329.23</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-1,156,491.08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-89,896.14</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-6,280.56</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349.48999pt;width:193.15pt;height:19.7pt;mso-position-horizontal-relative:page;mso-position-vertical-relative:page;z-index:-12340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009995pt;margin-top:90.61998pt;width:160pt;height:19.6pt;mso-position-horizontal-relative:page;mso-position-vertical-relative:page;z-index:-1233976" coordorigin="4220,1812" coordsize="3200,392">
            <v:group style="position:absolute;left:7398;top:1812;width:22;height:392" coordorigin="7398,1812" coordsize="22,392">
              <v:shape style="position:absolute;left:7398;top:1812;width:22;height:392" coordorigin="7398,1812" coordsize="22,392" path="m7398,2204l7420,2204,7420,1812,7398,1812,7398,2204xe" filled="true" fillcolor="#ffffff" stroked="false">
                <v:path arrowok="t"/>
                <v:fill type="solid"/>
              </v:shape>
            </v:group>
            <v:group style="position:absolute;left:4220;top:1812;width:22;height:392" coordorigin="4220,1812" coordsize="22,392">
              <v:shape style="position:absolute;left:4220;top:1812;width:22;height:392" coordorigin="4220,1812" coordsize="22,392" path="m4220,2204l4242,2204,4242,1812,4220,1812,4220,2204xe" filled="true" fillcolor="#ffffff" stroked="false">
                <v:path arrowok="t"/>
                <v:fill type="solid"/>
              </v:shape>
            </v:group>
            <v:group style="position:absolute;left:4242;top:1812;width:3157;height:392" coordorigin="4242,1812" coordsize="3157,392">
              <v:shape style="position:absolute;left:4242;top:1812;width:3157;height:392" coordorigin="4242,1812" coordsize="3157,392" path="m4242,2204l7398,2204,7398,1812,4242,1812,4242,2204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1061"/>
        <w:gridCol w:w="2151"/>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资产终止确认收益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1,445,203.80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信用减值损失（损失以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-38,280,508.11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-2,832,845.61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-41,037,378.43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-104,025.58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399,206.59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283,357,204.63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237,574,735.57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10,357,681.05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6,203,996.36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2,736,027.64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1,808,299.60</w:t>
            </w:r>
          </w:p>
        </w:tc>
      </w:tr>
      <w:tr>
        <w:trPr>
          <w:trHeight w:val="403"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1" w:type="dxa"/>
            <w:tcBorders>
              <w:top w:val="single" w:sz="4" w:space="0" w:color="000000"/>
              <w:left w:val="single" w:sz="13" w:space="0" w:color="FFFFFF"/>
              <w:bottom w:val="single" w:sz="4" w:space="0" w:color="000000"/>
              <w:right w:val="nil" w:sz="6" w:space="0" w:color="auto"/>
            </w:tcBorders>
          </w:tcPr>
          <w:p>
            <w:pPr/>
          </w:p>
        </w:tc>
        <w:tc>
          <w:tcPr>
            <w:tcW w:w="215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290,978,858.04</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241,970,432.33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45,305,960.48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36,092,718.69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245,672,897.56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205,877,713.64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45" w:right="0"/>
              <w:jc w:val="left"/>
              <w:rPr>
                <w:rFonts w:ascii="Times New Roman" w:hAnsi="Times New Roman" w:cs="Times New Roman" w:eastAsia="Times New Roman" w:hint="default"/>
                <w:sz w:val="18"/>
                <w:szCs w:val="18"/>
              </w:rPr>
            </w:pPr>
            <w:r>
              <w:rPr>
                <w:rFonts w:ascii="Times New Roman"/>
                <w:sz w:val="18"/>
              </w:rPr>
              <w:t>245,672,897.56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205,877,713.64</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230,046,221.21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205,877,713.64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15,626,676.35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 值变动</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245,672,897.56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205,877,713.64</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230,046,221.21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205,877,713.64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15,626,676.35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0.97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0.97</w:t>
            </w:r>
          </w:p>
        </w:tc>
      </w:tr>
    </w:tbl>
    <w:p>
      <w:pPr>
        <w:tabs>
          <w:tab w:pos="3758" w:val="left" w:leader="none"/>
          <w:tab w:pos="7901" w:val="left" w:leader="none"/>
        </w:tabs>
        <w:spacing w:line="592" w:lineRule="auto" w:before="51"/>
        <w:ind w:left="152" w:right="1222"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法定代表人：许文杰</w:t>
        <w:tab/>
      </w:r>
      <w:r>
        <w:rPr>
          <w:rFonts w:ascii="宋体" w:hAnsi="宋体" w:cs="宋体" w:eastAsia="宋体" w:hint="default"/>
          <w:spacing w:val="-1"/>
          <w:sz w:val="18"/>
          <w:szCs w:val="18"/>
        </w:rPr>
        <w:t>主管会计工作负责人：梁姬</w:t>
        <w:tab/>
      </w:r>
      <w:r>
        <w:rPr>
          <w:rFonts w:ascii="宋体" w:hAnsi="宋体" w:cs="宋体" w:eastAsia="宋体" w:hint="default"/>
          <w:sz w:val="18"/>
          <w:szCs w:val="18"/>
        </w:rPr>
        <w:t>会计机构负责人：黄宇</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09" w:right="0"/>
              <w:jc w:val="left"/>
              <w:rPr>
                <w:rFonts w:ascii="Times New Roman" w:hAnsi="Times New Roman" w:cs="Times New Roman" w:eastAsia="Times New Roman" w:hint="default"/>
                <w:sz w:val="18"/>
                <w:szCs w:val="18"/>
              </w:rPr>
            </w:pPr>
            <w:r>
              <w:rPr>
                <w:rFonts w:ascii="Times New Roman"/>
                <w:sz w:val="18"/>
              </w:rPr>
              <w:t>3,601,463,771.12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09" w:right="0"/>
              <w:jc w:val="left"/>
              <w:rPr>
                <w:rFonts w:ascii="Times New Roman" w:hAnsi="Times New Roman" w:cs="Times New Roman" w:eastAsia="Times New Roman" w:hint="default"/>
                <w:sz w:val="18"/>
                <w:szCs w:val="18"/>
              </w:rPr>
            </w:pPr>
            <w:r>
              <w:rPr>
                <w:rFonts w:ascii="Times New Roman"/>
                <w:sz w:val="18"/>
              </w:rPr>
              <w:t>3,222,666,057.89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2,991,596,620.50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2,578,222,492.31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20,055,895.38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12,876,406.25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108,054,950.15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104,539,228.27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106,535,081.90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157,177,180.15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115,162,355.71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110,388,843.38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-8,352,550.67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9,639,494.71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6,283,937.50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11,531,247.63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18,952,182.92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3,979,012.97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11,002,037.80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13,108,486.83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15,497,796.94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14,645,329.23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-1,156,491.08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-89,896.14</w:t>
            </w: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-6,280.56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1,508,894.23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信用减值损失（损失以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-37,700,753.43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-2,832,845.61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-41,047,837.87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-104,025.58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399,235.18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255,782,522.50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236,927,626.19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1,327,915.32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6,203,996.36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2,724,545.18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1,808,299.60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254,385,892.64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241,323,322.95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39,480,467.16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35,888,726.11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214,905,425.48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205,434,596.84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214,905,425.48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205,434,596.84</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214,905,425.48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3" w:right="0"/>
              <w:jc w:val="left"/>
              <w:rPr>
                <w:rFonts w:ascii="Times New Roman" w:hAnsi="Times New Roman" w:cs="Times New Roman" w:eastAsia="Times New Roman" w:hint="default"/>
                <w:sz w:val="18"/>
                <w:szCs w:val="18"/>
              </w:rPr>
            </w:pPr>
            <w:r>
              <w:rPr>
                <w:rFonts w:ascii="Times New Roman"/>
                <w:sz w:val="18"/>
              </w:rPr>
              <w:t>205,434,596.84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3,706,652,692.57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3,310,690,699.01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320,246,034.20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163,327,629.45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4,026,898,726.77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3,474,018,328.46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2,566,976,702.07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1,943,041,287.15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453,137,226.10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861,060,515.58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184,278,765.58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139,750,942.77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352,789,650.92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359,235,329.18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3,557,182,344.67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3,303,088,074.68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469,716,382.10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170,930,253.78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17,344,773.68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14,735,225.37</w:t>
            </w:r>
            <w:r>
              <w:rPr>
                <w:rFonts w:ascii="Times New Roman"/>
                <w:sz w:val="18"/>
              </w:rPr>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1,584,172.79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2,301,179.79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1,592,328,946.47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17,036,405.16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183,414,884.02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20,636,277.76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1,812,210,783.56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169,600,000.00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182,949,539.93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2,178,575,207.51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191,736,277.76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-586,246,261.04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-174,699,872.60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1,275,839,070.00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22,290,000.00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1,035,000,000.00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2,310,839,070.00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1,200,837,730.28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35,896,965.81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38,143,373.37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27,648,763.96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31,509,161.03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498,545,729.77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1,270,490,264.68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-41,255,729.77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1,040,348,805.32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-157,785,608.71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1,036,579,186.50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1,197,474,739.70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160,895,553.20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1,039,689,130.99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1,197,474,739.70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8"/>
          <w:szCs w:val="28"/>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3,603,807,692.11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3,299,504,700.92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348,321,313.50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163,247,862.94</w:t>
            </w:r>
            <w:r>
              <w:rPr>
                <w:rFonts w:ascii="Times New Roman"/>
                <w:sz w:val="18"/>
              </w:rPr>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3,952,129,005.61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3,462,752,563.86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2,460,925,855.25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1,938,953,220.57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444,523,899.52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851,840,886.45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181,365,476.04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139,019,744.75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403,164,031.37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359,100,499.10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3,489,979,262.18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3,288,914,350.87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462,149,743.43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173,838,212.99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16,998,918.97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14,735,225.37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1,584,172.79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2,295,619.79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1,610,983,091.76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17,030,845.16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174,770,867.49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20,631,617.76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1,873,400,000.00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169,600,000.00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208,945,000.00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2,257,115,867.49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191,731,617.76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-646,132,775.73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-174,700,772.60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1,275,839,070.00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1,035,000,000.00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2,310,839,070.00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1,200,837,730.28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35,896,965.81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38,143,373.37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27,470,513.96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31,509,161.03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498,367,479.77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1,270,490,264.68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-63,367,479.77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1,040,348,805.32</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-247,350,512.07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1,039,486,245.71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1,152,704,539.83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113,218,294.12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905,354,027.76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1,152,704,539.83</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4"/>
        <w:gridCol w:w="583"/>
        <w:gridCol w:w="583"/>
        <w:gridCol w:w="583"/>
        <w:gridCol w:w="586"/>
        <w:gridCol w:w="584"/>
        <w:gridCol w:w="583"/>
        <w:gridCol w:w="586"/>
        <w:gridCol w:w="578"/>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2"/>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5"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220,7</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1,406,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305,87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1.38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38,930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104,81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1,789.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859,51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5,190.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2,630,</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309,97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2,630,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309,97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0.50</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7"/>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220,7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1,406,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305,87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1.38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38,930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104,81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1,789.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859,51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5,190.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2,630,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309,97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2,630,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309,97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
                <w:sz w:val="18"/>
                <w:szCs w:val="18"/>
              </w:rPr>
              <w:t>三、本期增减变</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 w:right="0"/>
              <w:jc w:val="left"/>
              <w:rPr>
                <w:rFonts w:ascii="Times New Roman" w:hAnsi="Times New Roman" w:cs="Times New Roman" w:eastAsia="Times New Roman" w:hint="default"/>
                <w:sz w:val="18"/>
                <w:szCs w:val="18"/>
              </w:rPr>
            </w:pPr>
            <w:r>
              <w:rPr>
                <w:rFonts w:ascii="Times New Roman"/>
                <w:sz w:val="18"/>
              </w:rPr>
              <w:t>12,714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 w:right="0"/>
              <w:jc w:val="left"/>
              <w:rPr>
                <w:rFonts w:ascii="Times New Roman" w:hAnsi="Times New Roman" w:cs="Times New Roman" w:eastAsia="Times New Roman" w:hint="default"/>
                <w:sz w:val="18"/>
                <w:szCs w:val="18"/>
              </w:rPr>
            </w:pPr>
            <w:r>
              <w:rPr>
                <w:rFonts w:ascii="Times New Roman"/>
                <w:sz w:val="18"/>
              </w:rPr>
              <w:t>21,490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0" w:right="0"/>
              <w:jc w:val="left"/>
              <w:rPr>
                <w:rFonts w:ascii="Times New Roman" w:hAnsi="Times New Roman" w:cs="Times New Roman" w:eastAsia="Times New Roman" w:hint="default"/>
                <w:sz w:val="18"/>
                <w:szCs w:val="18"/>
              </w:rPr>
            </w:pPr>
            <w:r>
              <w:rPr>
                <w:rFonts w:ascii="Times New Roman"/>
                <w:sz w:val="18"/>
              </w:rPr>
              <w:t>182,06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 w:right="0"/>
              <w:jc w:val="left"/>
              <w:rPr>
                <w:rFonts w:ascii="Times New Roman" w:hAnsi="Times New Roman" w:cs="Times New Roman" w:eastAsia="Times New Roman" w:hint="default"/>
                <w:sz w:val="18"/>
                <w:szCs w:val="18"/>
              </w:rPr>
            </w:pPr>
            <w:r>
              <w:rPr>
                <w:rFonts w:ascii="Times New Roman"/>
                <w:sz w:val="18"/>
              </w:rPr>
              <w:t>216,27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9" w:right="0"/>
              <w:jc w:val="left"/>
              <w:rPr>
                <w:rFonts w:ascii="Times New Roman" w:hAnsi="Times New Roman" w:cs="Times New Roman" w:eastAsia="Times New Roman" w:hint="default"/>
                <w:sz w:val="18"/>
                <w:szCs w:val="18"/>
              </w:rPr>
            </w:pPr>
            <w:r>
              <w:rPr>
                <w:rFonts w:ascii="Times New Roman"/>
                <w:sz w:val="18"/>
              </w:rPr>
              <w:t>70,096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 w:right="0"/>
              <w:jc w:val="left"/>
              <w:rPr>
                <w:rFonts w:ascii="Times New Roman" w:hAnsi="Times New Roman" w:cs="Times New Roman" w:eastAsia="Times New Roman" w:hint="default"/>
                <w:sz w:val="18"/>
                <w:szCs w:val="18"/>
              </w:rPr>
            </w:pPr>
            <w:r>
              <w:rPr>
                <w:rFonts w:ascii="Times New Roman"/>
                <w:sz w:val="18"/>
              </w:rPr>
              <w:t>286,36</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4"/>
        <w:gridCol w:w="583"/>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9"/>
                <w:sz w:val="18"/>
                <w:szCs w:val="18"/>
              </w:rPr>
              <w:t>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,891.7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,542.5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0" w:right="0"/>
              <w:jc w:val="left"/>
              <w:rPr>
                <w:rFonts w:ascii="Times New Roman" w:hAnsi="Times New Roman" w:cs="Times New Roman" w:eastAsia="Times New Roman" w:hint="default"/>
                <w:sz w:val="18"/>
                <w:szCs w:val="18"/>
              </w:rPr>
            </w:pPr>
            <w:r>
              <w:rPr>
                <w:rFonts w:ascii="Times New Roman"/>
                <w:sz w:val="18"/>
              </w:rPr>
              <w:t>6,117.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sz w:val="18"/>
              </w:rPr>
              <w:t>1,551.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5" w:right="0"/>
              <w:jc w:val="left"/>
              <w:rPr>
                <w:rFonts w:ascii="Times New Roman" w:hAnsi="Times New Roman" w:cs="Times New Roman" w:eastAsia="Times New Roman" w:hint="default"/>
                <w:sz w:val="18"/>
                <w:szCs w:val="18"/>
              </w:rPr>
            </w:pPr>
            <w:r>
              <w:rPr>
                <w:rFonts w:ascii="Times New Roman"/>
                <w:sz w:val="18"/>
              </w:rPr>
              <w:t>7,789.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69</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230,04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6,221.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230,04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6,221.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245,67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2,897.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56</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54,469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54,469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-47,98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0,104.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64</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-21,49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0,542.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64</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4"/>
        <w:gridCol w:w="583"/>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30,196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30,196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30,196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17,481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220,7</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1,406,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305,87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1.38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51,645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126,30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2,331.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2" w:right="0"/>
              <w:jc w:val="center"/>
              <w:rPr>
                <w:rFonts w:ascii="Times New Roman" w:hAnsi="Times New Roman" w:cs="Times New Roman" w:eastAsia="Times New Roman" w:hint="default"/>
                <w:sz w:val="18"/>
                <w:szCs w:val="18"/>
              </w:rPr>
            </w:pPr>
            <w:r>
              <w:rPr>
                <w:rFonts w:ascii="Times New Roman"/>
                <w:sz w:val="18"/>
              </w:rPr>
              <w:t>1,041,</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581,30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7.63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2,846,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581,52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1.81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,238.3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Times New Roman" w:hAnsi="Times New Roman" w:cs="Times New Roman" w:eastAsia="Times New Roman" w:hint="default"/>
                <w:sz w:val="18"/>
                <w:szCs w:val="18"/>
              </w:rPr>
            </w:pPr>
            <w:r>
              <w:rPr>
                <w:rFonts w:ascii="Times New Roman"/>
                <w:sz w:val="18"/>
              </w:rPr>
              <w:t>2,916,</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677,76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0.19</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8"/>
        <w:gridCol w:w="588"/>
        <w:gridCol w:w="567"/>
        <w:gridCol w:w="569"/>
        <w:gridCol w:w="641"/>
        <w:gridCol w:w="653"/>
      </w:tblGrid>
      <w:tr>
        <w:trPr>
          <w:trHeight w:val="403"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3"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165,5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59,74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205,53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1,891.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700,67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0,498.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1,189,</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539,73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7.08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72"/>
              <w:jc w:val="center"/>
              <w:rPr>
                <w:rFonts w:ascii="宋体" w:hAnsi="宋体" w:cs="宋体" w:eastAsia="宋体" w:hint="default"/>
                <w:sz w:val="18"/>
                <w:szCs w:val="18"/>
              </w:rPr>
            </w:pPr>
            <w:r>
              <w:rPr>
                <w:rFonts w:ascii="宋体" w:hAnsi="宋体" w:cs="宋体" w:eastAsia="宋体" w:hint="default"/>
                <w:sz w:val="18"/>
                <w:szCs w:val="18"/>
              </w:rPr>
              <w:t>二、本年期初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left"/>
              <w:rPr>
                <w:rFonts w:ascii="Times New Roman" w:hAnsi="Times New Roman" w:cs="Times New Roman" w:eastAsia="Times New Roman" w:hint="default"/>
                <w:sz w:val="18"/>
                <w:szCs w:val="18"/>
              </w:rPr>
            </w:pPr>
            <w:r>
              <w:rPr>
                <w:rFonts w:ascii="Times New Roman"/>
                <w:sz w:val="18"/>
              </w:rPr>
              <w:t>165,5</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205,53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33,509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84,268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2" w:right="0"/>
              <w:jc w:val="left"/>
              <w:rPr>
                <w:rFonts w:ascii="Times New Roman" w:hAnsi="Times New Roman" w:cs="Times New Roman" w:eastAsia="Times New Roman" w:hint="default"/>
                <w:sz w:val="18"/>
                <w:szCs w:val="18"/>
              </w:rPr>
            </w:pPr>
            <w:r>
              <w:rPr>
                <w:rFonts w:ascii="Times New Roman"/>
                <w:sz w:val="18"/>
              </w:rPr>
              <w:t>700,67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4" w:right="0"/>
              <w:jc w:val="left"/>
              <w:rPr>
                <w:rFonts w:ascii="Times New Roman" w:hAnsi="Times New Roman" w:cs="Times New Roman" w:eastAsia="Times New Roman" w:hint="default"/>
                <w:sz w:val="18"/>
                <w:szCs w:val="18"/>
              </w:rPr>
            </w:pPr>
            <w:r>
              <w:rPr>
                <w:rFonts w:ascii="Times New Roman"/>
                <w:sz w:val="18"/>
              </w:rPr>
              <w:t>1,189,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1" w:right="0"/>
              <w:jc w:val="left"/>
              <w:rPr>
                <w:rFonts w:ascii="Times New Roman" w:hAnsi="Times New Roman" w:cs="Times New Roman" w:eastAsia="Times New Roman" w:hint="default"/>
                <w:sz w:val="18"/>
                <w:szCs w:val="18"/>
              </w:rPr>
            </w:pPr>
            <w:r>
              <w:rPr>
                <w:rFonts w:ascii="Times New Roman"/>
                <w:sz w:val="18"/>
              </w:rPr>
              <w:t>1,189,5</w:t>
            </w:r>
          </w:p>
        </w:tc>
      </w:tr>
    </w:tbl>
    <w:p>
      <w:pPr>
        <w:spacing w:after="0" w:line="240" w:lineRule="auto"/>
        <w:jc w:val="left"/>
        <w:rPr>
          <w:rFonts w:ascii="Times New Roman" w:hAnsi="Times New Roman" w:cs="Times New Roman" w:eastAsia="Times New Roman" w:hint="default"/>
          <w:sz w:val="18"/>
          <w:szCs w:val="18"/>
        </w:rPr>
        <w:sectPr>
          <w:footerReference w:type="default" r:id="rId13"/>
          <w:pgSz w:w="11910" w:h="16840"/>
          <w:pgMar w:footer="974" w:header="748"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left"/>
              <w:rPr>
                <w:rFonts w:ascii="Times New Roman" w:hAnsi="Times New Roman" w:cs="Times New Roman" w:eastAsia="Times New Roman" w:hint="default"/>
                <w:sz w:val="18"/>
                <w:szCs w:val="18"/>
              </w:rPr>
            </w:pPr>
            <w:r>
              <w:rPr>
                <w:rFonts w:ascii="Times New Roman"/>
                <w:sz w:val="18"/>
              </w:rPr>
              <w:t>59,74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3" w:right="0"/>
              <w:jc w:val="left"/>
              <w:rPr>
                <w:rFonts w:ascii="Times New Roman" w:hAnsi="Times New Roman" w:cs="Times New Roman" w:eastAsia="Times New Roman" w:hint="default"/>
                <w:sz w:val="18"/>
                <w:szCs w:val="18"/>
              </w:rPr>
            </w:pPr>
            <w:r>
              <w:rPr>
                <w:rFonts w:ascii="Times New Roman"/>
                <w:sz w:val="18"/>
              </w:rPr>
              <w:t>1,891.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,270.3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,329.4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sz w:val="18"/>
              </w:rPr>
              <w:t>0,498.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 w:right="0"/>
              <w:jc w:val="center"/>
              <w:rPr>
                <w:rFonts w:ascii="Times New Roman" w:hAnsi="Times New Roman" w:cs="Times New Roman" w:eastAsia="Times New Roman" w:hint="default"/>
                <w:sz w:val="18"/>
                <w:szCs w:val="18"/>
              </w:rPr>
            </w:pPr>
            <w:r>
              <w:rPr>
                <w:rFonts w:ascii="Times New Roman"/>
                <w:sz w:val="18"/>
              </w:rPr>
              <w:t>539,73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7.08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39,737.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55,18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773,97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9.43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5,421,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501.99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158,84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4,692.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1,440,</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770,23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3.42</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70,233.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205,87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7,713.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205,87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7,713.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205,877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,713.64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55,18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773,97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9.43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1,255,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960,57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9.43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60,579.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55,18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6,600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773,97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9.43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1,255,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960,57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9.43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60,579.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-47,03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3,021.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-26,489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,561.64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-20,54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3,459.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-26,48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9,561.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-26,489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,561.64</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4" w:header="748"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67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96"/>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left"/>
              <w:rPr>
                <w:rFonts w:ascii="Times New Roman" w:hAnsi="Times New Roman" w:cs="Times New Roman" w:eastAsia="Times New Roman" w:hint="default"/>
                <w:sz w:val="18"/>
                <w:szCs w:val="18"/>
              </w:rPr>
            </w:pPr>
            <w:r>
              <w:rPr>
                <w:rFonts w:ascii="Times New Roman"/>
                <w:sz w:val="18"/>
              </w:rPr>
              <w:t>5,421,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501.99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5,421,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501.99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5,421,5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01.99</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25,705,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586.00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20,284,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084.01</w:t>
            </w: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220,7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1,406,</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305,87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1.38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104,81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1,789.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859,51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5,190.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2,630,</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309,97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0.50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09,970.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10"/>
        <w:rPr>
          <w:rFonts w:ascii="Times New Roman" w:hAnsi="Times New Roman" w:cs="Times New Roman" w:eastAsia="Times New Roman" w:hint="default"/>
          <w:sz w:val="21"/>
          <w:szCs w:val="21"/>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2"/>
        <w:gridCol w:w="605"/>
        <w:gridCol w:w="727"/>
        <w:gridCol w:w="728"/>
        <w:gridCol w:w="725"/>
        <w:gridCol w:w="727"/>
        <w:gridCol w:w="728"/>
        <w:gridCol w:w="614"/>
        <w:gridCol w:w="710"/>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68" w:right="8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6,347.0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1,404,45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2,245.18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38,930,7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72.35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104,811,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789.16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860,29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8,813.1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2,629,239,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966.81</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2"/>
        <w:gridCol w:w="605"/>
        <w:gridCol w:w="727"/>
        <w:gridCol w:w="728"/>
        <w:gridCol w:w="725"/>
        <w:gridCol w:w="727"/>
        <w:gridCol w:w="728"/>
        <w:gridCol w:w="614"/>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6,347.0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1,404,45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2,245.18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38,930,7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72.35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104,811,</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789.16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860,29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8,813.1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2,629,239,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966.81</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12,714,8</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91.74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21,490,5</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42.55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166,92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5,321.2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201,130,7</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55.58</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5,425.4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214,905,4</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25.48</w:t>
            </w: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21,490,5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42.55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-47,980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,104.19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-26,489,56</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1.64</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21,490,5</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42.55</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-21,490</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,542.55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-26,489</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,561.64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-26,489,56</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1.64</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2"/>
        <w:gridCol w:w="605"/>
        <w:gridCol w:w="727"/>
        <w:gridCol w:w="728"/>
        <w:gridCol w:w="725"/>
        <w:gridCol w:w="727"/>
        <w:gridCol w:w="728"/>
        <w:gridCol w:w="614"/>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12,714,8</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91.74</w:t>
            </w: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12,714,89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1.74</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30,196,1</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56.68</w:t>
            </w: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30,196,15</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6.68</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17,481,2</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64.94</w:t>
            </w: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17,481,26</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4.94</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6,347.0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1,404,45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2,245.18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51,645,6</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64.09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126,302,</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331.71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1,027,2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24,134.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41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2,830,370,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722.39</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7"/>
        <w:gridCol w:w="684"/>
        <w:gridCol w:w="782"/>
        <w:gridCol w:w="665"/>
        <w:gridCol w:w="797"/>
        <w:gridCol w:w="797"/>
        <w:gridCol w:w="931"/>
      </w:tblGrid>
      <w:tr>
        <w:trPr>
          <w:trHeight w:val="402"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305" w:right="31"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92"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165,55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9,747.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203,678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,265.75</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33,509,27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84,268,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329.48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701,897,2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1,188,912,8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50.19</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1"/>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165,55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9,747.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203,678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,265.75</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33,509,27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84,268,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329.48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701,897,2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1,188,912,8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50.19</w:t>
            </w: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55,186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73,979.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5,421,501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20,543,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459.68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158,401,5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75.52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1,440,327,1</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16.62</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205,434,5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96.84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205,434,59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6.84</w:t>
            </w:r>
          </w:p>
        </w:tc>
      </w:tr>
      <w:tr>
        <w:trPr>
          <w:trHeight w:val="67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55,186</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1,200,7</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73,979.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1,255,960,5</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7"/>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z w:val="18"/>
              </w:rPr>
              <w:t>43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91" w:right="0"/>
              <w:jc w:val="left"/>
              <w:rPr>
                <w:rFonts w:ascii="Times New Roman" w:hAnsi="Times New Roman" w:cs="Times New Roman" w:eastAsia="Times New Roman" w:hint="default"/>
                <w:sz w:val="18"/>
                <w:szCs w:val="18"/>
              </w:rPr>
            </w:pPr>
            <w:r>
              <w:rPr>
                <w:rFonts w:ascii="Times New Roman"/>
                <w:sz w:val="18"/>
              </w:rPr>
              <w:t>79.43</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55,186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73,979.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1,255,960,5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79.43</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20,543,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459.68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-47,033,0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21.32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-26,489,561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20,543,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459.68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-20,543,4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59.68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-26,489,5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61.64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-26,489,561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5,421,501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5,421,501.9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25,705,58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25,705,586.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7"/>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20,284,08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4.01</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20,284,084.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220,74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6,347.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52,245.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38,930,77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104,811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,789.16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860,298,8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13.12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2,629,239,9</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66.81</w:t>
            </w:r>
          </w:p>
        </w:tc>
      </w:tr>
    </w:tbl>
    <w:p>
      <w:pPr>
        <w:spacing w:line="240" w:lineRule="auto" w:before="9"/>
        <w:rPr>
          <w:rFonts w:ascii="Times New Roman" w:hAnsi="Times New Roman" w:cs="Times New Roman" w:eastAsia="Times New Roman" w:hint="default"/>
          <w:sz w:val="20"/>
          <w:szCs w:val="20"/>
        </w:rPr>
      </w:pPr>
    </w:p>
    <w:p>
      <w:pPr>
        <w:pStyle w:val="Heading3"/>
        <w:spacing w:line="240" w:lineRule="auto" w:before="26"/>
        <w:ind w:right="1057"/>
        <w:jc w:val="left"/>
        <w:rPr>
          <w:b w:val="0"/>
          <w:bCs w:val="0"/>
        </w:rPr>
      </w:pPr>
      <w:r>
        <w:rPr/>
        <w:t>三、公司基本情况</w:t>
      </w:r>
      <w:r>
        <w:rPr>
          <w:b w:val="0"/>
          <w:bCs w:val="0"/>
        </w:rPr>
      </w:r>
    </w:p>
    <w:p>
      <w:pPr>
        <w:spacing w:line="240" w:lineRule="auto" w:before="9"/>
        <w:rPr>
          <w:rFonts w:ascii="宋体" w:hAnsi="宋体" w:cs="宋体" w:eastAsia="宋体" w:hint="default"/>
          <w:b/>
          <w:bCs/>
          <w:sz w:val="23"/>
          <w:szCs w:val="23"/>
        </w:rPr>
      </w:pPr>
    </w:p>
    <w:p>
      <w:pPr>
        <w:pStyle w:val="BodyText"/>
        <w:spacing w:line="228" w:lineRule="auto"/>
        <w:ind w:right="1000" w:firstLine="48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日，经中国证券监督管理委员会证监许可</w:t>
      </w:r>
      <w:r>
        <w:rPr>
          <w:rFonts w:ascii="Times New Roman" w:hAnsi="Times New Roman" w:cs="Times New Roman" w:eastAsia="Times New Roman" w:hint="default"/>
        </w:rPr>
        <w:t>[2018]262</w:t>
      </w:r>
      <w:r>
        <w:rPr/>
        <w:t>号《关于核准润建通信股 </w:t>
      </w:r>
      <w:r>
        <w:rPr>
          <w:spacing w:val="-7"/>
        </w:rPr>
        <w:t>份有限公司首次公开发行股份的批复》核准，润建股份有限公司（以下简称</w:t>
      </w:r>
      <w:r>
        <w:rPr>
          <w:rFonts w:ascii="Times New Roman" w:hAnsi="Times New Roman" w:cs="Times New Roman" w:eastAsia="Times New Roman" w:hint="default"/>
          <w:spacing w:val="-7"/>
        </w:rPr>
        <w:t>“</w:t>
      </w:r>
      <w:r>
        <w:rPr>
          <w:spacing w:val="-7"/>
        </w:rPr>
        <w:t>本公司</w:t>
      </w:r>
      <w:r>
        <w:rPr>
          <w:rFonts w:ascii="Times New Roman" w:hAnsi="Times New Roman" w:cs="Times New Roman" w:eastAsia="Times New Roman" w:hint="default"/>
          <w:spacing w:val="-7"/>
        </w:rPr>
        <w:t>”</w:t>
      </w:r>
      <w:r>
        <w:rPr>
          <w:spacing w:val="-7"/>
        </w:rPr>
        <w:t>或</w:t>
      </w:r>
      <w:r>
        <w:rPr>
          <w:rFonts w:ascii="Times New Roman" w:hAnsi="Times New Roman" w:cs="Times New Roman" w:eastAsia="Times New Roman" w:hint="default"/>
          <w:spacing w:val="-7"/>
        </w:rPr>
        <w:t>“</w:t>
      </w:r>
      <w:r>
        <w:rPr>
          <w:spacing w:val="-7"/>
        </w:rPr>
        <w:t>公司</w:t>
      </w:r>
      <w:r>
        <w:rPr>
          <w:rFonts w:ascii="Times New Roman" w:hAnsi="Times New Roman" w:cs="Times New Roman" w:eastAsia="Times New Roman" w:hint="default"/>
          <w:spacing w:val="-7"/>
        </w:rPr>
        <w:t>”</w:t>
      </w:r>
      <w:r>
        <w:rPr>
          <w:spacing w:val="-7"/>
        </w:rPr>
        <w:t>）</w:t>
      </w:r>
      <w:r>
        <w:rPr>
          <w:spacing w:val="-79"/>
        </w:rPr>
        <w:t> </w:t>
      </w:r>
      <w:r>
        <w:rPr>
          <w:spacing w:val="2"/>
        </w:rPr>
        <w:t>首次向社会公开发行人民币普通股（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55,186,600.00</w:t>
      </w:r>
      <w:r>
        <w:rPr>
          <w:spacing w:val="2"/>
        </w:rPr>
        <w:t>股。本公司股票于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22"/>
        </w:rPr>
        <w:t> </w:t>
      </w:r>
      <w:r>
        <w:rPr>
          <w:spacing w:val="31"/>
        </w:rPr>
        <w:t>日在深圳证券交易</w:t>
      </w:r>
      <w:r>
        <w:rPr>
          <w:spacing w:val="-81"/>
        </w:rPr>
        <w:t> </w:t>
      </w:r>
      <w:r>
        <w:rPr>
          <w:spacing w:val="31"/>
        </w:rPr>
        <w:t>所中小版挂牌交易</w:t>
      </w:r>
      <w:r>
        <w:rPr>
          <w:spacing w:val="-81"/>
        </w:rPr>
        <w:t> </w:t>
      </w:r>
      <w:r>
        <w:rPr>
          <w:spacing w:val="31"/>
        </w:rPr>
        <w:t>。首次公开发行股</w:t>
      </w:r>
      <w:r>
        <w:rPr>
          <w:spacing w:val="-81"/>
        </w:rPr>
        <w:t> </w:t>
      </w:r>
      <w:r>
        <w:rPr>
          <w:spacing w:val="31"/>
        </w:rPr>
        <w:t>票后，本公司股本</w:t>
      </w:r>
      <w:r>
        <w:rPr>
          <w:spacing w:val="-81"/>
        </w:rPr>
        <w:t> </w:t>
      </w:r>
      <w:r>
        <w:rPr>
          <w:spacing w:val="18"/>
        </w:rPr>
        <w:t>总额</w:t>
      </w:r>
      <w:r>
        <w:rPr>
          <w:spacing w:val="-81"/>
        </w:rPr>
        <w:t> </w:t>
      </w:r>
      <w:r>
        <w:rPr/>
        <w:t>由</w:t>
      </w:r>
      <w:r>
        <w:rPr>
          <w:spacing w:val="-114"/>
        </w:rPr>
        <w:t> </w:t>
      </w:r>
      <w:r>
        <w:rPr>
          <w:spacing w:val="-114"/>
        </w:rPr>
      </w:r>
      <w:r>
        <w:rPr>
          <w:rFonts w:ascii="Times New Roman" w:hAnsi="Times New Roman" w:cs="Times New Roman" w:eastAsia="Times New Roman" w:hint="default"/>
        </w:rPr>
        <w:t>165,559,747.00</w:t>
      </w:r>
      <w:r>
        <w:rPr>
          <w:rFonts w:ascii="Times New Roman" w:hAnsi="Times New Roman" w:cs="Times New Roman" w:eastAsia="Times New Roman" w:hint="default"/>
          <w:spacing w:val="-36"/>
        </w:rPr>
        <w:t> </w:t>
      </w:r>
      <w:r>
        <w:rPr>
          <w:spacing w:val="18"/>
        </w:rPr>
        <w:t>股变更为</w:t>
      </w:r>
      <w:r>
        <w:rPr>
          <w:spacing w:val="-96"/>
        </w:rPr>
        <w:t> </w:t>
      </w:r>
      <w:r>
        <w:rPr>
          <w:rFonts w:ascii="Times New Roman" w:hAnsi="Times New Roman" w:cs="Times New Roman" w:eastAsia="Times New Roman" w:hint="default"/>
        </w:rPr>
        <w:t>220,746,347.00</w:t>
      </w:r>
      <w:r>
        <w:rPr>
          <w:rFonts w:ascii="Times New Roman" w:hAnsi="Times New Roman" w:cs="Times New Roman" w:eastAsia="Times New Roman" w:hint="default"/>
          <w:spacing w:val="-36"/>
        </w:rPr>
        <w:t> </w:t>
      </w:r>
      <w:r>
        <w:rPr>
          <w:spacing w:val="12"/>
        </w:rPr>
        <w:t>股。</w:t>
      </w:r>
      <w:r>
        <w:rPr>
          <w:spacing w:val="-9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t>年</w:t>
      </w:r>
      <w:r>
        <w:rPr>
          <w:spacing w:val="-96"/>
        </w:rPr>
        <w:t> </w:t>
      </w: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月</w:t>
      </w:r>
      <w:r>
        <w:rPr>
          <w:spacing w:val="-96"/>
        </w:rPr>
        <w:t> </w:t>
      </w:r>
      <w:r>
        <w:rPr>
          <w:rFonts w:ascii="Times New Roman" w:hAnsi="Times New Roman" w:cs="Times New Roman" w:eastAsia="Times New Roman" w:hint="default"/>
        </w:rPr>
        <w:t>9</w:t>
      </w:r>
      <w:r>
        <w:rPr>
          <w:rFonts w:ascii="Times New Roman" w:hAnsi="Times New Roman" w:cs="Times New Roman" w:eastAsia="Times New Roman" w:hint="default"/>
          <w:spacing w:val="-36"/>
        </w:rPr>
        <w:t> </w:t>
      </w:r>
      <w:r>
        <w:rPr>
          <w:spacing w:val="22"/>
        </w:rPr>
        <w:t>日本公司注册资本变更为人民币</w:t>
      </w:r>
    </w:p>
    <w:p>
      <w:pPr>
        <w:pStyle w:val="BodyText"/>
        <w:spacing w:line="304" w:lineRule="exact"/>
        <w:ind w:right="1057"/>
        <w:jc w:val="left"/>
      </w:pPr>
      <w:r>
        <w:rPr>
          <w:rFonts w:ascii="Times New Roman" w:hAnsi="Times New Roman" w:cs="Times New Roman" w:eastAsia="Times New Roman" w:hint="default"/>
        </w:rPr>
        <w:t>220,746,347.00</w:t>
      </w:r>
      <w:r>
        <w:rPr/>
        <w:t>元，上述出资已经大华会计师事务所（特殊普通合伙）验证，并于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p>
    <w:p>
      <w:pPr>
        <w:pStyle w:val="BodyText"/>
        <w:spacing w:line="312" w:lineRule="auto"/>
        <w:ind w:left="633" w:right="1057" w:hanging="481"/>
        <w:jc w:val="left"/>
      </w:pPr>
      <w:r>
        <w:rPr>
          <w:rFonts w:ascii="Times New Roman" w:hAnsi="Times New Roman" w:cs="Times New Roman" w:eastAsia="Times New Roman" w:hint="default"/>
        </w:rPr>
        <w:t>26</w:t>
      </w:r>
      <w:r>
        <w:rPr/>
        <w:t>日出具了大华验字</w:t>
      </w:r>
      <w:r>
        <w:rPr>
          <w:rFonts w:ascii="Times New Roman" w:hAnsi="Times New Roman" w:cs="Times New Roman" w:eastAsia="Times New Roman" w:hint="default"/>
        </w:rPr>
        <w:t>[2018]000095</w:t>
      </w:r>
      <w:r>
        <w:rPr/>
        <w:t>号《验资报告》。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日，本公司持有统一社会信用代码为</w:t>
      </w:r>
      <w:r>
        <w:rPr>
          <w:rFonts w:ascii="Times New Roman" w:hAnsi="Times New Roman" w:cs="Times New Roman" w:eastAsia="Times New Roman" w:hint="default"/>
          <w:spacing w:val="-2"/>
        </w:rPr>
        <w:t>9145000074512688XN</w:t>
      </w:r>
      <w:r>
        <w:rPr>
          <w:spacing w:val="-2"/>
        </w:rPr>
        <w:t>号的营业执</w:t>
      </w:r>
    </w:p>
    <w:p>
      <w:pPr>
        <w:pStyle w:val="BodyText"/>
        <w:spacing w:line="222" w:lineRule="exact"/>
        <w:ind w:right="0"/>
        <w:jc w:val="left"/>
      </w:pPr>
      <w:r>
        <w:rPr/>
        <w:t>照，注册资本人民币</w:t>
      </w:r>
      <w:r>
        <w:rPr>
          <w:rFonts w:ascii="Times New Roman" w:hAnsi="Times New Roman" w:cs="Times New Roman" w:eastAsia="Times New Roman" w:hint="default"/>
        </w:rPr>
        <w:t>220,746,347.00</w:t>
      </w:r>
      <w:r>
        <w:rPr/>
        <w:t>元，股份总数为</w:t>
      </w:r>
      <w:r>
        <w:rPr>
          <w:rFonts w:ascii="Times New Roman" w:hAnsi="Times New Roman" w:cs="Times New Roman" w:eastAsia="Times New Roman" w:hint="default"/>
        </w:rPr>
        <w:t>220,746,347.00</w:t>
      </w:r>
      <w:r>
        <w:rPr/>
        <w:t>股（每股面值</w:t>
      </w:r>
      <w:r>
        <w:rPr>
          <w:rFonts w:ascii="Times New Roman" w:hAnsi="Times New Roman" w:cs="Times New Roman" w:eastAsia="Times New Roman" w:hint="default"/>
        </w:rPr>
        <w:t>1</w:t>
      </w:r>
      <w:r>
        <w:rPr/>
        <w:t>元），其中：</w:t>
      </w:r>
    </w:p>
    <w:p>
      <w:pPr>
        <w:pStyle w:val="BodyText"/>
        <w:spacing w:line="319" w:lineRule="auto"/>
        <w:ind w:left="633" w:right="1140" w:hanging="481"/>
        <w:jc w:val="left"/>
      </w:pPr>
      <w:r>
        <w:rPr/>
        <w:t>有限售条件的流通股股份为</w:t>
      </w:r>
      <w:r>
        <w:rPr>
          <w:rFonts w:ascii="Times New Roman" w:hAnsi="Times New Roman" w:cs="Times New Roman" w:eastAsia="Times New Roman" w:hint="default"/>
        </w:rPr>
        <w:t>144,144,974.00</w:t>
      </w:r>
      <w:r>
        <w:rPr/>
        <w:t>股；无限售条件的流通股股份为</w:t>
      </w:r>
      <w:r>
        <w:rPr>
          <w:rFonts w:ascii="Times New Roman" w:hAnsi="Times New Roman" w:cs="Times New Roman" w:eastAsia="Times New Roman" w:hint="default"/>
        </w:rPr>
        <w:t>76,601,373.00</w:t>
      </w:r>
      <w:r>
        <w:rPr/>
        <w:t>股。 公司类型：上市公司；法定代表人：许文杰。 公司的经营地址：广西省南宁市青秀区民族大道</w:t>
      </w:r>
      <w:r>
        <w:rPr>
          <w:rFonts w:ascii="Times New Roman" w:hAnsi="Times New Roman" w:cs="Times New Roman" w:eastAsia="Times New Roman" w:hint="default"/>
        </w:rPr>
        <w:t>136-5</w:t>
      </w:r>
      <w:r>
        <w:rPr/>
        <w:t>号华润大厦</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32</w:t>
      </w:r>
      <w:r>
        <w:rPr/>
        <w:t>层。 公司经营范围：计算机信息系统集成，通信信息网络系统集成，信息系统的技术研发与</w:t>
      </w:r>
    </w:p>
    <w:p>
      <w:pPr>
        <w:pStyle w:val="BodyText"/>
        <w:spacing w:line="232" w:lineRule="exact"/>
        <w:ind w:right="1057"/>
        <w:jc w:val="left"/>
      </w:pPr>
      <w:r>
        <w:rPr/>
        <w:t>销售，软件开发，网络托管业务，增值电信业务，互联网数据服务，信息处理和存储支持服</w:t>
      </w:r>
    </w:p>
    <w:p>
      <w:pPr>
        <w:pStyle w:val="BodyText"/>
        <w:spacing w:line="237" w:lineRule="auto" w:before="1"/>
        <w:ind w:right="996"/>
        <w:jc w:val="left"/>
      </w:pPr>
      <w:r>
        <w:rPr/>
        <w:t>务，通信技术和产品的技术咨询、技术服务、技术研发，信息技术咨询服务；电信业务；计</w:t>
      </w:r>
      <w:r>
        <w:rPr>
          <w:spacing w:val="-88"/>
        </w:rPr>
        <w:t> </w:t>
      </w:r>
      <w:r>
        <w:rPr>
          <w:spacing w:val="-88"/>
        </w:rPr>
      </w:r>
      <w:r>
        <w:rPr/>
        <w:t>算机硬件整机、零配件制造，信息安全设备制造；计算机、软件及辅助设备、教学设备、电</w:t>
      </w:r>
      <w:r>
        <w:rPr>
          <w:spacing w:val="-86"/>
        </w:rPr>
        <w:t> </w:t>
      </w:r>
      <w:r>
        <w:rPr>
          <w:spacing w:val="-86"/>
        </w:rPr>
      </w:r>
      <w:r>
        <w:rPr/>
        <w:t>力、集中式快速充电站、分布式交流充电桩、机械设备的销售；网络产品、通讯设备、通讯</w:t>
      </w:r>
      <w:r>
        <w:rPr>
          <w:spacing w:val="-89"/>
        </w:rPr>
        <w:t> </w:t>
      </w:r>
      <w:r>
        <w:rPr>
          <w:spacing w:val="-89"/>
        </w:rPr>
      </w:r>
      <w:r>
        <w:rPr/>
        <w:t>器材、电池、五金产品及电子产品的开发、生产、销售及售后服务；新兴能源技术研发；稳</w:t>
      </w:r>
      <w:r>
        <w:rPr>
          <w:spacing w:val="-91"/>
        </w:rPr>
        <w:t> </w:t>
      </w:r>
      <w:r>
        <w:rPr>
          <w:spacing w:val="-91"/>
        </w:rPr>
      </w:r>
      <w:r>
        <w:rPr/>
        <w:t>压电源、不间断供电电源生产、销售、维修服务；机械设备租赁；电力技术咨询，节能方案</w:t>
      </w:r>
      <w:r>
        <w:rPr>
          <w:spacing w:val="-91"/>
        </w:rPr>
        <w:t> </w:t>
      </w:r>
      <w:r>
        <w:rPr>
          <w:spacing w:val="-91"/>
        </w:rPr>
      </w:r>
      <w:r>
        <w:rPr/>
        <w:t>技术咨询；合同能源管理；工程设计与咨询服务；教育咨询；通信网络维护与优化，通信铁</w:t>
      </w:r>
      <w:r>
        <w:rPr>
          <w:spacing w:val="-91"/>
        </w:rPr>
        <w:t> </w:t>
      </w:r>
      <w:r>
        <w:rPr>
          <w:spacing w:val="-91"/>
        </w:rPr>
      </w:r>
      <w:r>
        <w:rPr/>
        <w:t>塔维护，制冷空调设备安装与维修服务，节能技术推广服务；建筑物空调设备、通风设备系</w:t>
      </w:r>
      <w:r>
        <w:rPr>
          <w:spacing w:val="-86"/>
        </w:rPr>
        <w:t> </w:t>
      </w:r>
      <w:r>
        <w:rPr>
          <w:spacing w:val="-86"/>
        </w:rPr>
      </w:r>
      <w:r>
        <w:rPr/>
        <w:t>统安装服务；通信设施租赁；通信工程施工，建筑工程施工，建筑智能化工程设计与施工，</w:t>
      </w:r>
      <w:r>
        <w:rPr>
          <w:spacing w:val="-91"/>
        </w:rPr>
        <w:t> </w:t>
      </w:r>
      <w:r>
        <w:rPr>
          <w:spacing w:val="-91"/>
        </w:rPr>
      </w:r>
      <w:r>
        <w:rPr/>
        <w:t>机电工程施工，建筑装修装饰工程施工，市政公用工程施工，钢结构工程施工，送变电工程</w:t>
      </w:r>
      <w:r>
        <w:rPr>
          <w:spacing w:val="-89"/>
        </w:rPr>
        <w:t> </w:t>
      </w:r>
      <w:r>
        <w:rPr>
          <w:spacing w:val="-89"/>
        </w:rPr>
      </w:r>
      <w:r>
        <w:rPr>
          <w:spacing w:val="-2"/>
        </w:rPr>
        <w:t>施工，防雷技术及防雷工程施工，消防设施工程施工，地基与基础工程施工，电力工程施工，</w:t>
      </w:r>
      <w:r>
        <w:rPr/>
        <w:t> 水利水电工程施工，城市及道路照明工程施工，电力设施承装（修、试），安全技术防范系</w:t>
      </w:r>
      <w:r>
        <w:rPr>
          <w:spacing w:val="-91"/>
        </w:rPr>
        <w:t> </w:t>
      </w:r>
      <w:r>
        <w:rPr>
          <w:spacing w:val="-91"/>
        </w:rPr>
      </w:r>
      <w:r>
        <w:rPr/>
        <w:t>统设计、施工、维修，公路交通工程施工，防水防腐保温工程施工，环保工程施工，光伏电</w:t>
      </w:r>
      <w:r>
        <w:rPr>
          <w:spacing w:val="-91"/>
        </w:rPr>
        <w:t> </w:t>
      </w:r>
      <w:r>
        <w:rPr>
          <w:spacing w:val="-91"/>
        </w:rPr>
      </w:r>
      <w:r>
        <w:rPr/>
        <w:t>站工程施工，风力发电工程施工，节能工程施工，通信用户管线建设，施工劳务分包；进出</w:t>
      </w:r>
      <w:r>
        <w:rPr>
          <w:spacing w:val="-89"/>
        </w:rPr>
        <w:t> </w:t>
      </w:r>
      <w:r>
        <w:rPr>
          <w:spacing w:val="-89"/>
        </w:rPr>
      </w:r>
      <w:r>
        <w:rPr/>
        <w:t>口贸易。</w:t>
      </w:r>
    </w:p>
    <w:p>
      <w:pPr>
        <w:pStyle w:val="BodyText"/>
        <w:spacing w:line="312" w:lineRule="exact" w:before="149"/>
        <w:ind w:right="4154" w:firstLine="480"/>
        <w:jc w:val="left"/>
      </w:pPr>
      <w:r>
        <w:rPr/>
        <w:t>本公司的实际控制人为李建国、蒋鹂北。 本财务报表业经本公司董事会于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日决议批准报出。</w:t>
      </w:r>
    </w:p>
    <w:p>
      <w:pPr>
        <w:spacing w:after="0" w:line="312" w:lineRule="exact"/>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本报告期纳入合并财务报表范围的主体共</w:t>
      </w:r>
      <w:r>
        <w:rPr>
          <w:rFonts w:ascii="Times New Roman" w:hAnsi="Times New Roman" w:cs="Times New Roman" w:eastAsia="Times New Roman" w:hint="default"/>
          <w:sz w:val="18"/>
          <w:szCs w:val="18"/>
        </w:rPr>
        <w:t>18</w:t>
      </w:r>
      <w:r>
        <w:rPr>
          <w:rFonts w:ascii="宋体" w:hAnsi="宋体" w:cs="宋体" w:eastAsia="宋体" w:hint="default"/>
          <w:sz w:val="18"/>
          <w:szCs w:val="18"/>
        </w:rPr>
        <w:t>户，具体包括：</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840"/>
        <w:gridCol w:w="3020"/>
        <w:gridCol w:w="1068"/>
        <w:gridCol w:w="1716"/>
        <w:gridCol w:w="838"/>
        <w:gridCol w:w="842"/>
      </w:tblGrid>
      <w:tr>
        <w:trPr>
          <w:trHeight w:val="348" w:hRule="exact"/>
        </w:trPr>
        <w:tc>
          <w:tcPr>
            <w:tcW w:w="840" w:type="dxa"/>
            <w:vMerge w:val="restart"/>
            <w:tcBorders>
              <w:top w:val="single" w:sz="6" w:space="0" w:color="000000"/>
              <w:left w:val="single" w:sz="6" w:space="0" w:color="000000"/>
              <w:right w:val="single" w:sz="6" w:space="0" w:color="000000"/>
            </w:tcBorders>
          </w:tcPr>
          <w:p>
            <w:pPr>
              <w:pStyle w:val="TableParagraph"/>
              <w:spacing w:line="272" w:lineRule="exact"/>
              <w:ind w:left="120" w:right="0"/>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spacing w:val="65"/>
                <w:sz w:val="21"/>
                <w:szCs w:val="21"/>
              </w:rPr>
              <w:t> </w:t>
            </w:r>
            <w:r>
              <w:rPr>
                <w:rFonts w:ascii="宋体" w:hAnsi="宋体" w:cs="宋体" w:eastAsia="宋体" w:hint="default"/>
                <w:sz w:val="21"/>
                <w:szCs w:val="21"/>
              </w:rPr>
              <w:t>号</w:t>
            </w:r>
          </w:p>
        </w:tc>
        <w:tc>
          <w:tcPr>
            <w:tcW w:w="3020" w:type="dxa"/>
            <w:vMerge w:val="restart"/>
            <w:tcBorders>
              <w:top w:val="single" w:sz="6" w:space="0" w:color="000000"/>
              <w:left w:val="single" w:sz="6" w:space="0" w:color="000000"/>
              <w:right w:val="single" w:sz="6" w:space="0" w:color="000000"/>
            </w:tcBorders>
          </w:tcPr>
          <w:p>
            <w:pPr>
              <w:pStyle w:val="TableParagraph"/>
              <w:spacing w:line="272" w:lineRule="exact"/>
              <w:ind w:left="97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068" w:type="dxa"/>
            <w:vMerge w:val="restart"/>
            <w:tcBorders>
              <w:top w:val="single" w:sz="6" w:space="0" w:color="000000"/>
              <w:left w:val="single" w:sz="6" w:space="0" w:color="000000"/>
              <w:right w:val="single" w:sz="6" w:space="0" w:color="000000"/>
            </w:tcBorders>
          </w:tcPr>
          <w:p>
            <w:pPr>
              <w:pStyle w:val="TableParagraph"/>
              <w:spacing w:line="273" w:lineRule="auto"/>
              <w:ind w:left="422" w:right="101" w:hanging="315"/>
              <w:jc w:val="left"/>
              <w:rPr>
                <w:rFonts w:ascii="宋体" w:hAnsi="宋体" w:cs="宋体" w:eastAsia="宋体" w:hint="default"/>
                <w:sz w:val="21"/>
                <w:szCs w:val="21"/>
              </w:rPr>
            </w:pPr>
            <w:r>
              <w:rPr>
                <w:rFonts w:ascii="宋体" w:hAnsi="宋体" w:cs="宋体" w:eastAsia="宋体" w:hint="default"/>
                <w:sz w:val="21"/>
                <w:szCs w:val="21"/>
              </w:rPr>
              <w:t>子公司简</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716" w:type="dxa"/>
            <w:vMerge w:val="restart"/>
            <w:tcBorders>
              <w:top w:val="single" w:sz="6" w:space="0" w:color="000000"/>
              <w:left w:val="single" w:sz="6" w:space="0" w:color="000000"/>
              <w:right w:val="single" w:sz="6" w:space="0" w:color="000000"/>
            </w:tcBorders>
          </w:tcPr>
          <w:p>
            <w:pPr>
              <w:pStyle w:val="TableParagraph"/>
              <w:spacing w:line="272" w:lineRule="exact"/>
              <w:ind w:left="326" w:right="0"/>
              <w:jc w:val="left"/>
              <w:rPr>
                <w:rFonts w:ascii="宋体" w:hAnsi="宋体" w:cs="宋体" w:eastAsia="宋体" w:hint="default"/>
                <w:sz w:val="21"/>
                <w:szCs w:val="21"/>
              </w:rPr>
            </w:pPr>
            <w:r>
              <w:rPr>
                <w:rFonts w:ascii="宋体" w:hAnsi="宋体" w:cs="宋体" w:eastAsia="宋体" w:hint="default"/>
                <w:sz w:val="21"/>
                <w:szCs w:val="21"/>
              </w:rPr>
              <w:t>子公司关系</w:t>
            </w:r>
          </w:p>
        </w:tc>
        <w:tc>
          <w:tcPr>
            <w:tcW w:w="16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r>
      <w:tr>
        <w:trPr>
          <w:trHeight w:val="346" w:hRule="exact"/>
        </w:trPr>
        <w:tc>
          <w:tcPr>
            <w:tcW w:w="840" w:type="dxa"/>
            <w:vMerge/>
            <w:tcBorders>
              <w:left w:val="single" w:sz="6" w:space="0" w:color="000000"/>
              <w:bottom w:val="single" w:sz="6" w:space="0" w:color="000000"/>
              <w:right w:val="single" w:sz="6" w:space="0" w:color="000000"/>
            </w:tcBorders>
          </w:tcPr>
          <w:p>
            <w:pPr/>
          </w:p>
        </w:tc>
        <w:tc>
          <w:tcPr>
            <w:tcW w:w="3020" w:type="dxa"/>
            <w:vMerge/>
            <w:tcBorders>
              <w:left w:val="single" w:sz="6" w:space="0" w:color="000000"/>
              <w:bottom w:val="single" w:sz="6" w:space="0" w:color="000000"/>
              <w:right w:val="single" w:sz="6" w:space="0" w:color="000000"/>
            </w:tcBorders>
          </w:tcPr>
          <w:p>
            <w:pPr/>
          </w:p>
        </w:tc>
        <w:tc>
          <w:tcPr>
            <w:tcW w:w="1068" w:type="dxa"/>
            <w:vMerge/>
            <w:tcBorders>
              <w:left w:val="single" w:sz="6" w:space="0" w:color="000000"/>
              <w:bottom w:val="single" w:sz="6" w:space="0" w:color="000000"/>
              <w:right w:val="single" w:sz="6" w:space="0" w:color="000000"/>
            </w:tcBorders>
          </w:tcPr>
          <w:p>
            <w:pPr/>
          </w:p>
        </w:tc>
        <w:tc>
          <w:tcPr>
            <w:tcW w:w="1716" w:type="dxa"/>
            <w:vMerge/>
            <w:tcBorders>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348"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60" w:right="0"/>
              <w:jc w:val="left"/>
              <w:rPr>
                <w:rFonts w:ascii="Times New Roman" w:hAnsi="Times New Roman" w:cs="Times New Roman" w:eastAsia="Times New Roman" w:hint="default"/>
                <w:sz w:val="21"/>
                <w:szCs w:val="21"/>
              </w:rPr>
            </w:pPr>
            <w:r>
              <w:rPr>
                <w:rFonts w:ascii="Times New Roman"/>
                <w:w w:val="100"/>
                <w:sz w:val="21"/>
              </w:rPr>
              <w:t>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广西诚本规划设计咨询有限公司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诚本规划</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100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60" w:right="0"/>
              <w:jc w:val="left"/>
              <w:rPr>
                <w:rFonts w:ascii="Times New Roman" w:hAnsi="Times New Roman" w:cs="Times New Roman" w:eastAsia="Times New Roman" w:hint="default"/>
                <w:sz w:val="21"/>
                <w:szCs w:val="21"/>
              </w:rPr>
            </w:pPr>
            <w:r>
              <w:rPr>
                <w:rFonts w:ascii="Times New Roman"/>
                <w:w w:val="100"/>
                <w:sz w:val="21"/>
              </w:rPr>
              <w:t>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广西润联信息技术有限公司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润联信息</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100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60" w:right="0"/>
              <w:jc w:val="left"/>
              <w:rPr>
                <w:rFonts w:ascii="Times New Roman" w:hAnsi="Times New Roman" w:cs="Times New Roman" w:eastAsia="Times New Roman" w:hint="default"/>
                <w:sz w:val="21"/>
                <w:szCs w:val="21"/>
              </w:rPr>
            </w:pPr>
            <w:r>
              <w:rPr>
                <w:rFonts w:ascii="Times New Roman"/>
                <w:w w:val="100"/>
                <w:sz w:val="21"/>
              </w:rPr>
              <w:t>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广州卓联科技有限公司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广州卓联</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100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60" w:right="0"/>
              <w:jc w:val="left"/>
              <w:rPr>
                <w:rFonts w:ascii="Times New Roman" w:hAnsi="Times New Roman" w:cs="Times New Roman" w:eastAsia="Times New Roman" w:hint="default"/>
                <w:sz w:val="21"/>
                <w:szCs w:val="21"/>
              </w:rPr>
            </w:pPr>
            <w:r>
              <w:rPr>
                <w:rFonts w:ascii="Times New Roman"/>
                <w:w w:val="100"/>
                <w:sz w:val="21"/>
              </w:rPr>
              <w:t>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五象云谷有限公司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五象云谷</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70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60" w:right="0"/>
              <w:jc w:val="left"/>
              <w:rPr>
                <w:rFonts w:ascii="Times New Roman" w:hAnsi="Times New Roman" w:cs="Times New Roman" w:eastAsia="Times New Roman" w:hint="default"/>
                <w:sz w:val="21"/>
                <w:szCs w:val="21"/>
              </w:rPr>
            </w:pPr>
            <w:r>
              <w:rPr>
                <w:rFonts w:ascii="Times New Roman"/>
                <w:w w:val="100"/>
                <w:sz w:val="21"/>
              </w:rPr>
              <w:t>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长嘉科技有限公司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长嘉科技</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51</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60" w:right="0"/>
              <w:jc w:val="left"/>
              <w:rPr>
                <w:rFonts w:ascii="Times New Roman" w:hAnsi="Times New Roman" w:cs="Times New Roman" w:eastAsia="Times New Roman" w:hint="default"/>
                <w:sz w:val="21"/>
                <w:szCs w:val="21"/>
              </w:rPr>
            </w:pPr>
            <w:r>
              <w:rPr>
                <w:rFonts w:ascii="Times New Roman"/>
                <w:w w:val="100"/>
                <w:sz w:val="21"/>
              </w:rPr>
              <w:t>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润沃科技（山东）有限公司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润沃科技</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51</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60" w:right="0"/>
              <w:jc w:val="left"/>
              <w:rPr>
                <w:rFonts w:ascii="Times New Roman" w:hAnsi="Times New Roman" w:cs="Times New Roman" w:eastAsia="Times New Roman" w:hint="default"/>
                <w:sz w:val="21"/>
                <w:szCs w:val="21"/>
              </w:rPr>
            </w:pPr>
            <w:r>
              <w:rPr>
                <w:rFonts w:ascii="Times New Roman"/>
                <w:w w:val="100"/>
                <w:sz w:val="21"/>
              </w:rPr>
              <w:t>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广州汇柠科技有限公司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汇拧科技</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60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60" w:right="0"/>
              <w:jc w:val="left"/>
              <w:rPr>
                <w:rFonts w:ascii="Times New Roman" w:hAnsi="Times New Roman" w:cs="Times New Roman" w:eastAsia="Times New Roman" w:hint="default"/>
                <w:sz w:val="21"/>
                <w:szCs w:val="21"/>
              </w:rPr>
            </w:pPr>
            <w:r>
              <w:rPr>
                <w:rFonts w:ascii="Times New Roman"/>
                <w:w w:val="100"/>
                <w:sz w:val="21"/>
              </w:rPr>
              <w:t>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宋体" w:hAnsi="宋体" w:cs="宋体" w:eastAsia="宋体" w:hint="default"/>
                <w:sz w:val="20"/>
                <w:szCs w:val="20"/>
              </w:rPr>
            </w:pPr>
            <w:r>
              <w:rPr>
                <w:rFonts w:ascii="宋体" w:hAnsi="宋体" w:cs="宋体" w:eastAsia="宋体" w:hint="default"/>
                <w:sz w:val="20"/>
                <w:szCs w:val="20"/>
              </w:rPr>
              <w:t>广东南粤云视科技有限公司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南粤云视</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Times New Roman" w:hAnsi="Times New Roman" w:cs="Times New Roman" w:eastAsia="Times New Roman" w:hint="default"/>
                <w:sz w:val="21"/>
                <w:szCs w:val="21"/>
              </w:rPr>
            </w:pPr>
            <w:r>
              <w:rPr>
                <w:rFonts w:ascii="Times New Roman"/>
                <w:sz w:val="21"/>
              </w:rPr>
              <w:t>51</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60" w:right="0"/>
              <w:jc w:val="left"/>
              <w:rPr>
                <w:rFonts w:ascii="Times New Roman" w:hAnsi="Times New Roman" w:cs="Times New Roman" w:eastAsia="Times New Roman" w:hint="default"/>
                <w:sz w:val="21"/>
                <w:szCs w:val="21"/>
              </w:rPr>
            </w:pPr>
            <w:r>
              <w:rPr>
                <w:rFonts w:ascii="Times New Roman"/>
                <w:w w:val="100"/>
                <w:sz w:val="21"/>
              </w:rPr>
              <w:t>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广西信安锐达科技有限公司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信安锐达</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100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07" w:right="0"/>
              <w:jc w:val="left"/>
              <w:rPr>
                <w:rFonts w:ascii="Times New Roman" w:hAnsi="Times New Roman" w:cs="Times New Roman" w:eastAsia="Times New Roman" w:hint="default"/>
                <w:sz w:val="21"/>
                <w:szCs w:val="21"/>
              </w:rPr>
            </w:pPr>
            <w:r>
              <w:rPr>
                <w:rFonts w:ascii="Times New Roman"/>
                <w:sz w:val="21"/>
              </w:rPr>
              <w:t>10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广州云谷创智科技有限公司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云谷创智</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100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07" w:right="0"/>
              <w:jc w:val="left"/>
              <w:rPr>
                <w:rFonts w:ascii="Times New Roman" w:hAnsi="Times New Roman" w:cs="Times New Roman" w:eastAsia="Times New Roman" w:hint="default"/>
                <w:sz w:val="21"/>
                <w:szCs w:val="21"/>
              </w:rPr>
            </w:pPr>
            <w:r>
              <w:rPr>
                <w:rFonts w:ascii="Times New Roman"/>
                <w:sz w:val="21"/>
              </w:rPr>
              <w:t>11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广州纵诺电力工程技术有限公司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纵诺电力</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100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07" w:right="0"/>
              <w:jc w:val="left"/>
              <w:rPr>
                <w:rFonts w:ascii="Times New Roman" w:hAnsi="Times New Roman" w:cs="Times New Roman" w:eastAsia="Times New Roman" w:hint="default"/>
                <w:sz w:val="21"/>
                <w:szCs w:val="21"/>
              </w:rPr>
            </w:pPr>
            <w:r>
              <w:rPr>
                <w:rFonts w:ascii="Times New Roman"/>
                <w:sz w:val="21"/>
              </w:rPr>
              <w:t>12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广州市赛皓达智能科技有限公司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赛皓达</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泺立能源子公司</w:t>
            </w:r>
          </w:p>
        </w:tc>
        <w:tc>
          <w:tcPr>
            <w:tcW w:w="838"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07" w:right="0"/>
              <w:jc w:val="left"/>
              <w:rPr>
                <w:rFonts w:ascii="Times New Roman" w:hAnsi="Times New Roman" w:cs="Times New Roman" w:eastAsia="Times New Roman" w:hint="default"/>
                <w:sz w:val="21"/>
                <w:szCs w:val="21"/>
              </w:rPr>
            </w:pPr>
            <w:r>
              <w:rPr>
                <w:rFonts w:ascii="Times New Roman"/>
                <w:sz w:val="21"/>
              </w:rPr>
              <w:t>13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广州市恒泰电力工程有限公司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恒泰电力</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泺立能源子公司</w:t>
            </w:r>
          </w:p>
        </w:tc>
        <w:tc>
          <w:tcPr>
            <w:tcW w:w="838"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51</w:t>
            </w:r>
          </w:p>
        </w:tc>
      </w:tr>
      <w:tr>
        <w:trPr>
          <w:trHeight w:val="346"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07" w:right="0"/>
              <w:jc w:val="left"/>
              <w:rPr>
                <w:rFonts w:ascii="Times New Roman" w:hAnsi="Times New Roman" w:cs="Times New Roman" w:eastAsia="Times New Roman" w:hint="default"/>
                <w:sz w:val="21"/>
                <w:szCs w:val="21"/>
              </w:rPr>
            </w:pPr>
            <w:r>
              <w:rPr>
                <w:rFonts w:ascii="Times New Roman"/>
                <w:sz w:val="21"/>
              </w:rPr>
              <w:t>14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广州市泺立能源科技有限公司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泺立能源</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51</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07" w:right="0"/>
              <w:jc w:val="left"/>
              <w:rPr>
                <w:rFonts w:ascii="Times New Roman" w:hAnsi="Times New Roman" w:cs="Times New Roman" w:eastAsia="Times New Roman" w:hint="default"/>
                <w:sz w:val="21"/>
                <w:szCs w:val="21"/>
              </w:rPr>
            </w:pPr>
            <w:r>
              <w:rPr>
                <w:rFonts w:ascii="Times New Roman"/>
                <w:sz w:val="21"/>
              </w:rPr>
              <w:t>15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广州鑫广源电力设计有限公司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鑫广源</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70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07" w:right="0"/>
              <w:jc w:val="left"/>
              <w:rPr>
                <w:rFonts w:ascii="Times New Roman" w:hAnsi="Times New Roman" w:cs="Times New Roman" w:eastAsia="Times New Roman" w:hint="default"/>
                <w:sz w:val="21"/>
                <w:szCs w:val="21"/>
              </w:rPr>
            </w:pPr>
            <w:r>
              <w:rPr>
                <w:rFonts w:ascii="Times New Roman"/>
                <w:sz w:val="21"/>
              </w:rPr>
              <w:t>16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广东博深咨询有限公司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博深咨询</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
              <w:jc w:val="center"/>
              <w:rPr>
                <w:rFonts w:ascii="Times New Roman" w:hAnsi="Times New Roman" w:cs="Times New Roman" w:eastAsia="Times New Roman" w:hint="default"/>
                <w:sz w:val="21"/>
                <w:szCs w:val="21"/>
              </w:rPr>
            </w:pPr>
            <w:r>
              <w:rPr>
                <w:rFonts w:ascii="Times New Roman"/>
                <w:sz w:val="21"/>
              </w:rPr>
              <w:t>51</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07" w:right="0"/>
              <w:jc w:val="left"/>
              <w:rPr>
                <w:rFonts w:ascii="Times New Roman" w:hAnsi="Times New Roman" w:cs="Times New Roman" w:eastAsia="Times New Roman" w:hint="default"/>
                <w:sz w:val="21"/>
                <w:szCs w:val="21"/>
              </w:rPr>
            </w:pPr>
            <w:r>
              <w:rPr>
                <w:rFonts w:ascii="Times New Roman"/>
                <w:sz w:val="21"/>
              </w:rPr>
              <w:t>17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润建国际有限公司</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润建国际</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100</w:t>
            </w:r>
          </w:p>
        </w:tc>
        <w:tc>
          <w:tcPr>
            <w:tcW w:w="842"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07" w:right="0"/>
              <w:jc w:val="left"/>
              <w:rPr>
                <w:rFonts w:ascii="Times New Roman" w:hAnsi="Times New Roman" w:cs="Times New Roman" w:eastAsia="Times New Roman" w:hint="default"/>
                <w:sz w:val="21"/>
                <w:szCs w:val="21"/>
              </w:rPr>
            </w:pPr>
            <w:r>
              <w:rPr>
                <w:rFonts w:ascii="Times New Roman"/>
                <w:sz w:val="21"/>
              </w:rPr>
              <w:t>18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8"/>
              <w:ind w:left="2" w:right="47"/>
              <w:jc w:val="left"/>
              <w:rPr>
                <w:rFonts w:ascii="Times New Roman" w:hAnsi="Times New Roman" w:cs="Times New Roman" w:eastAsia="Times New Roman" w:hint="default"/>
                <w:sz w:val="21"/>
                <w:szCs w:val="21"/>
              </w:rPr>
            </w:pPr>
            <w:r>
              <w:rPr>
                <w:rFonts w:ascii="Times New Roman"/>
                <w:sz w:val="21"/>
              </w:rPr>
              <w:t>R&amp;J</w:t>
            </w:r>
            <w:r>
              <w:rPr>
                <w:rFonts w:ascii="Times New Roman"/>
                <w:w w:val="100"/>
                <w:sz w:val="21"/>
              </w:rPr>
              <w:t> </w:t>
            </w:r>
            <w:r>
              <w:rPr>
                <w:rFonts w:ascii="Times New Roman"/>
                <w:spacing w:val="-2"/>
                <w:sz w:val="21"/>
              </w:rPr>
              <w:t>INTERNATIONAL(SINGAPORE</w:t>
            </w:r>
          </w:p>
          <w:p>
            <w:pPr>
              <w:pStyle w:val="TableParagraph"/>
              <w:spacing w:line="240" w:lineRule="auto" w:before="3"/>
              <w:ind w:left="2" w:right="0"/>
              <w:jc w:val="left"/>
              <w:rPr>
                <w:rFonts w:ascii="Times New Roman" w:hAnsi="Times New Roman" w:cs="Times New Roman" w:eastAsia="Times New Roman" w:hint="default"/>
                <w:sz w:val="21"/>
                <w:szCs w:val="21"/>
              </w:rPr>
            </w:pPr>
            <w:r>
              <w:rPr>
                <w:rFonts w:ascii="Times New Roman"/>
                <w:sz w:val="21"/>
              </w:rPr>
              <w:t>)</w:t>
            </w:r>
            <w:r>
              <w:rPr>
                <w:rFonts w:ascii="Times New Roman"/>
                <w:spacing w:val="-1"/>
                <w:sz w:val="21"/>
              </w:rPr>
              <w:t> </w:t>
            </w:r>
            <w:r>
              <w:rPr>
                <w:rFonts w:ascii="Times New Roman"/>
                <w:sz w:val="21"/>
              </w:rPr>
              <w:t>PTE.LTD.</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101" w:hanging="315"/>
              <w:jc w:val="left"/>
              <w:rPr>
                <w:rFonts w:ascii="宋体" w:hAnsi="宋体" w:cs="宋体" w:eastAsia="宋体" w:hint="default"/>
                <w:sz w:val="21"/>
                <w:szCs w:val="21"/>
              </w:rPr>
            </w:pPr>
            <w:r>
              <w:rPr>
                <w:rFonts w:ascii="宋体" w:hAnsi="宋体" w:cs="宋体" w:eastAsia="宋体" w:hint="default"/>
                <w:sz w:val="21"/>
                <w:szCs w:val="21"/>
              </w:rPr>
              <w:t>新加坡润</w:t>
            </w:r>
            <w:r>
              <w:rPr>
                <w:rFonts w:ascii="宋体" w:hAnsi="宋体" w:cs="宋体" w:eastAsia="宋体" w:hint="default"/>
                <w:w w:val="100"/>
                <w:sz w:val="21"/>
                <w:szCs w:val="21"/>
              </w:rPr>
              <w:t> </w:t>
            </w:r>
            <w:r>
              <w:rPr>
                <w:rFonts w:ascii="宋体" w:hAnsi="宋体" w:cs="宋体" w:eastAsia="宋体" w:hint="default"/>
                <w:sz w:val="21"/>
                <w:szCs w:val="21"/>
              </w:rPr>
              <w:t>建</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本公司子公司</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1"/>
                <w:szCs w:val="21"/>
              </w:rPr>
            </w:pPr>
            <w:r>
              <w:rPr>
                <w:rFonts w:ascii="Times New Roman"/>
                <w:sz w:val="21"/>
              </w:rPr>
              <w:t>100</w:t>
            </w:r>
          </w:p>
        </w:tc>
        <w:tc>
          <w:tcPr>
            <w:tcW w:w="84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3"/>
        <w:spacing w:line="240" w:lineRule="auto" w:before="26"/>
        <w:ind w:right="1057"/>
        <w:jc w:val="left"/>
        <w:rPr>
          <w:b w:val="0"/>
          <w:bCs w:val="0"/>
        </w:rPr>
      </w:pPr>
      <w:r>
        <w:rPr/>
        <w:t>四、财务报表的编制基础</w:t>
      </w:r>
      <w:r>
        <w:rPr>
          <w:b w:val="0"/>
          <w:bCs w:val="0"/>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35" w:lineRule="auto"/>
        <w:ind w:right="1002"/>
        <w:jc w:val="left"/>
      </w:pPr>
      <w:r>
        <w:rPr/>
        <w:t>本公司以持续经营为基础，根据实际发生的交易和事项，按照企业会计准则及其应用指南和 准则解释的规定进行确认和计量，在此基础上编制财务报表。此外，本公司还按照中国证监 </w:t>
      </w:r>
      <w:r>
        <w:rPr>
          <w:spacing w:val="-2"/>
        </w:rPr>
        <w:t>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w:t>
      </w:r>
      <w:r>
        <w:rPr>
          <w:spacing w:val="-115"/>
        </w:rPr>
        <w:t> </w:t>
      </w:r>
      <w:r>
        <w:rPr>
          <w:spacing w:val="-115"/>
        </w:rPr>
      </w:r>
      <w:r>
        <w:rPr/>
        <w:t>披露有关财务信息。</w:t>
      </w:r>
    </w:p>
    <w:p>
      <w:pPr>
        <w:spacing w:line="240" w:lineRule="auto" w:before="10"/>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54"/>
        <w:jc w:val="left"/>
      </w:pPr>
      <w:r>
        <w:rPr/>
        <w:t>本公司对自报告期末起</w:t>
      </w:r>
      <w:r>
        <w:rPr>
          <w:rFonts w:ascii="Times New Roman" w:hAnsi="Times New Roman" w:cs="Times New Roman" w:eastAsia="Times New Roman" w:hint="default"/>
        </w:rPr>
        <w:t>12</w:t>
      </w:r>
      <w:r>
        <w:rPr/>
        <w:t>个月的持续经营能力进行了评估，未发现影响本公司持续经营能力 的事项，本公司以持续经营为基础编制财务报表是合理的。</w:t>
      </w:r>
    </w:p>
    <w:p>
      <w:pPr>
        <w:spacing w:line="240" w:lineRule="auto" w:before="10"/>
        <w:rPr>
          <w:rFonts w:ascii="宋体" w:hAnsi="宋体" w:cs="宋体" w:eastAsia="宋体" w:hint="default"/>
          <w:sz w:val="20"/>
          <w:szCs w:val="20"/>
        </w:rPr>
      </w:pPr>
    </w:p>
    <w:p>
      <w:pPr>
        <w:pStyle w:val="Heading3"/>
        <w:spacing w:line="240" w:lineRule="auto"/>
        <w:ind w:right="1057"/>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057"/>
        <w:jc w:val="left"/>
      </w:pPr>
      <w:r>
        <w:rPr/>
        <w:t>本公司下列重要会计政策、会计估计根据企业会计准则制定。未提及的业务按企业会计准则</w:t>
      </w:r>
      <w:r>
        <w:rPr>
          <w:spacing w:val="-91"/>
        </w:rPr>
        <w:t> </w:t>
      </w:r>
      <w:r>
        <w:rPr>
          <w:spacing w:val="-91"/>
        </w:rPr>
      </w:r>
      <w:r>
        <w:rPr/>
        <w:t>中相关会计政策执行。</w:t>
      </w: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69"/>
        <w:jc w:val="both"/>
      </w:pPr>
      <w:r>
        <w:rPr/>
        <w:t>本公司所编制的财务报表符合企业会计准则的要求，真实、完整地反映了公司的财务状况、 经营成果、所有者权益变动和现金流量等有关信息。</w:t>
      </w: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left="633" w:right="1057"/>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5"/>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633" w:right="1057"/>
        <w:jc w:val="left"/>
      </w:pPr>
      <w:r>
        <w:rPr/>
        <w:t>本公司正常营业周期为一年。</w:t>
      </w:r>
    </w:p>
    <w:p>
      <w:pPr>
        <w:spacing w:line="240" w:lineRule="auto" w:before="9"/>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234"/>
        <w:jc w:val="left"/>
      </w:pPr>
      <w:r>
        <w:rPr/>
        <w:t>本公司的记账本位币为人民币，境外</w:t>
      </w:r>
      <w:r>
        <w:rPr>
          <w:rFonts w:ascii="Times New Roman" w:hAnsi="Times New Roman" w:cs="Times New Roman" w:eastAsia="Times New Roman" w:hint="default"/>
        </w:rPr>
        <w:t>(</w:t>
      </w:r>
      <w:r>
        <w:rPr/>
        <w:t>分</w:t>
      </w:r>
      <w:r>
        <w:rPr>
          <w:rFonts w:ascii="Times New Roman" w:hAnsi="Times New Roman" w:cs="Times New Roman" w:eastAsia="Times New Roman" w:hint="default"/>
        </w:rPr>
        <w:t>)</w:t>
      </w:r>
      <w:r>
        <w:rPr/>
        <w:t>子公司按经营所处的主要经济环境中的货币为记账 本位币。</w:t>
      </w: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spacing w:line="312" w:lineRule="auto" w:before="0"/>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）同一控制下的企业合并</w:t>
      </w:r>
      <w:r>
        <w:rPr>
          <w:rFonts w:ascii="宋体" w:hAnsi="宋体" w:cs="宋体" w:eastAsia="宋体" w:hint="default"/>
          <w:b/>
          <w:bCs/>
          <w:w w:val="99"/>
          <w:sz w:val="24"/>
          <w:szCs w:val="24"/>
        </w:rPr>
        <w:t> </w:t>
      </w:r>
      <w:r>
        <w:rPr>
          <w:rFonts w:ascii="宋体" w:hAnsi="宋体" w:cs="宋体" w:eastAsia="宋体" w:hint="default"/>
          <w:sz w:val="24"/>
          <w:szCs w:val="24"/>
        </w:rPr>
        <w:t>本公司在企业合并中取得的资产和负债，在合并日按取得被合并方在最终控制方合并财</w:t>
      </w:r>
    </w:p>
    <w:p>
      <w:pPr>
        <w:pStyle w:val="BodyText"/>
        <w:spacing w:line="239" w:lineRule="exact"/>
        <w:ind w:right="0"/>
        <w:jc w:val="both"/>
      </w:pPr>
      <w:r>
        <w:rPr/>
        <w:t>务报表中的账面价值计量。其中，对于被合并方与本公司在企业合并前采用的会计政策不同</w:t>
      </w:r>
    </w:p>
    <w:p>
      <w:pPr>
        <w:pStyle w:val="BodyText"/>
        <w:spacing w:line="312" w:lineRule="exact" w:before="29"/>
        <w:ind w:right="1134"/>
        <w:jc w:val="both"/>
      </w:pPr>
      <w:r>
        <w:rPr/>
        <w:t>的，基于重要性原则统一会计政策，即按照本公司的会计政策对被合并方资产、负债的账面</w:t>
      </w:r>
      <w:r>
        <w:rPr>
          <w:spacing w:val="-87"/>
        </w:rPr>
        <w:t> </w:t>
      </w:r>
      <w:r>
        <w:rPr>
          <w:spacing w:val="-87"/>
        </w:rPr>
      </w:r>
      <w:r>
        <w:rPr/>
        <w:t>价值进行调整。本公司在企业合并中取得的净资产账面价值与所支付对价的账面价值之间存</w:t>
      </w:r>
      <w:r>
        <w:rPr>
          <w:spacing w:val="-91"/>
        </w:rPr>
        <w:t> </w:t>
      </w:r>
      <w:r>
        <w:rPr>
          <w:spacing w:val="-91"/>
        </w:rPr>
      </w:r>
      <w:r>
        <w:rPr/>
        <w:t>在差额的，首先调整资本公积（资本溢价或股本溢价），资本公积（资本溢价或股本溢价）</w:t>
      </w:r>
      <w:r>
        <w:rPr>
          <w:spacing w:val="-91"/>
        </w:rPr>
        <w:t> </w:t>
      </w:r>
      <w:r>
        <w:rPr>
          <w:spacing w:val="-91"/>
        </w:rPr>
      </w:r>
      <w:r>
        <w:rPr/>
        <w:t>的余额不足冲减的，依次冲减盈余公积和未分配利润。</w:t>
      </w:r>
    </w:p>
    <w:p>
      <w:pPr>
        <w:pStyle w:val="BodyText"/>
        <w:spacing w:line="237" w:lineRule="auto" w:before="92"/>
        <w:ind w:right="1057" w:firstLine="48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）非同一控制下的企业合并</w:t>
      </w:r>
      <w:r>
        <w:rPr>
          <w:rFonts w:ascii="宋体" w:hAnsi="宋体" w:cs="宋体" w:eastAsia="宋体" w:hint="default"/>
          <w:b/>
          <w:bCs/>
          <w:w w:val="99"/>
        </w:rPr>
        <w:t> </w:t>
      </w:r>
      <w:r>
        <w:rPr/>
        <w:t>本公司在企业合并中取得的被购买方各项可辨认资产和负债，在购买日按其公允价值计量。</w:t>
      </w:r>
      <w:r>
        <w:rPr>
          <w:spacing w:val="-87"/>
        </w:rPr>
        <w:t> </w:t>
      </w:r>
      <w:r>
        <w:rPr>
          <w:spacing w:val="-87"/>
        </w:rPr>
      </w:r>
      <w:r>
        <w:rPr/>
        <w:t>其中，对于被购买方与本公司在企业合并前采用的会计政策不同的，基于重要性原则统一会</w:t>
      </w:r>
      <w:r>
        <w:rPr>
          <w:spacing w:val="-86"/>
        </w:rPr>
        <w:t> </w:t>
      </w:r>
      <w:r>
        <w:rPr>
          <w:spacing w:val="-86"/>
        </w:rPr>
      </w:r>
      <w:r>
        <w:rPr/>
        <w:t>计政策，即按照本公司的会计政策对被购买方资产、负债的账面价值进行调整。本公司在购</w:t>
      </w:r>
      <w:r>
        <w:rPr>
          <w:spacing w:val="-88"/>
        </w:rPr>
        <w:t> </w:t>
      </w:r>
      <w:r>
        <w:rPr>
          <w:spacing w:val="-88"/>
        </w:rPr>
      </w:r>
      <w:r>
        <w:rPr/>
        <w:t>买日的合并成本大于企业合并中取得的被购买方可辨认资产、负债公允价值的差额，确认为</w:t>
      </w:r>
      <w:r>
        <w:rPr>
          <w:spacing w:val="-90"/>
        </w:rPr>
        <w:t> </w:t>
      </w:r>
      <w:r>
        <w:rPr>
          <w:spacing w:val="-90"/>
        </w:rPr>
      </w:r>
      <w:r>
        <w:rPr/>
        <w:t>商誉；如果合并成本小于企业合并中取得的被购买方可辨认资产、负债公允价值的差额，首</w:t>
      </w:r>
      <w:r>
        <w:rPr>
          <w:spacing w:val="-91"/>
        </w:rPr>
        <w:t> </w:t>
      </w:r>
      <w:r>
        <w:rPr>
          <w:spacing w:val="-91"/>
        </w:rPr>
      </w:r>
      <w:r>
        <w:rPr/>
        <w:t>先对合并成本以及在企业合并中取得的被购买方可辨认资产、负债的公允价值进行复核，经</w:t>
      </w:r>
      <w:r>
        <w:rPr>
          <w:spacing w:val="-91"/>
        </w:rPr>
        <w:t> </w:t>
      </w:r>
      <w:r>
        <w:rPr>
          <w:spacing w:val="-91"/>
        </w:rPr>
      </w:r>
      <w:r>
        <w:rPr/>
        <w:t>复核后合并成本仍小于取得的被购买方可辨认资产、负债公允价值的，其差额确认为合并当</w:t>
      </w:r>
      <w:r>
        <w:rPr>
          <w:spacing w:val="-89"/>
        </w:rPr>
        <w:t> </w:t>
      </w:r>
      <w:r>
        <w:rPr>
          <w:spacing w:val="-89"/>
        </w:rPr>
      </w:r>
      <w:r>
        <w:rPr/>
        <w:t>期损益。</w:t>
      </w:r>
    </w:p>
    <w:p>
      <w:pPr>
        <w:pStyle w:val="BodyText"/>
        <w:spacing w:line="235" w:lineRule="auto" w:before="124"/>
        <w:ind w:right="1057" w:firstLine="48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）企业合并中有关交易费用的处理</w:t>
      </w:r>
      <w:r>
        <w:rPr>
          <w:rFonts w:ascii="宋体" w:hAnsi="宋体" w:cs="宋体" w:eastAsia="宋体" w:hint="default"/>
          <w:b/>
          <w:bCs/>
          <w:w w:val="99"/>
        </w:rPr>
        <w:t> </w:t>
      </w:r>
      <w:r>
        <w:rPr/>
        <w:t>为进行企业合并发生的审计、法律服务、评估咨询等中介费用以及其他相关管理费用，于发</w:t>
      </w:r>
      <w:r>
        <w:rPr>
          <w:spacing w:val="-91"/>
        </w:rPr>
        <w:t> </w:t>
      </w:r>
      <w:r>
        <w:rPr>
          <w:spacing w:val="-91"/>
        </w:rPr>
      </w:r>
      <w:r>
        <w:rPr/>
        <w:t>生时计入当期损益。作为合并对价发行的权益性证券或债务性证券的交易费用，计入权益性</w:t>
      </w:r>
      <w:r>
        <w:rPr>
          <w:spacing w:val="-88"/>
        </w:rPr>
        <w:t> </w:t>
      </w:r>
      <w:r>
        <w:rPr>
          <w:spacing w:val="-88"/>
        </w:rPr>
      </w:r>
      <w:r>
        <w:rPr/>
        <w:t>证券或债务性证券的初始确认金额。</w:t>
      </w:r>
    </w:p>
    <w:p>
      <w:pPr>
        <w:spacing w:after="0" w:line="235"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3"/>
        <w:spacing w:line="240" w:lineRule="auto"/>
        <w:ind w:left="635" w:right="1057"/>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pStyle w:val="BodyText"/>
        <w:spacing w:line="312" w:lineRule="exact" w:before="130"/>
        <w:ind w:right="998" w:firstLine="480"/>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不仅包括根据表决权（或类似表决权） 本身或者结合其他安排确定的子公司，也包括基于一项或多项合同安排决定的结构化主体。</w:t>
      </w:r>
    </w:p>
    <w:p>
      <w:pPr>
        <w:pStyle w:val="BodyText"/>
        <w:spacing w:line="312" w:lineRule="exact" w:before="120"/>
        <w:ind w:right="1000" w:firstLine="480"/>
        <w:jc w:val="left"/>
      </w:pPr>
      <w:r>
        <w:rPr>
          <w:spacing w:val="-3"/>
        </w:rPr>
        <w:t>控制是指本公司拥有对被投资方的权力，通过参与被投资方的相关活动而享有可变回报，</w:t>
      </w:r>
      <w:r>
        <w:rPr/>
        <w:t> 并且有能力运用对被投资方的权力影响其回报金额。子公司是指被本公司控制的主体（含企</w:t>
      </w:r>
      <w:r>
        <w:rPr>
          <w:spacing w:val="-91"/>
        </w:rPr>
        <w:t> </w:t>
      </w:r>
      <w:r>
        <w:rPr>
          <w:spacing w:val="-91"/>
        </w:rPr>
      </w:r>
      <w:r>
        <w:rPr/>
        <w:t>业、被投资单位中可分割的部分，以及企业所控制的结构化主体等），结构化主体是指在确</w:t>
      </w:r>
      <w:r>
        <w:rPr>
          <w:spacing w:val="-87"/>
        </w:rPr>
        <w:t> </w:t>
      </w:r>
      <w:r>
        <w:rPr>
          <w:spacing w:val="-87"/>
        </w:rPr>
      </w:r>
      <w:r>
        <w:rPr/>
        <w:t>定其控制方时没有将表决权或类似权利作为决定性因素而设计的主体</w:t>
      </w:r>
    </w:p>
    <w:p>
      <w:pPr>
        <w:pStyle w:val="BodyText"/>
        <w:spacing w:line="321" w:lineRule="auto" w:before="89"/>
        <w:ind w:left="633" w:right="1057"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）合并财务报表的编制方法</w:t>
      </w:r>
      <w:r>
        <w:rPr>
          <w:rFonts w:ascii="宋体" w:hAnsi="宋体" w:cs="宋体" w:eastAsia="宋体" w:hint="default"/>
          <w:b/>
          <w:bCs/>
          <w:w w:val="99"/>
        </w:rPr>
        <w:t> </w:t>
      </w:r>
      <w:r>
        <w:rPr/>
        <w:t>本公司以自身和子公司的财务报表为基础，根据其他有关资料，编制合并财务报表。 本公司编制合并财务报表，将整个企业集团视为一个会计主体，依据相关企业会计准则</w:t>
      </w:r>
    </w:p>
    <w:p>
      <w:pPr>
        <w:pStyle w:val="BodyText"/>
        <w:spacing w:line="229" w:lineRule="exact"/>
        <w:ind w:right="1057"/>
        <w:jc w:val="left"/>
      </w:pPr>
      <w:r>
        <w:rPr/>
        <w:t>的确认、计量和列报要求，按照统一的会计政策和会计期间，反映企业集团整体财务状况、</w:t>
      </w:r>
    </w:p>
    <w:p>
      <w:pPr>
        <w:pStyle w:val="BodyText"/>
        <w:spacing w:line="313" w:lineRule="exact"/>
        <w:ind w:right="1057"/>
        <w:jc w:val="left"/>
      </w:pPr>
      <w:r>
        <w:rPr/>
        <w:t>经营成果和现金流量。</w:t>
      </w:r>
    </w:p>
    <w:p>
      <w:pPr>
        <w:pStyle w:val="BodyText"/>
        <w:spacing w:line="240" w:lineRule="auto" w:before="118"/>
        <w:ind w:left="633" w:right="1057"/>
        <w:jc w:val="left"/>
      </w:pPr>
      <w:r>
        <w:rPr/>
        <w:t>①合并母公司与子公司的资产、负债、所有者权益、收入、费用和现金流等项目。</w:t>
      </w:r>
    </w:p>
    <w:p>
      <w:pPr>
        <w:pStyle w:val="BodyText"/>
        <w:spacing w:line="240" w:lineRule="auto" w:before="118"/>
        <w:ind w:left="633" w:right="1057"/>
        <w:jc w:val="left"/>
      </w:pPr>
      <w:r>
        <w:rPr/>
        <w:t>②抵销母公司对子公司的长期股权投资与母公司在子公司所有者权益中所享有的份额。</w:t>
      </w:r>
    </w:p>
    <w:p>
      <w:pPr>
        <w:pStyle w:val="BodyText"/>
        <w:spacing w:line="312" w:lineRule="exact" w:before="148"/>
        <w:ind w:right="1057" w:firstLine="480"/>
        <w:jc w:val="left"/>
      </w:pPr>
      <w:r>
        <w:rPr/>
        <w:t>③抵销母公司与子公司、子公司相互之间发生的内部交易的影响。内部交易表明相关资 产发生减值损失的，应当全额确认该部分损失。</w:t>
      </w:r>
    </w:p>
    <w:p>
      <w:pPr>
        <w:pStyle w:val="BodyText"/>
        <w:spacing w:line="240" w:lineRule="auto" w:before="89"/>
        <w:ind w:left="633" w:right="1057"/>
        <w:jc w:val="left"/>
      </w:pPr>
      <w:r>
        <w:rPr/>
        <w:t>④站在企业集团角度对特殊交易事项予以调整。</w:t>
      </w:r>
    </w:p>
    <w:p>
      <w:pPr>
        <w:pStyle w:val="Heading3"/>
        <w:spacing w:line="240" w:lineRule="auto" w:before="118"/>
        <w:ind w:left="635" w:right="1057"/>
        <w:jc w:val="left"/>
        <w:rPr>
          <w:b w:val="0"/>
          <w:bCs w:val="0"/>
        </w:rPr>
      </w:pPr>
      <w:r>
        <w:rPr/>
        <w:t>（</w:t>
      </w:r>
      <w:r>
        <w:rPr>
          <w:rFonts w:ascii="Times New Roman" w:hAnsi="Times New Roman" w:cs="Times New Roman" w:eastAsia="Times New Roman" w:hint="default"/>
        </w:rPr>
        <w:t>3</w:t>
      </w:r>
      <w:r>
        <w:rPr/>
        <w:t>）报告期内增减子公司的处理</w:t>
      </w:r>
      <w:r>
        <w:rPr>
          <w:b w:val="0"/>
          <w:bCs w:val="0"/>
        </w:rPr>
      </w:r>
    </w:p>
    <w:p>
      <w:pPr>
        <w:pStyle w:val="BodyText"/>
        <w:spacing w:line="240" w:lineRule="auto" w:before="99"/>
        <w:ind w:left="633" w:right="1057"/>
        <w:jc w:val="left"/>
      </w:pPr>
      <w:r>
        <w:rPr/>
        <w:t>①增加子公司或业务</w:t>
      </w:r>
    </w:p>
    <w:p>
      <w:pPr>
        <w:pStyle w:val="BodyText"/>
        <w:spacing w:line="240" w:lineRule="auto" w:before="118"/>
        <w:ind w:left="633" w:right="1057"/>
        <w:jc w:val="left"/>
      </w:pPr>
      <w:r>
        <w:rPr>
          <w:rFonts w:ascii="Times New Roman" w:hAnsi="Times New Roman" w:cs="Times New Roman" w:eastAsia="Times New Roman" w:hint="default"/>
        </w:rPr>
        <w:t>A.</w:t>
      </w:r>
      <w:r>
        <w:rPr/>
        <w:t>同一控制下企业合并增加的子公司或业务</w:t>
      </w:r>
    </w:p>
    <w:p>
      <w:pPr>
        <w:pStyle w:val="BodyText"/>
        <w:spacing w:line="312" w:lineRule="exact" w:before="130"/>
        <w:ind w:right="1125" w:firstLine="480"/>
        <w:jc w:val="left"/>
      </w:pPr>
      <w:r>
        <w:rPr>
          <w:spacing w:val="-2"/>
        </w:rPr>
        <w:t>（</w:t>
      </w:r>
      <w:r>
        <w:rPr>
          <w:rFonts w:ascii="Times New Roman" w:hAnsi="Times New Roman" w:cs="Times New Roman" w:eastAsia="Times New Roman" w:hint="default"/>
          <w:spacing w:val="-2"/>
        </w:rPr>
        <w:t>a</w:t>
      </w:r>
      <w:r>
        <w:rPr>
          <w:spacing w:val="-2"/>
        </w:rPr>
        <w:t>）编制合并资产负债表时，调整合并资产负债表的期初数，同时对比较报表的相关项</w:t>
      </w:r>
      <w:r>
        <w:rPr/>
        <w:t> 目进行调整，视同合并后的报告主体自最终控制方开始控制时点起一直存在。</w:t>
      </w:r>
    </w:p>
    <w:p>
      <w:pPr>
        <w:pStyle w:val="BodyText"/>
        <w:spacing w:line="312" w:lineRule="exact" w:before="120"/>
        <w:ind w:right="1034" w:firstLine="480"/>
        <w:jc w:val="left"/>
      </w:pPr>
      <w:r>
        <w:rPr/>
        <w:t>（</w:t>
      </w:r>
      <w:r>
        <w:rPr>
          <w:rFonts w:ascii="Times New Roman" w:hAnsi="Times New Roman" w:cs="Times New Roman" w:eastAsia="Times New Roman" w:hint="default"/>
        </w:rPr>
        <w:t>b</w:t>
      </w:r>
      <w:r>
        <w:rPr/>
        <w:t>）编制合并利润表时，将该子公司以及业务合并当期期初至报告期末的收入、费用、 利润纳入合并利润表，同时对比较报表的相关项目进行调整，视同合并后的报告主体自最终</w:t>
      </w:r>
      <w:r>
        <w:rPr>
          <w:spacing w:val="-87"/>
        </w:rPr>
        <w:t> </w:t>
      </w:r>
      <w:r>
        <w:rPr>
          <w:spacing w:val="-87"/>
        </w:rPr>
      </w:r>
      <w:r>
        <w:rPr/>
        <w:t>控制方开始控制时点起一直存在。</w:t>
      </w:r>
    </w:p>
    <w:p>
      <w:pPr>
        <w:pStyle w:val="BodyText"/>
        <w:spacing w:line="312" w:lineRule="exact" w:before="120"/>
        <w:ind w:right="1132" w:firstLine="480"/>
        <w:jc w:val="both"/>
      </w:pPr>
      <w:r>
        <w:rPr>
          <w:spacing w:val="-2"/>
        </w:rPr>
        <w:t>（</w:t>
      </w:r>
      <w:r>
        <w:rPr>
          <w:rFonts w:ascii="Times New Roman" w:hAnsi="Times New Roman" w:cs="Times New Roman" w:eastAsia="Times New Roman" w:hint="default"/>
          <w:spacing w:val="-2"/>
        </w:rPr>
        <w:t>c</w:t>
      </w:r>
      <w:r>
        <w:rPr>
          <w:spacing w:val="-2"/>
        </w:rPr>
        <w:t>）编制合并现金流量表时，将该子公司以及业务合并当期期初至报告期末的现金流量</w:t>
      </w:r>
      <w:r>
        <w:rPr/>
        <w:t> 纳入合并现金流量表，同时对比较报表的相关项目进行调整，视同合并后的报告主体自最终</w:t>
      </w:r>
      <w:r>
        <w:rPr>
          <w:spacing w:val="-91"/>
        </w:rPr>
        <w:t> </w:t>
      </w:r>
      <w:r>
        <w:rPr>
          <w:spacing w:val="-91"/>
        </w:rPr>
      </w:r>
      <w:r>
        <w:rPr/>
        <w:t>控制方开始控制时点起一直存在。</w:t>
      </w:r>
    </w:p>
    <w:p>
      <w:pPr>
        <w:pStyle w:val="BodyText"/>
        <w:spacing w:line="240" w:lineRule="auto" w:before="89"/>
        <w:ind w:left="633" w:right="1057"/>
        <w:jc w:val="left"/>
      </w:pPr>
      <w:r>
        <w:rPr>
          <w:rFonts w:ascii="Times New Roman" w:hAnsi="Times New Roman" w:cs="Times New Roman" w:eastAsia="Times New Roman" w:hint="default"/>
        </w:rPr>
        <w:t>B.</w:t>
      </w:r>
      <w:r>
        <w:rPr/>
        <w:t>非同一控制下企业合并增加的子公司或业务</w:t>
      </w:r>
    </w:p>
    <w:p>
      <w:pPr>
        <w:pStyle w:val="BodyText"/>
        <w:spacing w:line="240" w:lineRule="auto" w:before="99"/>
        <w:ind w:left="633" w:right="1057"/>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312" w:lineRule="exact" w:before="130"/>
        <w:ind w:right="1057" w:firstLine="480"/>
        <w:jc w:val="left"/>
      </w:pPr>
      <w:r>
        <w:rPr>
          <w:spacing w:val="-3"/>
        </w:rPr>
        <w:t>（</w:t>
      </w:r>
      <w:r>
        <w:rPr>
          <w:rFonts w:ascii="Times New Roman" w:hAnsi="Times New Roman" w:cs="Times New Roman" w:eastAsia="Times New Roman" w:hint="default"/>
          <w:spacing w:val="-3"/>
        </w:rPr>
        <w:t>b</w:t>
      </w:r>
      <w:r>
        <w:rPr>
          <w:spacing w:val="-3"/>
        </w:rPr>
        <w:t>）编制合并利润表时，将该子公司以及业务购买日至报告期末的收入、费用、利润纳</w:t>
      </w:r>
      <w:r>
        <w:rPr/>
        <w:t> 入合并利润表。</w:t>
      </w:r>
    </w:p>
    <w:p>
      <w:pPr>
        <w:pStyle w:val="BodyText"/>
        <w:spacing w:line="312" w:lineRule="exact" w:before="117"/>
        <w:ind w:right="1125" w:firstLine="480"/>
        <w:jc w:val="left"/>
      </w:pPr>
      <w:r>
        <w:rPr>
          <w:spacing w:val="-2"/>
        </w:rPr>
        <w:t>（</w:t>
      </w:r>
      <w:r>
        <w:rPr>
          <w:rFonts w:ascii="Times New Roman" w:hAnsi="Times New Roman" w:cs="Times New Roman" w:eastAsia="Times New Roman" w:hint="default"/>
          <w:spacing w:val="-2"/>
        </w:rPr>
        <w:t>c</w:t>
      </w:r>
      <w:r>
        <w:rPr>
          <w:spacing w:val="-2"/>
        </w:rPr>
        <w:t>）编制合并现金流量表时，将该子公司购买日至报告期末的现金流量纳入合并现金流</w:t>
      </w:r>
      <w:r>
        <w:rPr/>
        <w:t> 量表。</w:t>
      </w:r>
    </w:p>
    <w:p>
      <w:pPr>
        <w:pStyle w:val="BodyText"/>
        <w:spacing w:line="240" w:lineRule="auto" w:before="89"/>
        <w:ind w:left="633" w:right="1057"/>
        <w:jc w:val="left"/>
      </w:pPr>
      <w:r>
        <w:rPr/>
        <w:t>②处置子公司或业务</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auto" w:before="26"/>
        <w:ind w:left="633" w:right="1057"/>
        <w:jc w:val="left"/>
      </w:pPr>
      <w:r>
        <w:rPr>
          <w:rFonts w:ascii="Times New Roman" w:hAnsi="Times New Roman" w:cs="Times New Roman" w:eastAsia="Times New Roman" w:hint="default"/>
        </w:rPr>
        <w:t>A.</w:t>
      </w:r>
      <w:r>
        <w:rPr/>
        <w:t>编制合并资产负债表时，不调整合并资产负债表的期初数。 </w:t>
      </w:r>
      <w:r>
        <w:rPr>
          <w:rFonts w:ascii="Times New Roman" w:hAnsi="Times New Roman" w:cs="Times New Roman" w:eastAsia="Times New Roman" w:hint="default"/>
        </w:rPr>
        <w:t>B.</w:t>
      </w:r>
      <w:r>
        <w:rPr/>
        <w:t>编制合并利润表时，将该子公司以及业务期初至处置日的收入、费用、利润纳入合并</w:t>
      </w:r>
    </w:p>
    <w:p>
      <w:pPr>
        <w:pStyle w:val="BodyText"/>
        <w:spacing w:line="214" w:lineRule="exact"/>
        <w:ind w:right="0"/>
        <w:jc w:val="both"/>
      </w:pPr>
      <w:r>
        <w:rPr/>
        <w:t>利润表。</w:t>
      </w:r>
    </w:p>
    <w:p>
      <w:pPr>
        <w:pStyle w:val="BodyText"/>
        <w:spacing w:line="312" w:lineRule="exact" w:before="148"/>
        <w:ind w:right="1133" w:firstLine="480"/>
        <w:jc w:val="both"/>
      </w:pPr>
      <w:r>
        <w:rPr>
          <w:rFonts w:ascii="Times New Roman" w:hAnsi="Times New Roman" w:cs="Times New Roman" w:eastAsia="Times New Roman" w:hint="default"/>
        </w:rPr>
        <w:t>C.</w:t>
      </w:r>
      <w:r>
        <w:rPr/>
        <w:t>编制合并现金流量表时将该子公司以及业务期初至处置日的现金流量纳入合并现金流 量表。</w:t>
      </w:r>
    </w:p>
    <w:p>
      <w:pPr>
        <w:pStyle w:val="Heading3"/>
        <w:spacing w:line="240" w:lineRule="auto" w:before="89"/>
        <w:ind w:left="635" w:right="1057"/>
        <w:jc w:val="left"/>
        <w:rPr>
          <w:b w:val="0"/>
          <w:bCs w:val="0"/>
        </w:rPr>
      </w:pPr>
      <w:r>
        <w:rPr/>
        <w:t>（</w:t>
      </w:r>
      <w:r>
        <w:rPr>
          <w:rFonts w:ascii="Times New Roman" w:hAnsi="Times New Roman" w:cs="Times New Roman" w:eastAsia="Times New Roman" w:hint="default"/>
        </w:rPr>
        <w:t>4</w:t>
      </w:r>
      <w:r>
        <w:rPr/>
        <w:t>）合并抵销中的特殊考虑</w:t>
      </w:r>
      <w:r>
        <w:rPr>
          <w:b w:val="0"/>
          <w:bCs w:val="0"/>
        </w:rPr>
      </w:r>
    </w:p>
    <w:p>
      <w:pPr>
        <w:pStyle w:val="BodyText"/>
        <w:spacing w:line="312" w:lineRule="exact" w:before="130"/>
        <w:ind w:right="1137" w:firstLine="480"/>
        <w:jc w:val="both"/>
      </w:pPr>
      <w:r>
        <w:rPr/>
        <w:t>①子公司持有本公司的长期股权投资，应当视为本公司的库存股，作为所有者权益的减 项，在合并资产负债表中所有者权益项目下以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240" w:lineRule="auto" w:before="89"/>
        <w:ind w:right="1137" w:firstLine="480"/>
        <w:jc w:val="both"/>
      </w:pPr>
      <w:r>
        <w:rPr/>
        <w:t>子公司相互之间持有的长期股权投资，比照本公司对子公司的股权投资的抵销方法，将 长期股权投资与其对应的子公司所有者权益中所享有的份额相互抵销。</w:t>
      </w:r>
    </w:p>
    <w:p>
      <w:pPr>
        <w:pStyle w:val="BodyText"/>
        <w:spacing w:line="312" w:lineRule="exact" w:before="148"/>
        <w:ind w:right="1129" w:firstLine="480"/>
        <w:jc w:val="both"/>
      </w:pPr>
      <w:r>
        <w:rPr/>
        <w:t>②</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一般风险准备</w:t>
      </w:r>
      <w:r>
        <w:rPr>
          <w:rFonts w:ascii="Times New Roman" w:hAnsi="Times New Roman" w:cs="Times New Roman" w:eastAsia="Times New Roman" w:hint="default"/>
        </w:rPr>
        <w:t>”</w:t>
      </w:r>
      <w:r>
        <w:rPr/>
        <w:t>项目由于既不属于实收资本（或股本）、资本公积，也</w:t>
      </w:r>
      <w:r>
        <w:rPr>
          <w:spacing w:val="2"/>
        </w:rPr>
        <w:t> </w:t>
      </w:r>
      <w:r>
        <w:rPr/>
        <w:t>与留存收益、未分配利润不同，在长期股权投资与子公司所有者权益相互抵销后，按归属于</w:t>
      </w:r>
      <w:r>
        <w:rPr>
          <w:spacing w:val="-91"/>
        </w:rPr>
        <w:t> </w:t>
      </w:r>
      <w:r>
        <w:rPr>
          <w:spacing w:val="-91"/>
        </w:rPr>
      </w:r>
      <w:r>
        <w:rPr/>
        <w:t>母公司所有者的份额予以恢复。</w:t>
      </w:r>
    </w:p>
    <w:p>
      <w:pPr>
        <w:pStyle w:val="BodyText"/>
        <w:spacing w:line="312" w:lineRule="exact" w:before="120"/>
        <w:ind w:right="1136" w:firstLine="480"/>
        <w:jc w:val="both"/>
      </w:pPr>
      <w:r>
        <w:rPr/>
        <w:t>③因抵销未实现内部销售损益导致合并资产负债表中资产、负债的账面价值与其在所属 纳税主体的计税基础之间产生暂时性差异的，在合并资产负债表中确认递延所得税资产或递</w:t>
      </w:r>
      <w:r>
        <w:rPr>
          <w:spacing w:val="-91"/>
        </w:rPr>
        <w:t> </w:t>
      </w:r>
      <w:r>
        <w:rPr>
          <w:spacing w:val="-91"/>
        </w:rPr>
      </w:r>
      <w:r>
        <w:rPr/>
        <w:t>延所得税负债，同时调整合并利润表中的所得税费用，但与直接计入所有者权益的交易或事</w:t>
      </w:r>
      <w:r>
        <w:rPr>
          <w:spacing w:val="-90"/>
        </w:rPr>
        <w:t> </w:t>
      </w:r>
      <w:r>
        <w:rPr>
          <w:spacing w:val="-90"/>
        </w:rPr>
      </w:r>
      <w:r>
        <w:rPr/>
        <w:t>项及企业合并相关的递延所得税除外。</w:t>
      </w:r>
    </w:p>
    <w:p>
      <w:pPr>
        <w:pStyle w:val="BodyText"/>
        <w:spacing w:line="228" w:lineRule="auto" w:before="103"/>
        <w:ind w:right="1128" w:firstLine="480"/>
        <w:jc w:val="both"/>
      </w:pPr>
      <w:r>
        <w:rPr>
          <w:spacing w:val="-2"/>
        </w:rPr>
        <w:t>④本公司向子公司出售资产所发生的未实现内部交易损益，应当全额抵销</w:t>
      </w:r>
      <w:r>
        <w:rPr>
          <w:rFonts w:ascii="Times New Roman" w:hAnsi="Times New Roman" w:cs="Times New Roman" w:eastAsia="Times New Roman" w:hint="default"/>
          <w:spacing w:val="-2"/>
        </w:rPr>
        <w:t>“</w:t>
      </w:r>
      <w:r>
        <w:rPr>
          <w:spacing w:val="-2"/>
        </w:rPr>
        <w:t>归属于母公司</w:t>
      </w:r>
      <w:r>
        <w:rPr/>
        <w:t> </w:t>
      </w:r>
      <w:r>
        <w:rPr>
          <w:spacing w:val="-2"/>
        </w:rPr>
        <w:t>所有者的净利润</w:t>
      </w:r>
      <w:r>
        <w:rPr>
          <w:rFonts w:ascii="Times New Roman" w:hAnsi="Times New Roman" w:cs="Times New Roman" w:eastAsia="Times New Roman" w:hint="default"/>
          <w:spacing w:val="-2"/>
        </w:rPr>
        <w:t>”</w:t>
      </w:r>
      <w:r>
        <w:rPr>
          <w:spacing w:val="-2"/>
        </w:rPr>
        <w:t>。子公司向本公司出售资产所发生的未实现内部交易损益，应当按照本公司</w:t>
      </w:r>
      <w:r>
        <w:rPr>
          <w:spacing w:val="-107"/>
        </w:rPr>
        <w:t> </w:t>
      </w:r>
      <w:r>
        <w:rPr>
          <w:spacing w:val="-107"/>
        </w:rPr>
      </w:r>
      <w:r>
        <w:rPr/>
        <w:t>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r>
        <w:rPr>
          <w:spacing w:val="-41"/>
        </w:rPr>
        <w:t> </w:t>
      </w:r>
      <w:r>
        <w:rPr/>
        <w:t>子公司之间出售资产所发生的未实现内部交易损益，应当按照本公司对出售方子公司的分配</w:t>
      </w:r>
      <w:r>
        <w:rPr>
          <w:spacing w:val="-91"/>
        </w:rPr>
        <w:t> </w:t>
      </w:r>
      <w:r>
        <w:rPr>
          <w:spacing w:val="-91"/>
        </w:rPr>
      </w:r>
      <w:r>
        <w:rPr/>
        <w:t>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2" w:lineRule="exact" w:before="133"/>
        <w:ind w:right="1138" w:firstLine="480"/>
        <w:jc w:val="both"/>
      </w:pPr>
      <w:r>
        <w:rPr/>
        <w:t>⑤子公司少数股东分担的当期亏损超过了少数股东在该子公司期初所有者权益中所享有 的份额的，其余额仍应当冲减少数股东权益。</w:t>
      </w:r>
    </w:p>
    <w:p>
      <w:pPr>
        <w:pStyle w:val="Heading3"/>
        <w:spacing w:line="240" w:lineRule="auto" w:before="89"/>
        <w:ind w:left="635" w:right="1057"/>
        <w:jc w:val="left"/>
        <w:rPr>
          <w:b w:val="0"/>
          <w:bCs w:val="0"/>
        </w:rPr>
      </w:pPr>
      <w:r>
        <w:rPr/>
        <w:t>（</w:t>
      </w:r>
      <w:r>
        <w:rPr>
          <w:rFonts w:ascii="Times New Roman" w:hAnsi="Times New Roman" w:cs="Times New Roman" w:eastAsia="Times New Roman" w:hint="default"/>
        </w:rPr>
        <w:t>5</w:t>
      </w:r>
      <w:r>
        <w:rPr/>
        <w:t>）特殊交易的会计处理</w:t>
      </w:r>
      <w:r>
        <w:rPr>
          <w:b w:val="0"/>
          <w:bCs w:val="0"/>
        </w:rPr>
      </w:r>
    </w:p>
    <w:p>
      <w:pPr>
        <w:pStyle w:val="BodyText"/>
        <w:spacing w:line="331" w:lineRule="auto" w:before="99"/>
        <w:ind w:left="633" w:right="1057"/>
        <w:jc w:val="left"/>
      </w:pPr>
      <w:r>
        <w:rPr/>
        <w:t>①购买少数股东股权 本公司购买子公司少数股东拥有的子公司股权，在个别财务报表中，购买少数股权新取</w:t>
      </w:r>
    </w:p>
    <w:p>
      <w:pPr>
        <w:pStyle w:val="BodyText"/>
        <w:spacing w:line="220" w:lineRule="exact"/>
        <w:ind w:right="0"/>
        <w:jc w:val="both"/>
      </w:pPr>
      <w:r>
        <w:rPr/>
        <w:t>得的长期股权投资的投资成本按照所支付对价的公允价值计量。在合并财务报表中，因购买</w:t>
      </w:r>
    </w:p>
    <w:p>
      <w:pPr>
        <w:pStyle w:val="BodyText"/>
        <w:spacing w:line="312" w:lineRule="exact" w:before="30"/>
        <w:ind w:right="1136"/>
        <w:jc w:val="both"/>
      </w:pPr>
      <w:r>
        <w:rPr/>
        <w:t>少数股权新取得的长期股权投资与按照新增持股比例计算应享有子公司自购买日或合并日开</w:t>
      </w:r>
      <w:r>
        <w:rPr>
          <w:spacing w:val="-89"/>
        </w:rPr>
        <w:t> </w:t>
      </w:r>
      <w:r>
        <w:rPr>
          <w:spacing w:val="-89"/>
        </w:rPr>
      </w:r>
      <w:r>
        <w:rPr/>
        <w:t>始持续计算的净资产份额之间的差额，应当调整资本公积（资本溢价或股本溢价），资本公</w:t>
      </w:r>
      <w:r>
        <w:rPr>
          <w:spacing w:val="-91"/>
        </w:rPr>
        <w:t> </w:t>
      </w:r>
      <w:r>
        <w:rPr>
          <w:spacing w:val="-91"/>
        </w:rPr>
      </w:r>
      <w:r>
        <w:rPr/>
        <w:t>积不足冲减的，依次冲减盈余公积和未分配利润。</w:t>
      </w:r>
    </w:p>
    <w:p>
      <w:pPr>
        <w:pStyle w:val="BodyText"/>
        <w:spacing w:line="240" w:lineRule="auto" w:before="89"/>
        <w:ind w:left="633" w:right="1057"/>
        <w:jc w:val="left"/>
      </w:pPr>
      <w:r>
        <w:rPr/>
        <w:t>②通过多次交易分步取得子公司控制权的</w:t>
      </w:r>
    </w:p>
    <w:p>
      <w:pPr>
        <w:pStyle w:val="BodyText"/>
        <w:spacing w:line="312" w:lineRule="auto" w:before="118"/>
        <w:ind w:left="633" w:right="1057"/>
        <w:jc w:val="left"/>
      </w:pPr>
      <w:r>
        <w:rPr>
          <w:rFonts w:ascii="Times New Roman" w:hAnsi="Times New Roman" w:cs="Times New Roman" w:eastAsia="Times New Roman" w:hint="default"/>
        </w:rPr>
        <w:t>A.</w:t>
      </w:r>
      <w:r>
        <w:rPr/>
        <w:t>通过多次交易分步实现同一控制下企业合并 在合并日，本公司在个别财务报表中，根据合并后应享有的子公司净资产在最终控制方</w:t>
      </w:r>
    </w:p>
    <w:p>
      <w:pPr>
        <w:pStyle w:val="BodyText"/>
        <w:spacing w:line="239" w:lineRule="exact"/>
        <w:ind w:right="0"/>
        <w:jc w:val="both"/>
      </w:pPr>
      <w:r>
        <w:rPr/>
        <w:t>合并财务报表中的账面价值的份额，确定长期股权投资的初始投资成本；初始投资成本与达</w:t>
      </w:r>
    </w:p>
    <w:p>
      <w:pPr>
        <w:pStyle w:val="BodyText"/>
        <w:spacing w:line="312" w:lineRule="exact" w:before="29"/>
        <w:ind w:right="1138"/>
        <w:jc w:val="both"/>
      </w:pPr>
      <w:r>
        <w:rPr/>
        <w:t>到合并前的长期股权投资账面价值加上合并日取得进一步股份新支付对价的账面价值之和的</w:t>
      </w:r>
      <w:r>
        <w:rPr>
          <w:spacing w:val="-91"/>
        </w:rPr>
        <w:t> </w:t>
      </w:r>
      <w:r>
        <w:rPr>
          <w:spacing w:val="-91"/>
        </w:rPr>
      </w:r>
      <w:r>
        <w:rPr/>
        <w:t>差额，调整资本公积（资本溢价或股本溢价），资本公积（资本溢价或股本溢价）不足冲减</w:t>
      </w:r>
      <w:r>
        <w:rPr>
          <w:spacing w:val="-89"/>
        </w:rPr>
        <w:t> </w:t>
      </w:r>
      <w:r>
        <w:rPr>
          <w:spacing w:val="-89"/>
        </w:rPr>
      </w:r>
      <w:r>
        <w:rPr/>
        <w:t>的，依次冲减盈余公积和未分配利润。</w:t>
      </w:r>
    </w:p>
    <w:p>
      <w:pPr>
        <w:spacing w:after="0" w:line="312" w:lineRule="exact"/>
        <w:jc w:val="both"/>
        <w:sectPr>
          <w:footerReference w:type="default" r:id="rId15"/>
          <w:pgSz w:w="11910" w:h="16840"/>
          <w:pgMar w:footer="974" w:header="748" w:top="1060" w:bottom="1160" w:left="980" w:right="0"/>
          <w:pgNumType w:start="110"/>
        </w:sectPr>
      </w:pPr>
    </w:p>
    <w:p>
      <w:pPr>
        <w:spacing w:line="240" w:lineRule="auto" w:before="6"/>
        <w:rPr>
          <w:rFonts w:ascii="宋体" w:hAnsi="宋体" w:cs="宋体" w:eastAsia="宋体" w:hint="default"/>
          <w:sz w:val="23"/>
          <w:szCs w:val="23"/>
        </w:rPr>
      </w:pPr>
    </w:p>
    <w:p>
      <w:pPr>
        <w:pStyle w:val="BodyText"/>
        <w:spacing w:line="312" w:lineRule="exact" w:before="56"/>
        <w:ind w:right="1137" w:firstLine="480"/>
        <w:jc w:val="both"/>
      </w:pPr>
      <w:r>
        <w:rPr/>
        <w:t>在合并财务报表中，合并方在合并中取得的被合并方的资产、负债，除因会计政策不同 而进行的调整以外，按合并日在最终控制方合并财务报表中的账面价值计量；合并前持有投</w:t>
      </w:r>
      <w:r>
        <w:rPr>
          <w:spacing w:val="-90"/>
        </w:rPr>
        <w:t> </w:t>
      </w:r>
      <w:r>
        <w:rPr>
          <w:spacing w:val="-90"/>
        </w:rPr>
      </w:r>
      <w:r>
        <w:rPr/>
        <w:t>资的账面价值加上合并日新支付对价的账面价值之和，与合并中取得的净资产账面价值的差</w:t>
      </w:r>
      <w:r>
        <w:rPr>
          <w:spacing w:val="-91"/>
        </w:rPr>
        <w:t> </w:t>
      </w:r>
      <w:r>
        <w:rPr>
          <w:spacing w:val="-91"/>
        </w:rPr>
      </w:r>
      <w:r>
        <w:rPr/>
        <w:t>额，调整资本公积（股本溢价</w:t>
      </w:r>
      <w:r>
        <w:rPr>
          <w:rFonts w:ascii="Times New Roman" w:hAnsi="Times New Roman" w:cs="Times New Roman" w:eastAsia="Times New Roman" w:hint="default"/>
        </w:rPr>
        <w:t>/</w:t>
      </w:r>
      <w:r>
        <w:rPr/>
        <w:t>资本溢价），资本公积不足冲减的，调整留存收益。</w:t>
      </w:r>
    </w:p>
    <w:p>
      <w:pPr>
        <w:pStyle w:val="BodyText"/>
        <w:spacing w:line="312" w:lineRule="exact" w:before="120"/>
        <w:ind w:right="1136" w:firstLine="480"/>
        <w:jc w:val="both"/>
      </w:pPr>
      <w:r>
        <w:rPr/>
        <w:t>合并方在取得被合并方控制权之前持有的股权投资且按权益法核算的，在取得原股权之 日与合并方和被合并方同处于同一方最终控制之日孰晚日起至合并日之间已确认有关损益、</w:t>
      </w:r>
      <w:r>
        <w:rPr>
          <w:spacing w:val="-89"/>
        </w:rPr>
        <w:t> </w:t>
      </w:r>
      <w:r>
        <w:rPr>
          <w:spacing w:val="-89"/>
        </w:rPr>
      </w:r>
      <w:r>
        <w:rPr/>
        <w:t>其他综合收益以及其他所有者权益变动，应分别冲减比较报表期间的期初留存收益。</w:t>
      </w:r>
    </w:p>
    <w:p>
      <w:pPr>
        <w:pStyle w:val="BodyText"/>
        <w:spacing w:line="312" w:lineRule="auto" w:before="89"/>
        <w:ind w:left="633" w:right="1057"/>
        <w:jc w:val="left"/>
      </w:pPr>
      <w:r>
        <w:rPr>
          <w:rFonts w:ascii="Times New Roman" w:hAnsi="Times New Roman" w:cs="Times New Roman" w:eastAsia="Times New Roman" w:hint="default"/>
        </w:rPr>
        <w:t>B.</w:t>
      </w:r>
      <w:r>
        <w:rPr/>
        <w:t>通过多次交易分步实现非同一控制下企业合并 在合并日，在个别财务报表中，按照原持有的长期股权投资的账面价值加上合并日新增</w:t>
      </w:r>
    </w:p>
    <w:p>
      <w:pPr>
        <w:pStyle w:val="BodyText"/>
        <w:spacing w:line="240" w:lineRule="exact"/>
        <w:ind w:right="1057"/>
        <w:jc w:val="left"/>
      </w:pPr>
      <w:r>
        <w:rPr/>
        <w:t>投资成本之和，作为合并日长期股权投资的初始投资成本。</w:t>
      </w:r>
    </w:p>
    <w:p>
      <w:pPr>
        <w:pStyle w:val="BodyText"/>
        <w:spacing w:line="312" w:lineRule="exact" w:before="149"/>
        <w:ind w:right="1135" w:firstLine="480"/>
        <w:jc w:val="both"/>
      </w:pPr>
      <w:r>
        <w:rPr/>
        <w:t>在合并财务报表中，对于购买日之前持有的被购买方的股权，按照该股权在购买日的公 允价值进行重新计量，公允价值与其账面价值的差额计入当期投资收益；购买日之前持有的</w:t>
      </w:r>
      <w:r>
        <w:rPr>
          <w:spacing w:val="-91"/>
        </w:rPr>
        <w:t> </w:t>
      </w:r>
      <w:r>
        <w:rPr>
          <w:spacing w:val="-91"/>
        </w:rPr>
      </w:r>
      <w:r>
        <w:rPr/>
        <w:t>被购买方的股权涉及权益法核算下的其他综合收益等的，与其相关的其他综合收益等转为购</w:t>
      </w:r>
      <w:r>
        <w:rPr>
          <w:spacing w:val="-87"/>
        </w:rPr>
        <w:t> </w:t>
      </w:r>
      <w:r>
        <w:rPr>
          <w:spacing w:val="-87"/>
        </w:rPr>
      </w:r>
      <w:r>
        <w:rPr/>
        <w:t>买日所属当期收益，但由于被合并方重新计量设定受益计划净资产或净负债变动而产生的其</w:t>
      </w:r>
      <w:r>
        <w:rPr>
          <w:spacing w:val="-91"/>
        </w:rPr>
        <w:t> </w:t>
      </w:r>
      <w:r>
        <w:rPr>
          <w:spacing w:val="-91"/>
        </w:rPr>
      </w:r>
      <w:r>
        <w:rPr/>
        <w:t>他综合收益除外。本公司在附注中披露其在购买日之前持有的被购买方的股权在购买日的公</w:t>
      </w:r>
      <w:r>
        <w:rPr>
          <w:spacing w:val="-91"/>
        </w:rPr>
        <w:t> </w:t>
      </w:r>
      <w:r>
        <w:rPr>
          <w:spacing w:val="-91"/>
        </w:rPr>
      </w:r>
      <w:r>
        <w:rPr/>
        <w:t>允价值、按照公允价值重新计量产生的相关利得或损失的金额。</w:t>
      </w:r>
    </w:p>
    <w:p>
      <w:pPr>
        <w:pStyle w:val="BodyText"/>
        <w:spacing w:line="331" w:lineRule="auto" w:before="89"/>
        <w:ind w:left="633" w:right="1000"/>
        <w:jc w:val="left"/>
      </w:pPr>
      <w:r>
        <w:rPr/>
        <w:t>③本公司处置对子公司长期股权投资但未丧失控制权 </w:t>
      </w:r>
      <w:r>
        <w:rPr>
          <w:spacing w:val="-3"/>
        </w:rPr>
        <w:t>母公司在不丧失控制权的情况下部分处置对子公司的长期股权投资，在合并财务报表中，</w:t>
      </w:r>
    </w:p>
    <w:p>
      <w:pPr>
        <w:pStyle w:val="BodyText"/>
        <w:spacing w:line="220" w:lineRule="exact"/>
        <w:ind w:right="1057"/>
        <w:jc w:val="left"/>
      </w:pPr>
      <w:r>
        <w:rPr/>
        <w:t>处置价款与处置长期股权投资相对应享有子公司自购买日或合并日开始持续计算的净资产份</w:t>
      </w:r>
    </w:p>
    <w:p>
      <w:pPr>
        <w:pStyle w:val="BodyText"/>
        <w:spacing w:line="312" w:lineRule="exact" w:before="30"/>
        <w:ind w:right="1057"/>
        <w:jc w:val="left"/>
      </w:pPr>
      <w:r>
        <w:rPr/>
        <w:t>额之间的差额，调整资本公积（资本溢价或股本溢价），资本公积不足冲减的，调整留存收</w:t>
      </w:r>
      <w:r>
        <w:rPr>
          <w:spacing w:val="-86"/>
        </w:rPr>
        <w:t> </w:t>
      </w:r>
      <w:r>
        <w:rPr>
          <w:spacing w:val="-86"/>
        </w:rPr>
      </w:r>
      <w:r>
        <w:rPr/>
        <w:t>益。</w:t>
      </w:r>
    </w:p>
    <w:p>
      <w:pPr>
        <w:pStyle w:val="BodyText"/>
        <w:spacing w:line="240" w:lineRule="auto" w:before="89"/>
        <w:ind w:left="633" w:right="1057"/>
        <w:jc w:val="left"/>
      </w:pPr>
      <w:r>
        <w:rPr/>
        <w:t>④本公司处置对子公司长期股权投资且丧失控制权</w:t>
      </w:r>
    </w:p>
    <w:p>
      <w:pPr>
        <w:pStyle w:val="BodyText"/>
        <w:spacing w:line="312" w:lineRule="auto" w:before="118"/>
        <w:ind w:left="633" w:right="1057"/>
        <w:jc w:val="left"/>
      </w:pPr>
      <w:r>
        <w:rPr>
          <w:rFonts w:ascii="Times New Roman" w:hAnsi="Times New Roman" w:cs="Times New Roman" w:eastAsia="Times New Roman" w:hint="default"/>
        </w:rPr>
        <w:t>A.</w:t>
      </w:r>
      <w:r>
        <w:rPr/>
        <w:t>一次交易处置 本公司因处置部分股权投资等原因丧失了对被投资方的控制权的，在编制合并财务报表</w:t>
      </w:r>
    </w:p>
    <w:p>
      <w:pPr>
        <w:pStyle w:val="BodyText"/>
        <w:spacing w:line="239" w:lineRule="exact"/>
        <w:ind w:right="1057"/>
        <w:jc w:val="left"/>
      </w:pPr>
      <w:r>
        <w:rPr/>
        <w:t>时，对于剩余股权，按照其在丧失控制权日的公允价值进行重新计量。处置股权取得的对价</w:t>
      </w:r>
    </w:p>
    <w:p>
      <w:pPr>
        <w:pStyle w:val="BodyText"/>
        <w:spacing w:line="312" w:lineRule="exact" w:before="29"/>
        <w:ind w:right="1057"/>
        <w:jc w:val="left"/>
      </w:pPr>
      <w:r>
        <w:rPr/>
        <w:t>与剩余股权公允价值之和，减去按原持股比例计算应享有原有子公司自购买日或合并日开始</w:t>
      </w:r>
      <w:r>
        <w:rPr>
          <w:spacing w:val="-91"/>
        </w:rPr>
        <w:t> </w:t>
      </w:r>
      <w:r>
        <w:rPr>
          <w:spacing w:val="-91"/>
        </w:rPr>
      </w:r>
      <w:r>
        <w:rPr/>
        <w:t>持续计算的净资产的份额之间的差额，计入丧失控制权当期的投资收益。</w:t>
      </w:r>
    </w:p>
    <w:p>
      <w:pPr>
        <w:pStyle w:val="BodyText"/>
        <w:spacing w:line="237" w:lineRule="auto" w:before="92"/>
        <w:ind w:right="1135" w:firstLine="480"/>
        <w:jc w:val="both"/>
      </w:pPr>
      <w:r>
        <w:rPr/>
        <w:t>与原子公司的股权投资相关的其他综合收益、其他所有者权益变动，在丧失控制权时转 入当期损益，由于被投资方重新计量设定受益计划净负债或净资产变动而产生的其他综合收</w:t>
      </w:r>
      <w:r>
        <w:rPr>
          <w:spacing w:val="-88"/>
        </w:rPr>
        <w:t> </w:t>
      </w:r>
      <w:r>
        <w:rPr>
          <w:spacing w:val="-88"/>
        </w:rPr>
      </w:r>
      <w:r>
        <w:rPr/>
        <w:t>益除外。</w:t>
      </w:r>
    </w:p>
    <w:p>
      <w:pPr>
        <w:pStyle w:val="BodyText"/>
        <w:spacing w:line="312" w:lineRule="auto" w:before="118"/>
        <w:ind w:left="633" w:right="3340"/>
        <w:jc w:val="left"/>
      </w:pPr>
      <w:r>
        <w:rPr>
          <w:rFonts w:ascii="Times New Roman" w:hAnsi="Times New Roman" w:cs="Times New Roman" w:eastAsia="Times New Roman" w:hint="default"/>
        </w:rPr>
        <w:t>B.</w:t>
      </w:r>
      <w:r>
        <w:rPr/>
        <w:t>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12" w:lineRule="exact" w:before="50"/>
        <w:ind w:right="1127" w:firstLine="480"/>
        <w:jc w:val="both"/>
      </w:pPr>
      <w:r>
        <w:rPr/>
        <w:t>如果分步交易不属于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的，在个别财务报表中，对丧失子公司控制权之前的 各项交易，结转每一次处置股权相对应的长期股权投资的账面价值，所得价款与处置长期股</w:t>
      </w:r>
      <w:r>
        <w:rPr>
          <w:spacing w:val="-91"/>
        </w:rPr>
        <w:t> </w:t>
      </w:r>
      <w:r>
        <w:rPr>
          <w:spacing w:val="-91"/>
        </w:rPr>
      </w:r>
      <w:r>
        <w:rPr>
          <w:spacing w:val="-2"/>
        </w:rPr>
        <w:t>权投资账面价值之间的差额计入当期投资收益；在合并财务报表中，应按照</w:t>
      </w:r>
      <w:r>
        <w:rPr>
          <w:rFonts w:ascii="Times New Roman" w:hAnsi="Times New Roman" w:cs="Times New Roman" w:eastAsia="Times New Roman" w:hint="default"/>
          <w:spacing w:val="-2"/>
        </w:rPr>
        <w:t>“</w:t>
      </w:r>
      <w:r>
        <w:rPr>
          <w:spacing w:val="-2"/>
        </w:rPr>
        <w:t>母公司处置对子</w:t>
      </w:r>
      <w:r>
        <w:rPr>
          <w:spacing w:val="-105"/>
        </w:rPr>
        <w:t> </w:t>
      </w:r>
      <w:r>
        <w:rPr/>
        <w:t>公司长期股权投资但未丧失控制权</w:t>
      </w:r>
      <w:r>
        <w:rPr>
          <w:rFonts w:ascii="Times New Roman" w:hAnsi="Times New Roman" w:cs="Times New Roman" w:eastAsia="Times New Roman" w:hint="default"/>
        </w:rPr>
        <w:t>”</w:t>
      </w:r>
      <w:r>
        <w:rPr/>
        <w:t>的有关规定处理。</w:t>
      </w:r>
    </w:p>
    <w:p>
      <w:pPr>
        <w:pStyle w:val="BodyText"/>
        <w:spacing w:line="232" w:lineRule="auto" w:before="97"/>
        <w:ind w:right="1131" w:firstLine="480"/>
        <w:jc w:val="both"/>
      </w:pPr>
      <w:r>
        <w:rPr/>
        <w:t>如果分步交易属于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的，应当将各项交易作为一项处置子公司并丧失控制权 的交易进行会计处理；在个别财务报表中，在丧失控制权之前的每一次处置价款与所处置的</w:t>
      </w:r>
      <w:r>
        <w:rPr>
          <w:spacing w:val="-90"/>
        </w:rPr>
        <w:t> </w:t>
      </w:r>
      <w:r>
        <w:rPr>
          <w:spacing w:val="-90"/>
        </w:rPr>
      </w:r>
      <w:r>
        <w:rPr/>
        <w:t>股权对应的长期股权投资账面价值之间的差额，先确认为其他综合收益，到丧失控制权时再</w:t>
      </w:r>
    </w:p>
    <w:p>
      <w:pPr>
        <w:spacing w:after="0" w:line="232" w:lineRule="auto"/>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5"/>
        <w:jc w:val="both"/>
      </w:pPr>
      <w:r>
        <w:rPr/>
        <w:t>一并转入丧失控制权的当期损益；在合并财务报表中，对于丧失控制权之前的每一次交易，</w:t>
      </w:r>
      <w:r>
        <w:rPr>
          <w:spacing w:val="-88"/>
        </w:rPr>
        <w:t> </w:t>
      </w:r>
      <w:r>
        <w:rPr>
          <w:spacing w:val="-88"/>
        </w:rPr>
      </w:r>
      <w:r>
        <w:rPr/>
        <w:t>处置价款与处置投资对应的享有该子公司净资产份额的差额应当确认为其他综合收益，在丧</w:t>
      </w:r>
      <w:r>
        <w:rPr>
          <w:spacing w:val="-91"/>
        </w:rPr>
        <w:t> </w:t>
      </w:r>
      <w:r>
        <w:rPr>
          <w:spacing w:val="-91"/>
        </w:rPr>
      </w:r>
      <w:r>
        <w:rPr/>
        <w:t>失控制权时一并转入丧失控制权当期的损益。</w:t>
      </w:r>
    </w:p>
    <w:p>
      <w:pPr>
        <w:pStyle w:val="BodyText"/>
        <w:spacing w:line="313" w:lineRule="exact" w:before="89"/>
        <w:ind w:left="633" w:right="1057"/>
        <w:jc w:val="left"/>
      </w:pPr>
      <w:r>
        <w:rPr/>
        <w:t>各项交易的条款、条件以及经济影响符合下列一种或多种情况的，通常将多次交易作为</w:t>
      </w:r>
    </w:p>
    <w:p>
      <w:pPr>
        <w:pStyle w:val="BodyText"/>
        <w:spacing w:line="331" w:lineRule="exact"/>
        <w:ind w:right="0"/>
        <w:jc w:val="both"/>
      </w:pP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pStyle w:val="BodyText"/>
        <w:spacing w:line="240" w:lineRule="auto" w:before="99"/>
        <w:ind w:left="633" w:right="1057"/>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99"/>
        <w:ind w:left="633" w:right="1057"/>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99"/>
        <w:ind w:left="633" w:right="1057"/>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240" w:lineRule="auto" w:before="99"/>
        <w:ind w:left="633" w:right="1057"/>
        <w:jc w:val="left"/>
      </w:pPr>
      <w:r>
        <w:rPr/>
        <w:t>（</w:t>
      </w:r>
      <w:r>
        <w:rPr>
          <w:rFonts w:ascii="Times New Roman" w:hAnsi="Times New Roman" w:cs="Times New Roman" w:eastAsia="Times New Roman" w:hint="default"/>
        </w:rPr>
        <w:t>d</w:t>
      </w:r>
      <w:r>
        <w:rPr/>
        <w:t>）一项交易单独考虑时是不经济的，但是和其他交易一并考虑时是经济的。</w:t>
      </w:r>
    </w:p>
    <w:p>
      <w:pPr>
        <w:pStyle w:val="BodyText"/>
        <w:spacing w:line="331" w:lineRule="auto" w:before="100"/>
        <w:ind w:left="633" w:right="1057"/>
        <w:jc w:val="left"/>
      </w:pPr>
      <w:r>
        <w:rPr/>
        <w:t>⑤因子公司的少数股东增资而稀释母公司拥有的股权比例 子公司的其他股东（少数股东）对子公司进行增资，由此稀释了母公司对子公司的股权</w:t>
      </w:r>
    </w:p>
    <w:p>
      <w:pPr>
        <w:pStyle w:val="BodyText"/>
        <w:spacing w:line="220" w:lineRule="exact"/>
        <w:ind w:right="0"/>
        <w:jc w:val="both"/>
      </w:pPr>
      <w:r>
        <w:rPr/>
        <w:t>比例。在合并财务报表中，按照增资前的母公司股权比例计算其在增资前子公司账面净资产</w:t>
      </w:r>
    </w:p>
    <w:p>
      <w:pPr>
        <w:pStyle w:val="BodyText"/>
        <w:spacing w:line="312" w:lineRule="exact" w:before="29"/>
        <w:ind w:right="1135"/>
        <w:jc w:val="both"/>
      </w:pPr>
      <w:r>
        <w:rPr/>
        <w:t>中的份额，该份额与增资后按照母公司持股比例计算的在增资后子公司账面净资产份额之间</w:t>
      </w:r>
      <w:r>
        <w:rPr>
          <w:spacing w:val="-91"/>
        </w:rPr>
        <w:t> </w:t>
      </w:r>
      <w:r>
        <w:rPr>
          <w:spacing w:val="-91"/>
        </w:rPr>
      </w:r>
      <w:r>
        <w:rPr/>
        <w:t>的差额调整资本公积（资本溢价或股本溢价），资本公积（资本溢价或股本溢价）不足冲减</w:t>
      </w:r>
      <w:r>
        <w:rPr>
          <w:spacing w:val="-87"/>
        </w:rPr>
        <w:t> </w:t>
      </w:r>
      <w:r>
        <w:rPr>
          <w:spacing w:val="-87"/>
        </w:rPr>
      </w:r>
      <w:r>
        <w:rPr/>
        <w:t>的，调整留存收益。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057" w:firstLine="480"/>
        <w:jc w:val="left"/>
      </w:pPr>
      <w:r>
        <w:rPr/>
        <w:t>合营安排，是指一项由两个或两个以上的参与方共同控制的安排。本公司合营安排分为 共同经营和合营企业。</w:t>
      </w:r>
    </w:p>
    <w:p>
      <w:pPr>
        <w:pStyle w:val="BodyText"/>
        <w:spacing w:line="321" w:lineRule="auto" w:before="89"/>
        <w:ind w:left="633" w:right="1057"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）共同经营</w:t>
      </w:r>
      <w:r>
        <w:rPr>
          <w:rFonts w:ascii="宋体" w:hAnsi="宋体" w:cs="宋体" w:eastAsia="宋体" w:hint="default"/>
          <w:b/>
          <w:bCs/>
          <w:w w:val="99"/>
        </w:rPr>
        <w:t> </w:t>
      </w:r>
      <w:r>
        <w:rPr/>
        <w:t>共同经营是指本公司享有该安排相关资产且承担该安排相关负债的合营安排。 本公司确认其与共同经营中利益份额相关的下列项目，并按照相关企业会计准则的规定</w:t>
      </w:r>
    </w:p>
    <w:p>
      <w:pPr>
        <w:pStyle w:val="BodyText"/>
        <w:spacing w:line="230" w:lineRule="exact"/>
        <w:ind w:right="0"/>
        <w:jc w:val="both"/>
      </w:pPr>
      <w:r>
        <w:rPr/>
        <w:t>进行会计处理：</w:t>
      </w:r>
    </w:p>
    <w:p>
      <w:pPr>
        <w:pStyle w:val="BodyText"/>
        <w:spacing w:line="240" w:lineRule="auto" w:before="118"/>
        <w:ind w:left="633" w:right="1057"/>
        <w:jc w:val="left"/>
      </w:pPr>
      <w:r>
        <w:rPr/>
        <w:t>①确认单独所持有的资产，以及按其份额确认共同持有的资产；</w:t>
      </w:r>
    </w:p>
    <w:p>
      <w:pPr>
        <w:pStyle w:val="BodyText"/>
        <w:spacing w:line="240" w:lineRule="auto" w:before="118"/>
        <w:ind w:left="633" w:right="1057"/>
        <w:jc w:val="left"/>
      </w:pPr>
      <w:r>
        <w:rPr/>
        <w:t>②确认单独所承担的负债，以及按其份额确认共同承担的负债；</w:t>
      </w:r>
    </w:p>
    <w:p>
      <w:pPr>
        <w:pStyle w:val="BodyText"/>
        <w:spacing w:line="240" w:lineRule="auto" w:before="118"/>
        <w:ind w:left="633" w:right="1057"/>
        <w:jc w:val="left"/>
      </w:pPr>
      <w:r>
        <w:rPr/>
        <w:t>③确认出售其享有的共同经营产出份额所产生的收入；</w:t>
      </w:r>
    </w:p>
    <w:p>
      <w:pPr>
        <w:pStyle w:val="BodyText"/>
        <w:spacing w:line="240" w:lineRule="auto" w:before="118"/>
        <w:ind w:left="633" w:right="1057"/>
        <w:jc w:val="left"/>
      </w:pPr>
      <w:r>
        <w:rPr/>
        <w:t>④按其份额确认共同经营因出售产出所产生的收入；</w:t>
      </w:r>
    </w:p>
    <w:p>
      <w:pPr>
        <w:pStyle w:val="BodyText"/>
        <w:spacing w:line="240" w:lineRule="auto" w:before="118"/>
        <w:ind w:left="633" w:right="1057"/>
        <w:jc w:val="left"/>
      </w:pPr>
      <w:r>
        <w:rPr/>
        <w:t>⑤确认单独所发生的费用，以及按其份额确认共同经营发生的费用。</w:t>
      </w:r>
    </w:p>
    <w:p>
      <w:pPr>
        <w:spacing w:line="312" w:lineRule="auto" w:before="118"/>
        <w:ind w:left="633" w:right="35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）合营企业</w:t>
      </w:r>
      <w:r>
        <w:rPr>
          <w:rFonts w:ascii="宋体" w:hAnsi="宋体" w:cs="宋体" w:eastAsia="宋体" w:hint="default"/>
          <w:b/>
          <w:bCs/>
          <w:w w:val="99"/>
          <w:sz w:val="24"/>
          <w:szCs w:val="24"/>
        </w:rPr>
        <w:t> </w:t>
      </w:r>
      <w:r>
        <w:rPr>
          <w:rFonts w:ascii="宋体" w:hAnsi="宋体" w:cs="宋体" w:eastAsia="宋体" w:hint="default"/>
          <w:sz w:val="24"/>
          <w:szCs w:val="24"/>
        </w:rPr>
        <w:t>合营企业是指本公司仅对该安排的净资产享有权利的合营安排。</w:t>
      </w:r>
    </w:p>
    <w:p>
      <w:pPr>
        <w:pStyle w:val="Heading2"/>
        <w:spacing w:line="240" w:lineRule="auto"/>
        <w:ind w:left="633" w:right="1057"/>
        <w:jc w:val="left"/>
        <w:rPr>
          <w:i w:val="0"/>
        </w:rPr>
      </w:pPr>
      <w:r>
        <w:rPr/>
        <w:t>本公司按照长期股权投资有关权益法核算的规定对合营企业的投资进行会计处理。</w:t>
      </w:r>
      <w:r>
        <w:rPr>
          <w:i w:val="0"/>
        </w:rPr>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i/>
          <w:sz w:val="24"/>
          <w:szCs w:val="24"/>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000"/>
        <w:jc w:val="left"/>
      </w:pPr>
      <w:r>
        <w:rPr/>
        <w:t>现金指企业库存现金及可以随时用于支付的存款。现金等价物指持有的期限短（一般是指从 </w:t>
      </w:r>
      <w:r>
        <w:rPr>
          <w:spacing w:val="-3"/>
        </w:rPr>
        <w:t>购买日起三个月内到期）、流动性强、易于转换为已知金额现金、价值变动风险很小的投资。</w:t>
      </w: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spacing w:line="312" w:lineRule="auto" w:before="0"/>
        <w:ind w:left="633" w:right="235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）外币交易时折算汇率的确定方法</w:t>
      </w:r>
      <w:r>
        <w:rPr>
          <w:rFonts w:ascii="宋体" w:hAnsi="宋体" w:cs="宋体" w:eastAsia="宋体" w:hint="default"/>
          <w:b/>
          <w:bCs/>
          <w:w w:val="99"/>
          <w:sz w:val="24"/>
          <w:szCs w:val="24"/>
        </w:rPr>
        <w:t> </w:t>
      </w:r>
      <w:r>
        <w:rPr>
          <w:rFonts w:ascii="宋体" w:hAnsi="宋体" w:cs="宋体" w:eastAsia="宋体" w:hint="default"/>
          <w:sz w:val="24"/>
          <w:szCs w:val="24"/>
        </w:rPr>
        <w:t>本公司外币交易初始确认时采用交易发生日的即期汇率折算为记账本位币。</w:t>
      </w:r>
    </w:p>
    <w:p>
      <w:pPr>
        <w:spacing w:line="312" w:lineRule="auto" w:before="46"/>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）资产负债表日外币货币性项目的折算方法</w:t>
      </w:r>
      <w:r>
        <w:rPr>
          <w:rFonts w:ascii="宋体" w:hAnsi="宋体" w:cs="宋体" w:eastAsia="宋体" w:hint="default"/>
          <w:b/>
          <w:bCs/>
          <w:w w:val="99"/>
          <w:sz w:val="24"/>
          <w:szCs w:val="24"/>
        </w:rPr>
        <w:t> </w:t>
      </w:r>
      <w:r>
        <w:rPr>
          <w:rFonts w:ascii="宋体" w:hAnsi="宋体" w:cs="宋体" w:eastAsia="宋体" w:hint="default"/>
          <w:sz w:val="24"/>
          <w:szCs w:val="24"/>
        </w:rPr>
        <w:t>在资产负债表日，对于外币货币性项目，采用资产负债表日的即期汇率折算。因资产负</w:t>
      </w:r>
    </w:p>
    <w:p>
      <w:pPr>
        <w:pStyle w:val="BodyText"/>
        <w:spacing w:line="239" w:lineRule="exact"/>
        <w:ind w:right="0"/>
        <w:jc w:val="both"/>
      </w:pPr>
      <w:r>
        <w:rPr/>
        <w:t>债表日即期汇率与初始确认时或前一资产负债表日即期汇率不同而产生的汇兑差额，计入当</w:t>
      </w:r>
    </w:p>
    <w:p>
      <w:pPr>
        <w:pStyle w:val="BodyText"/>
        <w:spacing w:line="312" w:lineRule="exact" w:before="29"/>
        <w:ind w:right="1139"/>
        <w:jc w:val="both"/>
      </w:pPr>
      <w:r>
        <w:rPr/>
        <w:t>期损益。对以历史成本计量的外币非货币性项目，仍采用交易发生日的即期汇率折算；对以</w:t>
      </w:r>
      <w:r>
        <w:rPr>
          <w:spacing w:val="-91"/>
        </w:rPr>
        <w:t> </w:t>
      </w:r>
      <w:r>
        <w:rPr>
          <w:spacing w:val="-91"/>
        </w:rPr>
      </w:r>
      <w:r>
        <w:rPr/>
        <w:t>公允价值计量的外币非货币性项目，采用公允价值确定日的即期汇率折算，折算后的记账本</w:t>
      </w:r>
      <w:r>
        <w:rPr>
          <w:spacing w:val="-91"/>
        </w:rPr>
        <w:t> </w:t>
      </w:r>
      <w:r>
        <w:rPr>
          <w:spacing w:val="-91"/>
        </w:rPr>
      </w:r>
      <w:r>
        <w:rPr/>
        <w:t>位币金额与原记账本位币金额的差额，计入当期损益。</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）外币报表折算方法</w:t>
      </w:r>
      <w:r>
        <w:rPr>
          <w:rFonts w:ascii="宋体" w:hAnsi="宋体" w:cs="宋体" w:eastAsia="宋体" w:hint="default"/>
          <w:b/>
          <w:bCs/>
          <w:w w:val="99"/>
          <w:sz w:val="24"/>
          <w:szCs w:val="24"/>
        </w:rPr>
        <w:t> </w:t>
      </w:r>
      <w:r>
        <w:rPr>
          <w:rFonts w:ascii="宋体" w:hAnsi="宋体" w:cs="宋体" w:eastAsia="宋体" w:hint="default"/>
          <w:sz w:val="24"/>
          <w:szCs w:val="24"/>
        </w:rPr>
        <w:t>对企业境外经营财务报表进行折算前先调整境外经营的会计期间和会计政策，使之与企</w:t>
      </w:r>
    </w:p>
    <w:p>
      <w:pPr>
        <w:pStyle w:val="BodyText"/>
        <w:spacing w:line="239" w:lineRule="exact"/>
        <w:ind w:right="0"/>
        <w:jc w:val="both"/>
      </w:pPr>
      <w:r>
        <w:rPr/>
        <w:t>业会计期间和会计政策相一致，再根据调整后会计政策及会计期间编制相应货币（记账本位</w:t>
      </w:r>
    </w:p>
    <w:p>
      <w:pPr>
        <w:pStyle w:val="BodyText"/>
        <w:spacing w:line="313" w:lineRule="exact"/>
        <w:ind w:right="0"/>
        <w:jc w:val="both"/>
      </w:pPr>
      <w:r>
        <w:rPr/>
        <w:t>币以外的货币）的财务报表，再按照以下方法对境外经营财务报表进行折算：</w:t>
      </w:r>
    </w:p>
    <w:p>
      <w:pPr>
        <w:pStyle w:val="BodyText"/>
        <w:spacing w:line="312" w:lineRule="exact" w:before="149"/>
        <w:ind w:right="1057" w:firstLine="480"/>
        <w:jc w:val="left"/>
      </w:pPr>
      <w:r>
        <w:rPr/>
        <w:t>①资产负债表中的资产和负债项目，采用资产负债表日的即期汇率折算，所有者权益项 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89"/>
        <w:ind w:left="633" w:right="1000"/>
        <w:jc w:val="left"/>
      </w:pPr>
      <w:r>
        <w:rPr>
          <w:spacing w:val="-3"/>
        </w:rPr>
        <w:t>②利润表中的收入和费用项目，采用交易发生日的即期汇率或即期汇率的近似汇率折算。</w:t>
      </w:r>
    </w:p>
    <w:p>
      <w:pPr>
        <w:pStyle w:val="BodyText"/>
        <w:spacing w:line="312" w:lineRule="exact" w:before="148"/>
        <w:ind w:right="996" w:firstLine="480"/>
        <w:jc w:val="left"/>
      </w:pPr>
      <w:r>
        <w:rPr/>
        <w:t>③外币现金流量以及境外子公司的现金流量，采用现金流量发生日的即期汇率或即期汇 </w:t>
      </w:r>
      <w:r>
        <w:rPr>
          <w:spacing w:val="-2"/>
        </w:rPr>
        <w:t>率的近似汇率折算。汇率变动对现金的影响额应当作为调节项目，在现金流量表中单独列报。</w:t>
      </w:r>
    </w:p>
    <w:p>
      <w:pPr>
        <w:pStyle w:val="BodyText"/>
        <w:spacing w:line="312" w:lineRule="exact" w:before="120"/>
        <w:ind w:right="1057" w:firstLine="480"/>
        <w:jc w:val="left"/>
      </w:pPr>
      <w:r>
        <w:rPr/>
        <w:t>④产生的外币财务报表折算差额，在编制合并财务报表时，在合并资产负债表中所有者 权益项目下单独列示</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 处置境外经营并丧失控制权时，将资产负债表中所有者权益项目下列示的、与该境外经营相</w:t>
      </w:r>
      <w:r>
        <w:rPr>
          <w:spacing w:val="-91"/>
        </w:rPr>
        <w:t> </w:t>
      </w:r>
      <w:r>
        <w:rPr>
          <w:spacing w:val="-91"/>
        </w:rPr>
      </w:r>
      <w:r>
        <w:rPr/>
        <w:t>关的外币报表折算差额，全部或按处置该境外经营的比例转入处置当期损益。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312" w:lineRule="auto" w:before="0"/>
        <w:ind w:left="633" w:right="1633" w:firstLine="2"/>
        <w:jc w:val="left"/>
        <w:rPr>
          <w:rFonts w:ascii="宋体" w:hAnsi="宋体" w:cs="宋体" w:eastAsia="宋体" w:hint="default"/>
          <w:sz w:val="24"/>
          <w:szCs w:val="24"/>
        </w:rPr>
      </w:pPr>
      <w:r>
        <w:rPr>
          <w:rFonts w:ascii="宋体" w:hAnsi="宋体" w:cs="宋体" w:eastAsia="宋体" w:hint="default"/>
          <w:b/>
          <w:bCs/>
          <w:sz w:val="24"/>
          <w:szCs w:val="24"/>
        </w:rPr>
        <w:t>自</w:t>
      </w:r>
      <w:r>
        <w:rPr>
          <w:rFonts w:ascii="Times New Roman" w:hAnsi="Times New Roman" w:cs="Times New Roman" w:eastAsia="Times New Roman" w:hint="default"/>
          <w:b/>
          <w:bCs/>
          <w:sz w:val="24"/>
          <w:szCs w:val="24"/>
        </w:rPr>
        <w:t>2019</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日起适用</w:t>
      </w:r>
      <w:r>
        <w:rPr>
          <w:rFonts w:ascii="宋体" w:hAnsi="宋体" w:cs="宋体" w:eastAsia="宋体" w:hint="default"/>
          <w:b/>
          <w:bCs/>
          <w:w w:val="99"/>
          <w:sz w:val="24"/>
          <w:szCs w:val="24"/>
        </w:rPr>
        <w:t> </w:t>
      </w:r>
      <w:r>
        <w:rPr>
          <w:rFonts w:ascii="宋体" w:hAnsi="宋体" w:cs="宋体" w:eastAsia="宋体" w:hint="default"/>
          <w:sz w:val="24"/>
          <w:szCs w:val="24"/>
        </w:rPr>
        <w:t>金融工具，是指形成一方的金融资产并形成其他方的金融负债或权益工具的合同。</w:t>
      </w:r>
    </w:p>
    <w:p>
      <w:pPr>
        <w:spacing w:line="321" w:lineRule="auto" w:before="46"/>
        <w:ind w:left="633" w:right="259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）金融工具的确认和终止确认</w:t>
      </w:r>
      <w:r>
        <w:rPr>
          <w:rFonts w:ascii="宋体" w:hAnsi="宋体" w:cs="宋体" w:eastAsia="宋体" w:hint="default"/>
          <w:b/>
          <w:bCs/>
          <w:w w:val="99"/>
          <w:sz w:val="24"/>
          <w:szCs w:val="24"/>
        </w:rPr>
        <w:t> </w:t>
      </w:r>
      <w:r>
        <w:rPr>
          <w:rFonts w:ascii="宋体" w:hAnsi="宋体" w:cs="宋体" w:eastAsia="宋体" w:hint="default"/>
          <w:sz w:val="24"/>
          <w:szCs w:val="24"/>
        </w:rPr>
        <w:t>当本公司成为金融工具合同的一方时，确认相关的金融资产或金融负债。 金融资产满足下列条件之一的，终止确认：</w:t>
      </w:r>
    </w:p>
    <w:p>
      <w:pPr>
        <w:pStyle w:val="BodyText"/>
        <w:spacing w:line="240" w:lineRule="auto" w:before="36"/>
        <w:ind w:left="633" w:right="1057"/>
        <w:jc w:val="left"/>
      </w:pPr>
      <w:r>
        <w:rPr/>
        <w:t>①收取该金融资产现金流量的合同权利终止；</w:t>
      </w:r>
    </w:p>
    <w:p>
      <w:pPr>
        <w:pStyle w:val="BodyText"/>
        <w:spacing w:line="240" w:lineRule="auto" w:before="118"/>
        <w:ind w:left="633" w:right="1057"/>
        <w:jc w:val="left"/>
      </w:pPr>
      <w:r>
        <w:rPr/>
        <w:t>②该金融资产已转移，且符合下述金融资产转移的终止确认条件。</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000" w:firstLine="480"/>
        <w:jc w:val="left"/>
      </w:pPr>
      <w:r>
        <w:rPr/>
        <w:t>金融负债（或其一部分）的现时义务已经解除的，终止确认该金融负债（或该部分金融 </w:t>
      </w:r>
      <w:r>
        <w:rPr>
          <w:spacing w:val="-3"/>
        </w:rPr>
        <w:t>负债）。本公司（借入方）与借出方之间签订协议，以承担新金融负债方式替换原金融负债，</w:t>
      </w:r>
      <w:r>
        <w:rPr>
          <w:spacing w:val="-80"/>
        </w:rPr>
        <w:t> </w:t>
      </w:r>
      <w:r>
        <w:rPr>
          <w:spacing w:val="-80"/>
        </w:rPr>
      </w:r>
      <w:r>
        <w:rPr/>
        <w:t>且新金融负债与原金融负债的合同条款实质上不同的，终止确认原金融负债，并同时确认新</w:t>
      </w:r>
      <w:r>
        <w:rPr>
          <w:spacing w:val="-91"/>
        </w:rPr>
        <w:t> </w:t>
      </w:r>
      <w:r>
        <w:rPr>
          <w:spacing w:val="-91"/>
        </w:rPr>
      </w:r>
      <w:r>
        <w:rPr/>
        <w:t>金融负债。本公司对原金融负债（或其一部分）的合同条款作出实质性修改的，应当终止原</w:t>
      </w:r>
      <w:r>
        <w:rPr>
          <w:spacing w:val="-87"/>
        </w:rPr>
        <w:t> </w:t>
      </w:r>
      <w:r>
        <w:rPr>
          <w:spacing w:val="-87"/>
        </w:rPr>
      </w:r>
      <w:r>
        <w:rPr/>
        <w:t>金融负债，同时按照修改后的条款确认一项新的金融负债。</w:t>
      </w:r>
    </w:p>
    <w:p>
      <w:pPr>
        <w:pStyle w:val="BodyText"/>
        <w:spacing w:line="312" w:lineRule="exact" w:before="120"/>
        <w:ind w:right="1000" w:firstLine="480"/>
        <w:jc w:val="left"/>
      </w:pPr>
      <w:r>
        <w:rPr>
          <w:spacing w:val="-3"/>
        </w:rPr>
        <w:t>以常规方式买卖金融资产，按交易日进行会计确认和终止确认。常规方式买卖金融资产，</w:t>
      </w:r>
      <w:r>
        <w:rPr/>
        <w:t> 是指按照合同条款规定，在法规或市场惯例所确定的时间安排来交付金融资产。交易日，是</w:t>
      </w:r>
      <w:r>
        <w:rPr>
          <w:spacing w:val="-90"/>
        </w:rPr>
        <w:t> </w:t>
      </w:r>
      <w:r>
        <w:rPr>
          <w:spacing w:val="-90"/>
        </w:rPr>
      </w:r>
      <w:r>
        <w:rPr/>
        <w:t>指本公司承诺买入或卖出金融资产的日期。</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）金融资产的分类与计量</w:t>
      </w:r>
      <w:r>
        <w:rPr>
          <w:rFonts w:ascii="宋体" w:hAnsi="宋体" w:cs="宋体" w:eastAsia="宋体" w:hint="default"/>
          <w:b/>
          <w:bCs/>
          <w:w w:val="99"/>
          <w:sz w:val="24"/>
          <w:szCs w:val="24"/>
        </w:rPr>
        <w:t> </w:t>
      </w:r>
      <w:r>
        <w:rPr>
          <w:rFonts w:ascii="宋体" w:hAnsi="宋体" w:cs="宋体" w:eastAsia="宋体" w:hint="default"/>
          <w:sz w:val="24"/>
          <w:szCs w:val="24"/>
        </w:rPr>
        <w:t>本公司在初始确认时根据管理金融资产的业务模式和金融资产的合同现金流量特征，将</w:t>
      </w:r>
    </w:p>
    <w:p>
      <w:pPr>
        <w:pStyle w:val="BodyText"/>
        <w:spacing w:line="240" w:lineRule="exact"/>
        <w:ind w:right="0"/>
        <w:jc w:val="both"/>
      </w:pPr>
      <w:r>
        <w:rPr/>
        <w:t>金融资产分类为：以摊余成本计量的金融资产、以公允价值计量且其变动计入当期损益的金</w:t>
      </w:r>
    </w:p>
    <w:p>
      <w:pPr>
        <w:pStyle w:val="BodyText"/>
        <w:spacing w:line="312" w:lineRule="exact" w:before="29"/>
        <w:ind w:right="1135"/>
        <w:jc w:val="both"/>
      </w:pPr>
      <w:r>
        <w:rPr/>
        <w:t>融资产、以公允价值计量且其变动计入其他综合收益的金融资产。除非本公司改变管理金融</w:t>
      </w:r>
      <w:r>
        <w:rPr>
          <w:spacing w:val="-88"/>
        </w:rPr>
        <w:t> </w:t>
      </w:r>
      <w:r>
        <w:rPr>
          <w:spacing w:val="-88"/>
        </w:rPr>
      </w:r>
      <w:r>
        <w:rPr/>
        <w:t>资产的业务模式，在此情形下，所有受影响的相关金融资产在业务模式发生变更后的首个报</w:t>
      </w:r>
      <w:r>
        <w:rPr>
          <w:spacing w:val="-91"/>
        </w:rPr>
        <w:t> </w:t>
      </w:r>
      <w:r>
        <w:rPr>
          <w:spacing w:val="-91"/>
        </w:rPr>
      </w:r>
      <w:r>
        <w:rPr/>
        <w:t>告期间的第一天进行重分类，否则金融资产在初始确认后不得进行重分类。</w:t>
      </w:r>
    </w:p>
    <w:p>
      <w:pPr>
        <w:pStyle w:val="BodyText"/>
        <w:spacing w:line="312" w:lineRule="exact" w:before="120"/>
        <w:ind w:right="1139" w:firstLine="480"/>
        <w:jc w:val="both"/>
      </w:pPr>
      <w:r>
        <w:rPr/>
        <w:t>金融资产在初始确认时以公允价值计量。对于以公允价值计量且其变动计入当期损益的 金融资产，相关交易费用直接计入当期损益，其他类别的金融资产相关交易费用计入其初始</w:t>
      </w:r>
      <w:r>
        <w:rPr>
          <w:spacing w:val="-91"/>
        </w:rPr>
        <w:t> </w:t>
      </w:r>
      <w:r>
        <w:rPr>
          <w:spacing w:val="-91"/>
        </w:rPr>
      </w:r>
      <w:r>
        <w:rPr/>
        <w:t>确认金额。因销售商品或提供劳务而产生的、未包含或不考虑重大融资成分的应收票据及应</w:t>
      </w:r>
      <w:r>
        <w:rPr>
          <w:spacing w:val="-91"/>
        </w:rPr>
        <w:t> </w:t>
      </w:r>
      <w:r>
        <w:rPr>
          <w:spacing w:val="-91"/>
        </w:rPr>
      </w:r>
      <w:r>
        <w:rPr/>
        <w:t>收账款，本公司则按照收入准则定义的交易价格进行初始计量。</w:t>
      </w:r>
    </w:p>
    <w:p>
      <w:pPr>
        <w:pStyle w:val="BodyText"/>
        <w:spacing w:line="240" w:lineRule="auto" w:before="89"/>
        <w:ind w:left="633" w:right="1057"/>
        <w:jc w:val="left"/>
      </w:pPr>
      <w:r>
        <w:rPr/>
        <w:t>金融资产的后续计量取决于其分类：</w:t>
      </w:r>
    </w:p>
    <w:p>
      <w:pPr>
        <w:pStyle w:val="BodyText"/>
        <w:spacing w:line="331" w:lineRule="auto" w:before="118"/>
        <w:ind w:left="633" w:right="1057"/>
        <w:jc w:val="left"/>
      </w:pPr>
      <w:r>
        <w:rPr/>
        <w:t>①以摊余成本计量的金融资产 金融资产同时符合下列条件的，分类为以摊余成本计量的金融资产：本公司管理该金融</w:t>
      </w:r>
    </w:p>
    <w:p>
      <w:pPr>
        <w:pStyle w:val="BodyText"/>
        <w:spacing w:line="220" w:lineRule="exact"/>
        <w:ind w:right="0"/>
        <w:jc w:val="both"/>
      </w:pPr>
      <w:r>
        <w:rPr/>
        <w:t>资产的业务模式是以收取合同现金流量为目标；该金融资产的合同条款规定，在特定日期产</w:t>
      </w:r>
    </w:p>
    <w:p>
      <w:pPr>
        <w:pStyle w:val="BodyText"/>
        <w:spacing w:line="312" w:lineRule="exact" w:before="29"/>
        <w:ind w:right="1138"/>
        <w:jc w:val="both"/>
      </w:pPr>
      <w:r>
        <w:rPr/>
        <w:t>生的现金流量，仅为对本金和以未偿付本金金额为基础的利息的支付。对于此类金融资产，</w:t>
      </w:r>
      <w:r>
        <w:rPr>
          <w:spacing w:val="-91"/>
        </w:rPr>
        <w:t> </w:t>
      </w:r>
      <w:r>
        <w:rPr>
          <w:spacing w:val="-91"/>
        </w:rPr>
      </w:r>
      <w:r>
        <w:rPr/>
        <w:t>采用实际利率法，按照摊余成本进行后续计量，其终止确认、按实际利率法摊销或减值产生</w:t>
      </w:r>
      <w:r>
        <w:rPr>
          <w:spacing w:val="-91"/>
        </w:rPr>
        <w:t> </w:t>
      </w:r>
      <w:r>
        <w:rPr>
          <w:spacing w:val="-91"/>
        </w:rPr>
      </w:r>
      <w:r>
        <w:rPr/>
        <w:t>的利得或损失，均计入当期损益。</w:t>
      </w:r>
    </w:p>
    <w:p>
      <w:pPr>
        <w:pStyle w:val="BodyText"/>
        <w:spacing w:line="331" w:lineRule="auto" w:before="89"/>
        <w:ind w:left="633" w:right="1057"/>
        <w:jc w:val="left"/>
      </w:pPr>
      <w:r>
        <w:rPr/>
        <w:t>②以公允价值计量且其变动计入其他综合收益的金融资产 金融资产同时符合下列条件的，分类为以公允价值计量且其变动计入其他综合收益的金</w:t>
      </w:r>
    </w:p>
    <w:p>
      <w:pPr>
        <w:pStyle w:val="BodyText"/>
        <w:spacing w:line="220" w:lineRule="exact"/>
        <w:ind w:right="0"/>
        <w:jc w:val="both"/>
      </w:pPr>
      <w:r>
        <w:rPr/>
        <w:t>融资产：本公司管理该金融资产的业务模式是既以收取合同现金流量为目标又以出售金融资</w:t>
      </w:r>
    </w:p>
    <w:p>
      <w:pPr>
        <w:pStyle w:val="BodyText"/>
        <w:spacing w:line="237" w:lineRule="auto" w:before="1"/>
        <w:ind w:right="1135"/>
        <w:jc w:val="both"/>
      </w:pPr>
      <w:r>
        <w:rPr/>
        <w:t>产为目标；该金融资产的合同条款规定，在特定日期产生的现金流量，仅为对本金和以未偿</w:t>
      </w:r>
      <w:r>
        <w:rPr>
          <w:spacing w:val="-91"/>
        </w:rPr>
        <w:t> </w:t>
      </w:r>
      <w:r>
        <w:rPr>
          <w:spacing w:val="-91"/>
        </w:rPr>
      </w:r>
      <w:r>
        <w:rPr/>
        <w:t>付本金金额为基础的利息的支付。对于此类金融资产，采用公允价值进行后续计量。除减值</w:t>
      </w:r>
      <w:r>
        <w:rPr>
          <w:spacing w:val="-88"/>
        </w:rPr>
        <w:t> </w:t>
      </w:r>
      <w:r>
        <w:rPr>
          <w:spacing w:val="-88"/>
        </w:rPr>
      </w:r>
      <w:r>
        <w:rPr/>
        <w:t>损失或利得及汇兑损益确认为当期损益外，此类金融资产的公允价值变动作为其他综合收益</w:t>
      </w:r>
      <w:r>
        <w:rPr>
          <w:spacing w:val="-91"/>
        </w:rPr>
        <w:t> </w:t>
      </w:r>
      <w:r>
        <w:rPr>
          <w:spacing w:val="-91"/>
        </w:rPr>
      </w:r>
      <w:r>
        <w:rPr/>
        <w:t>确认，直到该金融资产终止确认时，其累计利得或损失转入当期损益。但是采用实际利率法</w:t>
      </w:r>
      <w:r>
        <w:rPr>
          <w:spacing w:val="-91"/>
        </w:rPr>
        <w:t> </w:t>
      </w:r>
      <w:r>
        <w:rPr>
          <w:spacing w:val="-91"/>
        </w:rPr>
      </w:r>
      <w:r>
        <w:rPr/>
        <w:t>计算的该金融资产的相关利息收入计入当期损益。</w:t>
      </w:r>
    </w:p>
    <w:p>
      <w:pPr>
        <w:pStyle w:val="BodyText"/>
        <w:spacing w:line="312" w:lineRule="exact" w:before="149"/>
        <w:ind w:right="1138" w:firstLine="480"/>
        <w:jc w:val="both"/>
      </w:pPr>
      <w:r>
        <w:rPr/>
        <w:t>本公司不可撤销地选择将部分非交易性权益工具投资指定为以公允价值计量且其变动计 入其他综合收益的金融资产，仅将相关股利收入计入当期损益，公允价值变动作为其他综合</w:t>
      </w:r>
      <w:r>
        <w:rPr>
          <w:spacing w:val="-91"/>
        </w:rPr>
        <w:t> </w:t>
      </w:r>
      <w:r>
        <w:rPr>
          <w:spacing w:val="-91"/>
        </w:rPr>
      </w:r>
      <w:r>
        <w:rPr/>
        <w:t>收益确认，直到该金融资产终止确认时，其累计利得或损失转入留存收益。</w:t>
      </w:r>
    </w:p>
    <w:p>
      <w:pPr>
        <w:pStyle w:val="BodyText"/>
        <w:spacing w:line="331" w:lineRule="auto" w:before="89"/>
        <w:ind w:left="633" w:right="1057"/>
        <w:jc w:val="left"/>
      </w:pPr>
      <w:r>
        <w:rPr/>
        <w:t>③以公允价值计量且其变动计入当期损益的金融资产 上述以摊余成本计量的金融资产和以公允价值计量且其变动计入其他综合收益的金融资</w:t>
      </w:r>
    </w:p>
    <w:p>
      <w:pPr>
        <w:pStyle w:val="BodyText"/>
        <w:spacing w:line="220" w:lineRule="exact"/>
        <w:ind w:right="0"/>
        <w:jc w:val="both"/>
      </w:pPr>
      <w:r>
        <w:rPr/>
        <w:t>产之外的金融资产，分类为以公允价值计量且其变动计入当期损益的金融资产。对于此类金</w:t>
      </w:r>
    </w:p>
    <w:p>
      <w:pPr>
        <w:pStyle w:val="BodyText"/>
        <w:spacing w:line="313" w:lineRule="exact"/>
        <w:ind w:right="0"/>
        <w:jc w:val="both"/>
      </w:pPr>
      <w:r>
        <w:rPr/>
        <w:t>融资产，采用公允价值进行后续计量，所有公允价值变动计入当期损益。</w:t>
      </w:r>
    </w:p>
    <w:p>
      <w:pPr>
        <w:spacing w:after="0" w:line="313" w:lineRule="exact"/>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spacing w:line="312" w:lineRule="auto" w:before="26"/>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）金融负债的分类与计量</w:t>
      </w:r>
      <w:r>
        <w:rPr>
          <w:rFonts w:ascii="宋体" w:hAnsi="宋体" w:cs="宋体" w:eastAsia="宋体" w:hint="default"/>
          <w:b/>
          <w:bCs/>
          <w:w w:val="99"/>
          <w:sz w:val="24"/>
          <w:szCs w:val="24"/>
        </w:rPr>
        <w:t> </w:t>
      </w:r>
      <w:r>
        <w:rPr>
          <w:rFonts w:ascii="宋体" w:hAnsi="宋体" w:cs="宋体" w:eastAsia="宋体" w:hint="default"/>
          <w:sz w:val="24"/>
          <w:szCs w:val="24"/>
        </w:rPr>
        <w:t>本公司将金融负债分类为以公允价值计量且其变动计入当期损益的金融负债、低于市场</w:t>
      </w:r>
    </w:p>
    <w:p>
      <w:pPr>
        <w:pStyle w:val="BodyText"/>
        <w:spacing w:line="240" w:lineRule="exact"/>
        <w:ind w:right="0"/>
        <w:jc w:val="both"/>
      </w:pPr>
      <w:r>
        <w:rPr/>
        <w:t>利率贷款的贷款承诺及财务担保合同负债及以摊余成本计量的金融负债。</w:t>
      </w:r>
    </w:p>
    <w:p>
      <w:pPr>
        <w:pStyle w:val="BodyText"/>
        <w:spacing w:line="240" w:lineRule="auto" w:before="118"/>
        <w:ind w:left="633" w:right="1057"/>
        <w:jc w:val="left"/>
      </w:pPr>
      <w:r>
        <w:rPr/>
        <w:t>金融负债的后续计量取决于其分类：</w:t>
      </w:r>
    </w:p>
    <w:p>
      <w:pPr>
        <w:pStyle w:val="BodyText"/>
        <w:spacing w:line="331" w:lineRule="auto" w:before="118"/>
        <w:ind w:left="633" w:right="1057"/>
        <w:jc w:val="left"/>
      </w:pPr>
      <w:r>
        <w:rPr/>
        <w:t>①以公允价值计量且其变动计入当期损益的金融负债 该类金融负债包括交易性金融负债（含属于金融负债的衍生工具）和指定为以公允价值</w:t>
      </w:r>
    </w:p>
    <w:p>
      <w:pPr>
        <w:pStyle w:val="BodyText"/>
        <w:spacing w:line="220" w:lineRule="exact"/>
        <w:ind w:right="0"/>
        <w:jc w:val="both"/>
      </w:pPr>
      <w:r>
        <w:rPr/>
        <w:t>计量且其变动计入当期损益的金融负债。初始确认后，对于该类金融负债以公允价值进行后</w:t>
      </w:r>
    </w:p>
    <w:p>
      <w:pPr>
        <w:pStyle w:val="BodyText"/>
        <w:spacing w:line="237" w:lineRule="auto" w:before="1"/>
        <w:ind w:right="1135"/>
        <w:jc w:val="both"/>
      </w:pPr>
      <w:r>
        <w:rPr/>
        <w:t>续计量，除与套期会计有关外，产生的利得或损失（包括利息费用）计入当期损益。但本公</w:t>
      </w:r>
      <w:r>
        <w:rPr>
          <w:spacing w:val="-91"/>
        </w:rPr>
        <w:t> </w:t>
      </w:r>
      <w:r>
        <w:rPr>
          <w:spacing w:val="-91"/>
        </w:rPr>
      </w:r>
      <w:r>
        <w:rPr/>
        <w:t>司对指定为以公允价值计量且其变动计入当期损益的金融负债，由其自身信用风险变动引起</w:t>
      </w:r>
      <w:r>
        <w:rPr>
          <w:spacing w:val="-91"/>
        </w:rPr>
        <w:t> </w:t>
      </w:r>
      <w:r>
        <w:rPr>
          <w:spacing w:val="-91"/>
        </w:rPr>
      </w:r>
      <w:r>
        <w:rPr/>
        <w:t>的该金融负债公允价值的变动金额计入其他综合收益，当该金融负债终止确认时，之前计入</w:t>
      </w:r>
      <w:r>
        <w:rPr>
          <w:spacing w:val="-88"/>
        </w:rPr>
        <w:t> </w:t>
      </w:r>
      <w:r>
        <w:rPr>
          <w:spacing w:val="-88"/>
        </w:rPr>
      </w:r>
      <w:r>
        <w:rPr/>
        <w:t>其他综合收益的累计利得和损失应当从其他综合收益中转出，计入留存收益。</w:t>
      </w:r>
    </w:p>
    <w:p>
      <w:pPr>
        <w:pStyle w:val="BodyText"/>
        <w:spacing w:line="331" w:lineRule="auto" w:before="118"/>
        <w:ind w:left="633" w:right="1057"/>
        <w:jc w:val="left"/>
      </w:pPr>
      <w:r>
        <w:rPr/>
        <w:t>②贷款承诺及财务担保合同负债 贷款承诺是本公司向客户提供的一项在承诺期间内以既定的合同条款向客户发放贷款的</w:t>
      </w:r>
    </w:p>
    <w:p>
      <w:pPr>
        <w:pStyle w:val="BodyText"/>
        <w:spacing w:line="221" w:lineRule="exact"/>
        <w:ind w:right="0"/>
        <w:jc w:val="both"/>
      </w:pPr>
      <w:r>
        <w:rPr/>
        <w:t>承诺。贷款承诺按照预期信用损失模型计提减值损失。</w:t>
      </w:r>
    </w:p>
    <w:p>
      <w:pPr>
        <w:pStyle w:val="BodyText"/>
        <w:spacing w:line="312" w:lineRule="exact" w:before="148"/>
        <w:ind w:right="1000" w:firstLine="480"/>
        <w:jc w:val="left"/>
      </w:pPr>
      <w:r>
        <w:rPr>
          <w:spacing w:val="-3"/>
        </w:rPr>
        <w:t>财务担保合同指，当特定债务人到期不能按照最初或修改后的债务工具条款偿付债务时，</w:t>
      </w:r>
      <w:r>
        <w:rPr/>
        <w:t> 要求本公司向蒙受损失的合同持有人赔付特定金额的合同。财务担保合同负债以按照依据金</w:t>
      </w:r>
      <w:r>
        <w:rPr>
          <w:spacing w:val="-91"/>
        </w:rPr>
        <w:t> </w:t>
      </w:r>
      <w:r>
        <w:rPr>
          <w:spacing w:val="-91"/>
        </w:rPr>
      </w:r>
      <w:r>
        <w:rPr/>
        <w:t>融工具的减值原则所确定的损失准备金额以及初始确认金额扣除按收入确认原则确定的累计</w:t>
      </w:r>
      <w:r>
        <w:rPr>
          <w:spacing w:val="-91"/>
        </w:rPr>
        <w:t> </w:t>
      </w:r>
      <w:r>
        <w:rPr>
          <w:spacing w:val="-91"/>
        </w:rPr>
      </w:r>
      <w:r>
        <w:rPr/>
        <w:t>摊销额后的余额孰高进行后续计量。③以摊余成本计量的金融负债</w:t>
      </w:r>
    </w:p>
    <w:p>
      <w:pPr>
        <w:pStyle w:val="BodyText"/>
        <w:spacing w:line="331" w:lineRule="auto" w:before="89"/>
        <w:ind w:left="633" w:right="3553"/>
        <w:jc w:val="left"/>
      </w:pPr>
      <w:r>
        <w:rPr/>
        <w:t>初始确认后，对其他金融负债采用实际利率法以摊余成本计量。 除特殊情况外，金融负债与权益工具按照下列原则进行区分：</w:t>
      </w:r>
    </w:p>
    <w:p>
      <w:pPr>
        <w:pStyle w:val="BodyText"/>
        <w:spacing w:line="312" w:lineRule="exact" w:before="57"/>
        <w:ind w:right="1138" w:firstLine="480"/>
        <w:jc w:val="both"/>
      </w:pPr>
      <w:r>
        <w:rPr/>
        <w:t>①如果本公司不能无条件地避免以交付现金或其他金融资产来履行一项合同义务，则该 合同义务符合金融负债的定义。有些金融工具虽然没有明确地包含交付现金或其他金融资产</w:t>
      </w:r>
      <w:r>
        <w:rPr>
          <w:spacing w:val="-91"/>
        </w:rPr>
        <w:t> </w:t>
      </w:r>
      <w:r>
        <w:rPr>
          <w:spacing w:val="-91"/>
        </w:rPr>
      </w:r>
      <w:r>
        <w:rPr/>
        <w:t>义务的条款和条件，但有可能通过其他条款和条件间接地形成合同义务。</w:t>
      </w:r>
    </w:p>
    <w:p>
      <w:pPr>
        <w:pStyle w:val="BodyText"/>
        <w:spacing w:line="237" w:lineRule="auto" w:before="92"/>
        <w:ind w:right="996" w:firstLine="480"/>
        <w:jc w:val="left"/>
      </w:pPr>
      <w:r>
        <w:rPr/>
        <w:t>②如果一项金融工具须用或可用本公司自身权益工具进行结算，需要考虑用于结算该工 具的本公司自身权益工具，是作为现金或其他金融资产的替代品，还是为了使该工具持有方</w:t>
      </w:r>
      <w:r>
        <w:rPr>
          <w:spacing w:val="-88"/>
        </w:rPr>
        <w:t> </w:t>
      </w:r>
      <w:r>
        <w:rPr>
          <w:spacing w:val="-88"/>
        </w:rPr>
      </w:r>
      <w:r>
        <w:rPr/>
        <w:t>享有在发行方扣除所有负债后的资产中的剩余权益。如果是前者，该工具是发行方的金融负</w:t>
      </w:r>
      <w:r>
        <w:rPr>
          <w:spacing w:val="-91"/>
        </w:rPr>
        <w:t> </w:t>
      </w:r>
      <w:r>
        <w:rPr>
          <w:spacing w:val="-91"/>
        </w:rPr>
      </w:r>
      <w:r>
        <w:rPr/>
        <w:t>债；如果是后者，该工具是发行方的权益工具。在某些情况下，一项金融工具合同规定本公</w:t>
      </w:r>
      <w:r>
        <w:rPr>
          <w:spacing w:val="-86"/>
        </w:rPr>
        <w:t> </w:t>
      </w:r>
      <w:r>
        <w:rPr>
          <w:spacing w:val="-86"/>
        </w:rPr>
      </w:r>
      <w:r>
        <w:rPr/>
        <w:t>司须用或可用自身权益工具结算该金融工具，其中合同权利或合同义务的金额等于可获取或</w:t>
      </w:r>
      <w:r>
        <w:rPr>
          <w:spacing w:val="-91"/>
        </w:rPr>
        <w:t> </w:t>
      </w:r>
      <w:r>
        <w:rPr>
          <w:spacing w:val="-91"/>
        </w:rPr>
      </w:r>
      <w:r>
        <w:rPr/>
        <w:t>需交付的自身权益工具的数量乘以其结算时的公允价值，则无论该合同权利或合同义务的金</w:t>
      </w:r>
      <w:r>
        <w:rPr>
          <w:spacing w:val="-91"/>
        </w:rPr>
        <w:t> </w:t>
      </w:r>
      <w:r>
        <w:rPr>
          <w:spacing w:val="-91"/>
        </w:rPr>
      </w:r>
      <w:r>
        <w:rPr>
          <w:spacing w:val="-2"/>
        </w:rPr>
        <w:t>额是固定的，还是完全或部分地基于除本公司自身权益工具的市场价格以外变量（例如利率、</w:t>
      </w:r>
      <w:r>
        <w:rPr/>
        <w:t> 某种商品的价格或某项金融工具的价格）的变动而变动，该合同分类为金融负债。</w:t>
      </w:r>
    </w:p>
    <w:p>
      <w:pPr>
        <w:spacing w:line="312" w:lineRule="auto" w:before="118"/>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）衍生金融工具及嵌入衍生工具</w:t>
      </w:r>
      <w:r>
        <w:rPr>
          <w:rFonts w:ascii="宋体" w:hAnsi="宋体" w:cs="宋体" w:eastAsia="宋体" w:hint="default"/>
          <w:b/>
          <w:bCs/>
          <w:w w:val="99"/>
          <w:sz w:val="24"/>
          <w:szCs w:val="24"/>
        </w:rPr>
        <w:t> </w:t>
      </w:r>
      <w:r>
        <w:rPr>
          <w:rFonts w:ascii="宋体" w:hAnsi="宋体" w:cs="宋体" w:eastAsia="宋体" w:hint="default"/>
          <w:sz w:val="24"/>
          <w:szCs w:val="24"/>
        </w:rPr>
        <w:t>衍生金融工具初始以衍生交易合同签订当日的公允价值进行计量，并以其公允价值进行</w:t>
      </w:r>
    </w:p>
    <w:p>
      <w:pPr>
        <w:pStyle w:val="BodyText"/>
        <w:spacing w:line="239" w:lineRule="exact"/>
        <w:ind w:right="0"/>
        <w:jc w:val="both"/>
      </w:pPr>
      <w:r>
        <w:rPr/>
        <w:t>后续计量。公允价值为正数的衍生金融工具确认为一项资产，公允价值为负数的确认为一项</w:t>
      </w:r>
    </w:p>
    <w:p>
      <w:pPr>
        <w:pStyle w:val="BodyText"/>
        <w:spacing w:line="313" w:lineRule="exact"/>
        <w:ind w:right="0"/>
        <w:jc w:val="both"/>
      </w:pPr>
      <w:r>
        <w:rPr/>
        <w:t>负债。</w:t>
      </w:r>
    </w:p>
    <w:p>
      <w:pPr>
        <w:pStyle w:val="BodyText"/>
        <w:spacing w:line="312" w:lineRule="exact" w:before="148"/>
        <w:ind w:right="1057" w:firstLine="480"/>
        <w:jc w:val="left"/>
      </w:pPr>
      <w:r>
        <w:rPr/>
        <w:t>除现金流量套期中属于套期有效的部分计入其他综合收益并于被套期项目影响损益时转 出计入当期损益之外，衍生工具公允价值变动而产生的利得或损失，直接计入当期损益。</w:t>
      </w:r>
    </w:p>
    <w:p>
      <w:pPr>
        <w:pStyle w:val="BodyText"/>
        <w:spacing w:line="240" w:lineRule="auto" w:before="89"/>
        <w:ind w:left="633" w:right="1057"/>
        <w:jc w:val="left"/>
      </w:pPr>
      <w:r>
        <w:rPr/>
        <w:t>对包含嵌入衍生工具的混合工具，如主合同为金融资产的，混合工具作为一个整体适用</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5"/>
        <w:jc w:val="both"/>
      </w:pPr>
      <w:r>
        <w:rPr/>
        <w:t>金融资产分类的相关规定。如主合同并非金融资产，且该混合工具不是以公允价值计量且其</w:t>
      </w:r>
      <w:r>
        <w:rPr>
          <w:spacing w:val="-91"/>
        </w:rPr>
        <w:t> </w:t>
      </w:r>
      <w:r>
        <w:rPr>
          <w:spacing w:val="-91"/>
        </w:rPr>
      </w:r>
      <w:r>
        <w:rPr/>
        <w:t>变动计入当期损益进行会计处理，嵌入衍生工具与该主合同在经济特征及风险方面不存在紧</w:t>
      </w:r>
      <w:r>
        <w:rPr>
          <w:spacing w:val="-90"/>
        </w:rPr>
        <w:t> </w:t>
      </w:r>
      <w:r>
        <w:rPr>
          <w:spacing w:val="-90"/>
        </w:rPr>
      </w:r>
      <w:r>
        <w:rPr/>
        <w:t>密关系，且与嵌入衍生工具条件相同、单独存在的工具符合衍生工具定义的，嵌入衍生工具</w:t>
      </w:r>
      <w:r>
        <w:rPr>
          <w:spacing w:val="-91"/>
        </w:rPr>
        <w:t> </w:t>
      </w:r>
      <w:r>
        <w:rPr>
          <w:spacing w:val="-91"/>
        </w:rPr>
      </w:r>
      <w:r>
        <w:rPr/>
        <w:t>从混合工具中分拆，作为单独的衍生金融工具处理。如果该嵌入衍生工具在取得日或后续资</w:t>
      </w:r>
      <w:r>
        <w:rPr>
          <w:spacing w:val="-88"/>
        </w:rPr>
        <w:t> </w:t>
      </w:r>
      <w:r>
        <w:rPr>
          <w:spacing w:val="-88"/>
        </w:rPr>
      </w:r>
      <w:r>
        <w:rPr/>
        <w:t>产负债表日的公允价值无法单独计量，则将混合工具整体指定为以公允价值计量且其变动计</w:t>
      </w:r>
      <w:r>
        <w:rPr>
          <w:spacing w:val="-91"/>
        </w:rPr>
        <w:t> </w:t>
      </w:r>
      <w:r>
        <w:rPr>
          <w:spacing w:val="-91"/>
        </w:rPr>
      </w:r>
      <w:r>
        <w:rPr/>
        <w:t>入当期损益的金融资产或金融负债。</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）金融工具减值</w:t>
      </w:r>
      <w:r>
        <w:rPr>
          <w:rFonts w:ascii="宋体" w:hAnsi="宋体" w:cs="宋体" w:eastAsia="宋体" w:hint="default"/>
          <w:b/>
          <w:bCs/>
          <w:w w:val="99"/>
          <w:sz w:val="24"/>
          <w:szCs w:val="24"/>
        </w:rPr>
        <w:t> </w:t>
      </w:r>
      <w:r>
        <w:rPr>
          <w:rFonts w:ascii="宋体" w:hAnsi="宋体" w:cs="宋体" w:eastAsia="宋体" w:hint="default"/>
          <w:sz w:val="24"/>
          <w:szCs w:val="24"/>
        </w:rPr>
        <w:t>本公司对于以摊余成本计量的金融资产、以公允价值计量且其变动计入其他综合收益的</w:t>
      </w:r>
    </w:p>
    <w:p>
      <w:pPr>
        <w:pStyle w:val="BodyText"/>
        <w:spacing w:line="239" w:lineRule="exact"/>
        <w:ind w:right="0"/>
        <w:jc w:val="both"/>
      </w:pPr>
      <w:r>
        <w:rPr/>
        <w:t>债权投资、合同资产、租赁应收款、贷款承诺及财务担保合同等，以预期信用损失为基础确</w:t>
      </w:r>
    </w:p>
    <w:p>
      <w:pPr>
        <w:pStyle w:val="BodyText"/>
        <w:spacing w:line="313" w:lineRule="exact"/>
        <w:ind w:right="0"/>
        <w:jc w:val="both"/>
      </w:pPr>
      <w:r>
        <w:rPr/>
        <w:t>认损失准备。</w:t>
      </w:r>
    </w:p>
    <w:p>
      <w:pPr>
        <w:pStyle w:val="BodyText"/>
        <w:spacing w:line="331" w:lineRule="auto" w:before="118"/>
        <w:ind w:left="633" w:right="1057"/>
        <w:jc w:val="left"/>
      </w:pPr>
      <w:r>
        <w:rPr/>
        <w:t>①预期信用损失的计量 预期信用损失，是指以发生违约的风险为权重的金融工具信用损失的加权平均值。信用</w:t>
      </w:r>
    </w:p>
    <w:p>
      <w:pPr>
        <w:pStyle w:val="BodyText"/>
        <w:spacing w:line="220" w:lineRule="exact"/>
        <w:ind w:right="0"/>
        <w:jc w:val="both"/>
      </w:pPr>
      <w:r>
        <w:rPr/>
        <w:t>损失，是指本公司按照原实际利率折现的、根据合同应收的所有合同现金流量与预期收取的</w:t>
      </w:r>
    </w:p>
    <w:p>
      <w:pPr>
        <w:pStyle w:val="BodyText"/>
        <w:spacing w:line="312" w:lineRule="exact" w:before="29"/>
        <w:ind w:right="1139"/>
        <w:jc w:val="both"/>
      </w:pPr>
      <w:r>
        <w:rPr/>
        <w:t>所有现金流量之间的差额，即全部现金短缺的现值。其中，对于本公司购买或源生的已发生</w:t>
      </w:r>
      <w:r>
        <w:rPr>
          <w:spacing w:val="-91"/>
        </w:rPr>
        <w:t> </w:t>
      </w:r>
      <w:r>
        <w:rPr>
          <w:spacing w:val="-91"/>
        </w:rPr>
      </w:r>
      <w:r>
        <w:rPr/>
        <w:t>信用减值的金融资产，应按照该金融资产经信用调整的实际利率折现。</w:t>
      </w:r>
    </w:p>
    <w:p>
      <w:pPr>
        <w:pStyle w:val="BodyText"/>
        <w:spacing w:line="312" w:lineRule="exact" w:before="120"/>
        <w:ind w:right="1140" w:firstLine="480"/>
        <w:jc w:val="both"/>
      </w:pPr>
      <w:r>
        <w:rPr/>
        <w:t>整个存续期预期信用损失，是指因金融工具整个预计存续期内所有可能发生的违约事件 而导致的预期信用损失。</w:t>
      </w:r>
    </w:p>
    <w:p>
      <w:pPr>
        <w:pStyle w:val="BodyText"/>
        <w:spacing w:line="225" w:lineRule="auto" w:before="106"/>
        <w:ind w:right="1136" w:firstLine="480"/>
        <w:jc w:val="both"/>
      </w:pPr>
      <w:r>
        <w:rPr/>
        <w:t>未来</w:t>
      </w:r>
      <w:r>
        <w:rPr>
          <w:rFonts w:ascii="Times New Roman" w:hAnsi="Times New Roman" w:cs="Times New Roman" w:eastAsia="Times New Roman" w:hint="default"/>
        </w:rPr>
        <w:t>12</w:t>
      </w:r>
      <w:r>
        <w:rPr/>
        <w:t>个月内预期信用损失，是指因资产负债表日后</w:t>
      </w:r>
      <w:r>
        <w:rPr>
          <w:rFonts w:ascii="Times New Roman" w:hAnsi="Times New Roman" w:cs="Times New Roman" w:eastAsia="Times New Roman" w:hint="default"/>
        </w:rPr>
        <w:t>12</w:t>
      </w:r>
      <w:r>
        <w:rPr/>
        <w:t>个月内（若金融工具的预计存续 期少于</w:t>
      </w:r>
      <w:r>
        <w:rPr>
          <w:rFonts w:ascii="Times New Roman" w:hAnsi="Times New Roman" w:cs="Times New Roman" w:eastAsia="Times New Roman" w:hint="default"/>
        </w:rPr>
        <w:t>12</w:t>
      </w:r>
      <w:r>
        <w:rPr/>
        <w:t>个月，则为预计存续期）可能发生的金融工具违约事件而导致的预期信用损失，是</w:t>
      </w:r>
      <w:r>
        <w:rPr>
          <w:spacing w:val="-92"/>
        </w:rPr>
        <w:t> </w:t>
      </w:r>
      <w:r>
        <w:rPr>
          <w:spacing w:val="-92"/>
        </w:rPr>
      </w:r>
      <w:r>
        <w:rPr/>
        <w:t>整个存续期预期信用损失的一部分。</w:t>
      </w:r>
    </w:p>
    <w:p>
      <w:pPr>
        <w:pStyle w:val="BodyText"/>
        <w:spacing w:line="312" w:lineRule="exact" w:before="150"/>
        <w:ind w:right="1133" w:firstLine="480"/>
        <w:jc w:val="both"/>
      </w:pPr>
      <w:r>
        <w:rPr/>
        <w:t>于每个资产负债表日，本公司对于处于不同阶段的金融工具的预期信用损失分别进行计 量。金融工具自初始确认后信用风险未显著增加的，处于第一阶段，本公司按照未来</w:t>
      </w:r>
      <w:r>
        <w:rPr>
          <w:rFonts w:ascii="Times New Roman" w:hAnsi="Times New Roman" w:cs="Times New Roman" w:eastAsia="Times New Roman" w:hint="default"/>
        </w:rPr>
        <w:t>12</w:t>
      </w:r>
      <w:r>
        <w:rPr/>
        <w:t>个月</w:t>
      </w:r>
      <w:r>
        <w:rPr>
          <w:spacing w:val="-86"/>
        </w:rPr>
        <w:t> </w:t>
      </w:r>
      <w:r>
        <w:rPr/>
        <w:t>内的预期信用损失计量损失准备；金融工具自初始确认后信用风险已显著增加但尚未发生信</w:t>
      </w:r>
      <w:r>
        <w:rPr>
          <w:spacing w:val="-91"/>
        </w:rPr>
        <w:t> </w:t>
      </w:r>
      <w:r>
        <w:rPr>
          <w:spacing w:val="-91"/>
        </w:rPr>
      </w:r>
      <w:r>
        <w:rPr/>
        <w:t>用减值的，处于第二阶段，本公司按照该工具整个存续期的预期信用损失计量损失准备；金</w:t>
      </w:r>
      <w:r>
        <w:rPr>
          <w:spacing w:val="-91"/>
        </w:rPr>
        <w:t> </w:t>
      </w:r>
      <w:r>
        <w:rPr>
          <w:spacing w:val="-91"/>
        </w:rPr>
      </w:r>
      <w:r>
        <w:rPr/>
        <w:t>融工具自初始确认后已经发生信用减值的，处于第三阶段，本公司按照该工具整个存续期的</w:t>
      </w:r>
      <w:r>
        <w:rPr>
          <w:spacing w:val="-86"/>
        </w:rPr>
        <w:t> </w:t>
      </w:r>
      <w:r>
        <w:rPr>
          <w:spacing w:val="-86"/>
        </w:rPr>
      </w:r>
      <w:r>
        <w:rPr/>
        <w:t>预期信用损失计量损失准备。</w:t>
      </w:r>
    </w:p>
    <w:p>
      <w:pPr>
        <w:pStyle w:val="BodyText"/>
        <w:spacing w:line="312" w:lineRule="exact" w:before="120"/>
        <w:ind w:right="1140" w:firstLine="480"/>
        <w:jc w:val="both"/>
      </w:pPr>
      <w:r>
        <w:rPr/>
        <w:t>对于在资产负债表日具有较低信用风险的金融工具，本公司假设其信用风险自初始确认 后并未显著增加，按照未来</w:t>
      </w:r>
      <w:r>
        <w:rPr>
          <w:rFonts w:ascii="Times New Roman" w:hAnsi="Times New Roman" w:cs="Times New Roman" w:eastAsia="Times New Roman" w:hint="default"/>
        </w:rPr>
        <w:t>12</w:t>
      </w:r>
      <w:r>
        <w:rPr/>
        <w:t>个月内的预期信用损失计量损失准备。</w:t>
      </w:r>
    </w:p>
    <w:p>
      <w:pPr>
        <w:pStyle w:val="BodyText"/>
        <w:spacing w:line="237" w:lineRule="auto" w:before="92"/>
        <w:ind w:right="1139" w:firstLine="480"/>
        <w:jc w:val="both"/>
      </w:pPr>
      <w:r>
        <w:rPr/>
        <w:t>本公司对于处于第一阶段和第二阶段、以及较低信用风险的金融工具，按照其未扣除减 值准备的账面余额和实际利率计算利息收入。对于处于第三阶段的金融工具，按照其账面余</w:t>
      </w:r>
      <w:r>
        <w:rPr>
          <w:spacing w:val="-91"/>
        </w:rPr>
        <w:t> </w:t>
      </w:r>
      <w:r>
        <w:rPr>
          <w:spacing w:val="-91"/>
        </w:rPr>
      </w:r>
      <w:r>
        <w:rPr/>
        <w:t>额减已计提减值准备后的摊余成本和实际利率计算利息收入。</w:t>
      </w:r>
    </w:p>
    <w:p>
      <w:pPr>
        <w:pStyle w:val="BodyText"/>
        <w:spacing w:line="312" w:lineRule="exact" w:before="149"/>
        <w:ind w:right="1140" w:firstLine="480"/>
        <w:jc w:val="both"/>
      </w:pPr>
      <w:r>
        <w:rPr/>
        <w:t>对于应收票据、应收账款及应收融资款，无论是否存在重大融资成分，本公司均按照整 个存续期的预期信用损失计量损失准备。</w:t>
      </w:r>
    </w:p>
    <w:p>
      <w:pPr>
        <w:pStyle w:val="BodyText"/>
        <w:spacing w:line="312" w:lineRule="auto" w:before="89"/>
        <w:ind w:left="633" w:right="105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应收款项 对于存在客观证据表明存在减值，以及其他适用于单项评估的应收票据、应收账款，其</w:t>
      </w:r>
    </w:p>
    <w:p>
      <w:pPr>
        <w:pStyle w:val="BodyText"/>
        <w:spacing w:line="239" w:lineRule="exact"/>
        <w:ind w:right="0"/>
        <w:jc w:val="both"/>
      </w:pPr>
      <w:r>
        <w:rPr/>
        <w:t>他应收款、应收款项融资及长期应收款等单独进行减值测试，确认预期信用损失，计提单项</w:t>
      </w:r>
    </w:p>
    <w:p>
      <w:pPr>
        <w:pStyle w:val="BodyText"/>
        <w:spacing w:line="237" w:lineRule="auto" w:before="1"/>
        <w:ind w:right="1137"/>
        <w:jc w:val="both"/>
      </w:pPr>
      <w:r>
        <w:rPr/>
        <w:t>减值准备。对于不存在减值客观证据的应收票据、应收账款、其他应收款、应收款项融资及</w:t>
      </w:r>
      <w:r>
        <w:rPr>
          <w:spacing w:val="-90"/>
        </w:rPr>
        <w:t> </w:t>
      </w:r>
      <w:r>
        <w:rPr>
          <w:spacing w:val="-90"/>
        </w:rPr>
      </w:r>
      <w:r>
        <w:rPr/>
        <w:t>长期应收款或当单项金融资产无法以合理成本评估预期信用损失的信息时，本公司依据信用</w:t>
      </w:r>
      <w:r>
        <w:rPr>
          <w:spacing w:val="-91"/>
        </w:rPr>
        <w:t> </w:t>
      </w:r>
      <w:r>
        <w:rPr>
          <w:spacing w:val="-91"/>
        </w:rPr>
      </w:r>
      <w:r>
        <w:rPr/>
        <w:t>风险特征将应收票据、应收账款、其他应收款、应收款项融资及长期应收款等划分为若干组</w:t>
      </w:r>
      <w:r>
        <w:rPr>
          <w:spacing w:val="-91"/>
        </w:rPr>
        <w:t> </w:t>
      </w:r>
      <w:r>
        <w:rPr>
          <w:spacing w:val="-91"/>
        </w:rPr>
      </w:r>
      <w:r>
        <w:rPr/>
        <w:t>合，在组合基础上计算预期信用损失，确定组合的依据如下：</w:t>
      </w:r>
    </w:p>
    <w:p>
      <w:pPr>
        <w:spacing w:after="0" w:line="237" w:lineRule="auto"/>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21" w:lineRule="auto" w:before="26"/>
        <w:ind w:left="633" w:right="6913"/>
        <w:jc w:val="left"/>
      </w:pPr>
      <w:r>
        <w:rPr/>
        <w:t>应收票据确定组合的依据如下： 应收票据组合</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商业承兑汇票 应收票据组合</w:t>
      </w: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银行承兑汇票</w:t>
      </w:r>
    </w:p>
    <w:p>
      <w:pPr>
        <w:pStyle w:val="BodyText"/>
        <w:spacing w:line="312" w:lineRule="exact" w:before="40"/>
        <w:ind w:right="1140" w:firstLine="480"/>
        <w:jc w:val="both"/>
      </w:pPr>
      <w:r>
        <w:rPr/>
        <w:t>对于划分为组合的应收票据，本公司参考历史信用损失经验，结合当前状况以及对未来 经济状况的预测，通过违约风险敞口和整个存续期预期信用损失率，计算预期信用损失。</w:t>
      </w:r>
    </w:p>
    <w:p>
      <w:pPr>
        <w:pStyle w:val="BodyText"/>
        <w:spacing w:line="321" w:lineRule="auto" w:before="89"/>
        <w:ind w:left="633" w:right="5714"/>
        <w:jc w:val="left"/>
      </w:pPr>
      <w:r>
        <w:rPr/>
        <w:t>应收账款确定组合的依据如下： 应收账款组合</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应收合并范围内关联方客户 应收账款组合</w:t>
      </w: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应收中央企业客户</w:t>
      </w:r>
    </w:p>
    <w:p>
      <w:pPr>
        <w:pStyle w:val="BodyText"/>
        <w:spacing w:line="312" w:lineRule="auto" w:before="10"/>
        <w:ind w:left="633" w:right="4994"/>
        <w:jc w:val="left"/>
      </w:pPr>
      <w:r>
        <w:rPr/>
        <w:t>应收账款组合</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应收国企、政府及事业单位客户 应收账款组合</w:t>
      </w:r>
      <w:r>
        <w:rPr>
          <w:rFonts w:ascii="Times New Roman" w:hAnsi="Times New Roman" w:cs="Times New Roman" w:eastAsia="Times New Roman" w:hint="default"/>
        </w:rPr>
        <w:t>4  </w:t>
      </w:r>
      <w:r>
        <w:rPr>
          <w:rFonts w:ascii="Times New Roman" w:hAnsi="Times New Roman" w:cs="Times New Roman" w:eastAsia="Times New Roman" w:hint="default"/>
          <w:spacing w:val="11"/>
        </w:rPr>
        <w:t> </w:t>
      </w:r>
      <w:r>
        <w:rPr/>
        <w:t>应收其他客户</w:t>
      </w:r>
    </w:p>
    <w:p>
      <w:pPr>
        <w:pStyle w:val="BodyText"/>
        <w:spacing w:line="312" w:lineRule="exact" w:before="50"/>
        <w:ind w:right="1135" w:firstLine="480"/>
        <w:jc w:val="both"/>
      </w:pPr>
      <w:r>
        <w:rPr/>
        <w:t>对于划分为组合的应收账款，本公司参考历史信用损失经验，结合当前状况以及对未来 经济状况的预测，编制应收账款账龄与整个存续期预期信用损失率对照表，计算预期信用损</w:t>
      </w:r>
      <w:r>
        <w:rPr>
          <w:spacing w:val="-88"/>
        </w:rPr>
        <w:t> </w:t>
      </w:r>
      <w:r>
        <w:rPr>
          <w:spacing w:val="-88"/>
        </w:rPr>
      </w:r>
      <w:r>
        <w:rPr/>
        <w:t>失。</w:t>
      </w:r>
    </w:p>
    <w:p>
      <w:pPr>
        <w:pStyle w:val="BodyText"/>
        <w:spacing w:line="314" w:lineRule="auto" w:before="89"/>
        <w:ind w:left="633" w:right="6254"/>
        <w:jc w:val="left"/>
      </w:pPr>
      <w:r>
        <w:rPr/>
        <w:t>其他应收款确定组合的依据如下： 其他应收款组合</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应收利息 其他应收款组合</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应收股利 其他应收款组合</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合并范围内往来款 其他应收款组合</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应收押金和保证金 其他应收款组合</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应收备用金 其他应收款组合</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应收代垫款 其他应收款组合</w:t>
      </w:r>
      <w:r>
        <w:rPr>
          <w:rFonts w:ascii="Times New Roman" w:hAnsi="Times New Roman" w:cs="Times New Roman" w:eastAsia="Times New Roman" w:hint="default"/>
        </w:rPr>
        <w:t>7  </w:t>
      </w:r>
      <w:r>
        <w:rPr>
          <w:rFonts w:ascii="Times New Roman" w:hAnsi="Times New Roman" w:cs="Times New Roman" w:eastAsia="Times New Roman" w:hint="default"/>
          <w:spacing w:val="11"/>
        </w:rPr>
        <w:t> </w:t>
      </w:r>
      <w:r>
        <w:rPr/>
        <w:t>应收其他款项</w:t>
      </w:r>
    </w:p>
    <w:p>
      <w:pPr>
        <w:pStyle w:val="BodyText"/>
        <w:spacing w:line="312" w:lineRule="exact" w:before="48"/>
        <w:ind w:right="1135" w:firstLine="480"/>
        <w:jc w:val="both"/>
      </w:pPr>
      <w:r>
        <w:rPr/>
        <w:t>对于划分为组合的其他应收款，本公司参考历史信用损失经验，结合当前状况以及对未 来经济状况的预测，通过违约风险敞口和未来</w:t>
      </w:r>
      <w:r>
        <w:rPr>
          <w:rFonts w:ascii="Times New Roman" w:hAnsi="Times New Roman" w:cs="Times New Roman" w:eastAsia="Times New Roman" w:hint="default"/>
        </w:rPr>
        <w:t>12</w:t>
      </w:r>
      <w:r>
        <w:rPr/>
        <w:t>个月内或整个存续期预期信用损失率，计算</w:t>
      </w:r>
      <w:r>
        <w:rPr>
          <w:spacing w:val="-88"/>
        </w:rPr>
        <w:t> </w:t>
      </w:r>
      <w:r>
        <w:rPr>
          <w:spacing w:val="-88"/>
        </w:rPr>
      </w:r>
      <w:r>
        <w:rPr/>
        <w:t>预期信用损失。</w:t>
      </w:r>
    </w:p>
    <w:p>
      <w:pPr>
        <w:pStyle w:val="BodyText"/>
        <w:spacing w:line="331" w:lineRule="auto" w:before="89"/>
        <w:ind w:left="633" w:right="6433"/>
        <w:jc w:val="left"/>
      </w:pPr>
      <w:r>
        <w:rPr/>
        <w:t>应收款项融资确定组合的依据如下： 应收款项融资组合</w:t>
      </w:r>
      <w:r>
        <w:rPr>
          <w:rFonts w:ascii="Times New Roman" w:hAnsi="Times New Roman" w:cs="Times New Roman" w:eastAsia="Times New Roman" w:hint="default"/>
        </w:rPr>
        <w:t>1  </w:t>
      </w:r>
      <w:r>
        <w:rPr>
          <w:rFonts w:ascii="Times New Roman" w:hAnsi="Times New Roman" w:cs="Times New Roman" w:eastAsia="Times New Roman" w:hint="default"/>
          <w:spacing w:val="11"/>
        </w:rPr>
        <w:t> </w:t>
      </w:r>
      <w:r>
        <w:rPr/>
        <w:t>应收票据</w:t>
      </w:r>
    </w:p>
    <w:p>
      <w:pPr>
        <w:pStyle w:val="BodyText"/>
        <w:spacing w:line="312" w:lineRule="exact" w:before="29"/>
        <w:ind w:right="996" w:firstLine="480"/>
        <w:jc w:val="left"/>
      </w:pPr>
      <w:r>
        <w:rPr/>
        <w:t>对于划分为组合的应收款项融资，本公司参考历史信用损失经验，结合当前状况以及对 </w:t>
      </w:r>
      <w:r>
        <w:rPr>
          <w:spacing w:val="-2"/>
        </w:rPr>
        <w:t>未来经济状况的预测，通过违约风险敞口和整个存续期预期信用损失率，计算预期信用损失。</w:t>
      </w:r>
    </w:p>
    <w:p>
      <w:pPr>
        <w:pStyle w:val="BodyText"/>
        <w:spacing w:line="312" w:lineRule="auto" w:before="89"/>
        <w:ind w:left="633" w:right="1057"/>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2"/>
        </w:rPr>
        <w:t> </w:t>
      </w:r>
      <w:r>
        <w:rPr/>
        <w:t>债权投资、其他债权投资 对于债权投资和其他债权投资，本公司按照投资的性质，根据交易对手和风险敞口的各</w:t>
      </w:r>
    </w:p>
    <w:p>
      <w:pPr>
        <w:pStyle w:val="BodyText"/>
        <w:spacing w:line="248" w:lineRule="exact"/>
        <w:ind w:right="1057"/>
        <w:jc w:val="left"/>
      </w:pPr>
      <w:r>
        <w:rPr/>
        <w:t>种类型，通过违约风险敞口和未来 </w:t>
      </w:r>
      <w:r>
        <w:rPr>
          <w:rFonts w:ascii="Times New Roman" w:hAnsi="Times New Roman" w:cs="Times New Roman" w:eastAsia="Times New Roman" w:hint="default"/>
        </w:rPr>
        <w:t>12 </w:t>
      </w:r>
      <w:r>
        <w:rPr>
          <w:rFonts w:ascii="Times New Roman" w:hAnsi="Times New Roman" w:cs="Times New Roman" w:eastAsia="Times New Roman" w:hint="default"/>
          <w:spacing w:val="24"/>
        </w:rPr>
        <w:t> </w:t>
      </w:r>
      <w:r>
        <w:rPr/>
        <w:t>个月内或整个存续期预期信用损失率，计算预期信用</w:t>
      </w:r>
    </w:p>
    <w:p>
      <w:pPr>
        <w:pStyle w:val="BodyText"/>
        <w:spacing w:line="304" w:lineRule="exact"/>
        <w:ind w:right="1057"/>
        <w:jc w:val="left"/>
      </w:pPr>
      <w:r>
        <w:rPr/>
        <w:t>损失。</w:t>
      </w:r>
    </w:p>
    <w:p>
      <w:pPr>
        <w:pStyle w:val="BodyText"/>
        <w:spacing w:line="331" w:lineRule="auto" w:before="118"/>
        <w:ind w:left="633" w:right="1057"/>
        <w:jc w:val="left"/>
      </w:pPr>
      <w:r>
        <w:rPr/>
        <w:t>①具有较低的信用风险 如果金融工具的违约风险较低，借款人在短期内履行其合同现金流量义务的能力很强，</w:t>
      </w:r>
    </w:p>
    <w:p>
      <w:pPr>
        <w:pStyle w:val="BodyText"/>
        <w:spacing w:line="221" w:lineRule="exact"/>
        <w:ind w:right="1057"/>
        <w:jc w:val="left"/>
      </w:pPr>
      <w:r>
        <w:rPr/>
        <w:t>并且即便较长时期内经济形势和经营环境存在不利变化但未必一定降低借款人履行其合同现</w:t>
      </w:r>
    </w:p>
    <w:p>
      <w:pPr>
        <w:spacing w:after="0" w:line="221"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057"/>
        <w:jc w:val="left"/>
      </w:pPr>
      <w:r>
        <w:rPr/>
        <w:t>金流量义务的能力，该金融工具被视为具有较低的信用风险。</w:t>
      </w:r>
    </w:p>
    <w:p>
      <w:pPr>
        <w:pStyle w:val="BodyText"/>
        <w:spacing w:line="331" w:lineRule="auto" w:before="118"/>
        <w:ind w:left="633" w:right="1057"/>
        <w:jc w:val="left"/>
      </w:pPr>
      <w:r>
        <w:rPr/>
        <w:t>②信用风险显著增加 本公司通过比较金融工具在资产负债表日所确定的预计存续期内的违约概率与在初始确</w:t>
      </w:r>
    </w:p>
    <w:p>
      <w:pPr>
        <w:pStyle w:val="BodyText"/>
        <w:spacing w:line="220" w:lineRule="exact"/>
        <w:ind w:right="1057"/>
        <w:jc w:val="left"/>
      </w:pPr>
      <w:r>
        <w:rPr/>
        <w:t>认时所确定的预计存续期内的违约概率，以确定金融工具预计存续期内发生违约概率的相对</w:t>
      </w:r>
    </w:p>
    <w:p>
      <w:pPr>
        <w:pStyle w:val="BodyText"/>
        <w:spacing w:line="331" w:lineRule="auto"/>
        <w:ind w:left="633" w:right="1057" w:hanging="481"/>
        <w:jc w:val="left"/>
      </w:pPr>
      <w:r>
        <w:rPr/>
        <w:t>变化，以评估金融工具的信用风险自初始确认后是否已显著增加。 在确定信用风险自初始确认后是否显著增加时，本公司考虑无须付出不必要的额外成本</w:t>
      </w:r>
    </w:p>
    <w:p>
      <w:pPr>
        <w:pStyle w:val="BodyText"/>
        <w:spacing w:line="221" w:lineRule="exact"/>
        <w:ind w:right="1057"/>
        <w:jc w:val="left"/>
      </w:pPr>
      <w:r>
        <w:rPr/>
        <w:t>或努力即可获得的合理且有依据的信息，包括前瞻性信息。本公司考虑的信息包括：</w:t>
      </w:r>
    </w:p>
    <w:p>
      <w:pPr>
        <w:pStyle w:val="BodyText"/>
        <w:spacing w:line="240" w:lineRule="auto" w:before="118"/>
        <w:ind w:left="633" w:right="105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3"/>
        </w:rPr>
        <w:t> </w:t>
      </w:r>
      <w:r>
        <w:rPr/>
        <w:t>信用风险变化所导致的内部价格指标是否发生显著变化；</w:t>
      </w:r>
    </w:p>
    <w:p>
      <w:pPr>
        <w:pStyle w:val="BodyText"/>
        <w:spacing w:line="312" w:lineRule="exact" w:before="130"/>
        <w:ind w:right="1132" w:firstLine="480"/>
        <w:jc w:val="both"/>
      </w:pPr>
      <w:r>
        <w:rPr>
          <w:rFonts w:ascii="Times New Roman" w:hAnsi="Times New Roman" w:cs="Times New Roman" w:eastAsia="Times New Roman" w:hint="default"/>
        </w:rPr>
        <w:t>B. </w:t>
      </w:r>
      <w:r>
        <w:rPr/>
        <w:t>预期将导致债务人履行其偿债义务的能力是否发生显著变化的业务、财务或经济状况 的不利变化；</w:t>
      </w:r>
    </w:p>
    <w:p>
      <w:pPr>
        <w:pStyle w:val="BodyText"/>
        <w:spacing w:line="312" w:lineRule="exact" w:before="120"/>
        <w:ind w:right="1131" w:firstLine="480"/>
        <w:jc w:val="both"/>
      </w:pPr>
      <w:r>
        <w:rPr>
          <w:rFonts w:ascii="Times New Roman" w:hAnsi="Times New Roman" w:cs="Times New Roman" w:eastAsia="Times New Roman" w:hint="default"/>
        </w:rPr>
        <w:t>C. </w:t>
      </w:r>
      <w:r>
        <w:rPr/>
        <w:t>债务人经营成果实际或预期是否发生显著变化；债务人所处的监管、经济或技术环境 是否发生显著不利变化；</w:t>
      </w:r>
    </w:p>
    <w:p>
      <w:pPr>
        <w:pStyle w:val="BodyText"/>
        <w:spacing w:line="312" w:lineRule="exact" w:before="120"/>
        <w:ind w:right="1082" w:firstLine="48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34"/>
        </w:rPr>
        <w:t> </w:t>
      </w:r>
      <w:r>
        <w:rPr/>
        <w:t>作为债务抵押的担保物价值或第三方提供的担保或信用增级质量是否发生显著变化。 这些变化预期将降低债务人按合同规定期限还款的经济动机或者影响违约概率；</w:t>
      </w:r>
    </w:p>
    <w:p>
      <w:pPr>
        <w:pStyle w:val="BodyText"/>
        <w:spacing w:line="240" w:lineRule="auto" w:before="89"/>
        <w:ind w:left="633" w:right="1057"/>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35"/>
        </w:rPr>
        <w:t> </w:t>
      </w:r>
      <w:r>
        <w:rPr/>
        <w:t>预期将降低债务人按合同约定期限还款的经济动机是否发生显著变化；</w:t>
      </w:r>
    </w:p>
    <w:p>
      <w:pPr>
        <w:pStyle w:val="BodyText"/>
        <w:spacing w:line="312" w:lineRule="exact" w:before="130"/>
        <w:ind w:right="1131" w:firstLine="480"/>
        <w:jc w:val="both"/>
      </w:pPr>
      <w:r>
        <w:rPr>
          <w:rFonts w:ascii="Times New Roman" w:hAnsi="Times New Roman" w:cs="Times New Roman" w:eastAsia="Times New Roman" w:hint="default"/>
        </w:rPr>
        <w:t>F.</w:t>
      </w:r>
      <w:r>
        <w:rPr>
          <w:rFonts w:ascii="Times New Roman" w:hAnsi="Times New Roman" w:cs="Times New Roman" w:eastAsia="Times New Roman" w:hint="default"/>
          <w:spacing w:val="25"/>
        </w:rPr>
        <w:t> </w:t>
      </w:r>
      <w:r>
        <w:rPr/>
        <w:t>借款合同的预期变更，包括预计违反合同的行为是否可能导致的合同义务的免除或修 订、给予免息期、利率跳升、要求追加抵押品或担保或者对金融工具的合同框架做出其他变</w:t>
      </w:r>
      <w:r>
        <w:rPr>
          <w:spacing w:val="-91"/>
        </w:rPr>
        <w:t> </w:t>
      </w:r>
      <w:r>
        <w:rPr>
          <w:spacing w:val="-91"/>
        </w:rPr>
      </w:r>
      <w:r>
        <w:rPr/>
        <w:t>更；</w:t>
      </w:r>
    </w:p>
    <w:p>
      <w:pPr>
        <w:pStyle w:val="BodyText"/>
        <w:spacing w:line="240" w:lineRule="auto" w:before="89"/>
        <w:ind w:left="633" w:right="1057"/>
        <w:jc w:val="left"/>
      </w:pPr>
      <w:r>
        <w:rPr>
          <w:rFonts w:ascii="Times New Roman" w:hAnsi="Times New Roman" w:cs="Times New Roman" w:eastAsia="Times New Roman" w:hint="default"/>
        </w:rPr>
        <w:t>G.</w:t>
      </w:r>
      <w:r>
        <w:rPr>
          <w:rFonts w:ascii="Times New Roman" w:hAnsi="Times New Roman" w:cs="Times New Roman" w:eastAsia="Times New Roman" w:hint="default"/>
          <w:spacing w:val="34"/>
        </w:rPr>
        <w:t> </w:t>
      </w:r>
      <w:r>
        <w:rPr/>
        <w:t>债务人预期表现和还款行为是否发生显著变化；</w:t>
      </w:r>
    </w:p>
    <w:p>
      <w:pPr>
        <w:pStyle w:val="BodyText"/>
        <w:spacing w:line="312" w:lineRule="auto" w:before="99"/>
        <w:ind w:left="633" w:right="1057"/>
        <w:jc w:val="left"/>
      </w:pPr>
      <w:r>
        <w:rPr>
          <w:rFonts w:ascii="Times New Roman" w:hAnsi="Times New Roman" w:cs="Times New Roman" w:eastAsia="Times New Roman" w:hint="default"/>
        </w:rPr>
        <w:t>H.</w:t>
      </w:r>
      <w:r>
        <w:rPr>
          <w:rFonts w:ascii="Times New Roman" w:hAnsi="Times New Roman" w:cs="Times New Roman" w:eastAsia="Times New Roman" w:hint="default"/>
          <w:spacing w:val="34"/>
        </w:rPr>
        <w:t> </w:t>
      </w:r>
      <w:r>
        <w:rPr/>
        <w:t>合同付款是否发生逾期超过（含）</w:t>
      </w:r>
      <w:r>
        <w:rPr>
          <w:rFonts w:ascii="Times New Roman" w:hAnsi="Times New Roman" w:cs="Times New Roman" w:eastAsia="Times New Roman" w:hint="default"/>
        </w:rPr>
        <w:t>30</w:t>
      </w:r>
      <w:r>
        <w:rPr/>
        <w:t>日。 根据金融工具的性质，本公司以单项金融工具或金融工具组合为基础评估信用风险是否</w:t>
      </w:r>
    </w:p>
    <w:p>
      <w:pPr>
        <w:pStyle w:val="BodyText"/>
        <w:spacing w:line="239" w:lineRule="exact"/>
        <w:ind w:right="1057"/>
        <w:jc w:val="left"/>
      </w:pPr>
      <w:r>
        <w:rPr/>
        <w:t>显著增加。以金融工具组合为基础进行评估时，本公司可基于共同信用风险特征对金融工具</w:t>
      </w:r>
    </w:p>
    <w:p>
      <w:pPr>
        <w:pStyle w:val="BodyText"/>
        <w:spacing w:line="313" w:lineRule="exact"/>
        <w:ind w:right="1057"/>
        <w:jc w:val="left"/>
      </w:pPr>
      <w:r>
        <w:rPr/>
        <w:t>进行分类，例如逾期信息和信用风险评级。</w:t>
      </w:r>
    </w:p>
    <w:p>
      <w:pPr>
        <w:pStyle w:val="BodyText"/>
        <w:spacing w:line="312" w:lineRule="exact" w:before="148"/>
        <w:ind w:right="1137" w:firstLine="480"/>
        <w:jc w:val="both"/>
      </w:pPr>
      <w:r>
        <w:rPr/>
        <w:t>通常情况下，如果逾期超过</w:t>
      </w:r>
      <w:r>
        <w:rPr>
          <w:rFonts w:ascii="Times New Roman" w:hAnsi="Times New Roman" w:cs="Times New Roman" w:eastAsia="Times New Roman" w:hint="default"/>
        </w:rPr>
        <w:t>30</w:t>
      </w:r>
      <w:r>
        <w:rPr/>
        <w:t>日，本公司确定金融工具的信用风险已经显著增加。除非 本公司无需付出过多成本或努力即可获得合理且有依据的信息，证明虽然超过合同约定的付</w:t>
      </w:r>
      <w:r>
        <w:rPr>
          <w:spacing w:val="-90"/>
        </w:rPr>
        <w:t> </w:t>
      </w:r>
      <w:r>
        <w:rPr>
          <w:spacing w:val="-90"/>
        </w:rPr>
      </w:r>
      <w:r>
        <w:rPr/>
        <w:t>款期限</w:t>
      </w:r>
      <w:r>
        <w:rPr>
          <w:rFonts w:ascii="Times New Roman" w:hAnsi="Times New Roman" w:cs="Times New Roman" w:eastAsia="Times New Roman" w:hint="default"/>
        </w:rPr>
        <w:t>30</w:t>
      </w:r>
      <w:r>
        <w:rPr/>
        <w:t>天，但信用风险自初始确认以来并未显著增加。</w:t>
      </w:r>
    </w:p>
    <w:p>
      <w:pPr>
        <w:pStyle w:val="BodyText"/>
        <w:spacing w:line="331" w:lineRule="auto" w:before="89"/>
        <w:ind w:left="633" w:right="1057"/>
        <w:jc w:val="left"/>
      </w:pPr>
      <w:r>
        <w:rPr/>
        <w:t>③已发生信用减值的金融资产 本公司在资产负债表日评估以摊余成本计量的金融资产和以公允价值计量且其变动计入</w:t>
      </w:r>
    </w:p>
    <w:p>
      <w:pPr>
        <w:pStyle w:val="BodyText"/>
        <w:spacing w:line="220" w:lineRule="exact"/>
        <w:ind w:right="1057"/>
        <w:jc w:val="left"/>
      </w:pPr>
      <w:r>
        <w:rPr/>
        <w:t>其他综合收益的债权投资是否已发生信用减值。当对金融资产预期未来现金流量具有不利影</w:t>
      </w:r>
    </w:p>
    <w:p>
      <w:pPr>
        <w:pStyle w:val="BodyText"/>
        <w:spacing w:line="312" w:lineRule="exact" w:before="29"/>
        <w:ind w:right="1057"/>
        <w:jc w:val="left"/>
      </w:pPr>
      <w:r>
        <w:rPr/>
        <w:t>响的一项或多项事件发生时，该金融资产成为已发生信用减值的金融资产。金融资产已发生</w:t>
      </w:r>
      <w:r>
        <w:rPr>
          <w:spacing w:val="-91"/>
        </w:rPr>
        <w:t> </w:t>
      </w:r>
      <w:r>
        <w:rPr>
          <w:spacing w:val="-91"/>
        </w:rPr>
      </w:r>
      <w:r>
        <w:rPr/>
        <w:t>信用减值的证据包括下列可观察信息：</w:t>
      </w:r>
    </w:p>
    <w:p>
      <w:pPr>
        <w:pStyle w:val="BodyText"/>
        <w:spacing w:line="312" w:lineRule="exact" w:before="120"/>
        <w:ind w:right="1000" w:firstLine="480"/>
        <w:jc w:val="left"/>
      </w:pPr>
      <w:r>
        <w:rPr>
          <w:spacing w:val="-3"/>
        </w:rPr>
        <w:t>发行方或债务人发生重大财务困难；债务人违反合同，如偿付利息或本金违约或逾期等；</w:t>
      </w:r>
      <w:r>
        <w:rPr/>
        <w:t> 债权人出于与债务人财务困难有关的经济或合同考虑，给予债务人在任何其他情况下都不会</w:t>
      </w:r>
      <w:r>
        <w:rPr>
          <w:spacing w:val="-90"/>
        </w:rPr>
        <w:t> </w:t>
      </w:r>
      <w:r>
        <w:rPr>
          <w:spacing w:val="-90"/>
        </w:rPr>
      </w:r>
      <w:r>
        <w:rPr/>
        <w:t>做出的让步；债务人很可能破产或进行其他财务重组；发行方或债务人财务困难导致该金融</w:t>
      </w:r>
      <w:r>
        <w:rPr>
          <w:spacing w:val="-91"/>
        </w:rPr>
        <w:t> </w:t>
      </w:r>
      <w:r>
        <w:rPr>
          <w:spacing w:val="-91"/>
        </w:rPr>
      </w:r>
      <w:r>
        <w:rPr/>
        <w:t>资产的活跃市场消失；以大幅折扣购买或源生一项金融资产，该折扣反映了发生信用损失的</w:t>
      </w:r>
      <w:r>
        <w:rPr>
          <w:spacing w:val="-88"/>
        </w:rPr>
        <w:t> </w:t>
      </w:r>
      <w:r>
        <w:rPr>
          <w:spacing w:val="-88"/>
        </w:rPr>
      </w:r>
      <w:r>
        <w:rPr/>
        <w:t>事实。</w:t>
      </w:r>
    </w:p>
    <w:p>
      <w:pPr>
        <w:pStyle w:val="BodyText"/>
        <w:spacing w:line="240" w:lineRule="auto" w:before="89"/>
        <w:ind w:left="633" w:right="1057"/>
        <w:jc w:val="left"/>
      </w:pPr>
      <w:r>
        <w:rPr/>
        <w:t>④预期信用损失准备的列报</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7" w:firstLine="480"/>
        <w:jc w:val="both"/>
      </w:pPr>
      <w:r>
        <w:rPr/>
        <w:t>为反映金融工具的信用风险自初始确认后的变化，本公司在每个资产负债表日重新计量 预期信用损失，由此形成的损失准备的增加或转回金额，应当作为减值损失或利得计入当期</w:t>
      </w:r>
      <w:r>
        <w:rPr>
          <w:spacing w:val="-91"/>
        </w:rPr>
        <w:t> </w:t>
      </w:r>
      <w:r>
        <w:rPr>
          <w:spacing w:val="-91"/>
        </w:rPr>
      </w:r>
      <w:r>
        <w:rPr/>
        <w:t>损益。对于以摊余成本计量的金融资产，损失准备抵减该金融资产在资产负债表中列示的账</w:t>
      </w:r>
      <w:r>
        <w:rPr>
          <w:spacing w:val="-91"/>
        </w:rPr>
        <w:t> </w:t>
      </w:r>
      <w:r>
        <w:rPr>
          <w:spacing w:val="-91"/>
        </w:rPr>
      </w:r>
      <w:r>
        <w:rPr/>
        <w:t>面价值；对于以公允价值计量且其变动计入其他综合收益的债权投资，本公司在其他综合收</w:t>
      </w:r>
      <w:r>
        <w:rPr>
          <w:spacing w:val="-90"/>
        </w:rPr>
        <w:t> </w:t>
      </w:r>
      <w:r>
        <w:rPr>
          <w:spacing w:val="-90"/>
        </w:rPr>
      </w:r>
      <w:r>
        <w:rPr/>
        <w:t>益中确认其损失准备，不抵减该金融资产的账面价值。</w:t>
      </w:r>
    </w:p>
    <w:p>
      <w:pPr>
        <w:pStyle w:val="BodyText"/>
        <w:spacing w:line="331" w:lineRule="auto" w:before="89"/>
        <w:ind w:left="633" w:right="1057"/>
        <w:jc w:val="left"/>
      </w:pPr>
      <w:r>
        <w:rPr/>
        <w:t>⑤核销 如果本公司不再合理预期金融资产合同现金流量能够全部或部分收回，则直接减记该金</w:t>
      </w:r>
    </w:p>
    <w:p>
      <w:pPr>
        <w:pStyle w:val="BodyText"/>
        <w:spacing w:line="220" w:lineRule="exact"/>
        <w:ind w:right="1057"/>
        <w:jc w:val="left"/>
      </w:pPr>
      <w:r>
        <w:rPr/>
        <w:t>融资产的账面余额。这种减记构成相关金融资产的终止确认。这种情况通常发生在本公司确</w:t>
      </w:r>
    </w:p>
    <w:p>
      <w:pPr>
        <w:pStyle w:val="BodyText"/>
        <w:spacing w:line="331" w:lineRule="auto"/>
        <w:ind w:left="633" w:right="2113" w:hanging="481"/>
        <w:jc w:val="left"/>
      </w:pPr>
      <w:r>
        <w:rPr/>
        <w:t>定债务人没有资产或收入来源可产生足够的现金流量以偿还将被减记的金额。 已减记的金融资产以后又收回的，作为减值损失的转回计入收回当期的损益。</w:t>
      </w:r>
    </w:p>
    <w:p>
      <w:pPr>
        <w:spacing w:line="312" w:lineRule="auto" w:before="27"/>
        <w:ind w:left="633" w:right="667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）金融资产转移</w:t>
      </w:r>
      <w:r>
        <w:rPr>
          <w:rFonts w:ascii="宋体" w:hAnsi="宋体" w:cs="宋体" w:eastAsia="宋体" w:hint="default"/>
          <w:b/>
          <w:bCs/>
          <w:w w:val="99"/>
          <w:sz w:val="24"/>
          <w:szCs w:val="24"/>
        </w:rPr>
        <w:t> </w:t>
      </w:r>
      <w:r>
        <w:rPr>
          <w:rFonts w:ascii="宋体" w:hAnsi="宋体" w:cs="宋体" w:eastAsia="宋体" w:hint="default"/>
          <w:sz w:val="24"/>
          <w:szCs w:val="24"/>
        </w:rPr>
        <w:t>金融资产转移是指下列两种情形：</w:t>
      </w:r>
    </w:p>
    <w:p>
      <w:pPr>
        <w:pStyle w:val="BodyText"/>
        <w:spacing w:line="312" w:lineRule="auto" w:before="46"/>
        <w:ind w:left="633" w:right="1057"/>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rPr>
        <w:t>B.</w:t>
      </w:r>
      <w:r>
        <w:rPr/>
        <w:t>将金融资产整体或部分转移给另一方，但保留收取金融资产现金流量的合同权利，并</w:t>
      </w:r>
    </w:p>
    <w:p>
      <w:pPr>
        <w:pStyle w:val="BodyText"/>
        <w:spacing w:line="214" w:lineRule="exact"/>
        <w:ind w:right="1057"/>
        <w:jc w:val="left"/>
      </w:pPr>
      <w:r>
        <w:rPr/>
        <w:t>承担将收取的现金流量支付给一个或多个收款方的合同义务。</w:t>
      </w:r>
    </w:p>
    <w:p>
      <w:pPr>
        <w:pStyle w:val="BodyText"/>
        <w:spacing w:line="331" w:lineRule="auto" w:before="118"/>
        <w:ind w:left="633" w:right="1057"/>
        <w:jc w:val="left"/>
      </w:pPr>
      <w:r>
        <w:rPr/>
        <w:t>①终止确认所转移的金融资产 已将金融资产所有权上几乎所有的风险和报酬转移给转入方的，或既没有转移也没有保</w:t>
      </w:r>
    </w:p>
    <w:p>
      <w:pPr>
        <w:pStyle w:val="BodyText"/>
        <w:spacing w:line="220" w:lineRule="exact"/>
        <w:ind w:right="1057"/>
        <w:jc w:val="left"/>
      </w:pPr>
      <w:r>
        <w:rPr/>
        <w:t>留金融资产所有权上几乎所有的风险和报酬的，但放弃了对该金融资产控制的，终止确认该</w:t>
      </w:r>
    </w:p>
    <w:p>
      <w:pPr>
        <w:pStyle w:val="BodyText"/>
        <w:spacing w:line="313" w:lineRule="exact"/>
        <w:ind w:right="1057"/>
        <w:jc w:val="left"/>
      </w:pPr>
      <w:r>
        <w:rPr/>
        <w:t>金融资产。</w:t>
      </w:r>
    </w:p>
    <w:p>
      <w:pPr>
        <w:pStyle w:val="BodyText"/>
        <w:spacing w:line="312" w:lineRule="exact" w:before="148"/>
        <w:ind w:right="1000" w:firstLine="480"/>
        <w:jc w:val="left"/>
      </w:pPr>
      <w:r>
        <w:rPr>
          <w:spacing w:val="-3"/>
        </w:rPr>
        <w:t>在判断是否已放弃对所转移金融资产的控制时，根据转入方出售该金融资产的实际能力。</w:t>
      </w:r>
      <w:r>
        <w:rPr/>
        <w:t> 转入方能够单方面将转移的金融资产整体出售给不相关的第三方，且没有额外条件对此项出</w:t>
      </w:r>
      <w:r>
        <w:rPr>
          <w:spacing w:val="-91"/>
        </w:rPr>
        <w:t> </w:t>
      </w:r>
      <w:r>
        <w:rPr>
          <w:spacing w:val="-91"/>
        </w:rPr>
      </w:r>
      <w:r>
        <w:rPr/>
        <w:t>售加以限制的，则公司已放弃对该金融资产的控制。</w:t>
      </w:r>
    </w:p>
    <w:p>
      <w:pPr>
        <w:pStyle w:val="BodyText"/>
        <w:spacing w:line="240" w:lineRule="auto" w:before="89"/>
        <w:ind w:left="633" w:right="1057"/>
        <w:jc w:val="left"/>
      </w:pPr>
      <w:r>
        <w:rPr/>
        <w:t>本公司在判断金融资产转移是否满足金融资产终止确认条件时，注重金融资产转移的实</w:t>
      </w:r>
    </w:p>
    <w:p>
      <w:pPr>
        <w:pStyle w:val="BodyText"/>
        <w:spacing w:line="312" w:lineRule="exact"/>
        <w:ind w:right="1057"/>
        <w:jc w:val="left"/>
      </w:pPr>
      <w:r>
        <w:rPr/>
        <w:t>质。</w:t>
      </w:r>
    </w:p>
    <w:p>
      <w:pPr>
        <w:pStyle w:val="BodyText"/>
        <w:spacing w:line="432" w:lineRule="exact" w:before="52"/>
        <w:ind w:left="633" w:right="1057"/>
        <w:jc w:val="left"/>
      </w:pPr>
      <w:r>
        <w:rPr/>
        <w:t>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rPr>
        <w:t>B.</w:t>
      </w:r>
      <w:r>
        <w:rPr/>
        <w:t>因转移而收到的对价，与原直接计入其他综合收益的公允价值变动累计额中对于终止</w:t>
      </w:r>
    </w:p>
    <w:p>
      <w:pPr>
        <w:pStyle w:val="BodyText"/>
        <w:spacing w:line="268" w:lineRule="exact"/>
        <w:ind w:right="1000"/>
        <w:jc w:val="left"/>
      </w:pPr>
      <w:r>
        <w:rPr/>
        <w:t>确认部分的金额（涉及转移的金融资产为根据《企业会计准则第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p>
    <w:p>
      <w:pPr>
        <w:pStyle w:val="BodyText"/>
        <w:spacing w:line="331" w:lineRule="auto"/>
        <w:ind w:left="633" w:right="1057" w:hanging="481"/>
        <w:jc w:val="left"/>
      </w:pPr>
      <w:r>
        <w:rPr/>
        <w:t>第十八条分类为以公允价值计量且其变动计入其他综合收益的金融资产的情形）之和。 金融资产部分转移满足终止确认条件的，将所转移金融资产整体的账面价值，在终止确</w:t>
      </w:r>
    </w:p>
    <w:p>
      <w:pPr>
        <w:pStyle w:val="BodyText"/>
        <w:spacing w:line="220" w:lineRule="exact"/>
        <w:ind w:right="1057"/>
        <w:jc w:val="left"/>
      </w:pPr>
      <w:r>
        <w:rPr/>
        <w:t>认部分和未终止确认部分（在此种情况下，所保留的服务资产视同继续确认金融资产的一部</w:t>
      </w:r>
    </w:p>
    <w:p>
      <w:pPr>
        <w:pStyle w:val="BodyText"/>
        <w:spacing w:line="312" w:lineRule="exact" w:before="29"/>
        <w:ind w:right="1057"/>
        <w:jc w:val="left"/>
      </w:pPr>
      <w:r>
        <w:rPr/>
        <w:t>分）之间，按照转移日各自的相对公允价值进行分摊，并将下列两项金额的差额计入当期损</w:t>
      </w:r>
      <w:r>
        <w:rPr>
          <w:spacing w:val="-86"/>
        </w:rPr>
        <w:t> </w:t>
      </w:r>
      <w:r>
        <w:rPr>
          <w:spacing w:val="-86"/>
        </w:rPr>
      </w:r>
      <w:r>
        <w:rPr/>
        <w:t>益：</w:t>
      </w:r>
    </w:p>
    <w:p>
      <w:pPr>
        <w:pStyle w:val="BodyText"/>
        <w:spacing w:line="312" w:lineRule="auto" w:before="89"/>
        <w:ind w:left="633" w:right="1057"/>
        <w:jc w:val="left"/>
      </w:pPr>
      <w:r>
        <w:rPr>
          <w:rFonts w:ascii="Times New Roman" w:hAnsi="Times New Roman" w:cs="Times New Roman" w:eastAsia="Times New Roman" w:hint="default"/>
        </w:rPr>
        <w:t>A.</w:t>
      </w:r>
      <w:r>
        <w:rPr/>
        <w:t>终止确认部分在终止确认日的账面价值； </w:t>
      </w:r>
      <w:r>
        <w:rPr>
          <w:rFonts w:ascii="Times New Roman" w:hAnsi="Times New Roman" w:cs="Times New Roman" w:eastAsia="Times New Roman" w:hint="default"/>
        </w:rPr>
        <w:t>B.</w:t>
      </w:r>
      <w:r>
        <w:rPr/>
        <w:t>终止确认部分的对价，与原计入其他综合收益的公允价值变动累计额中对应终止确认</w:t>
      </w:r>
    </w:p>
    <w:p>
      <w:pPr>
        <w:pStyle w:val="BodyText"/>
        <w:spacing w:line="222" w:lineRule="exact"/>
        <w:ind w:right="1000"/>
        <w:jc w:val="left"/>
      </w:pPr>
      <w:r>
        <w:rPr/>
        <w:t>部分的金额（涉及转移的金融资产为根据《企业会计准则第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w:t>
      </w:r>
    </w:p>
    <w:p>
      <w:pPr>
        <w:pStyle w:val="BodyText"/>
        <w:spacing w:line="304" w:lineRule="exact"/>
        <w:ind w:right="1057"/>
        <w:jc w:val="left"/>
      </w:pPr>
      <w:r>
        <w:rPr/>
        <w:t>八条分类为以公允价值计量且其变动计入其他综合收益的金融资产的情形）之和。</w:t>
      </w:r>
    </w:p>
    <w:p>
      <w:pPr>
        <w:spacing w:after="0" w:line="304"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31" w:lineRule="auto" w:before="26"/>
        <w:ind w:left="633" w:right="1057"/>
        <w:jc w:val="left"/>
      </w:pPr>
      <w:r>
        <w:rPr/>
        <w:t>②继续涉入所转移的金融资产 既没有转移也没有保留金融资产所有权上几乎所有的风险和报酬的，且未放弃对该金融</w:t>
      </w:r>
    </w:p>
    <w:p>
      <w:pPr>
        <w:pStyle w:val="BodyText"/>
        <w:spacing w:line="220" w:lineRule="exact"/>
        <w:ind w:right="1057"/>
        <w:jc w:val="left"/>
      </w:pPr>
      <w:r>
        <w:rPr/>
        <w:t>资产控制的，应当按照其继续涉入所转移金融资产的程度确认有关金融资产，并相应确认有</w:t>
      </w:r>
    </w:p>
    <w:p>
      <w:pPr>
        <w:pStyle w:val="BodyText"/>
        <w:spacing w:line="313" w:lineRule="exact"/>
        <w:ind w:right="1057"/>
        <w:jc w:val="left"/>
      </w:pPr>
      <w:r>
        <w:rPr/>
        <w:t>关负债。</w:t>
      </w:r>
    </w:p>
    <w:p>
      <w:pPr>
        <w:pStyle w:val="BodyText"/>
        <w:spacing w:line="312" w:lineRule="exact" w:before="148"/>
        <w:ind w:right="1057" w:firstLine="480"/>
        <w:jc w:val="left"/>
      </w:pPr>
      <w:r>
        <w:rPr/>
        <w:t>继续涉入所转移金融资产的程度，是指企业承担的被转移金融资产价值变动风险或报酬 的程度。</w:t>
      </w:r>
    </w:p>
    <w:p>
      <w:pPr>
        <w:pStyle w:val="BodyText"/>
        <w:spacing w:line="331" w:lineRule="auto" w:before="89"/>
        <w:ind w:left="633" w:right="1057"/>
        <w:jc w:val="left"/>
      </w:pPr>
      <w:r>
        <w:rPr/>
        <w:t>③继续确认所转移的金融资产 仍保留与所转移金融资产所有权上几乎所有的风险和报酬的，应当继续确认所转移金融</w:t>
      </w:r>
    </w:p>
    <w:p>
      <w:pPr>
        <w:pStyle w:val="BodyText"/>
        <w:spacing w:line="221" w:lineRule="exact"/>
        <w:ind w:right="1057"/>
        <w:jc w:val="left"/>
      </w:pPr>
      <w:r>
        <w:rPr/>
        <w:t>资产整体，并将收到的对价确认为一项金融负债。</w:t>
      </w:r>
    </w:p>
    <w:p>
      <w:pPr>
        <w:pStyle w:val="BodyText"/>
        <w:spacing w:line="312" w:lineRule="exact" w:before="149"/>
        <w:ind w:right="1057" w:firstLine="480"/>
        <w:jc w:val="left"/>
      </w:pPr>
      <w:r>
        <w:rPr/>
        <w:t>该金融资产与确认的相关金融负债不得相互抵销。在随后的会计期间，企业应当继续确 认该金融资产产生的收入（或利得）和该金融负债产生的费用（或损失）。</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）金融资产和金融负债的抵销</w:t>
      </w:r>
      <w:r>
        <w:rPr>
          <w:rFonts w:ascii="宋体" w:hAnsi="宋体" w:cs="宋体" w:eastAsia="宋体" w:hint="default"/>
          <w:b/>
          <w:bCs/>
          <w:w w:val="99"/>
          <w:sz w:val="24"/>
          <w:szCs w:val="24"/>
        </w:rPr>
        <w:t> </w:t>
      </w:r>
      <w:r>
        <w:rPr>
          <w:rFonts w:ascii="宋体" w:hAnsi="宋体" w:cs="宋体" w:eastAsia="宋体" w:hint="default"/>
          <w:sz w:val="24"/>
          <w:szCs w:val="24"/>
        </w:rPr>
        <w:t>金融资产和金融负债应当在资产负债表内分别列示，不得相互抵销。但同时满足下列条</w:t>
      </w:r>
    </w:p>
    <w:p>
      <w:pPr>
        <w:pStyle w:val="BodyText"/>
        <w:spacing w:line="240" w:lineRule="exact"/>
        <w:ind w:right="1057"/>
        <w:jc w:val="left"/>
      </w:pPr>
      <w:r>
        <w:rPr/>
        <w:t>件的，以相互抵销后的净额在资产负债表内列示：</w:t>
      </w:r>
    </w:p>
    <w:p>
      <w:pPr>
        <w:pStyle w:val="BodyText"/>
        <w:spacing w:line="331" w:lineRule="auto" w:before="118"/>
        <w:ind w:left="633" w:right="1057"/>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w:t>
      </w:r>
    </w:p>
    <w:p>
      <w:pPr>
        <w:pStyle w:val="BodyText"/>
        <w:spacing w:line="221" w:lineRule="exact"/>
        <w:ind w:right="1057"/>
        <w:jc w:val="left"/>
      </w:pPr>
      <w:r>
        <w:rPr/>
        <w:t>抵销。</w:t>
      </w:r>
    </w:p>
    <w:p>
      <w:pPr>
        <w:spacing w:line="240" w:lineRule="auto" w:before="10"/>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2" w:lineRule="auto"/>
        <w:ind w:right="1131"/>
        <w:jc w:val="both"/>
        <w:rPr>
          <w:sz w:val="21"/>
          <w:szCs w:val="21"/>
        </w:rPr>
      </w:pPr>
      <w:r>
        <w:rPr/>
        <w:t>应收票据无论是否存在重大融资成分，本公司均按照整个存续期的预期信用损失计量损失准</w:t>
      </w:r>
      <w:r>
        <w:rPr>
          <w:spacing w:val="-91"/>
        </w:rPr>
        <w:t> </w:t>
      </w:r>
      <w:r>
        <w:rPr>
          <w:spacing w:val="-91"/>
        </w:rPr>
      </w:r>
      <w:r>
        <w:rPr/>
        <w:t>备。对于存在客观证据表明存在减值，以及其他适用于单项评估的应收票据，单独进行减值</w:t>
      </w:r>
      <w:r>
        <w:rPr>
          <w:spacing w:val="-89"/>
        </w:rPr>
        <w:t> </w:t>
      </w:r>
      <w:r>
        <w:rPr>
          <w:spacing w:val="-89"/>
        </w:rPr>
      </w:r>
      <w:r>
        <w:rPr/>
        <w:t>测试，确认预期信用损失，计提单项减值准备。对于不存在减值客观证据的应收票据无法以</w:t>
      </w:r>
      <w:r>
        <w:rPr>
          <w:spacing w:val="-91"/>
        </w:rPr>
        <w:t> </w:t>
      </w:r>
      <w:r>
        <w:rPr>
          <w:spacing w:val="-91"/>
        </w:rPr>
      </w:r>
      <w:r>
        <w:rPr/>
        <w:t>合理成本评估预期信用损失的信息时，本公司依据信用风险特征将应收票据</w:t>
      </w:r>
      <w:r>
        <w:rPr>
          <w:sz w:val="21"/>
          <w:szCs w:val="21"/>
        </w:rPr>
        <w:t>划分为若干组合，</w:t>
      </w:r>
      <w:r>
        <w:rPr>
          <w:spacing w:val="-68"/>
          <w:sz w:val="21"/>
          <w:szCs w:val="21"/>
        </w:rPr>
        <w:t> </w:t>
      </w:r>
      <w:r>
        <w:rPr>
          <w:spacing w:val="-68"/>
          <w:sz w:val="21"/>
          <w:szCs w:val="21"/>
        </w:rPr>
      </w:r>
      <w:r>
        <w:rPr>
          <w:sz w:val="21"/>
          <w:szCs w:val="21"/>
        </w:rPr>
        <w:t>在组合基础上计算预期信用损失，确定组合的依据如下：</w:t>
      </w:r>
    </w:p>
    <w:p>
      <w:pPr>
        <w:pStyle w:val="BodyText"/>
        <w:spacing w:line="331" w:lineRule="auto" w:before="129"/>
        <w:ind w:left="633" w:right="6913"/>
        <w:jc w:val="left"/>
      </w:pPr>
      <w:r>
        <w:rPr/>
        <w:t>应收票据确定组合的依据如下： 应收票据组合</w:t>
      </w:r>
      <w:r>
        <w:rPr>
          <w:rFonts w:ascii="Times New Roman" w:hAnsi="Times New Roman" w:cs="Times New Roman" w:eastAsia="Times New Roman" w:hint="default"/>
        </w:rPr>
        <w:t>1  </w:t>
      </w:r>
      <w:r>
        <w:rPr>
          <w:rFonts w:ascii="Times New Roman" w:hAnsi="Times New Roman" w:cs="Times New Roman" w:eastAsia="Times New Roman" w:hint="default"/>
          <w:spacing w:val="11"/>
        </w:rPr>
        <w:t> </w:t>
      </w:r>
      <w:r>
        <w:rPr/>
        <w:t>商业承兑汇票</w:t>
      </w:r>
    </w:p>
    <w:p>
      <w:pPr>
        <w:pStyle w:val="BodyText"/>
        <w:spacing w:line="312" w:lineRule="exact" w:before="30"/>
        <w:ind w:right="1057" w:firstLine="480"/>
        <w:jc w:val="left"/>
      </w:pPr>
      <w:r>
        <w:rPr/>
        <w:t>应收票据组合</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银行承兑汇票 对于划分为组合的应收票据，本公司参考历史信用损失经验，结合当前状况以及对未来经济</w:t>
      </w:r>
      <w:r>
        <w:rPr>
          <w:spacing w:val="-91"/>
        </w:rPr>
        <w:t> </w:t>
      </w:r>
      <w:r>
        <w:rPr>
          <w:spacing w:val="-91"/>
        </w:rPr>
      </w:r>
      <w:r>
        <w:rPr/>
        <w:t>状况的预测，通过违约风险敞口和整个存续期预期信用损失率，计算预期信用损失。</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37" w:lineRule="auto"/>
        <w:ind w:right="1057"/>
        <w:jc w:val="left"/>
      </w:pPr>
      <w:r>
        <w:rPr/>
        <w:t>对于应收账款无论是否存在重大融资成分，本公司均按照整个存续期的预期信用损失计量损</w:t>
      </w:r>
      <w:r>
        <w:rPr>
          <w:spacing w:val="-91"/>
        </w:rPr>
        <w:t> </w:t>
      </w:r>
      <w:r>
        <w:rPr>
          <w:spacing w:val="-91"/>
        </w:rPr>
      </w:r>
      <w:r>
        <w:rPr/>
        <w:t>失准备。 对于存在客观证据表明存在减值，以及其他适用于单项评估的应收账款单独进行减值测试，</w:t>
      </w:r>
      <w:r>
        <w:rPr>
          <w:spacing w:val="-87"/>
        </w:rPr>
        <w:t> </w:t>
      </w:r>
      <w:r>
        <w:rPr>
          <w:spacing w:val="-87"/>
        </w:rPr>
      </w:r>
      <w:r>
        <w:rPr/>
        <w:t>确认预期信用损失，计提单项减值准备。对于不存在减值客观证据的应收账款无法以合理成</w:t>
      </w:r>
    </w:p>
    <w:p>
      <w:pPr>
        <w:spacing w:after="0" w:line="237" w:lineRule="auto"/>
        <w:jc w:val="left"/>
        <w:sectPr>
          <w:footerReference w:type="default" r:id="rId16"/>
          <w:pgSz w:w="11910" w:h="16840"/>
          <w:pgMar w:footer="974" w:header="748" w:top="1060" w:bottom="1160" w:left="980" w:right="0"/>
          <w:pgNumType w:start="120"/>
        </w:sectPr>
      </w:pPr>
    </w:p>
    <w:p>
      <w:pPr>
        <w:spacing w:line="240" w:lineRule="auto" w:before="6"/>
        <w:rPr>
          <w:rFonts w:ascii="宋体" w:hAnsi="宋体" w:cs="宋体" w:eastAsia="宋体" w:hint="default"/>
          <w:sz w:val="23"/>
          <w:szCs w:val="23"/>
        </w:rPr>
      </w:pPr>
    </w:p>
    <w:p>
      <w:pPr>
        <w:pStyle w:val="BodyText"/>
        <w:spacing w:line="312" w:lineRule="exact" w:before="56"/>
        <w:ind w:right="1057"/>
        <w:jc w:val="left"/>
      </w:pPr>
      <w:r>
        <w:rPr/>
        <w:t>本评估预期信用损失的信息时，本公司依据信用风险特征将收款等划分为若干组合，在组合</w:t>
      </w:r>
      <w:r>
        <w:rPr>
          <w:spacing w:val="-91"/>
        </w:rPr>
        <w:t> </w:t>
      </w:r>
      <w:r>
        <w:rPr>
          <w:spacing w:val="-91"/>
        </w:rPr>
      </w:r>
      <w:r>
        <w:rPr/>
        <w:t>基础上计算预期信用损失，确定组合的依据如下：</w:t>
      </w:r>
    </w:p>
    <w:p>
      <w:pPr>
        <w:pStyle w:val="BodyText"/>
        <w:spacing w:line="312" w:lineRule="auto" w:before="89"/>
        <w:ind w:left="633" w:right="5234"/>
        <w:jc w:val="left"/>
      </w:pPr>
      <w:r>
        <w:rPr/>
        <w:t>应收账款组合</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应收合并范围内关联方客户 应收账款组合</w:t>
      </w: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应收中央企业客户 应收账款组合</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应收国企、政府及事业单位客户 应收账款组合</w:t>
      </w:r>
      <w:r>
        <w:rPr>
          <w:rFonts w:ascii="Times New Roman" w:hAnsi="Times New Roman" w:cs="Times New Roman" w:eastAsia="Times New Roman" w:hint="default"/>
        </w:rPr>
        <w:t>4  </w:t>
      </w:r>
      <w:r>
        <w:rPr>
          <w:rFonts w:ascii="Times New Roman" w:hAnsi="Times New Roman" w:cs="Times New Roman" w:eastAsia="Times New Roman" w:hint="default"/>
          <w:spacing w:val="11"/>
        </w:rPr>
        <w:t> </w:t>
      </w:r>
      <w:r>
        <w:rPr/>
        <w:t>应收其他客户</w:t>
      </w:r>
    </w:p>
    <w:p>
      <w:pPr>
        <w:pStyle w:val="BodyText"/>
        <w:spacing w:line="213" w:lineRule="exact"/>
        <w:ind w:right="1057"/>
        <w:jc w:val="left"/>
      </w:pPr>
      <w:r>
        <w:rPr/>
        <w:t>对于划分为组合的应收账款，本公司参考历史信用损失经验，结合当前状况以及对未来经济</w:t>
      </w:r>
    </w:p>
    <w:p>
      <w:pPr>
        <w:pStyle w:val="BodyText"/>
        <w:spacing w:line="313" w:lineRule="exact"/>
        <w:ind w:right="1057"/>
        <w:jc w:val="left"/>
      </w:pPr>
      <w:r>
        <w:rPr/>
        <w:t>状况的预测，编制应收账款账龄与整个存续期预期信用损失率对照表，计算预期信用损失。</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9"/>
        <w:jc w:val="both"/>
      </w:pPr>
      <w:r>
        <w:rPr/>
        <w:t>对于存在客观证据表明存在减值，以及其他适用于单项评估的应收款项融资，单独进行减值</w:t>
      </w:r>
      <w:r>
        <w:rPr>
          <w:spacing w:val="-91"/>
        </w:rPr>
        <w:t> </w:t>
      </w:r>
      <w:r>
        <w:rPr>
          <w:spacing w:val="-91"/>
        </w:rPr>
      </w:r>
      <w:r>
        <w:rPr/>
        <w:t>测试，确认预期信用损失，计提单项减值准备。对于不存在减值客观证据的应收款项融资，</w:t>
      </w:r>
      <w:r>
        <w:rPr>
          <w:spacing w:val="-91"/>
        </w:rPr>
        <w:t> </w:t>
      </w:r>
      <w:r>
        <w:rPr>
          <w:spacing w:val="-91"/>
        </w:rPr>
      </w:r>
      <w:r>
        <w:rPr/>
        <w:t>无法以合理成本评估预期信用损失的信息时，本公司依据信用风险特征将应收款项融资划分</w:t>
      </w:r>
      <w:r>
        <w:rPr>
          <w:spacing w:val="-91"/>
        </w:rPr>
        <w:t> </w:t>
      </w:r>
      <w:r>
        <w:rPr>
          <w:spacing w:val="-91"/>
        </w:rPr>
      </w:r>
      <w:r>
        <w:rPr/>
        <w:t>为若干组合，在组合基础上计算预期信用损失，确定组合的依据如下：</w:t>
      </w:r>
    </w:p>
    <w:p>
      <w:pPr>
        <w:pStyle w:val="BodyText"/>
        <w:spacing w:line="331" w:lineRule="auto" w:before="89"/>
        <w:ind w:left="633" w:right="6433"/>
        <w:jc w:val="left"/>
      </w:pPr>
      <w:r>
        <w:rPr/>
        <w:t>应收款项融资确定组合的依据如下： 应收款项融资组合</w:t>
      </w:r>
      <w:r>
        <w:rPr>
          <w:rFonts w:ascii="Times New Roman" w:hAnsi="Times New Roman" w:cs="Times New Roman" w:eastAsia="Times New Roman" w:hint="default"/>
        </w:rPr>
        <w:t>1  </w:t>
      </w:r>
      <w:r>
        <w:rPr>
          <w:rFonts w:ascii="Times New Roman" w:hAnsi="Times New Roman" w:cs="Times New Roman" w:eastAsia="Times New Roman" w:hint="default"/>
          <w:spacing w:val="11"/>
        </w:rPr>
        <w:t> </w:t>
      </w:r>
      <w:r>
        <w:rPr/>
        <w:t>应收票据</w:t>
      </w:r>
    </w:p>
    <w:p>
      <w:pPr>
        <w:pStyle w:val="BodyText"/>
        <w:spacing w:line="312" w:lineRule="exact" w:before="30"/>
        <w:ind w:right="996" w:firstLine="480"/>
        <w:jc w:val="left"/>
      </w:pPr>
      <w:r>
        <w:rPr/>
        <w:t>对于划分为组合的应收款项融资，本公司参考历史信用损失经验，结合当前状况以及对 </w:t>
      </w:r>
      <w:r>
        <w:rPr>
          <w:spacing w:val="-2"/>
        </w:rPr>
        <w:t>未来经济状况的预测，通过违约风险敞口和整个存续期预期信用损失率，计算预期信用损失。</w:t>
      </w:r>
    </w:p>
    <w:p>
      <w:pPr>
        <w:spacing w:line="240" w:lineRule="auto" w:before="7"/>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BodyText"/>
        <w:spacing w:line="312" w:lineRule="exact" w:before="99"/>
        <w:ind w:right="996"/>
        <w:jc w:val="left"/>
      </w:pPr>
      <w:r>
        <w:rPr>
          <w:spacing w:val="-2"/>
        </w:rPr>
        <w:t>对于存在客观证据表明存在减值，以及其他适用于单项评估的其他应收款单独进行减值测试，</w:t>
      </w:r>
      <w:r>
        <w:rPr/>
        <w:t> 确认预期信用损失，计提单项减值准备。对于不存在减值客观证据的其他应收款，无法以合</w:t>
      </w:r>
      <w:r>
        <w:rPr>
          <w:spacing w:val="-91"/>
        </w:rPr>
        <w:t> </w:t>
      </w:r>
      <w:r>
        <w:rPr>
          <w:spacing w:val="-91"/>
        </w:rPr>
      </w:r>
      <w:r>
        <w:rPr>
          <w:spacing w:val="-2"/>
        </w:rPr>
        <w:t>理成本评估预期信用损失的信息时，本公司依据信用风险特征将其他应收款划分为若干组合，</w:t>
      </w:r>
      <w:r>
        <w:rPr/>
        <w:t> 在组合基础上计算预期信用损失，确定组合的依据如下：</w:t>
      </w:r>
    </w:p>
    <w:p>
      <w:pPr>
        <w:pStyle w:val="BodyText"/>
        <w:spacing w:line="312" w:lineRule="auto" w:before="90"/>
        <w:ind w:left="633" w:right="6254"/>
        <w:jc w:val="left"/>
      </w:pPr>
      <w:r>
        <w:rPr/>
        <w:t>其他应收款组合</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应收利息 其他应收款组合</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应收股利 其他应收款组合</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合并范围内往来款 其他应收款组合</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应收押金和保证金 其他应收款组合</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应收备用金 其他应收款组合</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应收代垫款 其他应收款组合</w:t>
      </w:r>
      <w:r>
        <w:rPr>
          <w:rFonts w:ascii="Times New Roman" w:hAnsi="Times New Roman" w:cs="Times New Roman" w:eastAsia="Times New Roman" w:hint="default"/>
        </w:rPr>
        <w:t>7  </w:t>
      </w:r>
      <w:r>
        <w:rPr>
          <w:rFonts w:ascii="Times New Roman" w:hAnsi="Times New Roman" w:cs="Times New Roman" w:eastAsia="Times New Roman" w:hint="default"/>
          <w:spacing w:val="11"/>
        </w:rPr>
        <w:t> </w:t>
      </w:r>
      <w:r>
        <w:rPr/>
        <w:t>应收其他款项</w:t>
      </w:r>
    </w:p>
    <w:p>
      <w:pPr>
        <w:pStyle w:val="BodyText"/>
        <w:spacing w:line="213" w:lineRule="exact"/>
        <w:ind w:right="1057"/>
        <w:jc w:val="left"/>
      </w:pPr>
      <w:r>
        <w:rPr/>
        <w:t>对于划分为组合的其他应收款，本公司参考历史信用损失经验，结合当前状况以及对未来经</w:t>
      </w:r>
    </w:p>
    <w:p>
      <w:pPr>
        <w:pStyle w:val="BodyText"/>
        <w:spacing w:line="312" w:lineRule="exact" w:before="29"/>
        <w:ind w:right="1057"/>
        <w:jc w:val="left"/>
      </w:pPr>
      <w:r>
        <w:rPr/>
        <w:t>济状况的预测，通过违约风险敞口和未来</w:t>
      </w:r>
      <w:r>
        <w:rPr>
          <w:rFonts w:ascii="Times New Roman" w:hAnsi="Times New Roman" w:cs="Times New Roman" w:eastAsia="Times New Roman" w:hint="default"/>
        </w:rPr>
        <w:t>12</w:t>
      </w:r>
      <w:r>
        <w:rPr/>
        <w:t>个月内或整个存续期预期信用损失率，计算预期</w:t>
      </w:r>
      <w:r>
        <w:rPr>
          <w:spacing w:val="-89"/>
        </w:rPr>
        <w:t> </w:t>
      </w:r>
      <w:r>
        <w:rPr>
          <w:spacing w:val="-89"/>
        </w:rPr>
      </w:r>
      <w:r>
        <w:rPr/>
        <w:t>信用损失。</w:t>
      </w:r>
    </w:p>
    <w:p>
      <w:pPr>
        <w:spacing w:after="0" w:line="312" w:lineRule="exact"/>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312" w:lineRule="auto"/>
        <w:ind w:left="633" w:right="1000"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3"/>
        </w:rPr>
        <w:t>存货是指本公司在日常活动中持有以备出售的产成品或商品、处在生产过程中的在产品、</w:t>
      </w:r>
    </w:p>
    <w:p>
      <w:pPr>
        <w:pStyle w:val="BodyText"/>
        <w:spacing w:line="239" w:lineRule="exact"/>
        <w:ind w:right="1057"/>
        <w:jc w:val="left"/>
      </w:pPr>
      <w:r>
        <w:rPr/>
        <w:t>在生产过程或提供劳务过程中耗用的材料和物料等，包括原材料、库存商品、劳务成本、发</w:t>
      </w:r>
    </w:p>
    <w:p>
      <w:pPr>
        <w:pStyle w:val="BodyText"/>
        <w:spacing w:line="313" w:lineRule="exact"/>
        <w:ind w:right="1057"/>
        <w:jc w:val="left"/>
      </w:pPr>
      <w:r>
        <w:rPr/>
        <w:t>出商品等。</w:t>
      </w:r>
    </w:p>
    <w:p>
      <w:pPr>
        <w:pStyle w:val="BodyText"/>
        <w:spacing w:line="312" w:lineRule="auto" w:before="118"/>
        <w:ind w:left="633" w:right="3573"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）发出存货的计价方法</w:t>
      </w:r>
      <w:r>
        <w:rPr>
          <w:rFonts w:ascii="宋体" w:hAnsi="宋体" w:cs="宋体" w:eastAsia="宋体" w:hint="default"/>
          <w:b/>
          <w:bCs/>
          <w:w w:val="99"/>
        </w:rPr>
        <w:t> </w:t>
      </w:r>
      <w:r>
        <w:rPr>
          <w:rFonts w:ascii="Times New Roman" w:hAnsi="Times New Roman" w:cs="Times New Roman" w:eastAsia="Times New Roman" w:hint="default"/>
        </w:rPr>
        <w:t>A.</w:t>
      </w:r>
      <w:r>
        <w:rPr/>
        <w:t>存货专门用于单项业务或合同时，按个别计价法确认； </w:t>
      </w:r>
      <w:r>
        <w:rPr>
          <w:rFonts w:ascii="Times New Roman" w:hAnsi="Times New Roman" w:cs="Times New Roman" w:eastAsia="Times New Roman" w:hint="default"/>
        </w:rPr>
        <w:t>B.</w:t>
      </w:r>
      <w:r>
        <w:rPr/>
        <w:t>非为单项业务或合同持有的存货，按加权平均价格计价确认。</w:t>
      </w:r>
    </w:p>
    <w:p>
      <w:pPr>
        <w:spacing w:line="312" w:lineRule="auto" w:before="20"/>
        <w:ind w:left="633" w:right="139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）存货的盘存制度</w:t>
      </w:r>
      <w:r>
        <w:rPr>
          <w:rFonts w:ascii="宋体" w:hAnsi="宋体" w:cs="宋体" w:eastAsia="宋体" w:hint="default"/>
          <w:b/>
          <w:bCs/>
          <w:w w:val="99"/>
          <w:sz w:val="24"/>
          <w:szCs w:val="24"/>
        </w:rPr>
        <w:t> </w:t>
      </w:r>
      <w:r>
        <w:rPr>
          <w:rFonts w:ascii="宋体" w:hAnsi="宋体" w:cs="宋体" w:eastAsia="宋体" w:hint="default"/>
          <w:sz w:val="24"/>
          <w:szCs w:val="24"/>
        </w:rPr>
        <w:t>本公司存货采用永续盘存制，每年至少盘点一次，盘盈及盘亏金额计入当年度损益。</w:t>
      </w:r>
    </w:p>
    <w:p>
      <w:pPr>
        <w:spacing w:line="312" w:lineRule="auto" w:before="46"/>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）存货跌价准备的计提方法</w:t>
      </w:r>
      <w:r>
        <w:rPr>
          <w:rFonts w:ascii="宋体" w:hAnsi="宋体" w:cs="宋体" w:eastAsia="宋体" w:hint="default"/>
          <w:b/>
          <w:bCs/>
          <w:w w:val="99"/>
          <w:sz w:val="24"/>
          <w:szCs w:val="24"/>
        </w:rPr>
        <w:t> </w:t>
      </w:r>
      <w:r>
        <w:rPr>
          <w:rFonts w:ascii="宋体" w:hAnsi="宋体" w:cs="宋体" w:eastAsia="宋体" w:hint="default"/>
          <w:sz w:val="24"/>
          <w:szCs w:val="24"/>
        </w:rPr>
        <w:t>资产负债表日按成本与可变现净值孰低计量，存货成本高于其可变现净值的，计提存货</w:t>
      </w:r>
    </w:p>
    <w:p>
      <w:pPr>
        <w:pStyle w:val="BodyText"/>
        <w:spacing w:line="240" w:lineRule="exact"/>
        <w:ind w:right="1057"/>
        <w:jc w:val="left"/>
      </w:pPr>
      <w:r>
        <w:rPr/>
        <w:t>跌价准备，计入当期损益。</w:t>
      </w:r>
    </w:p>
    <w:p>
      <w:pPr>
        <w:pStyle w:val="BodyText"/>
        <w:spacing w:line="312" w:lineRule="exact" w:before="148"/>
        <w:ind w:right="1140" w:firstLine="480"/>
        <w:jc w:val="both"/>
      </w:pPr>
      <w:r>
        <w:rPr/>
        <w:t>在确定存货的可变现净值时，以取得的可靠证据为基础，并且考虑持有存货的目的、资 产负债表日后事项的影响等因素。</w:t>
      </w:r>
    </w:p>
    <w:p>
      <w:pPr>
        <w:pStyle w:val="BodyText"/>
        <w:spacing w:line="237" w:lineRule="auto" w:before="92"/>
        <w:ind w:right="1138" w:firstLine="480"/>
        <w:jc w:val="both"/>
      </w:pPr>
      <w:r>
        <w:rPr/>
        <w:t>①产成品、商品和用于出售的材料等直接用于出售的存货，在正常生产经营过程中，以 该存货的估计售价减去估计的销售费用和相关税费后的金额确定其可变现净值。为执行销售</w:t>
      </w:r>
      <w:r>
        <w:rPr>
          <w:spacing w:val="-91"/>
        </w:rPr>
        <w:t> </w:t>
      </w:r>
      <w:r>
        <w:rPr>
          <w:spacing w:val="-91"/>
        </w:rPr>
      </w:r>
      <w:r>
        <w:rPr/>
        <w:t>合同或者劳务合同而持有的存货，以合同价格作为其可变现净值的计量基础；如果持有存货</w:t>
      </w:r>
      <w:r>
        <w:rPr>
          <w:spacing w:val="-91"/>
        </w:rPr>
        <w:t> </w:t>
      </w:r>
      <w:r>
        <w:rPr>
          <w:spacing w:val="-91"/>
        </w:rPr>
      </w:r>
      <w:r>
        <w:rPr/>
        <w:t>的数量多于销售合同订购数量，超出部分的存货可变现净值以一般销售价格为计量基础。用</w:t>
      </w:r>
      <w:r>
        <w:rPr>
          <w:spacing w:val="-91"/>
        </w:rPr>
        <w:t> </w:t>
      </w:r>
      <w:r>
        <w:rPr>
          <w:spacing w:val="-91"/>
        </w:rPr>
      </w:r>
      <w:r>
        <w:rPr/>
        <w:t>于出售的材料等，以市场价格作为其可变现净值的计量基础。</w:t>
      </w:r>
    </w:p>
    <w:p>
      <w:pPr>
        <w:pStyle w:val="BodyText"/>
        <w:spacing w:line="312" w:lineRule="exact" w:before="149"/>
        <w:ind w:right="1133" w:firstLine="480"/>
        <w:jc w:val="both"/>
      </w:pPr>
      <w:r>
        <w:rPr/>
        <w:t>②需要经过加工的材料存货，在正常生产经营过程中，以所生产的产成品的估计售价减 去至完工时估计将要发生的成本、估计的销售费用和相关税费后的金额确定其可变现净值。</w:t>
      </w:r>
      <w:r>
        <w:rPr>
          <w:spacing w:val="-86"/>
        </w:rPr>
        <w:t> </w:t>
      </w:r>
      <w:r>
        <w:rPr>
          <w:spacing w:val="-86"/>
        </w:rPr>
      </w:r>
      <w:r>
        <w:rPr/>
        <w:t>如果用其生产的产成品的可变现净值高于成本，则该材料按成本计量；如果材料价格的下降</w:t>
      </w:r>
      <w:r>
        <w:rPr>
          <w:spacing w:val="-90"/>
        </w:rPr>
        <w:t> </w:t>
      </w:r>
      <w:r>
        <w:rPr>
          <w:spacing w:val="-90"/>
        </w:rPr>
      </w:r>
      <w:r>
        <w:rPr/>
        <w:t>表明产成品的可变现净值低于成本，则该材料按可变现净值计量，按其差额计提存货跌价准</w:t>
      </w:r>
      <w:r>
        <w:rPr>
          <w:spacing w:val="-91"/>
        </w:rPr>
        <w:t> </w:t>
      </w:r>
      <w:r>
        <w:rPr>
          <w:spacing w:val="-91"/>
        </w:rPr>
      </w:r>
      <w:r>
        <w:rPr/>
        <w:t>备。</w:t>
      </w:r>
    </w:p>
    <w:p>
      <w:pPr>
        <w:pStyle w:val="BodyText"/>
        <w:spacing w:line="312" w:lineRule="exact" w:before="120"/>
        <w:ind w:right="1057" w:firstLine="480"/>
        <w:jc w:val="left"/>
      </w:pPr>
      <w:r>
        <w:rPr/>
        <w:t>③存货跌价准备一般按单个存货项目计提；对于数量繁多、单价较低的存货，按存货类 别计提。</w:t>
      </w:r>
    </w:p>
    <w:p>
      <w:pPr>
        <w:pStyle w:val="BodyText"/>
        <w:spacing w:line="312" w:lineRule="exact" w:before="120"/>
        <w:ind w:right="1057" w:firstLine="480"/>
        <w:jc w:val="left"/>
      </w:pPr>
      <w:r>
        <w:rPr/>
        <w:t>④资产负债表日如果以前减记存货价值的影响因素已经消失，则减记的金额予以恢复， 并在原已计提的存货跌价准备的金额内转回，转回的金额计入当期损益。</w:t>
      </w:r>
    </w:p>
    <w:p>
      <w:pPr>
        <w:pStyle w:val="Heading3"/>
        <w:spacing w:line="240" w:lineRule="auto" w:before="89"/>
        <w:ind w:left="635" w:right="1057"/>
        <w:jc w:val="left"/>
        <w:rPr>
          <w:b w:val="0"/>
          <w:bCs w:val="0"/>
        </w:rPr>
      </w:pPr>
      <w:r>
        <w:rPr/>
        <w:t>（</w:t>
      </w:r>
      <w:r>
        <w:rPr>
          <w:rFonts w:ascii="Times New Roman" w:hAnsi="Times New Roman" w:cs="Times New Roman" w:eastAsia="Times New Roman" w:hint="default"/>
        </w:rPr>
        <w:t>5</w:t>
      </w:r>
      <w:r>
        <w:rPr/>
        <w:t>）周转材料的摊销方法</w:t>
      </w:r>
      <w:r>
        <w:rPr>
          <w:b w:val="0"/>
          <w:bCs w:val="0"/>
        </w:rPr>
      </w:r>
    </w:p>
    <w:p>
      <w:pPr>
        <w:pStyle w:val="BodyText"/>
        <w:spacing w:line="240" w:lineRule="auto" w:before="99"/>
        <w:ind w:left="633" w:right="1057"/>
        <w:jc w:val="left"/>
      </w:pPr>
      <w:r>
        <w:rPr/>
        <w:t>①低值易耗品摊销方法：在领用时采用一次转销法。</w:t>
      </w:r>
    </w:p>
    <w:p>
      <w:pPr>
        <w:pStyle w:val="BodyText"/>
        <w:spacing w:line="240" w:lineRule="auto" w:before="118"/>
        <w:ind w:left="633" w:right="1057"/>
        <w:jc w:val="left"/>
      </w:pPr>
      <w:r>
        <w:rPr/>
        <w:t>②包装物的摊销方法：在领用时采用一次转销法。</w:t>
      </w:r>
    </w:p>
    <w:p>
      <w:pPr>
        <w:spacing w:line="240" w:lineRule="auto" w:before="9"/>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spacing w:line="312" w:lineRule="auto" w:before="0"/>
        <w:ind w:left="633" w:right="259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）持有待售的非流动资产或处置组的分类</w:t>
      </w:r>
      <w:r>
        <w:rPr>
          <w:rFonts w:ascii="宋体" w:hAnsi="宋体" w:cs="宋体" w:eastAsia="宋体" w:hint="default"/>
          <w:b/>
          <w:bCs/>
          <w:w w:val="99"/>
          <w:sz w:val="24"/>
          <w:szCs w:val="24"/>
        </w:rPr>
        <w:t> </w:t>
      </w:r>
      <w:r>
        <w:rPr>
          <w:rFonts w:ascii="宋体" w:hAnsi="宋体" w:cs="宋体" w:eastAsia="宋体" w:hint="default"/>
          <w:sz w:val="24"/>
          <w:szCs w:val="24"/>
        </w:rPr>
        <w:t>本公司将同时满足下列条件的非流动资产或处置组划分为持有待售类别：</w:t>
      </w:r>
    </w:p>
    <w:p>
      <w:pPr>
        <w:spacing w:after="0" w:line="312" w:lineRule="auto"/>
        <w:jc w:val="left"/>
        <w:rPr>
          <w:rFonts w:ascii="宋体" w:hAnsi="宋体" w:cs="宋体" w:eastAsia="宋体" w:hint="default"/>
          <w:sz w:val="24"/>
          <w:szCs w:val="24"/>
        </w:rPr>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left="633" w:right="1057"/>
        <w:jc w:val="left"/>
      </w:pPr>
      <w:r>
        <w:rPr/>
        <w:t>①根据类似交易中出售此类资产或处置组的惯例，在当前状况下即可立即出售；</w:t>
      </w:r>
    </w:p>
    <w:p>
      <w:pPr>
        <w:pStyle w:val="BodyText"/>
        <w:spacing w:line="312" w:lineRule="exact" w:before="148"/>
        <w:ind w:right="996" w:firstLine="480"/>
        <w:jc w:val="left"/>
      </w:pPr>
      <w:r>
        <w:rPr/>
        <w:t>②出售极可能发生，即本公司已经就一项出售计划作出决议且获得确定的购买承诺，预 </w:t>
      </w:r>
      <w:r>
        <w:rPr>
          <w:spacing w:val="-2"/>
        </w:rPr>
        <w:t>计出售将在一年内完成。有关规定要求本公司相关权力机构或者监管部门批准后方可出售的，</w:t>
      </w:r>
      <w:r>
        <w:rPr>
          <w:spacing w:val="-118"/>
        </w:rPr>
        <w:t> </w:t>
      </w:r>
      <w:r>
        <w:rPr>
          <w:spacing w:val="-118"/>
        </w:rPr>
      </w:r>
      <w:r>
        <w:rPr/>
        <w:t>已经获得批准。</w:t>
      </w:r>
    </w:p>
    <w:p>
      <w:pPr>
        <w:pStyle w:val="BodyText"/>
        <w:spacing w:line="312" w:lineRule="exact" w:before="120"/>
        <w:ind w:right="1127" w:firstLine="480"/>
        <w:jc w:val="both"/>
      </w:pPr>
      <w:r>
        <w:rPr>
          <w:spacing w:val="3"/>
        </w:rPr>
        <w:t>本公司专为转售而取得的非流动资产或处置组，在取得日满足</w:t>
      </w:r>
      <w:r>
        <w:rPr>
          <w:rFonts w:ascii="Times New Roman" w:hAnsi="Times New Roman" w:cs="Times New Roman" w:eastAsia="Times New Roman" w:hint="default"/>
          <w:spacing w:val="3"/>
        </w:rPr>
        <w:t>“</w:t>
      </w:r>
      <w:r>
        <w:rPr>
          <w:spacing w:val="3"/>
        </w:rPr>
        <w:t>预计出售将在一年内完</w:t>
      </w:r>
      <w:r>
        <w:rPr>
          <w:spacing w:val="4"/>
        </w:rPr>
        <w:t> </w:t>
      </w:r>
      <w:r>
        <w:rPr/>
        <w:t>成</w:t>
      </w:r>
      <w:r>
        <w:rPr>
          <w:rFonts w:ascii="Times New Roman" w:hAnsi="Times New Roman" w:cs="Times New Roman" w:eastAsia="Times New Roman" w:hint="default"/>
        </w:rPr>
        <w:t>”</w:t>
      </w:r>
      <w:r>
        <w:rPr/>
        <w:t>的规定条件，且短期（通常为</w:t>
      </w:r>
      <w:r>
        <w:rPr>
          <w:rFonts w:ascii="Times New Roman" w:hAnsi="Times New Roman" w:cs="Times New Roman" w:eastAsia="Times New Roman" w:hint="default"/>
        </w:rPr>
        <w:t>3</w:t>
      </w:r>
      <w:r>
        <w:rPr/>
        <w:t>个月）内很可能满足持有待售类别的其他划分条件的，本</w:t>
      </w:r>
      <w:r>
        <w:rPr>
          <w:spacing w:val="-75"/>
        </w:rPr>
        <w:t> </w:t>
      </w:r>
      <w:r>
        <w:rPr>
          <w:spacing w:val="-75"/>
        </w:rPr>
      </w:r>
      <w:r>
        <w:rPr/>
        <w:t>公司在取得日将其划分为持有待售类别。</w:t>
      </w:r>
    </w:p>
    <w:p>
      <w:pPr>
        <w:pStyle w:val="BodyText"/>
        <w:spacing w:line="237" w:lineRule="auto" w:before="92"/>
        <w:ind w:right="1139" w:firstLine="480"/>
        <w:jc w:val="both"/>
      </w:pPr>
      <w:r>
        <w:rPr/>
        <w:t>本公司因出售对子公司的投资等原因导致其丧失对子公司控制权的，无论出售后本公司 是否保留部分权益性投资，在拟出售的对子公司投资满足持有待售类别划分条件时，在母公</w:t>
      </w:r>
      <w:r>
        <w:rPr>
          <w:spacing w:val="-91"/>
        </w:rPr>
        <w:t> </w:t>
      </w:r>
      <w:r>
        <w:rPr>
          <w:spacing w:val="-91"/>
        </w:rPr>
      </w:r>
      <w:r>
        <w:rPr/>
        <w:t>司个别财务报表中将对子公司投资整体划分为持有待售类别，在合并财务报表中将子公司所</w:t>
      </w:r>
      <w:r>
        <w:rPr>
          <w:spacing w:val="-91"/>
        </w:rPr>
        <w:t> </w:t>
      </w:r>
      <w:r>
        <w:rPr>
          <w:spacing w:val="-91"/>
        </w:rPr>
      </w:r>
      <w:r>
        <w:rPr/>
        <w:t>有资产和负债划分为持有待售类别。</w:t>
      </w:r>
    </w:p>
    <w:p>
      <w:pPr>
        <w:spacing w:line="312" w:lineRule="auto" w:before="118"/>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）持有待售的非流动资产或处置组的计量</w:t>
      </w:r>
      <w:r>
        <w:rPr>
          <w:rFonts w:ascii="宋体" w:hAnsi="宋体" w:cs="宋体" w:eastAsia="宋体" w:hint="default"/>
          <w:b/>
          <w:bCs/>
          <w:w w:val="99"/>
          <w:sz w:val="24"/>
          <w:szCs w:val="24"/>
        </w:rPr>
        <w:t> </w:t>
      </w:r>
      <w:r>
        <w:rPr>
          <w:rFonts w:ascii="宋体" w:hAnsi="宋体" w:cs="宋体" w:eastAsia="宋体" w:hint="default"/>
          <w:sz w:val="24"/>
          <w:szCs w:val="24"/>
        </w:rPr>
        <w:t>采用公允价值模式进行后续计量的投资性房地产、采用公允价值减去出售费用后的净额</w:t>
      </w:r>
    </w:p>
    <w:p>
      <w:pPr>
        <w:pStyle w:val="BodyText"/>
        <w:spacing w:line="239" w:lineRule="exact"/>
        <w:ind w:right="1057"/>
        <w:jc w:val="left"/>
      </w:pPr>
      <w:r>
        <w:rPr/>
        <w:t>计量的生物资产、职工薪酬形成的资产、递延所得税资产、由金融工具相关会计准则规范的</w:t>
      </w:r>
    </w:p>
    <w:p>
      <w:pPr>
        <w:pStyle w:val="BodyText"/>
        <w:spacing w:line="312" w:lineRule="exact" w:before="29"/>
        <w:ind w:right="1057"/>
        <w:jc w:val="left"/>
      </w:pPr>
      <w:r>
        <w:rPr/>
        <w:t>金融资产及由保险合同相关会计准则规范的保险合同所产生的权利的计量分别适用于其他相</w:t>
      </w:r>
      <w:r>
        <w:rPr>
          <w:spacing w:val="-91"/>
        </w:rPr>
        <w:t> </w:t>
      </w:r>
      <w:r>
        <w:rPr>
          <w:spacing w:val="-91"/>
        </w:rPr>
      </w:r>
      <w:r>
        <w:rPr/>
        <w:t>关会计准则。</w:t>
      </w:r>
    </w:p>
    <w:p>
      <w:pPr>
        <w:pStyle w:val="BodyText"/>
        <w:spacing w:line="237" w:lineRule="auto" w:before="92"/>
        <w:ind w:right="1133" w:firstLine="480"/>
        <w:jc w:val="both"/>
      </w:pPr>
      <w:r>
        <w:rPr/>
        <w:t>初始计量或在资产负债表日重新计量持有待售的非流动资产或处置组时，其账面价值高 于公允价值减去出售费用后的净额的，将账面价值减记至公允价值减去出售费用后的净额，</w:t>
      </w:r>
      <w:r>
        <w:rPr>
          <w:spacing w:val="-91"/>
        </w:rPr>
        <w:t> </w:t>
      </w:r>
      <w:r>
        <w:rPr>
          <w:spacing w:val="-91"/>
        </w:rPr>
      </w:r>
      <w:r>
        <w:rPr/>
        <w:t>减记的金额确认为资产减值损失，计入当期损益，同时计提持有待售资产减值准备。后续资</w:t>
      </w:r>
      <w:r>
        <w:rPr>
          <w:spacing w:val="-86"/>
        </w:rPr>
        <w:t> </w:t>
      </w:r>
      <w:r>
        <w:rPr>
          <w:spacing w:val="-86"/>
        </w:rPr>
      </w:r>
      <w:r>
        <w:rPr/>
        <w:t>产负债表日持有待售的非流动资产或处置组公允价值减去出售费用后的净额增加的，以前减</w:t>
      </w:r>
      <w:r>
        <w:rPr>
          <w:spacing w:val="-91"/>
        </w:rPr>
        <w:t> </w:t>
      </w:r>
      <w:r>
        <w:rPr>
          <w:spacing w:val="-91"/>
        </w:rPr>
      </w:r>
      <w:r>
        <w:rPr/>
        <w:t>记的金额予以恢复，并在划分为持有待售类别后确认的资产减值损失金额内转回，转回金额</w:t>
      </w:r>
      <w:r>
        <w:rPr>
          <w:spacing w:val="-86"/>
        </w:rPr>
        <w:t> </w:t>
      </w:r>
      <w:r>
        <w:rPr>
          <w:spacing w:val="-86"/>
        </w:rPr>
      </w:r>
      <w:r>
        <w:rPr/>
        <w:t>计入当期损益。已抵减的商誉账面价值不得转回。</w:t>
      </w:r>
    </w:p>
    <w:p>
      <w:pPr>
        <w:pStyle w:val="BodyText"/>
        <w:spacing w:line="312" w:lineRule="exact" w:before="149"/>
        <w:ind w:right="1140" w:firstLine="480"/>
        <w:jc w:val="both"/>
      </w:pPr>
      <w:r>
        <w:rPr/>
        <w:t>非流动资产或处置组因不再满足持有待售类别的划分条件而不再继续划分为持有待售类 别或非流动资产从持有待售的处置组中移除时，按照以下两者孰低计量：</w:t>
      </w:r>
    </w:p>
    <w:p>
      <w:pPr>
        <w:pStyle w:val="BodyText"/>
        <w:spacing w:line="312" w:lineRule="exact" w:before="120"/>
        <w:ind w:right="1140" w:firstLine="480"/>
        <w:jc w:val="both"/>
      </w:pPr>
      <w:r>
        <w:rPr/>
        <w:t>①划分为持有待售类别前的账面价值，按照假定不划分为持有待售类别情况下本应确认 的折旧、摊销或减值等进行调整后的金额；</w:t>
      </w:r>
    </w:p>
    <w:p>
      <w:pPr>
        <w:pStyle w:val="BodyText"/>
        <w:spacing w:line="240" w:lineRule="auto" w:before="89"/>
        <w:ind w:left="633" w:right="1057"/>
        <w:jc w:val="left"/>
      </w:pPr>
      <w:r>
        <w:rPr/>
        <w:t>②可收回金额。</w:t>
      </w:r>
    </w:p>
    <w:p>
      <w:pPr>
        <w:pStyle w:val="BodyText"/>
        <w:spacing w:line="312" w:lineRule="auto" w:before="118"/>
        <w:ind w:left="633" w:right="1057"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）列报</w:t>
      </w:r>
      <w:r>
        <w:rPr>
          <w:rFonts w:ascii="宋体" w:hAnsi="宋体" w:cs="宋体" w:eastAsia="宋体" w:hint="default"/>
          <w:b/>
          <w:bCs/>
          <w:w w:val="99"/>
        </w:rPr>
        <w:t> </w:t>
      </w:r>
      <w:r>
        <w:rPr/>
        <w:t>本公司在资产负债表中区别于其他资产单独列示持有待售的非流动资产或持有待售的处</w:t>
      </w:r>
    </w:p>
    <w:p>
      <w:pPr>
        <w:pStyle w:val="BodyText"/>
        <w:spacing w:line="239" w:lineRule="exact"/>
        <w:ind w:right="1057"/>
        <w:jc w:val="left"/>
      </w:pPr>
      <w:r>
        <w:rPr/>
        <w:t>置组中的资产，区别于其他负债单独列示持有待售的处置组中的负债。持有待售的非流动资</w:t>
      </w:r>
    </w:p>
    <w:p>
      <w:pPr>
        <w:pStyle w:val="BodyText"/>
        <w:spacing w:line="312" w:lineRule="exact" w:before="29"/>
        <w:ind w:right="1057"/>
        <w:jc w:val="left"/>
      </w:pPr>
      <w:r>
        <w:rPr/>
        <w:t>产或持有待售的处置组中的资产与持有待售的处置组中的负债不予相互抵销，分别作为流动</w:t>
      </w:r>
      <w:r>
        <w:rPr>
          <w:spacing w:val="-88"/>
        </w:rPr>
        <w:t> </w:t>
      </w:r>
      <w:r>
        <w:rPr>
          <w:spacing w:val="-88"/>
        </w:rPr>
      </w:r>
      <w:r>
        <w:rPr/>
        <w:t>资产和流动负债列示。</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140" w:firstLine="480"/>
        <w:jc w:val="both"/>
      </w:pPr>
      <w:r>
        <w:rPr/>
        <w:t>本公司长期股权投资包括对被投资单位实施控制、重大影响的权益性投资，以及对合营 企业的权益性投资。本公司能够对被投资单位施加重大影响的，为本公司的联营企业。</w:t>
      </w:r>
    </w:p>
    <w:p>
      <w:pPr>
        <w:pStyle w:val="Heading3"/>
        <w:spacing w:line="240" w:lineRule="auto" w:before="89"/>
        <w:ind w:left="635" w:right="1057"/>
        <w:jc w:val="left"/>
        <w:rPr>
          <w:b w:val="0"/>
          <w:bCs w:val="0"/>
        </w:rPr>
      </w:pPr>
      <w:r>
        <w:rPr/>
        <w:t>（</w:t>
      </w:r>
      <w:r>
        <w:rPr>
          <w:rFonts w:ascii="Times New Roman" w:hAnsi="Times New Roman" w:cs="Times New Roman" w:eastAsia="Times New Roman" w:hint="default"/>
        </w:rPr>
        <w:t>1</w:t>
      </w:r>
      <w:r>
        <w:rPr/>
        <w:t>）确定对被投资单位具有共同控制、重大影响的依据</w:t>
      </w:r>
      <w:r>
        <w:rPr>
          <w:b w:val="0"/>
          <w:bCs w:val="0"/>
        </w:rPr>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b/>
          <w:bCs/>
          <w:sz w:val="23"/>
          <w:szCs w:val="23"/>
        </w:rPr>
      </w:pPr>
    </w:p>
    <w:p>
      <w:pPr>
        <w:pStyle w:val="BodyText"/>
        <w:spacing w:line="312" w:lineRule="exact" w:before="56"/>
        <w:ind w:right="996" w:firstLine="480"/>
        <w:jc w:val="left"/>
      </w:pPr>
      <w:r>
        <w:rPr/>
        <w:t>共同控制，是指按照相关约定对某项安排所共有的控制，并且该安排的相关活动必须经 过分享控制权的参与方一致同意后才能决策。在判断是否存在共同控制时，首先判断所有参</w:t>
      </w:r>
      <w:r>
        <w:rPr>
          <w:spacing w:val="-91"/>
        </w:rPr>
        <w:t> </w:t>
      </w:r>
      <w:r>
        <w:rPr>
          <w:spacing w:val="-91"/>
        </w:rPr>
      </w:r>
      <w:r>
        <w:rPr/>
        <w:t>与方或参与方组合是否集体控制该安排，如果所有参与方或一组参与方必须一致行动才能决</w:t>
      </w:r>
      <w:r>
        <w:rPr>
          <w:spacing w:val="-87"/>
        </w:rPr>
        <w:t> </w:t>
      </w:r>
      <w:r>
        <w:rPr>
          <w:spacing w:val="-87"/>
        </w:rPr>
      </w:r>
      <w:r>
        <w:rPr/>
        <w:t>定某项安排的相关活动，则认为所有参与方或一组参与方集体控制该安排。其次再判断该安</w:t>
      </w:r>
      <w:r>
        <w:rPr>
          <w:spacing w:val="-91"/>
        </w:rPr>
        <w:t> </w:t>
      </w:r>
      <w:r>
        <w:rPr>
          <w:spacing w:val="-91"/>
        </w:rPr>
      </w:r>
      <w:r>
        <w:rPr/>
        <w:t>排相关活动的决策是否必须经过这些集体控制该安排的参与方一致同意。如果存在两个或两</w:t>
      </w:r>
      <w:r>
        <w:rPr>
          <w:spacing w:val="-91"/>
        </w:rPr>
        <w:t> </w:t>
      </w:r>
      <w:r>
        <w:rPr>
          <w:spacing w:val="-91"/>
        </w:rPr>
      </w:r>
      <w:r>
        <w:rPr>
          <w:spacing w:val="-2"/>
        </w:rPr>
        <w:t>个以上的参与方组合能够集体控制某项安排的，不构成共同控制。判断是否存在共同控制时，</w:t>
      </w:r>
      <w:r>
        <w:rPr/>
        <w:t> 不考虑享有的保护性权利。</w:t>
      </w:r>
    </w:p>
    <w:p>
      <w:pPr>
        <w:pStyle w:val="BodyText"/>
        <w:spacing w:line="237" w:lineRule="auto" w:before="92"/>
        <w:ind w:right="996" w:firstLine="480"/>
        <w:jc w:val="left"/>
      </w:pPr>
      <w:r>
        <w:rPr/>
        <w:t>重大影响，是指投资方对被投资单位的财务和经营政策有参与决策的权力，但并不能够 </w:t>
      </w:r>
      <w:r>
        <w:rPr>
          <w:spacing w:val="-2"/>
        </w:rPr>
        <w:t>控制或者与其他方一起共同控制这些政策的制定。在确定能否对被投资单位施加重大影响时，</w:t>
      </w:r>
      <w:r>
        <w:rPr/>
        <w:t> 考虑投资方直接或间接持有被投资单位的表决权股份以及投资方及其他方持有的当期可执行</w:t>
      </w:r>
      <w:r>
        <w:rPr>
          <w:spacing w:val="-88"/>
        </w:rPr>
        <w:t> </w:t>
      </w:r>
      <w:r>
        <w:rPr>
          <w:spacing w:val="-88"/>
        </w:rPr>
      </w:r>
      <w:r>
        <w:rPr/>
        <w:t>潜在表决权在假定转换为对被投资方单位的股权后产生的影响，包括被投资单位发行的当期</w:t>
      </w:r>
      <w:r>
        <w:rPr>
          <w:spacing w:val="-91"/>
        </w:rPr>
        <w:t> </w:t>
      </w:r>
      <w:r>
        <w:rPr>
          <w:spacing w:val="-91"/>
        </w:rPr>
      </w:r>
      <w:r>
        <w:rPr/>
        <w:t>可转换的认股权证、股份期权及可转换公司债券等的影响。</w:t>
      </w:r>
    </w:p>
    <w:p>
      <w:pPr>
        <w:pStyle w:val="BodyText"/>
        <w:spacing w:line="312" w:lineRule="exact" w:before="149"/>
        <w:ind w:right="1131" w:firstLine="480"/>
        <w:jc w:val="both"/>
      </w:pPr>
      <w:r>
        <w:rPr>
          <w:spacing w:val="-2"/>
        </w:rPr>
        <w:t>当本公司直接或通过子公司间接拥有被投资单位</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）以上但低于</w:t>
      </w:r>
      <w:r>
        <w:rPr>
          <w:rFonts w:ascii="Times New Roman" w:hAnsi="Times New Roman" w:cs="Times New Roman" w:eastAsia="Times New Roman" w:hint="default"/>
          <w:spacing w:val="-2"/>
        </w:rPr>
        <w:t>50%</w:t>
      </w:r>
      <w:r>
        <w:rPr>
          <w:spacing w:val="-2"/>
        </w:rPr>
        <w:t>的表决权</w:t>
      </w:r>
      <w:r>
        <w:rPr/>
        <w:t> 股份时，一般认为对被投资单位具有重大影响，除非有明确证据表明该种情况下不能参与被</w:t>
      </w:r>
      <w:r>
        <w:rPr>
          <w:spacing w:val="-91"/>
        </w:rPr>
        <w:t> </w:t>
      </w:r>
      <w:r>
        <w:rPr>
          <w:spacing w:val="-91"/>
        </w:rPr>
      </w:r>
      <w:r>
        <w:rPr/>
        <w:t>投资单位的生产经营决策，不形成重大影响。</w:t>
      </w:r>
    </w:p>
    <w:p>
      <w:pPr>
        <w:pStyle w:val="Heading3"/>
        <w:spacing w:line="240" w:lineRule="auto" w:before="89"/>
        <w:ind w:left="635" w:right="1057"/>
        <w:jc w:val="left"/>
        <w:rPr>
          <w:b w:val="0"/>
          <w:bCs w:val="0"/>
        </w:rPr>
      </w:pPr>
      <w:r>
        <w:rPr/>
        <w:t>（</w:t>
      </w:r>
      <w:r>
        <w:rPr>
          <w:rFonts w:ascii="Times New Roman" w:hAnsi="Times New Roman" w:cs="Times New Roman" w:eastAsia="Times New Roman" w:hint="default"/>
        </w:rPr>
        <w:t>2</w:t>
      </w:r>
      <w:r>
        <w:rPr/>
        <w:t>）初始投资成本确定</w:t>
      </w:r>
      <w:r>
        <w:rPr>
          <w:b w:val="0"/>
          <w:bCs w:val="0"/>
        </w:rPr>
      </w:r>
    </w:p>
    <w:p>
      <w:pPr>
        <w:pStyle w:val="BodyText"/>
        <w:spacing w:line="240" w:lineRule="auto" w:before="99"/>
        <w:ind w:right="1057"/>
        <w:jc w:val="left"/>
      </w:pPr>
      <w:r>
        <w:rPr>
          <w:rFonts w:ascii="宋体" w:hAnsi="宋体" w:cs="宋体" w:eastAsia="宋体" w:hint="default"/>
        </w:rPr>
        <w:t>1. </w:t>
      </w:r>
      <w:r>
        <w:rPr/>
        <w:t>企业合并形成的长期股权投资，按照下列规定确定其投资成本：</w:t>
      </w:r>
    </w:p>
    <w:p>
      <w:pPr>
        <w:pStyle w:val="BodyText"/>
        <w:spacing w:line="235" w:lineRule="auto" w:before="123"/>
        <w:ind w:left="513" w:right="1033" w:firstLine="48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同一控制下的企业合并，合并方以支付现金、转让非现金资产或承担债务方式作 </w:t>
      </w:r>
      <w:r>
        <w:rPr>
          <w:spacing w:val="-3"/>
        </w:rPr>
        <w:t>为合并对价的，在合并日按照被合并方所有者权益在最终控制方合并财务报表中的账面价</w:t>
      </w:r>
      <w:r>
        <w:rPr>
          <w:spacing w:val="-85"/>
        </w:rPr>
        <w:t> </w:t>
      </w:r>
      <w:r>
        <w:rPr>
          <w:spacing w:val="-85"/>
        </w:rPr>
      </w:r>
      <w:r>
        <w:rPr/>
        <w:t>值的份额作为长期股权投资的初始投资成本。长期股权投资初始投资成本与支付的现金、 </w:t>
      </w:r>
      <w:r>
        <w:rPr>
          <w:spacing w:val="-3"/>
        </w:rPr>
        <w:t>转让的非现金资产以及所承担债务账面价值之间的差额，调整资本公积；资本公积不足冲</w:t>
      </w:r>
      <w:r>
        <w:rPr>
          <w:spacing w:val="-85"/>
        </w:rPr>
        <w:t> </w:t>
      </w:r>
      <w:r>
        <w:rPr>
          <w:spacing w:val="-85"/>
        </w:rPr>
      </w:r>
      <w:r>
        <w:rPr/>
        <w:t>减的，调整留存收益；</w:t>
      </w:r>
    </w:p>
    <w:p>
      <w:pPr>
        <w:pStyle w:val="BodyText"/>
        <w:spacing w:line="312" w:lineRule="exact" w:before="149"/>
        <w:ind w:left="513" w:right="1129" w:firstLine="48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35"/>
        </w:rPr>
        <w:t> </w:t>
      </w:r>
      <w:r>
        <w:rPr/>
        <w:t>同一控制下的企业合并，合并方以发行权益性证券作为合并对价的，在合并日按</w:t>
      </w:r>
      <w:r>
        <w:rPr>
          <w:spacing w:val="2"/>
        </w:rPr>
        <w:t> </w:t>
      </w:r>
      <w:r>
        <w:rPr>
          <w:spacing w:val="3"/>
        </w:rPr>
        <w:t>照被合并方所有者权益在最终控制方合并财务报表中的账面价值的份额作为长期股权投</w:t>
      </w:r>
      <w:r>
        <w:rPr>
          <w:spacing w:val="-99"/>
        </w:rPr>
        <w:t> </w:t>
      </w:r>
      <w:r>
        <w:rPr>
          <w:spacing w:val="-99"/>
        </w:rPr>
      </w:r>
      <w:r>
        <w:rPr>
          <w:spacing w:val="-3"/>
        </w:rPr>
        <w:t>资的初始投资成本。按照发行股份的面值总额作为股本，长期股权投资初始投资成本与所</w:t>
      </w:r>
      <w:r>
        <w:rPr>
          <w:spacing w:val="-85"/>
        </w:rPr>
        <w:t> </w:t>
      </w:r>
      <w:r>
        <w:rPr>
          <w:spacing w:val="-85"/>
        </w:rPr>
      </w:r>
      <w:r>
        <w:rPr/>
        <w:t>发行股份面值总额之间的差额，调整资本公积；资本公积不足冲减的，调整留存收益；</w:t>
      </w:r>
    </w:p>
    <w:p>
      <w:pPr>
        <w:pStyle w:val="BodyText"/>
        <w:spacing w:line="312" w:lineRule="exact" w:before="120"/>
        <w:ind w:left="513" w:right="1129" w:firstLine="48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35"/>
        </w:rPr>
        <w:t> </w:t>
      </w:r>
      <w:r>
        <w:rPr/>
        <w:t>非同一控制下的企业合并，以购买日为取得对被购买方的控制权而付出的资产、</w:t>
      </w:r>
      <w:r>
        <w:rPr>
          <w:spacing w:val="2"/>
        </w:rPr>
        <w:t> </w:t>
      </w:r>
      <w:r>
        <w:rPr>
          <w:spacing w:val="3"/>
        </w:rPr>
        <w:t>发生或承担的负债以及发行的权益性证券的公允价值确定为合并成本作为长期股权投资</w:t>
      </w:r>
      <w:r>
        <w:rPr>
          <w:spacing w:val="-99"/>
        </w:rPr>
        <w:t> </w:t>
      </w:r>
      <w:r>
        <w:rPr>
          <w:spacing w:val="-99"/>
        </w:rPr>
      </w:r>
      <w:r>
        <w:rPr>
          <w:spacing w:val="-3"/>
        </w:rPr>
        <w:t>的初始投资成本。合并方为企业合并发生的审计、法律服务、评估咨询等中介费用以及其</w:t>
      </w:r>
      <w:r>
        <w:rPr>
          <w:spacing w:val="-87"/>
        </w:rPr>
        <w:t> </w:t>
      </w:r>
      <w:r>
        <w:rPr>
          <w:spacing w:val="-87"/>
        </w:rPr>
      </w:r>
      <w:r>
        <w:rPr/>
        <w:t>他相关管理费用，于发生时计入当期损益。</w:t>
      </w:r>
    </w:p>
    <w:p>
      <w:pPr>
        <w:pStyle w:val="BodyText"/>
        <w:spacing w:line="312" w:lineRule="exact" w:before="120"/>
        <w:ind w:left="513" w:right="1120" w:hanging="361"/>
        <w:jc w:val="left"/>
      </w:pPr>
      <w:r>
        <w:rPr>
          <w:rFonts w:ascii="宋体" w:hAnsi="宋体" w:cs="宋体" w:eastAsia="宋体" w:hint="default"/>
        </w:rPr>
        <w:t>1.</w:t>
      </w:r>
      <w:r>
        <w:rPr>
          <w:rFonts w:ascii="宋体" w:hAnsi="宋体" w:cs="宋体" w:eastAsia="宋体" w:hint="default"/>
          <w:spacing w:val="31"/>
        </w:rPr>
        <w:t> </w:t>
      </w:r>
      <w:r>
        <w:rPr>
          <w:spacing w:val="-3"/>
        </w:rPr>
        <w:t>除企业合并形成的长期股权投资以外，其他方式取得的长期股权投资，按照下列规定确定</w:t>
      </w:r>
      <w:r>
        <w:rPr>
          <w:spacing w:val="-118"/>
        </w:rPr>
        <w:t> </w:t>
      </w:r>
      <w:r>
        <w:rPr>
          <w:spacing w:val="-118"/>
        </w:rPr>
      </w:r>
      <w:r>
        <w:rPr/>
        <w:t>其投资成本：</w:t>
      </w:r>
    </w:p>
    <w:p>
      <w:pPr>
        <w:pStyle w:val="BodyText"/>
        <w:spacing w:line="312" w:lineRule="exact" w:before="120"/>
        <w:ind w:right="1115" w:firstLine="48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以支付现金取得的长期股权投资，按照实际支付的购买价款作为投资成本。初始投资 成本包括与取得长期股权投资直接相关的费用、税金及其他必要支出；</w:t>
      </w:r>
    </w:p>
    <w:p>
      <w:pPr>
        <w:pStyle w:val="BodyText"/>
        <w:spacing w:line="312" w:lineRule="exact" w:before="120"/>
        <w:ind w:right="1114" w:firstLine="480"/>
        <w:jc w:val="left"/>
      </w:pPr>
      <w:r>
        <w:rPr>
          <w:rFonts w:ascii="Times New Roman" w:hAnsi="Times New Roman" w:cs="Times New Roman" w:eastAsia="Times New Roman" w:hint="default"/>
        </w:rPr>
        <w:t>B. </w:t>
      </w:r>
      <w:r>
        <w:rPr/>
        <w:t>以发行权益性证券取得的长期股权投资，按照发行权益性证券的公允价值作为初始投 资成本；</w:t>
      </w:r>
    </w:p>
    <w:p>
      <w:pPr>
        <w:pStyle w:val="BodyText"/>
        <w:spacing w:line="235" w:lineRule="auto" w:before="95"/>
        <w:ind w:right="996" w:firstLine="48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19"/>
        </w:rPr>
        <w:t> </w:t>
      </w:r>
      <w:r>
        <w:rPr/>
        <w:t>通过非货币性资产交换取得的长期股权投资，如果该项交换具有商业实质且换入资产 </w:t>
      </w:r>
      <w:r>
        <w:rPr>
          <w:spacing w:val="-2"/>
        </w:rPr>
        <w:t>或换出资产的公允价值能可靠计量，则以换出资产的公允价值和相关税费作为初始投资成本，</w:t>
      </w:r>
      <w:r>
        <w:rPr/>
        <w:t> 换出资产的公允价值与账面价值之间的差额计入当期损益；若非货币资产交换不同时具备上</w:t>
      </w:r>
      <w:r>
        <w:rPr>
          <w:spacing w:val="-89"/>
        </w:rPr>
        <w:t> </w:t>
      </w:r>
      <w:r>
        <w:rPr>
          <w:spacing w:val="-89"/>
        </w:rPr>
      </w:r>
      <w:r>
        <w:rPr/>
        <w:t>述两个条件，则按换出资产的账面价值和相关税费作为初始投资成本。</w:t>
      </w:r>
    </w:p>
    <w:p>
      <w:pPr>
        <w:spacing w:after="0" w:line="235"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2" w:firstLine="48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12"/>
        </w:rPr>
        <w:t> </w:t>
      </w:r>
      <w:r>
        <w:rPr/>
        <w:t>通过债务重组取得的长期股权投资，以所放弃债权的公允价值和可直接归属于该资产 的税金等其他成本确定其入账价值，并将所放弃债权的公允价值与账面价值之间的差额，计</w:t>
      </w:r>
      <w:r>
        <w:rPr>
          <w:spacing w:val="-91"/>
        </w:rPr>
        <w:t> </w:t>
      </w:r>
      <w:r>
        <w:rPr>
          <w:spacing w:val="-91"/>
        </w:rPr>
      </w:r>
      <w:r>
        <w:rPr/>
        <w:t>入当期损益。</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）后续计量及损益确认方法</w:t>
      </w:r>
      <w:r>
        <w:rPr>
          <w:rFonts w:ascii="宋体" w:hAnsi="宋体" w:cs="宋体" w:eastAsia="宋体" w:hint="default"/>
          <w:b/>
          <w:bCs/>
          <w:w w:val="99"/>
          <w:sz w:val="24"/>
          <w:szCs w:val="24"/>
        </w:rPr>
        <w:t> </w:t>
      </w:r>
      <w:r>
        <w:rPr>
          <w:rFonts w:ascii="宋体" w:hAnsi="宋体" w:cs="宋体" w:eastAsia="宋体" w:hint="default"/>
          <w:sz w:val="24"/>
          <w:szCs w:val="24"/>
        </w:rPr>
        <w:t>本公司能够对被投资单位实施控制的长期股权投资采用成本法核算；对联营企业和合营</w:t>
      </w:r>
    </w:p>
    <w:p>
      <w:pPr>
        <w:pStyle w:val="BodyText"/>
        <w:spacing w:line="240" w:lineRule="exact"/>
        <w:ind w:right="1057"/>
        <w:jc w:val="left"/>
      </w:pPr>
      <w:r>
        <w:rPr/>
        <w:t>企业的长期股权投资采用权益法核算。</w:t>
      </w:r>
    </w:p>
    <w:p>
      <w:pPr>
        <w:pStyle w:val="BodyText"/>
        <w:spacing w:line="331" w:lineRule="auto" w:before="118"/>
        <w:ind w:left="633" w:right="1057"/>
        <w:jc w:val="left"/>
      </w:pPr>
      <w:r>
        <w:rPr/>
        <w:t>①成本法 采用成本法核算的长期股权投资，追加或收回投资时调整长期股权投资的成本；被投资</w:t>
      </w:r>
    </w:p>
    <w:p>
      <w:pPr>
        <w:pStyle w:val="BodyText"/>
        <w:spacing w:line="221" w:lineRule="exact"/>
        <w:ind w:right="1057"/>
        <w:jc w:val="left"/>
      </w:pPr>
      <w:r>
        <w:rPr/>
        <w:t>单位宣告分派的现金股利或利润，确认为当期投资收益。</w:t>
      </w:r>
    </w:p>
    <w:p>
      <w:pPr>
        <w:pStyle w:val="BodyText"/>
        <w:spacing w:line="331" w:lineRule="auto" w:before="118"/>
        <w:ind w:left="633" w:right="4753"/>
        <w:jc w:val="left"/>
      </w:pPr>
      <w:r>
        <w:rPr/>
        <w:t>②权益法 按照权益法核算的长期股权投资，一般会计处理为：</w:t>
      </w:r>
    </w:p>
    <w:p>
      <w:pPr>
        <w:pStyle w:val="BodyText"/>
        <w:spacing w:line="312" w:lineRule="exact" w:before="57"/>
        <w:ind w:right="1138" w:firstLine="480"/>
        <w:jc w:val="both"/>
      </w:pPr>
      <w:r>
        <w:rPr/>
        <w:t>本公司长期股权投资的投资成本大于投资时应享有被投资单位可辨认净资产公允价值份 额的，不调整长期股权投资的初始投资成本；长期股权投资的初始投资成本小于投资时应享</w:t>
      </w:r>
      <w:r>
        <w:rPr>
          <w:spacing w:val="-91"/>
        </w:rPr>
        <w:t> </w:t>
      </w:r>
      <w:r>
        <w:rPr>
          <w:spacing w:val="-91"/>
        </w:rPr>
      </w:r>
      <w:r>
        <w:rPr/>
        <w:t>有被投资单位可辨认净资产公允价值份额的，其差额计入当期损益，同时调整长期股权投资</w:t>
      </w:r>
      <w:r>
        <w:rPr>
          <w:spacing w:val="-91"/>
        </w:rPr>
        <w:t> </w:t>
      </w:r>
      <w:r>
        <w:rPr>
          <w:spacing w:val="-91"/>
        </w:rPr>
      </w:r>
      <w:r>
        <w:rPr/>
        <w:t>的成本。</w:t>
      </w:r>
    </w:p>
    <w:p>
      <w:pPr>
        <w:pStyle w:val="BodyText"/>
        <w:spacing w:line="237" w:lineRule="auto" w:before="92"/>
        <w:ind w:right="1130" w:firstLine="480"/>
        <w:jc w:val="both"/>
      </w:pPr>
      <w:r>
        <w:rPr/>
        <w:t>本公司按照应享有或应分担的被投资单位实现的净损益和其他综合收益的份额，分别确 认投资收益和其他综合收益，同时调整长期股权投资的账面价值；本公司按照被投资单位宣</w:t>
      </w:r>
      <w:r>
        <w:rPr>
          <w:spacing w:val="-91"/>
        </w:rPr>
        <w:t> </w:t>
      </w:r>
      <w:r>
        <w:rPr>
          <w:spacing w:val="-91"/>
        </w:rPr>
      </w:r>
      <w:r>
        <w:rPr/>
        <w:t>告分派的利润或现金股利计算应享有的部分，相应减少长期股权投资的账面价值；被投资单</w:t>
      </w:r>
      <w:r>
        <w:rPr>
          <w:spacing w:val="-91"/>
        </w:rPr>
        <w:t> </w:t>
      </w:r>
      <w:r>
        <w:rPr>
          <w:spacing w:val="-91"/>
        </w:rPr>
      </w:r>
      <w:r>
        <w:rPr/>
        <w:t>位除净损益、其他综合收益和利润分配以外所有者权益的其他变动，调整长期股权投资的账</w:t>
      </w:r>
      <w:r>
        <w:rPr>
          <w:spacing w:val="-86"/>
        </w:rPr>
        <w:t> </w:t>
      </w:r>
      <w:r>
        <w:rPr>
          <w:spacing w:val="-86"/>
        </w:rPr>
      </w:r>
      <w:r>
        <w:rPr/>
        <w:t>面价值并计入所有者权益。在确认应享有被投资单位净损益的份额时，以取得投资时被投资</w:t>
      </w:r>
      <w:r>
        <w:rPr>
          <w:spacing w:val="-89"/>
        </w:rPr>
        <w:t> </w:t>
      </w:r>
      <w:r>
        <w:rPr>
          <w:spacing w:val="-89"/>
        </w:rPr>
      </w:r>
      <w:r>
        <w:rPr/>
        <w:t>单位可辨认净资产的公允价值为基础，对被投资单位的净利润进行调整后确认。被投资单位</w:t>
      </w:r>
      <w:r>
        <w:rPr>
          <w:spacing w:val="-91"/>
        </w:rPr>
        <w:t> </w:t>
      </w:r>
      <w:r>
        <w:rPr>
          <w:spacing w:val="-91"/>
        </w:rPr>
      </w:r>
      <w:r>
        <w:rPr/>
        <w:t>采用的会计政策及会计期间与本公司不一致的，应按照本公司的会计政策及会计期间对被投</w:t>
      </w:r>
      <w:r>
        <w:rPr>
          <w:spacing w:val="-91"/>
        </w:rPr>
        <w:t> </w:t>
      </w:r>
      <w:r>
        <w:rPr>
          <w:spacing w:val="-91"/>
        </w:rPr>
      </w:r>
      <w:r>
        <w:rPr/>
        <w:t>资单位的财务报表进行调整，并据以确认投资收益和其他综合收益等。本公司与联营企业及</w:t>
      </w:r>
      <w:r>
        <w:rPr>
          <w:spacing w:val="-91"/>
        </w:rPr>
        <w:t> </w:t>
      </w:r>
      <w:r>
        <w:rPr>
          <w:spacing w:val="-91"/>
        </w:rPr>
      </w:r>
      <w:r>
        <w:rPr>
          <w:spacing w:val="6"/>
        </w:rPr>
        <w:t>合营企业之间发生的未实现内部交易损益按照享有的比例计算归属于本公司的部分予以抵</w:t>
      </w:r>
      <w:r>
        <w:rPr>
          <w:spacing w:val="-83"/>
        </w:rPr>
        <w:t> </w:t>
      </w:r>
      <w:r>
        <w:rPr>
          <w:spacing w:val="-83"/>
        </w:rPr>
      </w:r>
      <w:r>
        <w:rPr/>
        <w:t>销，在此基础上确认投资损益。本公司与被投资单位发生的未实现内部交易损失属于资产减</w:t>
      </w:r>
      <w:r>
        <w:rPr>
          <w:spacing w:val="-91"/>
        </w:rPr>
        <w:t> </w:t>
      </w:r>
      <w:r>
        <w:rPr>
          <w:spacing w:val="-91"/>
        </w:rPr>
      </w:r>
      <w:r>
        <w:rPr/>
        <w:t>值损失的，应全额确认。</w:t>
      </w:r>
    </w:p>
    <w:p>
      <w:pPr>
        <w:pStyle w:val="BodyText"/>
        <w:spacing w:line="237" w:lineRule="auto" w:before="121"/>
        <w:ind w:right="1138" w:firstLine="480"/>
        <w:jc w:val="both"/>
      </w:pPr>
      <w:r>
        <w:rPr/>
        <w:t>因追加投资等原因能够对被投资单位施加重大影响或实施共同控制但不构成控制的，按 照原持有的股权投资的公允价值加上新增投资成本之和，作为改按权益法核算的初始投资成</w:t>
      </w:r>
      <w:r>
        <w:rPr>
          <w:spacing w:val="-91"/>
        </w:rPr>
        <w:t> </w:t>
      </w:r>
      <w:r>
        <w:rPr>
          <w:spacing w:val="-91"/>
        </w:rPr>
      </w:r>
      <w:r>
        <w:rPr/>
        <w:t>本。原持有的股权投资分类为可供出售金融资产的，其公允价值与账面价值之间的差额，以</w:t>
      </w:r>
      <w:r>
        <w:rPr>
          <w:spacing w:val="-91"/>
        </w:rPr>
        <w:t> </w:t>
      </w:r>
      <w:r>
        <w:rPr>
          <w:spacing w:val="-91"/>
        </w:rPr>
      </w:r>
      <w:r>
        <w:rPr/>
        <w:t>及原计入其他综合收益的累计公允价值变动应当转入改按权益法核算的当期损益。</w:t>
      </w:r>
    </w:p>
    <w:p>
      <w:pPr>
        <w:pStyle w:val="BodyText"/>
        <w:spacing w:line="312" w:lineRule="exact" w:before="149"/>
        <w:ind w:right="1135" w:firstLine="480"/>
        <w:jc w:val="both"/>
      </w:pPr>
      <w:r>
        <w:rPr/>
        <w:t>因处置部分股权投资等原因丧失了对被投资单位的共同控制或重大影响的，处置后的剩 余股权改按公允价值计量，其在丧失共同控制或重大影响之日的公允价值与账面价值之间的</w:t>
      </w:r>
      <w:r>
        <w:rPr>
          <w:spacing w:val="-91"/>
        </w:rPr>
        <w:t> </w:t>
      </w:r>
      <w:r>
        <w:rPr>
          <w:spacing w:val="-91"/>
        </w:rPr>
      </w:r>
      <w:r>
        <w:rPr/>
        <w:t>差额计入当期损益。原股权投资因采用权益法核算而确认的其他综合收益，在终止采用权益</w:t>
      </w:r>
      <w:r>
        <w:rPr>
          <w:spacing w:val="-88"/>
        </w:rPr>
        <w:t> </w:t>
      </w:r>
      <w:r>
        <w:rPr>
          <w:spacing w:val="-88"/>
        </w:rPr>
      </w:r>
      <w:r>
        <w:rPr/>
        <w:t>法核算时采用与被投资单位直接处置相关资产或负债相同的基础进行会计处理。</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）持有待售的权益性投资</w:t>
      </w:r>
      <w:r>
        <w:rPr>
          <w:rFonts w:ascii="宋体" w:hAnsi="宋体" w:cs="宋体" w:eastAsia="宋体" w:hint="default"/>
          <w:b/>
          <w:bCs/>
          <w:w w:val="99"/>
          <w:sz w:val="24"/>
          <w:szCs w:val="24"/>
        </w:rPr>
        <w:t> </w:t>
      </w:r>
      <w:r>
        <w:rPr>
          <w:rFonts w:ascii="宋体" w:hAnsi="宋体" w:cs="宋体" w:eastAsia="宋体" w:hint="default"/>
          <w:sz w:val="24"/>
          <w:szCs w:val="24"/>
        </w:rPr>
        <w:t>对联营企业或合营企业的权益性投资全部或部分分类为持有待售资产的，相关会计处理</w:t>
      </w:r>
    </w:p>
    <w:p>
      <w:pPr>
        <w:pStyle w:val="BodyText"/>
        <w:spacing w:line="258" w:lineRule="exact"/>
        <w:ind w:right="1057"/>
        <w:jc w:val="left"/>
      </w:pPr>
      <w:r>
        <w:rPr/>
        <w:t>见附注三、</w:t>
      </w:r>
      <w:r>
        <w:rPr>
          <w:rFonts w:ascii="Times New Roman" w:hAnsi="Times New Roman" w:cs="Times New Roman" w:eastAsia="Times New Roman" w:hint="default"/>
        </w:rPr>
        <w:t>14</w:t>
      </w:r>
      <w:r>
        <w:rPr/>
        <w:t>。</w:t>
      </w:r>
    </w:p>
    <w:p>
      <w:pPr>
        <w:pStyle w:val="BodyText"/>
        <w:spacing w:line="331" w:lineRule="auto" w:before="99"/>
        <w:ind w:left="633" w:right="1057"/>
        <w:jc w:val="left"/>
      </w:pPr>
      <w:r>
        <w:rPr/>
        <w:t>对于未划分为持有待售资产的剩余权益性投资，采用权益法进行会计处理。 已划分为持有待售的对联营企业或合营企业的权益性投资，不再符合持有待售资产分类</w:t>
      </w:r>
    </w:p>
    <w:p>
      <w:pPr>
        <w:spacing w:after="0" w:line="331"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9"/>
        <w:jc w:val="both"/>
      </w:pPr>
      <w:r>
        <w:rPr/>
        <w:t>条件的，从被分类为持有待售资产之日起采用权益法进行追溯调整。分类为持有待售期间的</w:t>
      </w:r>
      <w:r>
        <w:rPr>
          <w:spacing w:val="-91"/>
        </w:rPr>
        <w:t> </w:t>
      </w:r>
      <w:r>
        <w:rPr>
          <w:spacing w:val="-91"/>
        </w:rPr>
      </w:r>
      <w:r>
        <w:rPr/>
        <w:t>财务报表做相应调整。</w:t>
      </w:r>
    </w:p>
    <w:p>
      <w:pPr>
        <w:spacing w:line="312" w:lineRule="auto" w:before="89"/>
        <w:ind w:left="633" w:right="211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）减值测试方法及减值准备计提方法</w:t>
      </w:r>
      <w:r>
        <w:rPr>
          <w:rFonts w:ascii="宋体" w:hAnsi="宋体" w:cs="宋体" w:eastAsia="宋体" w:hint="default"/>
          <w:b/>
          <w:bCs/>
          <w:w w:val="99"/>
          <w:sz w:val="24"/>
          <w:szCs w:val="24"/>
        </w:rPr>
        <w:t> </w:t>
      </w:r>
      <w:r>
        <w:rPr>
          <w:rFonts w:ascii="宋体" w:hAnsi="宋体" w:cs="宋体" w:eastAsia="宋体" w:hint="default"/>
          <w:sz w:val="24"/>
          <w:szCs w:val="24"/>
        </w:rPr>
        <w:t>对子公司、联营企业及合营企业的投资，计提资产减值的方法见附注三、</w:t>
      </w:r>
      <w:r>
        <w:rPr>
          <w:rFonts w:ascii="Times New Roman" w:hAnsi="Times New Roman" w:cs="Times New Roman" w:eastAsia="Times New Roman" w:hint="default"/>
          <w:sz w:val="24"/>
          <w:szCs w:val="24"/>
        </w:rPr>
        <w:t>20</w:t>
      </w:r>
      <w:r>
        <w:rPr>
          <w:rFonts w:ascii="宋体" w:hAnsi="宋体" w:cs="宋体" w:eastAsia="宋体" w:hint="default"/>
          <w:sz w:val="24"/>
          <w:szCs w:val="24"/>
        </w:rPr>
        <w:t>。</w:t>
      </w:r>
    </w:p>
    <w:p>
      <w:pPr>
        <w:spacing w:line="240" w:lineRule="auto" w:before="3"/>
        <w:rPr>
          <w:rFonts w:ascii="宋体" w:hAnsi="宋体" w:cs="宋体" w:eastAsia="宋体" w:hint="default"/>
          <w:sz w:val="17"/>
          <w:szCs w:val="17"/>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9" w:lineRule="auto" w:before="0"/>
        <w:ind w:left="152" w:right="1131" w:firstLine="0"/>
        <w:jc w:val="both"/>
        <w:rPr>
          <w:rFonts w:ascii="宋体" w:hAnsi="宋体" w:cs="宋体" w:eastAsia="宋体" w:hint="default"/>
          <w:sz w:val="18"/>
          <w:szCs w:val="18"/>
        </w:rPr>
      </w:pPr>
      <w:r>
        <w:rPr>
          <w:rFonts w:ascii="宋体" w:hAnsi="宋体" w:cs="宋体" w:eastAsia="宋体" w:hint="default"/>
          <w:sz w:val="18"/>
          <w:szCs w:val="18"/>
        </w:rPr>
        <w:t>固定资产在同时满足下列条件时，按取得时的实际成本予以确认： ①与该固定资产有关的经济利益很可能流入企业。</w:t>
      </w:r>
      <w:r>
        <w:rPr>
          <w:rFonts w:ascii="宋体" w:hAnsi="宋体" w:cs="宋体" w:eastAsia="宋体" w:hint="default"/>
          <w:spacing w:val="9"/>
          <w:sz w:val="18"/>
          <w:szCs w:val="18"/>
        </w:rPr>
        <w:t> </w:t>
      </w:r>
      <w:r>
        <w:rPr>
          <w:rFonts w:ascii="宋体" w:hAnsi="宋体" w:cs="宋体" w:eastAsia="宋体" w:hint="default"/>
          <w:sz w:val="18"/>
          <w:szCs w:val="18"/>
        </w:rPr>
        <w:t>②</w:t>
      </w:r>
      <w:r>
        <w:rPr>
          <w:rFonts w:ascii="宋体" w:hAnsi="宋体" w:cs="宋体" w:eastAsia="宋体" w:hint="default"/>
          <w:sz w:val="18"/>
          <w:szCs w:val="18"/>
        </w:rPr>
        <w:t> 该固定资产的成本能够可靠地计量。</w:t>
      </w:r>
      <w:r>
        <w:rPr>
          <w:rFonts w:ascii="宋体" w:hAnsi="宋体" w:cs="宋体" w:eastAsia="宋体" w:hint="default"/>
          <w:spacing w:val="9"/>
          <w:sz w:val="18"/>
          <w:szCs w:val="18"/>
        </w:rPr>
        <w:t> </w:t>
      </w:r>
      <w:r>
        <w:rPr>
          <w:rFonts w:ascii="宋体" w:hAnsi="宋体" w:cs="宋体" w:eastAsia="宋体" w:hint="default"/>
          <w:sz w:val="18"/>
          <w:szCs w:val="18"/>
        </w:rPr>
        <w:t>固定资产发生的后续支出，符合固定资产确认条件的计入固定资产成本；不符合固定</w:t>
      </w:r>
      <w:r>
        <w:rPr>
          <w:rFonts w:ascii="宋体" w:hAnsi="宋体" w:cs="宋体" w:eastAsia="宋体" w:hint="default"/>
          <w:sz w:val="18"/>
          <w:szCs w:val="18"/>
        </w:rPr>
        <w:t> 资产确认条件的在发生时计入当期损益。</w:t>
      </w:r>
    </w:p>
    <w:p>
      <w:pPr>
        <w:spacing w:line="240" w:lineRule="auto" w:before="6"/>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3"/>
        <w:rPr>
          <w:rFonts w:ascii="宋体" w:hAnsi="宋体" w:cs="宋体" w:eastAsia="宋体" w:hint="default"/>
          <w:b/>
          <w:bCs/>
          <w:sz w:val="19"/>
          <w:szCs w:val="19"/>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本公司在租入的固定资产实质上转移了与资产有关的全部风险和报酬时确认该项固定资产的租赁为融资租赁。融资租赁取得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的固定资产的成本，按租赁开始日租赁资产公允价值与最低租赁付款额现值两者中较低者确定。融资租入的固定资产采用与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自有固定资产相一致的折旧政策计提租赁资产折旧。能够合理确定租赁期届满时将会取得租赁资产所有权的，在租赁资产使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用年限内计提折旧；无法合理确定租赁期届满时能够取得租赁资产所有权的，在租赁期与租赁资产使用寿命两者中较短的期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间内计提折旧。</w:t>
      </w:r>
    </w:p>
    <w:p>
      <w:pPr>
        <w:spacing w:line="240" w:lineRule="auto" w:before="6"/>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513" w:right="10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）在建工程以立项项目分类核算。</w:t>
      </w:r>
    </w:p>
    <w:p>
      <w:pPr>
        <w:spacing w:line="321" w:lineRule="auto" w:before="103"/>
        <w:ind w:left="152" w:right="100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）在建工程结转为固定资产的标准和时点 </w:t>
      </w:r>
      <w:r>
        <w:rPr>
          <w:rFonts w:ascii="宋体" w:hAnsi="宋体" w:cs="宋体" w:eastAsia="宋体" w:hint="default"/>
          <w:spacing w:val="-2"/>
          <w:sz w:val="18"/>
          <w:szCs w:val="18"/>
        </w:rPr>
        <w:t>在建工程项目按建造该项资产达到预定可使用状态前所发生的全部支出，作为固定资产的入账价值。包括建筑费用、机器设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备原价、其他为使在建工程达到预定可使用状态所发生的必要支出以及在资产达到预定可使用状态之前为该项目专门借款所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发生的借款费用及占用的一般借款发生的借款费用。本公司在工程安装或建设完成达到预定可使用状态时将在建工程转入固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定资产。所建造的已达到预定可使用状态、但尚未办理竣工决算的固定资产，自达到预定可使用状态之日起，根据工程预算、</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造价或者工程实际成本等，按估计的价值转入固定资产，并按本公司固定资产折旧政策计提固定资产的折旧，待办理竣工决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算后，再按实际成本调整原来的暂估价值，但不调整原已计提的折旧额。</w:t>
      </w:r>
    </w:p>
    <w:p>
      <w:pPr>
        <w:spacing w:after="0" w:line="321"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312" w:lineRule="auto" w:before="0"/>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）借款费用资本化的确认原则和资本化期间</w:t>
      </w:r>
      <w:r>
        <w:rPr>
          <w:rFonts w:ascii="宋体" w:hAnsi="宋体" w:cs="宋体" w:eastAsia="宋体" w:hint="default"/>
          <w:b/>
          <w:bCs/>
          <w:w w:val="99"/>
          <w:sz w:val="24"/>
          <w:szCs w:val="24"/>
        </w:rPr>
        <w:t> </w:t>
      </w:r>
      <w:r>
        <w:rPr>
          <w:rFonts w:ascii="宋体" w:hAnsi="宋体" w:cs="宋体" w:eastAsia="宋体" w:hint="default"/>
          <w:sz w:val="24"/>
          <w:szCs w:val="24"/>
        </w:rPr>
        <w:t>本公司发生的可直接归属于符合资本化条件的资产的购建或生产的借款费用在同时满足</w:t>
      </w:r>
    </w:p>
    <w:p>
      <w:pPr>
        <w:pStyle w:val="BodyText"/>
        <w:spacing w:line="240" w:lineRule="exact"/>
        <w:ind w:right="1057"/>
        <w:jc w:val="left"/>
      </w:pPr>
      <w:r>
        <w:rPr/>
        <w:t>下列条件时予以资本化计入相关资产成本：</w:t>
      </w:r>
    </w:p>
    <w:p>
      <w:pPr>
        <w:pStyle w:val="BodyText"/>
        <w:spacing w:line="240" w:lineRule="auto" w:before="118"/>
        <w:ind w:left="633" w:right="1057"/>
        <w:jc w:val="left"/>
      </w:pPr>
      <w:r>
        <w:rPr/>
        <w:t>①资产支出已经发生；</w:t>
      </w:r>
    </w:p>
    <w:p>
      <w:pPr>
        <w:pStyle w:val="BodyText"/>
        <w:spacing w:line="240" w:lineRule="auto" w:before="118"/>
        <w:ind w:left="633" w:right="1057"/>
        <w:jc w:val="left"/>
      </w:pPr>
      <w:r>
        <w:rPr/>
        <w:t>②借款费用已经发生；</w:t>
      </w:r>
    </w:p>
    <w:p>
      <w:pPr>
        <w:pStyle w:val="BodyText"/>
        <w:spacing w:line="331" w:lineRule="auto" w:before="118"/>
        <w:ind w:left="633" w:right="1057"/>
        <w:jc w:val="left"/>
      </w:pPr>
      <w:r>
        <w:rPr/>
        <w:t>③为使资产达到预定可使用状态所必要的购建或者生产活动已经开始。 其他的借款利息、折价或溢价和汇兑差额，计入发生当期的损益。</w:t>
      </w:r>
    </w:p>
    <w:p>
      <w:pPr>
        <w:pStyle w:val="BodyText"/>
        <w:spacing w:line="312" w:lineRule="exact" w:before="58"/>
        <w:ind w:right="1057" w:firstLine="480"/>
        <w:jc w:val="left"/>
      </w:pP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rFonts w:ascii="Times New Roman" w:hAnsi="Times New Roman" w:cs="Times New Roman" w:eastAsia="Times New Roman" w:hint="default"/>
        </w:rPr>
        <w:t> </w:t>
      </w:r>
      <w:r>
        <w:rPr/>
        <w:t>个月的，暂停借款费用的资本化。 当购建或者生产符合资本化条件的资产达到预定可使用或者可销售状态时，停止其借款费用</w:t>
      </w:r>
      <w:r>
        <w:rPr>
          <w:spacing w:val="-91"/>
        </w:rPr>
        <w:t> </w:t>
      </w:r>
      <w:r>
        <w:rPr>
          <w:spacing w:val="-91"/>
        </w:rPr>
      </w:r>
      <w:r>
        <w:rPr/>
        <w:t>的资本化；以后发生的借款费用于发生当期确认为费用。</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）借款费用资本化率以及资本化金额的计算方法</w:t>
      </w:r>
      <w:r>
        <w:rPr>
          <w:rFonts w:ascii="宋体" w:hAnsi="宋体" w:cs="宋体" w:eastAsia="宋体" w:hint="default"/>
          <w:b/>
          <w:bCs/>
          <w:w w:val="99"/>
          <w:sz w:val="24"/>
          <w:szCs w:val="24"/>
        </w:rPr>
        <w:t> </w:t>
      </w:r>
      <w:r>
        <w:rPr>
          <w:rFonts w:ascii="宋体" w:hAnsi="宋体" w:cs="宋体" w:eastAsia="宋体" w:hint="default"/>
          <w:sz w:val="24"/>
          <w:szCs w:val="24"/>
        </w:rPr>
        <w:t>为购建或者生产符合资本化条件的资产而借入专门借款的，以专门借款当期实际发生的</w:t>
      </w:r>
    </w:p>
    <w:p>
      <w:pPr>
        <w:pStyle w:val="BodyText"/>
        <w:spacing w:line="239" w:lineRule="exact"/>
        <w:ind w:right="1057"/>
        <w:jc w:val="left"/>
      </w:pPr>
      <w:r>
        <w:rPr/>
        <w:t>利息费用，减去将尚未动用的借款资金存入银行取得的利息收入或者进行暂时性投资取得的</w:t>
      </w:r>
    </w:p>
    <w:p>
      <w:pPr>
        <w:pStyle w:val="BodyText"/>
        <w:spacing w:line="237" w:lineRule="auto" w:before="1"/>
        <w:ind w:right="1057"/>
        <w:jc w:val="left"/>
      </w:pPr>
      <w:r>
        <w:rPr/>
        <w:t>投资收益后的金额，确定为专门借款利息费用的资本化金额。 购建或者生产符合资本化条件的资产占用了一般借款的，一般借款应予资本化的利息金额按</w:t>
      </w:r>
      <w:r>
        <w:rPr>
          <w:spacing w:val="-91"/>
        </w:rPr>
        <w:t> </w:t>
      </w:r>
      <w:r>
        <w:rPr>
          <w:spacing w:val="-91"/>
        </w:rPr>
      </w:r>
      <w:r>
        <w:rPr/>
        <w:t>累计资产支出超过专门借款部分的资产支出加权平均数乘以所占用一般借款的资本化率，计</w:t>
      </w:r>
      <w:r>
        <w:rPr>
          <w:spacing w:val="-89"/>
        </w:rPr>
        <w:t> </w:t>
      </w:r>
      <w:r>
        <w:rPr>
          <w:spacing w:val="-89"/>
        </w:rPr>
      </w:r>
      <w:r>
        <w:rPr/>
        <w:t>算确定一般借款应予资本化的利息金额。资本化率根据一般借款加权平均利率计算确定。</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312" w:lineRule="auto" w:before="0"/>
        <w:ind w:left="633" w:right="739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）无形资产的计价方法</w:t>
      </w:r>
      <w:r>
        <w:rPr>
          <w:rFonts w:ascii="宋体" w:hAnsi="宋体" w:cs="宋体" w:eastAsia="宋体" w:hint="default"/>
          <w:b/>
          <w:bCs/>
          <w:w w:val="99"/>
          <w:sz w:val="24"/>
          <w:szCs w:val="24"/>
        </w:rPr>
        <w:t> </w:t>
      </w:r>
      <w:r>
        <w:rPr>
          <w:rFonts w:ascii="宋体" w:hAnsi="宋体" w:cs="宋体" w:eastAsia="宋体" w:hint="default"/>
          <w:sz w:val="24"/>
          <w:szCs w:val="24"/>
        </w:rPr>
        <w:t>按取得时的实际成本入账。</w:t>
      </w:r>
    </w:p>
    <w:p>
      <w:pPr>
        <w:pStyle w:val="BodyText"/>
        <w:spacing w:line="240" w:lineRule="auto" w:before="46"/>
        <w:ind w:left="633" w:right="1057"/>
        <w:jc w:val="left"/>
      </w:pPr>
      <w:r>
        <w:rPr/>
        <w:t>（</w:t>
      </w:r>
      <w:r>
        <w:rPr>
          <w:rFonts w:ascii="Times New Roman" w:hAnsi="Times New Roman" w:cs="Times New Roman" w:eastAsia="Times New Roman" w:hint="default"/>
        </w:rPr>
        <w:t>2</w:t>
      </w:r>
      <w:r>
        <w:rPr/>
        <w:t>）无形资产使用寿命及摊销</w:t>
      </w:r>
    </w:p>
    <w:p>
      <w:pPr>
        <w:pStyle w:val="BodyText"/>
        <w:spacing w:line="240" w:lineRule="auto" w:before="100"/>
        <w:ind w:left="633" w:right="1057"/>
        <w:jc w:val="left"/>
      </w:pPr>
      <w:r>
        <w:rPr/>
        <w:t>①使用寿命有限的无形资产的使用寿命估计情况：</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50"/>
        <w:gridCol w:w="1551"/>
        <w:gridCol w:w="3032"/>
      </w:tblGrid>
      <w:tr>
        <w:trPr>
          <w:trHeight w:val="346"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8"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2-10</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预计使用年限</w:t>
            </w:r>
          </w:p>
        </w:tc>
      </w:tr>
      <w:tr>
        <w:trPr>
          <w:trHeight w:val="346"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预计使用年限</w:t>
            </w:r>
          </w:p>
        </w:tc>
      </w:tr>
      <w:tr>
        <w:trPr>
          <w:trHeight w:val="348"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预计使用年限</w:t>
            </w:r>
          </w:p>
        </w:tc>
      </w:tr>
    </w:tbl>
    <w:p>
      <w:pPr>
        <w:pStyle w:val="BodyText"/>
        <w:spacing w:line="312" w:lineRule="exact" w:before="113"/>
        <w:ind w:right="1010" w:firstLine="384"/>
        <w:jc w:val="left"/>
      </w:pPr>
      <w:r>
        <w:rPr>
          <w:spacing w:val="-6"/>
        </w:rPr>
        <w:t>每年年度终了，公司对使用寿命有限的无形资产的使用寿命及摊销方法进行复核。经复核，</w:t>
      </w:r>
      <w:r>
        <w:rPr/>
        <w:t> 本期末无形资产的使用寿命及摊销方法与以前估计未有不同。</w:t>
      </w:r>
    </w:p>
    <w:p>
      <w:pPr>
        <w:pStyle w:val="BodyText"/>
        <w:spacing w:line="312" w:lineRule="exact"/>
        <w:ind w:right="1127" w:firstLine="384"/>
        <w:jc w:val="left"/>
      </w:pPr>
      <w:r>
        <w:rPr>
          <w:spacing w:val="-3"/>
        </w:rPr>
        <w:t>②无法预见无形资产为企业带来经济利益期限的，视为使用寿命不确定的无形资产。对于</w:t>
      </w:r>
      <w:r>
        <w:rPr/>
        <w:t> 使用寿命不确定的无形资产，公司在每年年度终了对使用寿命不确定的无形资产的使用寿命</w:t>
      </w:r>
    </w:p>
    <w:p>
      <w:pPr>
        <w:pStyle w:val="BodyText"/>
        <w:spacing w:line="284" w:lineRule="exact"/>
        <w:ind w:right="1057"/>
        <w:jc w:val="left"/>
      </w:pPr>
      <w:r>
        <w:rPr/>
        <w:t>进行复核，如果重新复核后仍为不确定的，于资产负债表日进行减值测试。</w:t>
      </w:r>
    </w:p>
    <w:p>
      <w:pPr>
        <w:spacing w:after="0" w:line="284"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31" w:lineRule="auto" w:before="26"/>
        <w:ind w:left="633" w:right="1057" w:hanging="96"/>
        <w:jc w:val="left"/>
      </w:pPr>
      <w:r>
        <w:rPr/>
        <w:t>③无形资产的摊销 对于使用寿命有限的无形资产，本公司在取得时确定其使用寿命，在使用寿命内采用直</w:t>
      </w:r>
    </w:p>
    <w:p>
      <w:pPr>
        <w:pStyle w:val="BodyText"/>
        <w:spacing w:line="220" w:lineRule="exact"/>
        <w:ind w:right="1057"/>
        <w:jc w:val="left"/>
      </w:pPr>
      <w:r>
        <w:rPr/>
        <w:t>线法系统合理摊销，摊销金额按受益项目计入当期损益</w:t>
      </w:r>
      <w:r>
        <w:rPr>
          <w:color w:val="FF0000"/>
        </w:rPr>
        <w:t>。</w:t>
      </w:r>
      <w:r>
        <w:rPr/>
        <w:t>具体应摊销金额为其成本扣除预计</w:t>
      </w:r>
    </w:p>
    <w:p>
      <w:pPr>
        <w:pStyle w:val="BodyText"/>
        <w:spacing w:line="312" w:lineRule="exact" w:before="29"/>
        <w:ind w:right="996"/>
        <w:jc w:val="left"/>
      </w:pPr>
      <w:r>
        <w:rPr>
          <w:spacing w:val="-2"/>
        </w:rPr>
        <w:t>残值后的金额。已计提减值准备的无形资产，还应扣除已计提的无形资产减值准备累计金额。</w:t>
      </w:r>
      <w:r>
        <w:rPr/>
        <w:t> 使用寿命有限的无形资产，其残值视为零，但下列情况除外：有第三方承诺在无形资产使用</w:t>
      </w:r>
      <w:r>
        <w:rPr>
          <w:spacing w:val="-91"/>
        </w:rPr>
        <w:t> </w:t>
      </w:r>
      <w:r>
        <w:rPr>
          <w:spacing w:val="-91"/>
        </w:rPr>
      </w:r>
      <w:r>
        <w:rPr/>
        <w:t>寿命结束时购买该无形资产或可以根据活跃市场得到预计残值信息，并且该市场在无形资产</w:t>
      </w:r>
      <w:r>
        <w:rPr>
          <w:spacing w:val="-88"/>
        </w:rPr>
        <w:t> </w:t>
      </w:r>
      <w:r>
        <w:rPr>
          <w:spacing w:val="-88"/>
        </w:rPr>
      </w:r>
      <w:r>
        <w:rPr/>
        <w:t>使用寿命结束时很可能存在。 对使用寿命不确定的无形资产，不予摊销。每年年度终了对使用寿命不确定的无形资产的使</w:t>
      </w:r>
      <w:r>
        <w:rPr>
          <w:spacing w:val="-91"/>
        </w:rPr>
        <w:t> </w:t>
      </w:r>
      <w:r>
        <w:rPr>
          <w:spacing w:val="-91"/>
        </w:rPr>
      </w:r>
      <w:r>
        <w:rPr/>
        <w:t>用寿命进行复核，如果有证据表明无形资产的使用寿命是有限的，估计其使用寿命并在预计</w:t>
      </w:r>
      <w:r>
        <w:rPr>
          <w:spacing w:val="-91"/>
        </w:rPr>
        <w:t> </w:t>
      </w:r>
      <w:r>
        <w:rPr>
          <w:spacing w:val="-91"/>
        </w:rPr>
      </w:r>
      <w:r>
        <w:rPr/>
        <w:t>使用年限内系统合理摊销。</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3"/>
        <w:spacing w:line="240" w:lineRule="auto"/>
        <w:ind w:left="635" w:right="1057"/>
        <w:jc w:val="left"/>
        <w:rPr>
          <w:b w:val="0"/>
          <w:bCs w:val="0"/>
        </w:rPr>
      </w:pPr>
      <w:r>
        <w:rPr/>
        <w:t>（</w:t>
      </w:r>
      <w:r>
        <w:rPr>
          <w:rFonts w:ascii="Times New Roman" w:hAnsi="Times New Roman" w:cs="Times New Roman" w:eastAsia="Times New Roman" w:hint="default"/>
        </w:rPr>
        <w:t>3</w:t>
      </w:r>
      <w:r>
        <w:rPr/>
        <w:t>）划分内部研究开发项目的研究阶段和开发阶段具体标准</w:t>
      </w:r>
      <w:r>
        <w:rPr>
          <w:b w:val="0"/>
          <w:bCs w:val="0"/>
        </w:rPr>
      </w:r>
    </w:p>
    <w:p>
      <w:pPr>
        <w:pStyle w:val="BodyText"/>
        <w:spacing w:line="312" w:lineRule="exact" w:before="130"/>
        <w:ind w:right="1140" w:firstLine="480"/>
        <w:jc w:val="both"/>
      </w:pPr>
      <w:r>
        <w:rPr/>
        <w:t>①本公司将为进一步开发活动进行的资料及相关方面的准备活动作为研究阶段，无形资 产研究阶段的支出在发生时计入当期损益。</w:t>
      </w:r>
    </w:p>
    <w:p>
      <w:pPr>
        <w:pStyle w:val="BodyText"/>
        <w:spacing w:line="240" w:lineRule="auto" w:before="89"/>
        <w:ind w:left="633" w:right="1057"/>
        <w:jc w:val="left"/>
      </w:pPr>
      <w:r>
        <w:rPr/>
        <w:t>②在本公司已完成研究阶段的工作后再进行的开发活动作为开发阶段。</w:t>
      </w:r>
    </w:p>
    <w:p>
      <w:pPr>
        <w:pStyle w:val="BodyText"/>
        <w:spacing w:line="316" w:lineRule="auto" w:before="118"/>
        <w:ind w:left="633" w:right="1057"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）开发阶段支出资本化的具体条件</w:t>
      </w:r>
      <w:r>
        <w:rPr>
          <w:rFonts w:ascii="宋体" w:hAnsi="宋体" w:cs="宋体" w:eastAsia="宋体" w:hint="default"/>
          <w:b/>
          <w:bCs/>
          <w:w w:val="99"/>
        </w:rPr>
        <w:t> </w:t>
      </w:r>
      <w:r>
        <w:rPr/>
        <w:t>开发阶段的支出同时满足下列条件时，才能确认为无形资产：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无形资产产生经济利益的方式，包括能够证明运用该无形资产生产的产品存在市场或</w:t>
      </w:r>
    </w:p>
    <w:p>
      <w:pPr>
        <w:pStyle w:val="BodyText"/>
        <w:spacing w:line="209" w:lineRule="exact"/>
        <w:ind w:right="1057"/>
        <w:jc w:val="left"/>
      </w:pPr>
      <w:r>
        <w:rPr/>
        <w:t>无形资产自身存在市场，无形资产将在内部使用的，能够证明其有用性；</w:t>
      </w:r>
    </w:p>
    <w:p>
      <w:pPr>
        <w:pStyle w:val="BodyText"/>
        <w:spacing w:line="312" w:lineRule="exact" w:before="148"/>
        <w:ind w:right="1134" w:firstLine="480"/>
        <w:jc w:val="both"/>
      </w:pPr>
      <w:r>
        <w:rPr>
          <w:rFonts w:ascii="Times New Roman" w:hAnsi="Times New Roman" w:cs="Times New Roman" w:eastAsia="Times New Roman" w:hint="default"/>
        </w:rPr>
        <w:t>D.</w:t>
      </w:r>
      <w:r>
        <w:rPr/>
        <w:t>有足够的技术、财务资源和其他资源支持，以完成该无形资产的开发，并有能力使用 或出售该无形资产；</w:t>
      </w:r>
    </w:p>
    <w:p>
      <w:pPr>
        <w:pStyle w:val="BodyText"/>
        <w:spacing w:line="302" w:lineRule="exact"/>
        <w:ind w:right="1057"/>
        <w:jc w:val="left"/>
      </w:pPr>
      <w:r>
        <w:rPr>
          <w:rFonts w:ascii="Times New Roman" w:hAnsi="Times New Roman" w:cs="Times New Roman" w:eastAsia="Times New Roman" w:hint="default"/>
        </w:rPr>
        <w:t>E.</w:t>
      </w:r>
      <w:r>
        <w:rPr/>
        <w:t>归属于该无形资产开发阶段的支出能够可靠地计量。</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139" w:firstLine="480"/>
        <w:jc w:val="both"/>
      </w:pPr>
      <w:r>
        <w:rPr/>
        <w:t>对子公司、联营企业和合营企业的长期股权投资、采用成本模式进行后续计量的投资性 房地产、固定资产、在建工程、无形资产、商誉等（存货、按公允价值模式计量的投资性房</w:t>
      </w:r>
      <w:r>
        <w:rPr>
          <w:spacing w:val="-91"/>
        </w:rPr>
        <w:t> </w:t>
      </w:r>
      <w:r>
        <w:rPr>
          <w:spacing w:val="-91"/>
        </w:rPr>
      </w:r>
      <w:r>
        <w:rPr/>
        <w:t>地产、递延所得税资产、金融资产除外）的资产减值，按以下方法确定：</w:t>
      </w:r>
    </w:p>
    <w:p>
      <w:pPr>
        <w:pStyle w:val="BodyText"/>
        <w:spacing w:line="312" w:lineRule="exact" w:before="120"/>
        <w:ind w:right="1136" w:firstLine="480"/>
        <w:jc w:val="both"/>
      </w:pPr>
      <w:r>
        <w:rPr/>
        <w:t>于资产负债表日判断资产是否存在可能发生减值的迹象，存在减值迹象的，本公司将估 计其可收回金额，进行减值测试。对因企业合并所形成的商誉、使用寿命不确定的无形资产</w:t>
      </w:r>
      <w:r>
        <w:rPr>
          <w:spacing w:val="-89"/>
        </w:rPr>
        <w:t> </w:t>
      </w:r>
      <w:r>
        <w:rPr>
          <w:spacing w:val="-89"/>
        </w:rPr>
      </w:r>
      <w:r>
        <w:rPr/>
        <w:t>和尚未达到可使用状态的无形资产无论是否存在减值迹象，每年都进行减值测试。</w:t>
      </w:r>
    </w:p>
    <w:p>
      <w:pPr>
        <w:pStyle w:val="BodyText"/>
        <w:spacing w:line="312" w:lineRule="exact" w:before="120"/>
        <w:ind w:right="1013" w:firstLine="480"/>
        <w:jc w:val="both"/>
      </w:pPr>
      <w:r>
        <w:rPr/>
        <w:t>可收回金额根据资产的公允价值减去处置费用后的净额与资产预计未来现金流量的现值 两者之间较高者确定。本公司以单项资产为基础估计其可收回金额；难以对单项资产的可收</w:t>
      </w:r>
      <w:r>
        <w:rPr>
          <w:spacing w:val="-91"/>
        </w:rPr>
        <w:t> </w:t>
      </w:r>
      <w:r>
        <w:rPr>
          <w:spacing w:val="-91"/>
        </w:rPr>
      </w:r>
      <w:r>
        <w:rPr>
          <w:spacing w:val="-2"/>
        </w:rPr>
        <w:t>回金额进行估计的，以该资产所属的资产组为基础确定资产组的可收回金额。资产组的认定，</w:t>
      </w:r>
    </w:p>
    <w:p>
      <w:pPr>
        <w:spacing w:after="0" w:line="312" w:lineRule="exact"/>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31" w:lineRule="auto" w:before="26"/>
        <w:ind w:left="633" w:right="1057" w:hanging="481"/>
        <w:jc w:val="left"/>
      </w:pPr>
      <w:r>
        <w:rPr/>
        <w:t>以资产组产生的主要现金流入是否独立于其他资产或者资产组的现金流入为依据。 当资产或资产组的可收回金额低于其账面价值时，本公司将其账面价值减记至可收回金</w:t>
      </w:r>
    </w:p>
    <w:p>
      <w:pPr>
        <w:pStyle w:val="BodyText"/>
        <w:spacing w:line="221" w:lineRule="exact"/>
        <w:ind w:right="1057"/>
        <w:jc w:val="left"/>
      </w:pPr>
      <w:r>
        <w:rPr/>
        <w:t>额，减记的金额计入当期损益，同时计提相应的资产减值准备。</w:t>
      </w:r>
    </w:p>
    <w:p>
      <w:pPr>
        <w:pStyle w:val="BodyText"/>
        <w:spacing w:line="312" w:lineRule="exact" w:before="148"/>
        <w:ind w:right="996" w:firstLine="480"/>
        <w:jc w:val="left"/>
      </w:pPr>
      <w:r>
        <w:rPr/>
        <w:t>就商誉的减值测试而言，对于因企业合并形成的商誉的账面价值，自购买日起按照合理 的方法分摊至相关的资产组；难以分摊至相关的资产组的，将其分摊至相关的资产组组合。</w:t>
      </w:r>
      <w:r>
        <w:rPr>
          <w:spacing w:val="-87"/>
        </w:rPr>
        <w:t> </w:t>
      </w:r>
      <w:r>
        <w:rPr>
          <w:spacing w:val="-87"/>
        </w:rPr>
      </w:r>
      <w:r>
        <w:rPr>
          <w:spacing w:val="-2"/>
        </w:rPr>
        <w:t>相关的资产组或资产组组合，是能够从企业合并的协同效应中受益的资产组或者资产组组合，</w:t>
      </w:r>
      <w:r>
        <w:rPr/>
        <w:t> 且不大于本公司确定的报告分部。</w:t>
      </w:r>
    </w:p>
    <w:p>
      <w:pPr>
        <w:pStyle w:val="BodyText"/>
        <w:spacing w:line="237" w:lineRule="auto" w:before="92"/>
        <w:ind w:right="1138" w:firstLine="480"/>
        <w:jc w:val="both"/>
      </w:pPr>
      <w:r>
        <w:rPr/>
        <w:t>减值测试时，如与商誉相关的资产组或者资产组组合存在减值迹象的，首先对不包含商 誉的资产组或者资产组组合进行减值测试，计算可收回金额，确认相应的减值损失。然后对</w:t>
      </w:r>
      <w:r>
        <w:rPr>
          <w:spacing w:val="-91"/>
        </w:rPr>
        <w:t> </w:t>
      </w:r>
      <w:r>
        <w:rPr>
          <w:spacing w:val="-91"/>
        </w:rPr>
      </w:r>
      <w:r>
        <w:rPr/>
        <w:t>包含商誉的资产组或者资产组组合进行减值测试，比较其账面价值与可收回金额，如可收回</w:t>
      </w:r>
      <w:r>
        <w:rPr>
          <w:spacing w:val="-89"/>
        </w:rPr>
        <w:t> </w:t>
      </w:r>
      <w:r>
        <w:rPr>
          <w:spacing w:val="-89"/>
        </w:rPr>
      </w:r>
      <w:r>
        <w:rPr/>
        <w:t>金额低于账面价值的，确认商誉的减值损失。</w:t>
      </w:r>
    </w:p>
    <w:p>
      <w:pPr>
        <w:pStyle w:val="BodyText"/>
        <w:spacing w:line="240" w:lineRule="auto" w:before="118"/>
        <w:ind w:left="633" w:right="1057"/>
        <w:jc w:val="left"/>
      </w:pPr>
      <w:r>
        <w:rPr/>
        <w:t>资产减值损失一经确认，在以后会计期间不再转回。</w:t>
      </w:r>
    </w:p>
    <w:p>
      <w:pPr>
        <w:spacing w:line="240" w:lineRule="auto" w:before="9"/>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057" w:firstLine="480"/>
        <w:jc w:val="left"/>
      </w:pPr>
      <w:r>
        <w:rPr/>
        <w:t>长期待摊费用核算本公司已经发生但应由本期和以后各期负担的分摊期限在一年以上的 各项费用。</w:t>
      </w:r>
    </w:p>
    <w:p>
      <w:pPr>
        <w:pStyle w:val="BodyText"/>
        <w:spacing w:line="240" w:lineRule="auto" w:before="89"/>
        <w:ind w:left="633" w:right="1057"/>
        <w:jc w:val="left"/>
      </w:pPr>
      <w:r>
        <w:rPr/>
        <w:t>本公司长期待摊费用在受益期内平均摊销，各项费用摊销的年限如下：</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1"/>
        <w:gridCol w:w="2871"/>
      </w:tblGrid>
      <w:tr>
        <w:trPr>
          <w:trHeight w:val="346"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34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租入房屋装修费</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租赁合同期限</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331" w:lineRule="auto"/>
        <w:ind w:left="633" w:right="1057" w:hanging="96"/>
        <w:jc w:val="left"/>
      </w:pPr>
      <w:r>
        <w:rPr/>
        <w:t>①职工基本薪酬（工资、奖金、津贴、补贴） 本公司在职工为其提供服务的会计期间，将实际发生的短期薪酬确认为负债，并计入当</w:t>
      </w:r>
    </w:p>
    <w:p>
      <w:pPr>
        <w:pStyle w:val="BodyText"/>
        <w:spacing w:line="221" w:lineRule="exact"/>
        <w:ind w:right="1057"/>
        <w:jc w:val="left"/>
      </w:pPr>
      <w:r>
        <w:rPr/>
        <w:t>期损益，其他会计准则要求或允许计入资产成本的除外。</w:t>
      </w:r>
    </w:p>
    <w:p>
      <w:pPr>
        <w:pStyle w:val="BodyText"/>
        <w:spacing w:line="331" w:lineRule="auto" w:before="118"/>
        <w:ind w:left="633" w:right="1000"/>
        <w:jc w:val="left"/>
      </w:pPr>
      <w:r>
        <w:rPr/>
        <w:t>②职工福利费 </w:t>
      </w:r>
      <w:r>
        <w:rPr>
          <w:spacing w:val="-3"/>
        </w:rPr>
        <w:t>本公司发生的职工福利费，在实际发生时根据实际发生额计入当期损益或相关资产成本。</w:t>
      </w:r>
    </w:p>
    <w:p>
      <w:pPr>
        <w:pStyle w:val="BodyText"/>
        <w:spacing w:line="221" w:lineRule="exact"/>
        <w:ind w:right="1057"/>
        <w:jc w:val="left"/>
      </w:pPr>
      <w:r>
        <w:rPr/>
        <w:t>职工福利费为非货币性福利的，按照公允价值计量。</w:t>
      </w:r>
    </w:p>
    <w:p>
      <w:pPr>
        <w:pStyle w:val="BodyText"/>
        <w:spacing w:line="312" w:lineRule="exact" w:before="148"/>
        <w:ind w:right="1057" w:firstLine="480"/>
        <w:jc w:val="left"/>
      </w:pPr>
      <w:r>
        <w:rPr/>
        <w:t>③医疗保险费、工伤保险费、生育保险费等社会保险费和住房公积金，以及工会经费和 职工教育经费</w:t>
      </w:r>
    </w:p>
    <w:p>
      <w:pPr>
        <w:pStyle w:val="BodyText"/>
        <w:spacing w:line="240" w:lineRule="auto" w:before="89"/>
        <w:ind w:right="1000" w:firstLine="480"/>
        <w:jc w:val="left"/>
      </w:pPr>
      <w:r>
        <w:rPr>
          <w:spacing w:val="-3"/>
        </w:rPr>
        <w:t>本公司为职工缴纳的医疗保险费、工伤保险费、生育保险费等社会保险费和住房公积金，</w:t>
      </w:r>
      <w:r>
        <w:rPr/>
        <w:t> 以及按规定提取的工会经费和职工教育经费，在职工为其提供服务的会计期间，根据规定的</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7"/>
        <w:jc w:val="both"/>
      </w:pPr>
      <w:r>
        <w:rPr/>
        <w:t>计提基础和计提比例计算确定相应的职工薪酬金额，并确认相应负债，计入当期损益或相关</w:t>
      </w:r>
      <w:r>
        <w:rPr>
          <w:spacing w:val="-90"/>
        </w:rPr>
        <w:t> </w:t>
      </w:r>
      <w:r>
        <w:rPr>
          <w:spacing w:val="-90"/>
        </w:rPr>
      </w:r>
      <w:r>
        <w:rPr/>
        <w:t>资产成本。</w:t>
      </w:r>
    </w:p>
    <w:p>
      <w:pPr>
        <w:pStyle w:val="BodyText"/>
        <w:spacing w:line="331" w:lineRule="auto" w:before="89"/>
        <w:ind w:left="633" w:right="1057"/>
        <w:jc w:val="left"/>
      </w:pPr>
      <w:r>
        <w:rPr/>
        <w:t>④短期带薪缺勤 本公司在职工提供服务从而增加了其未来享有的带薪缺勤权利时，确认与累积带薪缺勤</w:t>
      </w:r>
    </w:p>
    <w:p>
      <w:pPr>
        <w:pStyle w:val="BodyText"/>
        <w:spacing w:line="220" w:lineRule="exact"/>
        <w:ind w:right="0"/>
        <w:jc w:val="both"/>
      </w:pPr>
      <w:r>
        <w:rPr/>
        <w:t>相关的职工薪酬，并以累积未行使权利而增加的预期支付金额计量。本公司在职工实际发生</w:t>
      </w:r>
    </w:p>
    <w:p>
      <w:pPr>
        <w:pStyle w:val="BodyText"/>
        <w:spacing w:line="313" w:lineRule="exact"/>
        <w:ind w:right="0"/>
        <w:jc w:val="both"/>
      </w:pPr>
      <w:r>
        <w:rPr/>
        <w:t>缺勤的会计期间确认与非累积带薪缺勤相关的职工薪酬。</w:t>
      </w:r>
    </w:p>
    <w:p>
      <w:pPr>
        <w:pStyle w:val="BodyText"/>
        <w:spacing w:line="324" w:lineRule="auto" w:before="118"/>
        <w:ind w:left="633" w:right="2833"/>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before="212"/>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331" w:lineRule="auto"/>
        <w:ind w:left="633" w:right="1057"/>
        <w:jc w:val="left"/>
      </w:pPr>
      <w:r>
        <w:rPr/>
        <w:t>①设定提存计划 本公司在职工为其提供服务的会计期间，将根据设定提存计划计算的应缴存金额确认为</w:t>
      </w:r>
    </w:p>
    <w:p>
      <w:pPr>
        <w:pStyle w:val="BodyText"/>
        <w:spacing w:line="221" w:lineRule="exact"/>
        <w:ind w:right="0"/>
        <w:jc w:val="both"/>
      </w:pPr>
      <w:r>
        <w:rPr/>
        <w:t>负债，并计入当期损益或相关资产成本。</w:t>
      </w:r>
    </w:p>
    <w:p>
      <w:pPr>
        <w:pStyle w:val="BodyText"/>
        <w:spacing w:line="237" w:lineRule="auto" w:before="120"/>
        <w:ind w:right="1138" w:firstLine="480"/>
        <w:jc w:val="both"/>
      </w:pPr>
      <w:r>
        <w:rPr/>
        <w:t>根据设定提存计划，预期不会在职工提供相关服务的年度报告期结束后十二个月内支付 全部应缴存金额的，本公司参照相应的折现率（根据资产负债表日与设定提存计划义务期限</w:t>
      </w:r>
      <w:r>
        <w:rPr>
          <w:spacing w:val="-91"/>
        </w:rPr>
        <w:t> </w:t>
      </w:r>
      <w:r>
        <w:rPr>
          <w:spacing w:val="-91"/>
        </w:rPr>
      </w:r>
      <w:r>
        <w:rPr/>
        <w:t>和币种相匹配的国债或活跃市场上的高质量公司债券的市场收益率确定），将全部应缴存金</w:t>
      </w:r>
      <w:r>
        <w:rPr>
          <w:spacing w:val="-91"/>
        </w:rPr>
        <w:t> </w:t>
      </w:r>
      <w:r>
        <w:rPr>
          <w:spacing w:val="-91"/>
        </w:rPr>
      </w:r>
      <w:r>
        <w:rPr/>
        <w:t>额以折现后的金额计量应付职工薪酬。</w:t>
      </w:r>
    </w:p>
    <w:p>
      <w:pPr>
        <w:pStyle w:val="BodyText"/>
        <w:spacing w:line="240" w:lineRule="auto" w:before="118"/>
        <w:ind w:left="633" w:right="1057"/>
        <w:jc w:val="left"/>
      </w:pPr>
      <w:r>
        <w:rPr/>
        <w:t>②设定受益计划</w:t>
      </w:r>
    </w:p>
    <w:p>
      <w:pPr>
        <w:pStyle w:val="BodyText"/>
        <w:spacing w:line="312" w:lineRule="auto" w:before="118"/>
        <w:ind w:left="633" w:right="1057"/>
        <w:jc w:val="left"/>
      </w:pPr>
      <w:r>
        <w:rPr>
          <w:rFonts w:ascii="Times New Roman" w:hAnsi="Times New Roman" w:cs="Times New Roman" w:eastAsia="Times New Roman" w:hint="default"/>
        </w:rPr>
        <w:t>A</w:t>
      </w:r>
      <w:r>
        <w:rPr/>
        <w:t>．确定设定受益计划义务的现值和当期服务成本 根据预期累计福利单位法，采用无偏且相互一致的精算假设对有关人口统计变量和财务</w:t>
      </w:r>
    </w:p>
    <w:p>
      <w:pPr>
        <w:pStyle w:val="BodyText"/>
        <w:spacing w:line="239" w:lineRule="exact"/>
        <w:ind w:right="0"/>
        <w:jc w:val="both"/>
      </w:pPr>
      <w:r>
        <w:rPr/>
        <w:t>变量等做出估计，计量设定受益计划所产生的义务，并确定相关义务的归属期间。本公司按</w:t>
      </w:r>
    </w:p>
    <w:p>
      <w:pPr>
        <w:pStyle w:val="BodyText"/>
        <w:spacing w:line="312" w:lineRule="exact" w:before="29"/>
        <w:ind w:right="1135"/>
        <w:jc w:val="both"/>
      </w:pPr>
      <w:r>
        <w:rPr/>
        <w:t>照相应的折现率（根据资产负债表日与设定受益计划义务期限和币种相匹配的国债或活跃市</w:t>
      </w:r>
      <w:r>
        <w:rPr>
          <w:spacing w:val="-88"/>
        </w:rPr>
        <w:t> </w:t>
      </w:r>
      <w:r>
        <w:rPr>
          <w:spacing w:val="-88"/>
        </w:rPr>
      </w:r>
      <w:r>
        <w:rPr/>
        <w:t>场上的高质量公司债券的市场收益率确定）将设定受益计划所产生的义务予以折现，以确定</w:t>
      </w:r>
      <w:r>
        <w:rPr>
          <w:spacing w:val="-91"/>
        </w:rPr>
        <w:t> </w:t>
      </w:r>
      <w:r>
        <w:rPr>
          <w:spacing w:val="-91"/>
        </w:rPr>
      </w:r>
      <w:r>
        <w:rPr/>
        <w:t>设定受益计划义务的现值和当期服务成本。</w:t>
      </w:r>
    </w:p>
    <w:p>
      <w:pPr>
        <w:pStyle w:val="BodyText"/>
        <w:spacing w:line="312" w:lineRule="auto" w:before="89"/>
        <w:ind w:left="633" w:right="1057"/>
        <w:jc w:val="left"/>
      </w:pPr>
      <w:r>
        <w:rPr>
          <w:rFonts w:ascii="Times New Roman" w:hAnsi="Times New Roman" w:cs="Times New Roman" w:eastAsia="Times New Roman" w:hint="default"/>
        </w:rPr>
        <w:t>B.</w:t>
      </w:r>
      <w:r>
        <w:rPr/>
        <w:t>确认设定受益计划净负债或净资产 设定受益计划存在资产的，本公司将设定受益计划义务现值减去设定受益计划资产公允</w:t>
      </w:r>
    </w:p>
    <w:p>
      <w:pPr>
        <w:pStyle w:val="BodyText"/>
        <w:spacing w:line="240" w:lineRule="exact"/>
        <w:ind w:right="0"/>
        <w:jc w:val="both"/>
      </w:pPr>
      <w:r>
        <w:rPr/>
        <w:t>价值所形成的赤字或盈余确认为一项设定受益计划净负债或净资产。</w:t>
      </w:r>
    </w:p>
    <w:p>
      <w:pPr>
        <w:pStyle w:val="BodyText"/>
        <w:spacing w:line="312" w:lineRule="exact" w:before="148"/>
        <w:ind w:right="1140" w:firstLine="480"/>
        <w:jc w:val="both"/>
      </w:pPr>
      <w:r>
        <w:rPr/>
        <w:t>设定受益计划存在盈余的，本公司以设定受益计划的盈余和资产上限两项的孰低者计量 设定受益计划净资产。</w:t>
      </w:r>
    </w:p>
    <w:p>
      <w:pPr>
        <w:pStyle w:val="BodyText"/>
        <w:spacing w:line="312" w:lineRule="auto" w:before="89"/>
        <w:ind w:left="633" w:right="1057"/>
        <w:jc w:val="left"/>
      </w:pPr>
      <w:r>
        <w:rPr>
          <w:rFonts w:ascii="Times New Roman" w:hAnsi="Times New Roman" w:cs="Times New Roman" w:eastAsia="Times New Roman" w:hint="default"/>
        </w:rPr>
        <w:t>C.</w:t>
      </w:r>
      <w:r>
        <w:rPr/>
        <w:t>确定应计入资产成本或当期损益的金额 服务成本，包括当期服务成本、过去服务成本和结算利得或损失。其中，除了其他会计</w:t>
      </w:r>
    </w:p>
    <w:p>
      <w:pPr>
        <w:pStyle w:val="BodyText"/>
        <w:spacing w:line="240" w:lineRule="exact"/>
        <w:ind w:right="0"/>
        <w:jc w:val="both"/>
      </w:pPr>
      <w:r>
        <w:rPr/>
        <w:t>准则要求或允许计入资产成本的当期服务成本之外，其他服务成本均计入当期损益。</w:t>
      </w:r>
    </w:p>
    <w:p>
      <w:pPr>
        <w:pStyle w:val="BodyText"/>
        <w:spacing w:line="240" w:lineRule="auto" w:before="115"/>
        <w:ind w:right="1140" w:firstLine="480"/>
        <w:jc w:val="both"/>
      </w:pPr>
      <w:r>
        <w:rPr/>
        <w:t>设定受益计划净负债或净资产的利息净额，包括计划资产的利息收益、设定受益计划义 务的利息费用以及资产上限影响的利息，均计入当期损益。</w:t>
      </w:r>
    </w:p>
    <w:p>
      <w:pPr>
        <w:spacing w:after="0" w:line="240" w:lineRule="auto"/>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auto" w:before="26"/>
        <w:ind w:left="633" w:right="3793"/>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312" w:lineRule="exact" w:before="76"/>
        <w:ind w:right="1125" w:firstLine="480"/>
        <w:jc w:val="left"/>
      </w:pPr>
      <w:r>
        <w:rPr>
          <w:spacing w:val="-2"/>
        </w:rPr>
        <w:t>（</w:t>
      </w:r>
      <w:r>
        <w:rPr>
          <w:rFonts w:ascii="Times New Roman" w:hAnsi="Times New Roman" w:cs="Times New Roman" w:eastAsia="Times New Roman" w:hint="default"/>
          <w:spacing w:val="-2"/>
        </w:rPr>
        <w:t>a</w:t>
      </w:r>
      <w:r>
        <w:rPr>
          <w:spacing w:val="-2"/>
        </w:rPr>
        <w:t>）精算利得或损失，即由于精算假设和经验调整导致之前所计量的设定受益计划义务</w:t>
      </w:r>
      <w:r>
        <w:rPr/>
        <w:t> 现值的增加或减少；</w:t>
      </w:r>
    </w:p>
    <w:p>
      <w:pPr>
        <w:pStyle w:val="BodyText"/>
        <w:spacing w:line="240" w:lineRule="auto" w:before="89"/>
        <w:ind w:left="633" w:right="1057"/>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240" w:lineRule="auto" w:before="99"/>
        <w:ind w:left="633" w:right="1000"/>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w:t>
      </w:r>
    </w:p>
    <w:p>
      <w:pPr>
        <w:pStyle w:val="BodyText"/>
        <w:spacing w:line="294" w:lineRule="exact"/>
        <w:ind w:right="1057"/>
        <w:jc w:val="left"/>
      </w:pPr>
      <w:r>
        <w:rPr/>
        <w:t>额。</w:t>
      </w:r>
    </w:p>
    <w:p>
      <w:pPr>
        <w:pStyle w:val="BodyText"/>
        <w:spacing w:line="240" w:lineRule="auto" w:before="118"/>
        <w:ind w:left="633" w:right="1057"/>
        <w:jc w:val="left"/>
      </w:pPr>
      <w:r>
        <w:rPr>
          <w:spacing w:val="2"/>
        </w:rPr>
        <w:t>上述重新计量设定受益计划净负债或净资产所产生的变动直接计入其他综合收益</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5"/>
        </w:rPr>
        <w:t> </w:t>
      </w:r>
      <w:r>
        <w:rPr/>
        <w:t>并且</w:t>
      </w:r>
    </w:p>
    <w:p>
      <w:pPr>
        <w:pStyle w:val="BodyText"/>
        <w:spacing w:line="312" w:lineRule="exact" w:before="10"/>
        <w:ind w:right="1057"/>
        <w:jc w:val="left"/>
      </w:pPr>
      <w:r>
        <w:rPr/>
        <w:t>在后续会计期间不允许转回至损益，但本公司可以在权益范围内转移这些在其他综合收益中</w:t>
      </w:r>
      <w:r>
        <w:rPr>
          <w:spacing w:val="-91"/>
        </w:rPr>
        <w:t> </w:t>
      </w:r>
      <w:r>
        <w:rPr>
          <w:spacing w:val="-91"/>
        </w:rPr>
      </w:r>
      <w:r>
        <w:rPr/>
        <w:t>确认的金额。</w:t>
      </w:r>
    </w:p>
    <w:p>
      <w:pPr>
        <w:spacing w:line="240" w:lineRule="auto" w:before="7"/>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057" w:firstLine="480"/>
        <w:jc w:val="left"/>
      </w:pPr>
      <w:r>
        <w:rPr/>
        <w:t>本公司向职工提供辞退福利的，在下列两者孰早日确认辞退福利产生的职工薪酬负债， 并计入当期损益：</w:t>
      </w:r>
    </w:p>
    <w:p>
      <w:pPr>
        <w:pStyle w:val="BodyText"/>
        <w:spacing w:line="240" w:lineRule="auto" w:before="89"/>
        <w:ind w:left="633" w:right="1057"/>
        <w:jc w:val="left"/>
      </w:pPr>
      <w:r>
        <w:rPr/>
        <w:t>①企业不能单方面撤回因解除劳动关系计划或裁减建议所提供的辞退福利时；</w:t>
      </w:r>
    </w:p>
    <w:p>
      <w:pPr>
        <w:pStyle w:val="BodyText"/>
        <w:spacing w:line="331" w:lineRule="auto" w:before="118"/>
        <w:ind w:left="633" w:right="1057"/>
        <w:jc w:val="left"/>
      </w:pPr>
      <w:r>
        <w:rPr/>
        <w:t>②企业确认与涉及支付辞退福利的重组相关的成本或费用时。 辞退福利预期在年度报告期结束后十二个月内不能完全支付的，参照相应的折现率（根</w:t>
      </w:r>
    </w:p>
    <w:p>
      <w:pPr>
        <w:pStyle w:val="BodyText"/>
        <w:spacing w:line="220" w:lineRule="exact"/>
        <w:ind w:right="1057"/>
        <w:jc w:val="left"/>
      </w:pPr>
      <w:r>
        <w:rPr/>
        <w:t>据资产负债表日与设定受益计划义务期限和币种相匹配的国债或活跃市场上的高质量公司债</w:t>
      </w:r>
    </w:p>
    <w:p>
      <w:pPr>
        <w:pStyle w:val="BodyText"/>
        <w:spacing w:line="313" w:lineRule="exact"/>
        <w:ind w:right="1057"/>
        <w:jc w:val="left"/>
      </w:pPr>
      <w:r>
        <w:rPr/>
        <w:t>券的市场收益率确定）将辞退福利金额予以折现，以折现后的金额计量应付职工薪酬。</w:t>
      </w:r>
    </w:p>
    <w:p>
      <w:pPr>
        <w:spacing w:line="240" w:lineRule="auto" w:before="9"/>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331" w:lineRule="auto"/>
        <w:ind w:left="633" w:right="1057"/>
        <w:jc w:val="left"/>
      </w:pPr>
      <w:r>
        <w:rPr/>
        <w:t>①符合设定提存计划条件的 本公司向职工提供的其他长期职工福利，符合设定提存计划条件的，将全部应缴存金额</w:t>
      </w:r>
    </w:p>
    <w:p>
      <w:pPr>
        <w:pStyle w:val="BodyText"/>
        <w:spacing w:line="221" w:lineRule="exact"/>
        <w:ind w:right="1057"/>
        <w:jc w:val="left"/>
      </w:pPr>
      <w:r>
        <w:rPr/>
        <w:t>以折现后的金额计量应付职工薪酬。</w:t>
      </w:r>
    </w:p>
    <w:p>
      <w:pPr>
        <w:pStyle w:val="BodyText"/>
        <w:spacing w:line="331" w:lineRule="auto" w:before="118"/>
        <w:ind w:left="633" w:right="1393"/>
        <w:jc w:val="left"/>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rPr>
        <w:t>A.</w:t>
      </w:r>
      <w:r>
        <w:rPr/>
        <w:t>服务成本；</w:t>
      </w:r>
    </w:p>
    <w:p>
      <w:pPr>
        <w:pStyle w:val="BodyText"/>
        <w:spacing w:line="312" w:lineRule="auto"/>
        <w:ind w:left="633" w:right="3813"/>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w:t>
      </w:r>
    </w:p>
    <w:p>
      <w:pPr>
        <w:pStyle w:val="BodyText"/>
        <w:spacing w:line="214" w:lineRule="exact"/>
        <w:ind w:right="1057"/>
        <w:jc w:val="left"/>
      </w:pPr>
      <w:r>
        <w:rPr/>
        <w:t>为简化相关会计处理，上述项目的总净额计入当期损益或相关资产成本。</w:t>
      </w:r>
    </w:p>
    <w:p>
      <w:pPr>
        <w:spacing w:line="240" w:lineRule="auto" w:before="9"/>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312" w:lineRule="auto" w:before="0"/>
        <w:ind w:left="633" w:right="211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）预计负债的确认标准</w:t>
      </w:r>
      <w:r>
        <w:rPr>
          <w:rFonts w:ascii="宋体" w:hAnsi="宋体" w:cs="宋体" w:eastAsia="宋体" w:hint="default"/>
          <w:b/>
          <w:bCs/>
          <w:w w:val="99"/>
          <w:sz w:val="24"/>
          <w:szCs w:val="24"/>
        </w:rPr>
        <w:t> </w:t>
      </w:r>
      <w:r>
        <w:rPr>
          <w:rFonts w:ascii="宋体" w:hAnsi="宋体" w:cs="宋体" w:eastAsia="宋体" w:hint="default"/>
          <w:sz w:val="24"/>
          <w:szCs w:val="24"/>
        </w:rPr>
        <w:t>如果与或有事项相关的义务同时符合以下条件，本公司将其确认为预计负债：</w:t>
      </w:r>
    </w:p>
    <w:p>
      <w:pPr>
        <w:pStyle w:val="BodyText"/>
        <w:spacing w:line="240" w:lineRule="auto" w:before="46"/>
        <w:ind w:left="633" w:right="1057"/>
        <w:jc w:val="left"/>
      </w:pPr>
      <w:r>
        <w:rPr/>
        <w:t>①该义务是本公司承担的现时义务；</w:t>
      </w:r>
    </w:p>
    <w:p>
      <w:pPr>
        <w:pStyle w:val="BodyText"/>
        <w:spacing w:line="240" w:lineRule="auto" w:before="118"/>
        <w:ind w:left="633" w:right="1057"/>
        <w:jc w:val="left"/>
      </w:pPr>
      <w:r>
        <w:rPr/>
        <w:t>②该义务的履行很可能导致经济利益流出本公司；</w:t>
      </w:r>
    </w:p>
    <w:p>
      <w:pPr>
        <w:pStyle w:val="BodyText"/>
        <w:spacing w:line="240" w:lineRule="auto" w:before="118"/>
        <w:ind w:left="633" w:right="1057"/>
        <w:jc w:val="left"/>
      </w:pPr>
      <w:r>
        <w:rPr/>
        <w:t>③该义务的金额能够可靠地计量。</w:t>
      </w:r>
    </w:p>
    <w:p>
      <w:pPr>
        <w:pStyle w:val="BodyText"/>
        <w:spacing w:line="235" w:lineRule="auto" w:before="123"/>
        <w:ind w:right="1057" w:firstLine="48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b/>
          <w:bCs/>
          <w:w w:val="99"/>
        </w:rPr>
        <w:t> </w:t>
      </w:r>
      <w:r>
        <w:rPr/>
        <w:t>预计负债按照履行相关现时义务所需支出的最佳估计数进行初始计量，并综合考虑与或事项</w:t>
      </w:r>
      <w:r>
        <w:rPr>
          <w:spacing w:val="-86"/>
        </w:rPr>
        <w:t> </w:t>
      </w:r>
      <w:r>
        <w:rPr>
          <w:spacing w:val="-86"/>
        </w:rPr>
      </w:r>
      <w:r>
        <w:rPr/>
        <w:t>有关的风险、不确定性和货币时间价值等因素。每个资产负债表日对预计负债的账面价值进</w:t>
      </w:r>
      <w:r>
        <w:rPr>
          <w:spacing w:val="-91"/>
        </w:rPr>
        <w:t> </w:t>
      </w:r>
      <w:r>
        <w:rPr>
          <w:spacing w:val="-91"/>
        </w:rPr>
      </w:r>
      <w:r>
        <w:rPr/>
        <w:t>行复核。有确凿证据表明该账面价值不能反映当前最佳估计数的，按照当前最佳估计数对该</w:t>
      </w:r>
      <w:r>
        <w:rPr>
          <w:spacing w:val="-91"/>
        </w:rPr>
        <w:t> </w:t>
      </w:r>
      <w:r>
        <w:rPr>
          <w:spacing w:val="-91"/>
        </w:rPr>
      </w:r>
      <w:r>
        <w:rPr/>
        <w:t>账面价值进行调整。</w:t>
      </w:r>
    </w:p>
    <w:p>
      <w:pPr>
        <w:spacing w:line="240" w:lineRule="auto" w:before="10"/>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spacing w:line="312" w:lineRule="auto" w:before="0"/>
        <w:ind w:left="633" w:right="28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）股份支付的种类</w:t>
      </w:r>
      <w:r>
        <w:rPr>
          <w:rFonts w:ascii="宋体" w:hAnsi="宋体" w:cs="宋体" w:eastAsia="宋体" w:hint="default"/>
          <w:b/>
          <w:bCs/>
          <w:w w:val="99"/>
          <w:sz w:val="24"/>
          <w:szCs w:val="24"/>
        </w:rPr>
        <w:t> </w:t>
      </w:r>
      <w:r>
        <w:rPr>
          <w:rFonts w:ascii="宋体" w:hAnsi="宋体" w:cs="宋体" w:eastAsia="宋体" w:hint="default"/>
          <w:sz w:val="24"/>
          <w:szCs w:val="24"/>
        </w:rPr>
        <w:t>本公司股份支付包括以现金结算的股份支付和以权益结算的股份支付。</w:t>
      </w:r>
    </w:p>
    <w:p>
      <w:pPr>
        <w:pStyle w:val="Heading3"/>
        <w:spacing w:line="240" w:lineRule="auto" w:before="46"/>
        <w:ind w:left="635" w:right="1057"/>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pStyle w:val="BodyText"/>
        <w:spacing w:line="237" w:lineRule="auto" w:before="102"/>
        <w:ind w:right="1135" w:firstLine="480"/>
        <w:jc w:val="both"/>
      </w:pPr>
      <w:r>
        <w:rPr/>
        <w:t>①对于授予职工的股份，其公允价值按公司股份的市场价格计量，同时考虑授予股份所 依据的条款和条件（不包括市场条件之外的可行权条件）进行调整。②对于授予职工的股票</w:t>
      </w:r>
      <w:r>
        <w:rPr>
          <w:spacing w:val="-88"/>
        </w:rPr>
        <w:t> </w:t>
      </w:r>
      <w:r>
        <w:rPr>
          <w:spacing w:val="-88"/>
        </w:rPr>
      </w:r>
      <w:r>
        <w:rPr/>
        <w:t>期权，在许多情况下难以获得其市场价格。如果不存在条款和条件相似的交易期权，公司选</w:t>
      </w:r>
      <w:r>
        <w:rPr>
          <w:spacing w:val="-89"/>
        </w:rPr>
        <w:t> </w:t>
      </w:r>
      <w:r>
        <w:rPr>
          <w:spacing w:val="-89"/>
        </w:rPr>
      </w:r>
      <w:r>
        <w:rPr/>
        <w:t>择适用的期权定价模型估计所授予的期权的公允价值。</w:t>
      </w:r>
    </w:p>
    <w:p>
      <w:pPr>
        <w:spacing w:line="312" w:lineRule="auto" w:before="118"/>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）确认可行权权益工具最佳估计的依据</w:t>
      </w:r>
      <w:r>
        <w:rPr>
          <w:rFonts w:ascii="宋体" w:hAnsi="宋体" w:cs="宋体" w:eastAsia="宋体" w:hint="default"/>
          <w:b/>
          <w:bCs/>
          <w:w w:val="99"/>
          <w:sz w:val="24"/>
          <w:szCs w:val="24"/>
        </w:rPr>
        <w:t> </w:t>
      </w:r>
      <w:r>
        <w:rPr>
          <w:rFonts w:ascii="宋体" w:hAnsi="宋体" w:cs="宋体" w:eastAsia="宋体" w:hint="default"/>
          <w:sz w:val="24"/>
          <w:szCs w:val="24"/>
        </w:rPr>
        <w:t>在等待期内每个资产负债表日，公司根据最新取得的可行权职工人数变动等后续信息作</w:t>
      </w:r>
    </w:p>
    <w:p>
      <w:pPr>
        <w:pStyle w:val="BodyText"/>
        <w:spacing w:line="240" w:lineRule="exact"/>
        <w:ind w:right="1057"/>
        <w:jc w:val="left"/>
      </w:pPr>
      <w:r>
        <w:rPr/>
        <w:t>出最佳估计，修正预计可行权的权益工具数量，以作出可行权权益工具的最佳估计。</w:t>
      </w:r>
    </w:p>
    <w:p>
      <w:pPr>
        <w:spacing w:line="312" w:lineRule="auto" w:before="118"/>
        <w:ind w:left="633" w:right="653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）股份支付计划实施的会计处理</w:t>
      </w:r>
      <w:r>
        <w:rPr>
          <w:rFonts w:ascii="宋体" w:hAnsi="宋体" w:cs="宋体" w:eastAsia="宋体" w:hint="default"/>
          <w:b/>
          <w:bCs/>
          <w:w w:val="99"/>
          <w:sz w:val="24"/>
          <w:szCs w:val="24"/>
        </w:rPr>
        <w:t> </w:t>
      </w:r>
      <w:r>
        <w:rPr>
          <w:rFonts w:ascii="宋体" w:hAnsi="宋体" w:cs="宋体" w:eastAsia="宋体" w:hint="default"/>
          <w:sz w:val="24"/>
          <w:szCs w:val="24"/>
        </w:rPr>
        <w:t>以现金结算的股份支付</w:t>
      </w:r>
    </w:p>
    <w:p>
      <w:pPr>
        <w:pStyle w:val="BodyText"/>
        <w:spacing w:line="312" w:lineRule="exact" w:before="77"/>
        <w:ind w:right="1138" w:firstLine="480"/>
        <w:jc w:val="both"/>
      </w:pPr>
      <w:r>
        <w:rPr/>
        <w:t>①授予后立即可行权的以现金结算的股份支付，在授予日以本公司承担负债的公允价值 计入相关成本或费用，相应增加负债。并在结算前的每个资产负债表日和结算日对负债的公</w:t>
      </w:r>
      <w:r>
        <w:rPr>
          <w:spacing w:val="-89"/>
        </w:rPr>
        <w:t> </w:t>
      </w:r>
      <w:r>
        <w:rPr>
          <w:spacing w:val="-89"/>
        </w:rPr>
      </w:r>
      <w:r>
        <w:rPr/>
        <w:t>允价值重新计量，将其变动计入损益。</w:t>
      </w:r>
    </w:p>
    <w:p>
      <w:pPr>
        <w:pStyle w:val="BodyText"/>
        <w:spacing w:line="312" w:lineRule="exact" w:before="120"/>
        <w:ind w:right="1139" w:firstLine="480"/>
        <w:jc w:val="both"/>
      </w:pPr>
      <w:r>
        <w:rPr/>
        <w:t>②完成等待期内的服务或达到规定业绩条件以后才可行权的以现金结算的股份支付，在 等待期内的每个资产负债表日以对可行权情况的最佳估计为基础，按本公司承担负债的公允</w:t>
      </w:r>
      <w:r>
        <w:rPr>
          <w:spacing w:val="-91"/>
        </w:rPr>
        <w:t> </w:t>
      </w:r>
      <w:r>
        <w:rPr>
          <w:spacing w:val="-91"/>
        </w:rPr>
      </w:r>
      <w:r>
        <w:rPr/>
        <w:t>价值金额，将当期取得的服务计入成本或费用和相应的负债。</w:t>
      </w:r>
    </w:p>
    <w:p>
      <w:pPr>
        <w:pStyle w:val="BodyText"/>
        <w:spacing w:line="240" w:lineRule="auto" w:before="89"/>
        <w:ind w:left="633" w:right="1057"/>
        <w:jc w:val="left"/>
      </w:pPr>
      <w:r>
        <w:rPr/>
        <w:t>以权益结算的股份支付</w:t>
      </w:r>
    </w:p>
    <w:p>
      <w:pPr>
        <w:pStyle w:val="BodyText"/>
        <w:spacing w:line="312" w:lineRule="exact" w:before="148"/>
        <w:ind w:right="1136" w:firstLine="480"/>
        <w:jc w:val="both"/>
      </w:pPr>
      <w:r>
        <w:rPr/>
        <w:t>①授予后立即可行权的换取职工服务的以权益结算的股份支付，在授予日以权益工具的 公允价值计入相关成本或费用，相应增加资本公积。</w:t>
      </w:r>
    </w:p>
    <w:p>
      <w:pPr>
        <w:pStyle w:val="BodyText"/>
        <w:spacing w:line="312" w:lineRule="exact" w:before="120"/>
        <w:ind w:right="1135" w:firstLine="480"/>
        <w:jc w:val="both"/>
      </w:pPr>
      <w:r>
        <w:rPr/>
        <w:t>②完成等待期内的服务或达到规定业绩条件以后才可行权换取职工服务的以权益结算的 股份支付，在等待期内的每个资产负债表日，以对可行权权益工具数量的最佳估计为基础，</w:t>
      </w:r>
    </w:p>
    <w:p>
      <w:pPr>
        <w:spacing w:after="0" w:line="312" w:lineRule="exact"/>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按权益工具授予日的公允价值，将当期取得的服务计入成本或费用和资本公积。</w:t>
      </w:r>
    </w:p>
    <w:p>
      <w:pPr>
        <w:spacing w:line="312" w:lineRule="auto" w:before="118"/>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）股份支付计划修改的会计处理</w:t>
      </w:r>
      <w:r>
        <w:rPr>
          <w:rFonts w:ascii="宋体" w:hAnsi="宋体" w:cs="宋体" w:eastAsia="宋体" w:hint="default"/>
          <w:b/>
          <w:bCs/>
          <w:w w:val="99"/>
          <w:sz w:val="24"/>
          <w:szCs w:val="24"/>
        </w:rPr>
        <w:t> </w:t>
      </w:r>
      <w:r>
        <w:rPr>
          <w:rFonts w:ascii="宋体" w:hAnsi="宋体" w:cs="宋体" w:eastAsia="宋体" w:hint="default"/>
          <w:sz w:val="24"/>
          <w:szCs w:val="24"/>
        </w:rPr>
        <w:t>本公司对股份支付计划进行修改时，若修改增加了所授予权益工具的公允价值，按照权</w:t>
      </w:r>
    </w:p>
    <w:p>
      <w:pPr>
        <w:pStyle w:val="BodyText"/>
        <w:spacing w:line="239" w:lineRule="exact"/>
        <w:ind w:right="0"/>
        <w:jc w:val="both"/>
      </w:pPr>
      <w:r>
        <w:rPr/>
        <w:t>益工具公允价值的增加相应地确认取得服务的增加；若修改增加了所授予权益工具的数量，</w:t>
      </w:r>
    </w:p>
    <w:p>
      <w:pPr>
        <w:pStyle w:val="BodyText"/>
        <w:spacing w:line="312" w:lineRule="exact" w:before="29"/>
        <w:ind w:right="1133"/>
        <w:jc w:val="both"/>
      </w:pPr>
      <w:r>
        <w:rPr/>
        <w:t>则将增加的权益工具的公允价值相应地确认为取得服务的增加。权益工具公允价值的增加是</w:t>
      </w:r>
      <w:r>
        <w:rPr>
          <w:spacing w:val="-89"/>
        </w:rPr>
        <w:t> </w:t>
      </w:r>
      <w:r>
        <w:rPr>
          <w:spacing w:val="-89"/>
        </w:rPr>
      </w:r>
      <w:r>
        <w:rPr/>
        <w:t>指修改前后的权益工具在修改日的公允价值之间的差额。若修改减少了股份支付公允价值总</w:t>
      </w:r>
      <w:r>
        <w:rPr>
          <w:spacing w:val="-86"/>
        </w:rPr>
        <w:t> </w:t>
      </w:r>
      <w:r>
        <w:rPr>
          <w:spacing w:val="-86"/>
        </w:rPr>
      </w:r>
      <w:r>
        <w:rPr/>
        <w:t>额或采用了其他不利于职工的方式修改股份支付计划的条款和条件，则仍继续对取得的服务</w:t>
      </w:r>
      <w:r>
        <w:rPr>
          <w:spacing w:val="-86"/>
        </w:rPr>
        <w:t> </w:t>
      </w:r>
      <w:r>
        <w:rPr>
          <w:spacing w:val="-86"/>
        </w:rPr>
      </w:r>
      <w:r>
        <w:rPr/>
        <w:t>进行会计处理，视同该变更从未发生，除非本公司取消了部分或全部已授予的权益工具。</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）股份支付计划终止的会计处理</w:t>
      </w:r>
      <w:r>
        <w:rPr>
          <w:rFonts w:ascii="宋体" w:hAnsi="宋体" w:cs="宋体" w:eastAsia="宋体" w:hint="default"/>
          <w:b/>
          <w:bCs/>
          <w:w w:val="99"/>
          <w:sz w:val="24"/>
          <w:szCs w:val="24"/>
        </w:rPr>
        <w:t> </w:t>
      </w:r>
      <w:r>
        <w:rPr>
          <w:rFonts w:ascii="宋体" w:hAnsi="宋体" w:cs="宋体" w:eastAsia="宋体" w:hint="default"/>
          <w:sz w:val="24"/>
          <w:szCs w:val="24"/>
        </w:rPr>
        <w:t>如果在等待期内取消了所授予的权益工具或结算了所授予的权益工具（因未满足可行权</w:t>
      </w:r>
    </w:p>
    <w:p>
      <w:pPr>
        <w:pStyle w:val="BodyText"/>
        <w:spacing w:line="241" w:lineRule="exact"/>
        <w:ind w:right="0"/>
        <w:jc w:val="both"/>
      </w:pPr>
      <w:r>
        <w:rPr/>
        <w:t>条件而被取消的除外），本公司：</w:t>
      </w:r>
    </w:p>
    <w:p>
      <w:pPr>
        <w:pStyle w:val="BodyText"/>
        <w:spacing w:line="240" w:lineRule="auto" w:before="118"/>
        <w:ind w:left="633" w:right="1057"/>
        <w:jc w:val="left"/>
      </w:pPr>
      <w:r>
        <w:rPr/>
        <w:t>①将取消或结算作为加速可行权处理，立即确认原本应在剩余等待期内确认的金额；</w:t>
      </w:r>
    </w:p>
    <w:p>
      <w:pPr>
        <w:pStyle w:val="BodyText"/>
        <w:spacing w:line="312" w:lineRule="exact" w:before="148"/>
        <w:ind w:right="1140" w:firstLine="480"/>
        <w:jc w:val="both"/>
      </w:pPr>
      <w:r>
        <w:rPr/>
        <w:t>②在取消或结算时支付给职工的所有款项均作为权益的回购处理，回购支付的金额高于 该权益工具在回购日公允价值的部分，计入当期费用。</w:t>
      </w:r>
    </w:p>
    <w:p>
      <w:pPr>
        <w:pStyle w:val="BodyText"/>
        <w:spacing w:line="312" w:lineRule="exact" w:before="120"/>
        <w:ind w:right="1136" w:firstLine="480"/>
        <w:jc w:val="both"/>
      </w:pPr>
      <w:r>
        <w:rPr/>
        <w:t>本公司如果回购其职工已可行权的权益工具，冲减企业的所有者权益；回购支付的款项 高于该权益工具在回购日公允价值的部分，计入当期损益。</w:t>
      </w: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312" w:lineRule="auto" w:before="134"/>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）销售商品收入</w:t>
      </w:r>
      <w:r>
        <w:rPr>
          <w:rFonts w:ascii="宋体" w:hAnsi="宋体" w:cs="宋体" w:eastAsia="宋体" w:hint="default"/>
          <w:b/>
          <w:bCs/>
          <w:w w:val="99"/>
          <w:sz w:val="24"/>
          <w:szCs w:val="24"/>
        </w:rPr>
        <w:t> </w:t>
      </w:r>
      <w:r>
        <w:rPr>
          <w:rFonts w:ascii="宋体" w:hAnsi="宋体" w:cs="宋体" w:eastAsia="宋体" w:hint="default"/>
          <w:sz w:val="24"/>
          <w:szCs w:val="24"/>
        </w:rPr>
        <w:t>本公司已将商品所有权上的主要风险和报酬转移给购买方；本公司既没有保留与所有权</w:t>
      </w:r>
    </w:p>
    <w:p>
      <w:pPr>
        <w:pStyle w:val="BodyText"/>
        <w:spacing w:line="239" w:lineRule="exact"/>
        <w:ind w:right="0"/>
        <w:jc w:val="both"/>
      </w:pPr>
      <w:r>
        <w:rPr/>
        <w:t>相联系的继续管理权，也没有对已售出的商品实施有效控制；收入的金额能够可靠地计量；</w:t>
      </w:r>
    </w:p>
    <w:p>
      <w:pPr>
        <w:pStyle w:val="BodyText"/>
        <w:spacing w:line="312" w:lineRule="exact" w:before="29"/>
        <w:ind w:right="1057"/>
        <w:jc w:val="left"/>
      </w:pPr>
      <w:r>
        <w:rPr/>
        <w:t>相关的经济利益很可能流入企业；相关的已发生或将发生的成本能够可靠地计量时，确认商</w:t>
      </w:r>
      <w:r>
        <w:rPr>
          <w:spacing w:val="-88"/>
        </w:rPr>
        <w:t> </w:t>
      </w:r>
      <w:r>
        <w:rPr>
          <w:spacing w:val="-88"/>
        </w:rPr>
      </w:r>
      <w:r>
        <w:rPr/>
        <w:t>品销售收入实现。</w:t>
      </w:r>
    </w:p>
    <w:p>
      <w:pPr>
        <w:spacing w:line="312" w:lineRule="auto" w:before="90"/>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）提供劳务收入</w:t>
      </w:r>
      <w:r>
        <w:rPr>
          <w:rFonts w:ascii="宋体" w:hAnsi="宋体" w:cs="宋体" w:eastAsia="宋体" w:hint="default"/>
          <w:b/>
          <w:bCs/>
          <w:w w:val="99"/>
          <w:sz w:val="24"/>
          <w:szCs w:val="24"/>
        </w:rPr>
        <w:t> </w:t>
      </w:r>
      <w:r>
        <w:rPr>
          <w:rFonts w:ascii="宋体" w:hAnsi="宋体" w:cs="宋体" w:eastAsia="宋体" w:hint="default"/>
          <w:sz w:val="24"/>
          <w:szCs w:val="24"/>
        </w:rPr>
        <w:t>在资产负债表日提供劳务交易的结果能够可靠估计的，采用完工百分比法确认提供劳务</w:t>
      </w:r>
    </w:p>
    <w:p>
      <w:pPr>
        <w:pStyle w:val="BodyText"/>
        <w:spacing w:line="240" w:lineRule="exact"/>
        <w:ind w:right="0"/>
        <w:jc w:val="both"/>
      </w:pPr>
      <w:r>
        <w:rPr/>
        <w:t>收入。提供劳务交易的完工进度，依据已完工作的测量确定。</w:t>
      </w:r>
    </w:p>
    <w:p>
      <w:pPr>
        <w:pStyle w:val="BodyText"/>
        <w:spacing w:line="312" w:lineRule="exact" w:before="148"/>
        <w:ind w:right="1076" w:firstLine="480"/>
        <w:jc w:val="both"/>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 </w:t>
      </w:r>
      <w:r>
        <w:rPr>
          <w:spacing w:val="-2"/>
        </w:rPr>
        <w:t>相关的经济利益很可能流入企业；</w:t>
      </w:r>
      <w:r>
        <w:rPr>
          <w:rFonts w:ascii="Times New Roman" w:hAnsi="Times New Roman" w:cs="Times New Roman" w:eastAsia="Times New Roman" w:hint="default"/>
          <w:spacing w:val="-2"/>
        </w:rPr>
        <w:t>C</w:t>
      </w:r>
      <w:r>
        <w:rPr>
          <w:spacing w:val="-2"/>
        </w:rPr>
        <w:t>、交易的完工程度能够可靠地确定；</w:t>
      </w:r>
      <w:r>
        <w:rPr>
          <w:rFonts w:ascii="Times New Roman" w:hAnsi="Times New Roman" w:cs="Times New Roman" w:eastAsia="Times New Roman" w:hint="default"/>
          <w:spacing w:val="-2"/>
        </w:rPr>
        <w:t>D</w:t>
      </w:r>
      <w:r>
        <w:rPr>
          <w:spacing w:val="-2"/>
        </w:rPr>
        <w:t>、交易中已发生和</w:t>
      </w:r>
      <w:r>
        <w:rPr>
          <w:spacing w:val="-95"/>
        </w:rPr>
        <w:t> </w:t>
      </w:r>
      <w:r>
        <w:rPr>
          <w:spacing w:val="-95"/>
        </w:rPr>
      </w:r>
      <w:r>
        <w:rPr/>
        <w:t>将发生的成本能够可靠地计量。</w:t>
      </w:r>
    </w:p>
    <w:p>
      <w:pPr>
        <w:pStyle w:val="BodyText"/>
        <w:spacing w:line="237" w:lineRule="auto" w:before="92"/>
        <w:ind w:right="1135" w:firstLine="480"/>
        <w:jc w:val="both"/>
      </w:pPr>
      <w:r>
        <w:rPr/>
        <w:t>本公司按照已收或应收的合同或协议价款确定提供劳务收入总额，但已收或应收的合同 或协议价款不公允的除外。资产负债表日按照提供劳务收入总额乘以完工进度扣除以前会计</w:t>
      </w:r>
      <w:r>
        <w:rPr>
          <w:spacing w:val="-88"/>
        </w:rPr>
        <w:t> </w:t>
      </w:r>
      <w:r>
        <w:rPr>
          <w:spacing w:val="-88"/>
        </w:rPr>
      </w:r>
      <w:r>
        <w:rPr/>
        <w:t>期间累计已确认提供劳务收入后的金额，确认当期提供劳务收入；同时，按照提供劳务估计</w:t>
      </w:r>
      <w:r>
        <w:rPr>
          <w:spacing w:val="-89"/>
        </w:rPr>
        <w:t> </w:t>
      </w:r>
      <w:r>
        <w:rPr>
          <w:spacing w:val="-89"/>
        </w:rPr>
      </w:r>
      <w:r>
        <w:rPr/>
        <w:t>总成本乘以完工进度扣除以前会计期间累计已确认劳务成本后的金额，结转当期劳务成本。</w:t>
      </w:r>
    </w:p>
    <w:p>
      <w:pPr>
        <w:spacing w:after="0" w:line="237" w:lineRule="auto"/>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left="633" w:right="1057"/>
        <w:jc w:val="left"/>
      </w:pPr>
      <w:r>
        <w:rPr/>
        <w:t>在资产负债表日提供劳务交易结果不能够可靠估计的，分别下列情况处理：</w:t>
      </w:r>
    </w:p>
    <w:p>
      <w:pPr>
        <w:pStyle w:val="BodyText"/>
        <w:spacing w:line="331" w:lineRule="auto" w:before="118"/>
        <w:ind w:left="993" w:right="2234" w:hanging="841"/>
        <w:jc w:val="left"/>
      </w:pPr>
      <w:r>
        <w:rPr>
          <w:rFonts w:ascii="宋体" w:hAnsi="宋体" w:cs="宋体" w:eastAsia="宋体" w:hint="default"/>
        </w:rPr>
        <w:t>1. </w:t>
      </w:r>
      <w:r>
        <w:rPr/>
        <w:t>已经发生的劳务成本预计能够得到补偿的，按照已经发生的劳务成本金额确认 提供劳务收入，并按相同金额结转劳务成本。</w:t>
      </w:r>
    </w:p>
    <w:p>
      <w:pPr>
        <w:pStyle w:val="BodyText"/>
        <w:spacing w:line="312" w:lineRule="exact" w:before="57"/>
        <w:ind w:left="513" w:right="1119" w:hanging="361"/>
        <w:jc w:val="left"/>
      </w:pPr>
      <w:r>
        <w:rPr>
          <w:rFonts w:ascii="宋体" w:hAnsi="宋体" w:cs="宋体" w:eastAsia="宋体" w:hint="default"/>
        </w:rPr>
        <w:t>1.</w:t>
      </w:r>
      <w:r>
        <w:rPr>
          <w:rFonts w:ascii="宋体" w:hAnsi="宋体" w:cs="宋体" w:eastAsia="宋体" w:hint="default"/>
          <w:spacing w:val="32"/>
        </w:rPr>
        <w:t> </w:t>
      </w:r>
      <w:r>
        <w:rPr>
          <w:spacing w:val="-3"/>
        </w:rPr>
        <w:t>已经发生的劳务成本预计不能够得到补偿的，将已经发生的劳务成本计入当期损益，不确</w:t>
      </w:r>
      <w:r>
        <w:rPr>
          <w:spacing w:val="-118"/>
        </w:rPr>
        <w:t> </w:t>
      </w:r>
      <w:r>
        <w:rPr>
          <w:spacing w:val="-118"/>
        </w:rPr>
      </w:r>
      <w:r>
        <w:rPr/>
        <w:t>认提供劳务收入。</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）让渡资产使用权收入</w:t>
      </w:r>
      <w:r>
        <w:rPr>
          <w:rFonts w:ascii="宋体" w:hAnsi="宋体" w:cs="宋体" w:eastAsia="宋体" w:hint="default"/>
          <w:b/>
          <w:bCs/>
          <w:w w:val="99"/>
          <w:sz w:val="24"/>
          <w:szCs w:val="24"/>
        </w:rPr>
        <w:t> </w:t>
      </w:r>
      <w:r>
        <w:rPr>
          <w:rFonts w:ascii="宋体" w:hAnsi="宋体" w:cs="宋体" w:eastAsia="宋体" w:hint="default"/>
          <w:sz w:val="24"/>
          <w:szCs w:val="24"/>
        </w:rPr>
        <w:t>与交易相关的经济利益很可能流入企业，收入的金额能够可靠地计量时，分别下列情况</w:t>
      </w:r>
    </w:p>
    <w:p>
      <w:pPr>
        <w:pStyle w:val="BodyText"/>
        <w:spacing w:line="240" w:lineRule="exact"/>
        <w:ind w:right="1057"/>
        <w:jc w:val="left"/>
      </w:pPr>
      <w:r>
        <w:rPr/>
        <w:t>确定让渡资产使用权收入金额：</w:t>
      </w:r>
    </w:p>
    <w:p>
      <w:pPr>
        <w:pStyle w:val="BodyText"/>
        <w:spacing w:line="240" w:lineRule="auto" w:before="118"/>
        <w:ind w:right="1057"/>
        <w:jc w:val="left"/>
      </w:pPr>
      <w:r>
        <w:rPr>
          <w:rFonts w:ascii="宋体" w:hAnsi="宋体" w:cs="宋体" w:eastAsia="宋体" w:hint="default"/>
        </w:rPr>
        <w:t>1. </w:t>
      </w:r>
      <w:r>
        <w:rPr/>
        <w:t>利息收入金额，按照他人使用本企业货币资金的时间和实际利率计算确定。</w:t>
      </w:r>
    </w:p>
    <w:p>
      <w:pPr>
        <w:spacing w:line="331" w:lineRule="auto" w:before="118"/>
        <w:ind w:left="633" w:right="1057" w:hanging="481"/>
        <w:jc w:val="left"/>
        <w:rPr>
          <w:rFonts w:ascii="宋体" w:hAnsi="宋体" w:cs="宋体" w:eastAsia="宋体" w:hint="default"/>
          <w:sz w:val="24"/>
          <w:szCs w:val="24"/>
        </w:rPr>
      </w:pPr>
      <w:r>
        <w:rPr>
          <w:rFonts w:ascii="宋体" w:hAnsi="宋体" w:cs="宋体" w:eastAsia="宋体" w:hint="default"/>
          <w:sz w:val="24"/>
          <w:szCs w:val="24"/>
        </w:rPr>
        <w:t>2. </w:t>
      </w:r>
      <w:r>
        <w:rPr>
          <w:rFonts w:ascii="宋体" w:hAnsi="宋体" w:cs="宋体" w:eastAsia="宋体" w:hint="default"/>
          <w:sz w:val="24"/>
          <w:szCs w:val="24"/>
        </w:rPr>
        <w:t>使用费收入金额，按照有关合同或协议约定的收费时间和方法计算确定 </w:t>
      </w:r>
      <w:r>
        <w:rPr>
          <w:rFonts w:ascii="宋体" w:hAnsi="宋体" w:cs="宋体" w:eastAsia="宋体" w:hint="default"/>
          <w:b/>
          <w:bCs/>
          <w:sz w:val="24"/>
          <w:szCs w:val="24"/>
        </w:rPr>
        <w:t>本公司通信技术服务业务收入确认的具体方法如下：</w:t>
      </w:r>
      <w:r>
        <w:rPr>
          <w:rFonts w:ascii="宋体" w:hAnsi="宋体" w:cs="宋体" w:eastAsia="宋体" w:hint="default"/>
          <w:b/>
          <w:bCs/>
          <w:w w:val="99"/>
          <w:sz w:val="24"/>
          <w:szCs w:val="24"/>
        </w:rPr>
        <w:t> </w:t>
      </w:r>
      <w:r>
        <w:rPr>
          <w:rFonts w:ascii="宋体" w:hAnsi="宋体" w:cs="宋体" w:eastAsia="宋体" w:hint="default"/>
          <w:sz w:val="24"/>
          <w:szCs w:val="24"/>
        </w:rPr>
        <w:t>公司业务收入主要来源于通信网络建设服务与通信网络维护与优化服务两大方面。公司</w:t>
      </w:r>
    </w:p>
    <w:p>
      <w:pPr>
        <w:pStyle w:val="BodyText"/>
        <w:spacing w:line="220" w:lineRule="exact"/>
        <w:ind w:right="1057"/>
        <w:jc w:val="left"/>
      </w:pPr>
      <w:r>
        <w:rPr/>
        <w:t>在已根据合同约定提供了相应服务，取得明确的收款证据，相关成本能够可靠地计量时，确</w:t>
      </w:r>
    </w:p>
    <w:p>
      <w:pPr>
        <w:pStyle w:val="BodyText"/>
        <w:spacing w:line="312" w:lineRule="exact" w:before="29"/>
        <w:ind w:right="1133"/>
        <w:jc w:val="both"/>
      </w:pPr>
      <w:r>
        <w:rPr/>
        <w:t>认收入。在合同约定的服务期限内，公司依据业经客户确认的代维费用结算单金额或按合同</w:t>
      </w:r>
      <w:r>
        <w:rPr>
          <w:spacing w:val="-88"/>
        </w:rPr>
        <w:t> </w:t>
      </w:r>
      <w:r>
        <w:rPr>
          <w:spacing w:val="-88"/>
        </w:rPr>
      </w:r>
      <w:r>
        <w:rPr/>
        <w:t>约定分期确认提供通信网络维护服务收入金额；公司在通信网络建设服务与通信网络优化服</w:t>
      </w:r>
      <w:r>
        <w:rPr>
          <w:spacing w:val="-86"/>
        </w:rPr>
        <w:t> </w:t>
      </w:r>
      <w:r>
        <w:rPr>
          <w:spacing w:val="-86"/>
        </w:rPr>
      </w:r>
      <w:r>
        <w:rPr/>
        <w:t>务预计总成本可以估计的前提下，依据业经客户或第三方监理确认的工作量确认单金额按完</w:t>
      </w:r>
      <w:r>
        <w:rPr>
          <w:spacing w:val="-91"/>
        </w:rPr>
        <w:t> </w:t>
      </w:r>
      <w:r>
        <w:rPr>
          <w:spacing w:val="-91"/>
        </w:rPr>
      </w:r>
      <w:r>
        <w:rPr/>
        <w:t>工百分比进度确认通信网络建设服务与通信网络优化服务收入，公司对于不符合上述条件的</w:t>
      </w:r>
      <w:r>
        <w:rPr>
          <w:spacing w:val="-91"/>
        </w:rPr>
        <w:t> </w:t>
      </w:r>
      <w:r>
        <w:rPr>
          <w:spacing w:val="-91"/>
        </w:rPr>
      </w:r>
      <w:r>
        <w:rPr/>
        <w:t>服务收入，按客户最终确认或验收后确认收入。</w:t>
      </w:r>
    </w:p>
    <w:p>
      <w:pPr>
        <w:pStyle w:val="BodyText"/>
        <w:spacing w:line="240" w:lineRule="auto" w:before="89"/>
        <w:ind w:left="633" w:right="1057"/>
        <w:jc w:val="left"/>
      </w:pPr>
      <w:r>
        <w:rPr/>
        <w:t>在资产负债表日提供劳务交易结果不能够可靠估计的，分别下列情况处理：</w:t>
      </w:r>
    </w:p>
    <w:p>
      <w:pPr>
        <w:pStyle w:val="BodyText"/>
        <w:spacing w:line="312" w:lineRule="exact" w:before="148"/>
        <w:ind w:right="1057" w:firstLine="480"/>
        <w:jc w:val="left"/>
      </w:pPr>
      <w:r>
        <w:rPr>
          <w:rFonts w:ascii="Times New Roman" w:hAnsi="Times New Roman" w:cs="Times New Roman" w:eastAsia="Times New Roman" w:hint="default"/>
          <w:spacing w:val="2"/>
        </w:rPr>
        <w:t>A</w:t>
      </w:r>
      <w:r>
        <w:rPr>
          <w:spacing w:val="2"/>
        </w:rPr>
        <w:t>、已经发生的劳务成本预计能够得到补偿的，按照已经发生的劳务成本金额确认提供</w:t>
      </w:r>
      <w:r>
        <w:rPr/>
        <w:t> 劳务收入，并按相同金额结转劳务成本。</w:t>
      </w:r>
    </w:p>
    <w:p>
      <w:pPr>
        <w:pStyle w:val="BodyText"/>
        <w:spacing w:line="312" w:lineRule="exact" w:before="120"/>
        <w:ind w:right="994" w:firstLine="480"/>
        <w:jc w:val="left"/>
      </w:pPr>
      <w:r>
        <w:rPr>
          <w:rFonts w:ascii="Times New Roman" w:hAnsi="Times New Roman" w:cs="Times New Roman" w:eastAsia="Times New Roman" w:hint="default"/>
        </w:rPr>
        <w:t>B</w:t>
      </w:r>
      <w:r>
        <w:rPr/>
        <w:t>、已经发生的劳务成本预计不能够得到补偿的，将已经发生的劳务成本计入当期损益， 不确认提供劳务收入。</w:t>
      </w:r>
    </w:p>
    <w:p>
      <w:pPr>
        <w:pStyle w:val="BodyText"/>
        <w:spacing w:line="312" w:lineRule="exact" w:before="120"/>
        <w:ind w:right="1139" w:firstLine="480"/>
        <w:jc w:val="both"/>
      </w:pPr>
      <w:r>
        <w:rPr/>
        <w:t>本公司与其他企业签订的合同或协议包括销售商品和提供劳务时，销售商品部分和提供 劳务部分能够区分且能够单独计量的，将销售商品的部分作为销售商品处理，将提供劳务的</w:t>
      </w:r>
      <w:r>
        <w:rPr>
          <w:spacing w:val="-91"/>
        </w:rPr>
        <w:t> </w:t>
      </w:r>
      <w:r>
        <w:rPr>
          <w:spacing w:val="-91"/>
        </w:rPr>
      </w:r>
      <w:r>
        <w:rPr/>
        <w:t>部分作为提供劳务处理。销售商品部分和提供劳务部分不能够区分，或虽能区分但不能够单</w:t>
      </w:r>
      <w:r>
        <w:rPr>
          <w:spacing w:val="-91"/>
        </w:rPr>
        <w:t> </w:t>
      </w:r>
      <w:r>
        <w:rPr>
          <w:spacing w:val="-91"/>
        </w:rPr>
      </w:r>
      <w:r>
        <w:rPr/>
        <w:t>独计量的，将销售商品部分和提供劳务部分全部作为销售商品处理。</w:t>
      </w:r>
    </w:p>
    <w:p>
      <w:pPr>
        <w:spacing w:line="321" w:lineRule="auto" w:before="90"/>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按完工百分比法确认提供劳务收入时，确定合同完工进度的依据和方法如下：</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通信网络建设服务</w:t>
      </w:r>
      <w:r>
        <w:rPr>
          <w:rFonts w:ascii="宋体" w:hAnsi="宋体" w:cs="宋体" w:eastAsia="宋体" w:hint="default"/>
          <w:b/>
          <w:bCs/>
          <w:w w:val="99"/>
          <w:sz w:val="24"/>
          <w:szCs w:val="24"/>
        </w:rPr>
        <w:t> </w:t>
      </w:r>
      <w:r>
        <w:rPr>
          <w:rFonts w:ascii="宋体" w:hAnsi="宋体" w:cs="宋体" w:eastAsia="宋体" w:hint="default"/>
          <w:sz w:val="24"/>
          <w:szCs w:val="24"/>
        </w:rPr>
        <w:t>公司依据业经客户或第三方监理确认的工作量确认单金额占销售合同金额比例，确定通</w:t>
      </w:r>
    </w:p>
    <w:p>
      <w:pPr>
        <w:pStyle w:val="BodyText"/>
        <w:spacing w:line="229" w:lineRule="exact"/>
        <w:ind w:right="1057"/>
        <w:jc w:val="left"/>
      </w:pPr>
      <w:r>
        <w:rPr/>
        <w:t>信网络建设服务完工百分比。在资产负债表日提供劳务交易的结果能够可靠估计的，采用完</w:t>
      </w:r>
    </w:p>
    <w:p>
      <w:pPr>
        <w:pStyle w:val="BodyText"/>
        <w:spacing w:line="331" w:lineRule="auto"/>
        <w:ind w:left="633" w:right="1057" w:hanging="481"/>
        <w:jc w:val="left"/>
      </w:pPr>
      <w:r>
        <w:rPr/>
        <w:t>工百分比法确认提供劳务收入。 通信网络建设的结果不能可靠估计的，劳务成本能够收回的，提供劳务收入根据能够收</w:t>
      </w:r>
    </w:p>
    <w:p>
      <w:pPr>
        <w:pStyle w:val="BodyText"/>
        <w:spacing w:line="220" w:lineRule="exact"/>
        <w:ind w:right="1057"/>
        <w:jc w:val="left"/>
      </w:pPr>
      <w:r>
        <w:rPr/>
        <w:t>回的实际劳务成本予以确认，劳务成本在其发生的当期结转成本；劳务成本不可能收回的，</w:t>
      </w:r>
    </w:p>
    <w:p>
      <w:pPr>
        <w:pStyle w:val="BodyText"/>
        <w:spacing w:line="312" w:lineRule="exact" w:before="29"/>
        <w:ind w:right="1139"/>
        <w:jc w:val="both"/>
      </w:pPr>
      <w:r>
        <w:rPr/>
        <w:t>在发生时立即确认为损失，不确认合同收入；合同预计总成本超过合同总收入的，公司将预</w:t>
      </w:r>
      <w:r>
        <w:rPr>
          <w:spacing w:val="-91"/>
        </w:rPr>
        <w:t> </w:t>
      </w:r>
      <w:r>
        <w:rPr>
          <w:spacing w:val="-91"/>
        </w:rPr>
      </w:r>
      <w:r>
        <w:rPr/>
        <w:t>计损失确认为当期费用。</w:t>
      </w:r>
    </w:p>
    <w:p>
      <w:pPr>
        <w:pStyle w:val="BodyText"/>
        <w:spacing w:line="240" w:lineRule="auto" w:before="89"/>
        <w:ind w:left="633" w:right="1057"/>
        <w:jc w:val="left"/>
      </w:pPr>
      <w:r>
        <w:rPr/>
        <w:t>在资产负债表日，应当按照合同总收入乘以完工进度扣除以前会计期间累计已确认收入</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6"/>
        <w:jc w:val="both"/>
      </w:pPr>
      <w:r>
        <w:rPr/>
        <w:t>后的金额，确认为当期提供劳务收入；同时，按照合同预计总成本乘以完工进度扣除以前会</w:t>
      </w:r>
      <w:r>
        <w:rPr>
          <w:spacing w:val="-89"/>
        </w:rPr>
        <w:t> </w:t>
      </w:r>
      <w:r>
        <w:rPr>
          <w:spacing w:val="-89"/>
        </w:rPr>
      </w:r>
      <w:r>
        <w:rPr/>
        <w:t>计期间累计已确认成本后的金额，确认为当期劳务成本。</w:t>
      </w:r>
    </w:p>
    <w:p>
      <w:pPr>
        <w:spacing w:line="312" w:lineRule="auto" w:before="89"/>
        <w:ind w:left="633" w:right="105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通信网络优化服务</w:t>
      </w:r>
      <w:r>
        <w:rPr>
          <w:rFonts w:ascii="宋体" w:hAnsi="宋体" w:cs="宋体" w:eastAsia="宋体" w:hint="default"/>
          <w:b/>
          <w:bCs/>
          <w:w w:val="99"/>
          <w:sz w:val="24"/>
          <w:szCs w:val="24"/>
        </w:rPr>
        <w:t> </w:t>
      </w:r>
      <w:r>
        <w:rPr>
          <w:rFonts w:ascii="宋体" w:hAnsi="宋体" w:cs="宋体" w:eastAsia="宋体" w:hint="default"/>
          <w:sz w:val="24"/>
          <w:szCs w:val="24"/>
        </w:rPr>
        <w:t>公司依据业经客户或第三方监理确认的工作量确认单金额占销售合同金额比例，确定通</w:t>
      </w:r>
    </w:p>
    <w:p>
      <w:pPr>
        <w:pStyle w:val="BodyText"/>
        <w:spacing w:line="239" w:lineRule="exact"/>
        <w:ind w:right="0"/>
        <w:jc w:val="both"/>
      </w:pPr>
      <w:r>
        <w:rPr/>
        <w:t>信网络维护与优化服务完工百分比。在资产负债表日提供劳务交易的结果能够可靠估计的，</w:t>
      </w:r>
    </w:p>
    <w:p>
      <w:pPr>
        <w:pStyle w:val="BodyText"/>
        <w:spacing w:line="331" w:lineRule="auto"/>
        <w:ind w:left="633" w:right="1057" w:hanging="481"/>
        <w:jc w:val="left"/>
      </w:pPr>
      <w:r>
        <w:rPr/>
        <w:t>采用完工百分比法确认提供劳务收入。 按照已收或应收的合同或协议价款确定提供劳务收入总额，但已收或应收的合同或协议</w:t>
      </w:r>
    </w:p>
    <w:p>
      <w:pPr>
        <w:pStyle w:val="BodyText"/>
        <w:spacing w:line="220" w:lineRule="exact"/>
        <w:ind w:right="0"/>
        <w:jc w:val="both"/>
      </w:pPr>
      <w:r>
        <w:rPr/>
        <w:t>价款不公允的除外。资产负债表日按照提供劳务收入总额乘以完工进度扣除以前会计期间累</w:t>
      </w:r>
    </w:p>
    <w:p>
      <w:pPr>
        <w:pStyle w:val="BodyText"/>
        <w:spacing w:line="312" w:lineRule="exact" w:before="29"/>
        <w:ind w:right="1136"/>
        <w:jc w:val="both"/>
      </w:pPr>
      <w:r>
        <w:rPr/>
        <w:t>计已确认提供劳务收入后的金额，确认当期提供劳务收入；同时，按照提供劳务估计总成本</w:t>
      </w:r>
      <w:r>
        <w:rPr>
          <w:spacing w:val="-88"/>
        </w:rPr>
        <w:t> </w:t>
      </w:r>
      <w:r>
        <w:rPr>
          <w:spacing w:val="-88"/>
        </w:rPr>
      </w:r>
      <w:r>
        <w:rPr/>
        <w:t>乘以完工进度扣除以前会计期间累计已确认劳务成本后的金额，结转当期劳务成本。</w:t>
      </w: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312" w:lineRule="auto" w:before="0"/>
        <w:ind w:left="633" w:right="5233"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）政府补助的确认</w:t>
      </w:r>
      <w:r>
        <w:rPr>
          <w:rFonts w:ascii="宋体" w:hAnsi="宋体" w:cs="宋体" w:eastAsia="宋体" w:hint="default"/>
          <w:b/>
          <w:bCs/>
          <w:w w:val="99"/>
          <w:sz w:val="24"/>
          <w:szCs w:val="24"/>
        </w:rPr>
        <w:t> </w:t>
      </w:r>
      <w:r>
        <w:rPr>
          <w:rFonts w:ascii="宋体" w:hAnsi="宋体" w:cs="宋体" w:eastAsia="宋体" w:hint="default"/>
          <w:sz w:val="24"/>
          <w:szCs w:val="24"/>
        </w:rPr>
        <w:t>政府补助同时满足下列条件的，才能予以确认：</w:t>
      </w:r>
    </w:p>
    <w:p>
      <w:pPr>
        <w:pStyle w:val="BodyText"/>
        <w:spacing w:line="240" w:lineRule="auto" w:before="46"/>
        <w:ind w:left="633" w:right="1057"/>
        <w:jc w:val="left"/>
      </w:pPr>
      <w:r>
        <w:rPr/>
        <w:t>①本公司能够满足政府补助所附条件；</w:t>
      </w:r>
    </w:p>
    <w:p>
      <w:pPr>
        <w:pStyle w:val="BodyText"/>
        <w:spacing w:line="240" w:lineRule="auto" w:before="118"/>
        <w:ind w:left="633" w:right="1057"/>
        <w:jc w:val="left"/>
      </w:pPr>
      <w:r>
        <w:rPr/>
        <w:t>②本公司能够收到政府补助。</w:t>
      </w:r>
    </w:p>
    <w:p>
      <w:pPr>
        <w:spacing w:line="312" w:lineRule="auto" w:before="118"/>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）政府补助的计量</w:t>
      </w:r>
      <w:r>
        <w:rPr>
          <w:rFonts w:ascii="宋体" w:hAnsi="宋体" w:cs="宋体" w:eastAsia="宋体" w:hint="default"/>
          <w:b/>
          <w:bCs/>
          <w:w w:val="99"/>
          <w:sz w:val="24"/>
          <w:szCs w:val="24"/>
        </w:rPr>
        <w:t> </w:t>
      </w:r>
      <w:r>
        <w:rPr>
          <w:rFonts w:ascii="宋体" w:hAnsi="宋体" w:cs="宋体" w:eastAsia="宋体" w:hint="default"/>
          <w:sz w:val="24"/>
          <w:szCs w:val="24"/>
        </w:rPr>
        <w:t>政府补助为货币性资产的，按照收到或应收的金额计量。政府补助为非货币性资产的，</w:t>
      </w:r>
    </w:p>
    <w:p>
      <w:pPr>
        <w:pStyle w:val="BodyText"/>
        <w:spacing w:line="259" w:lineRule="exact"/>
        <w:ind w:right="0"/>
        <w:jc w:val="both"/>
      </w:pPr>
      <w:r>
        <w:rPr/>
        <w:t>按照公允价值计量；公允价值不能可靠取得的，按照名义金额</w:t>
      </w:r>
      <w:r>
        <w:rPr>
          <w:rFonts w:ascii="Times New Roman" w:hAnsi="Times New Roman" w:cs="Times New Roman" w:eastAsia="Times New Roman" w:hint="default"/>
        </w:rPr>
        <w:t>1</w:t>
      </w:r>
      <w:r>
        <w:rPr/>
        <w:t>元计量。</w:t>
      </w:r>
    </w:p>
    <w:p>
      <w:pPr>
        <w:pStyle w:val="Heading3"/>
        <w:spacing w:line="240" w:lineRule="auto" w:before="99"/>
        <w:ind w:left="635" w:right="1057"/>
        <w:jc w:val="left"/>
        <w:rPr>
          <w:b w:val="0"/>
          <w:bCs w:val="0"/>
        </w:rPr>
      </w:pPr>
      <w:r>
        <w:rPr/>
        <w:t>（</w:t>
      </w:r>
      <w:r>
        <w:rPr>
          <w:rFonts w:ascii="Times New Roman" w:hAnsi="Times New Roman" w:cs="Times New Roman" w:eastAsia="Times New Roman" w:hint="default"/>
        </w:rPr>
        <w:t>3</w:t>
      </w:r>
      <w:r>
        <w:rPr/>
        <w:t>）政府补助的会计处理</w:t>
      </w:r>
      <w:r>
        <w:rPr>
          <w:b w:val="0"/>
          <w:bCs w:val="0"/>
        </w:rPr>
      </w:r>
    </w:p>
    <w:p>
      <w:pPr>
        <w:pStyle w:val="BodyText"/>
        <w:spacing w:line="331" w:lineRule="auto" w:before="99"/>
        <w:ind w:left="633" w:right="1057"/>
        <w:jc w:val="left"/>
      </w:pPr>
      <w:r>
        <w:rPr/>
        <w:t>①与资产相关的政府补助 公司取得的、用于购建或以其他方式形成长期资产的政府补助划分为与资产相关的政府</w:t>
      </w:r>
    </w:p>
    <w:p>
      <w:pPr>
        <w:pStyle w:val="BodyText"/>
        <w:spacing w:line="220" w:lineRule="exact"/>
        <w:ind w:right="0"/>
        <w:jc w:val="both"/>
      </w:pPr>
      <w:r>
        <w:rPr/>
        <w:t>补助。与资产相关的政府补助确认为递延收益，在相关资产使用期限内按照合理、系统的方</w:t>
      </w:r>
    </w:p>
    <w:p>
      <w:pPr>
        <w:pStyle w:val="BodyText"/>
        <w:spacing w:line="312" w:lineRule="exact" w:before="29"/>
        <w:ind w:right="1139"/>
        <w:jc w:val="both"/>
      </w:pPr>
      <w:r>
        <w:rPr/>
        <w:t>法分期计入损益。按照名义金额计量的政府补助，直接计入当期损益。相关资产在使用寿命</w:t>
      </w:r>
      <w:r>
        <w:rPr>
          <w:spacing w:val="-91"/>
        </w:rPr>
        <w:t> </w:t>
      </w:r>
      <w:r>
        <w:rPr>
          <w:spacing w:val="-91"/>
        </w:rPr>
      </w:r>
      <w:r>
        <w:rPr/>
        <w:t>结束前被出售、转让、报废或发生毁损的，将尚未分配的相关递延收益余额转入资产处置当</w:t>
      </w:r>
      <w:r>
        <w:rPr>
          <w:spacing w:val="-91"/>
        </w:rPr>
        <w:t> </w:t>
      </w:r>
      <w:r>
        <w:rPr>
          <w:spacing w:val="-91"/>
        </w:rPr>
      </w:r>
      <w:r>
        <w:rPr/>
        <w:t>期的损益。</w:t>
      </w:r>
    </w:p>
    <w:p>
      <w:pPr>
        <w:pStyle w:val="BodyText"/>
        <w:spacing w:line="331" w:lineRule="auto" w:before="89"/>
        <w:ind w:left="633" w:right="1057"/>
        <w:jc w:val="left"/>
      </w:pPr>
      <w:r>
        <w:rPr/>
        <w:t>②与收益相关的政府补助 除与资产相关的政府补助之外的政府补助划分为与收益相关的政府补助。与收益相关的</w:t>
      </w:r>
    </w:p>
    <w:p>
      <w:pPr>
        <w:pStyle w:val="BodyText"/>
        <w:spacing w:line="221" w:lineRule="exact"/>
        <w:ind w:right="0"/>
        <w:jc w:val="both"/>
      </w:pPr>
      <w:r>
        <w:rPr/>
        <w:t>政府补助，分情况按照以下规定进行会计处理：</w:t>
      </w:r>
    </w:p>
    <w:p>
      <w:pPr>
        <w:pStyle w:val="BodyText"/>
        <w:spacing w:line="312" w:lineRule="exact" w:before="148"/>
        <w:ind w:right="1057" w:firstLine="480"/>
        <w:jc w:val="left"/>
      </w:pPr>
      <w:r>
        <w:rPr/>
        <w:t>用于补偿本公司以后期间的相关成本费用或损失的，确认为递延收益，并在确认相关成 本费用或损失的期间，计入当期损益；</w:t>
      </w:r>
    </w:p>
    <w:p>
      <w:pPr>
        <w:pStyle w:val="BodyText"/>
        <w:spacing w:line="331" w:lineRule="auto" w:before="89"/>
        <w:ind w:left="633" w:right="1057"/>
        <w:jc w:val="left"/>
      </w:pPr>
      <w:r>
        <w:rPr/>
        <w:t>用于补偿本公司已发生的相关成本费用或损失的，直接计入当期损益。 对于同时包含与资产相关部分和与收益相关部分的政府补助，区分不同部分分别进行会</w:t>
      </w:r>
    </w:p>
    <w:p>
      <w:pPr>
        <w:pStyle w:val="BodyText"/>
        <w:spacing w:line="221" w:lineRule="exact"/>
        <w:ind w:right="0"/>
        <w:jc w:val="both"/>
      </w:pPr>
      <w:r>
        <w:rPr/>
        <w:t>计处理；难以区分的，整体归类为与收益相关的政府补助。</w:t>
      </w:r>
    </w:p>
    <w:p>
      <w:pPr>
        <w:pStyle w:val="BodyText"/>
        <w:spacing w:line="240" w:lineRule="auto" w:before="115"/>
        <w:ind w:right="1057" w:firstLine="480"/>
        <w:jc w:val="left"/>
      </w:pPr>
      <w:r>
        <w:rPr/>
        <w:t>与本公司日常活动相关的政府补助，按照经济业务实质，计入其他收益。与本公司日常 活动无关的政府补助，计入营业外收支。</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31" w:lineRule="auto" w:before="26"/>
        <w:ind w:left="633" w:right="1057"/>
        <w:jc w:val="left"/>
      </w:pPr>
      <w:r>
        <w:rPr/>
        <w:t>③政策性优惠贷款贴息 财政将贴息资金拨付给贷款银行，由贷款银行以政策性优惠利率向本公司提供贷款的，</w:t>
      </w:r>
    </w:p>
    <w:p>
      <w:pPr>
        <w:pStyle w:val="BodyText"/>
        <w:spacing w:line="220" w:lineRule="exact"/>
        <w:ind w:right="1057"/>
        <w:jc w:val="left"/>
      </w:pPr>
      <w:r>
        <w:rPr/>
        <w:t>以实际收到的借款金额作为借款的入账价值，按照借款本金和该政策性优惠利率计算相关借</w:t>
      </w:r>
    </w:p>
    <w:p>
      <w:pPr>
        <w:pStyle w:val="BodyText"/>
        <w:spacing w:line="313" w:lineRule="exact"/>
        <w:ind w:right="1057"/>
        <w:jc w:val="left"/>
      </w:pPr>
      <w:r>
        <w:rPr/>
        <w:t>款费用。</w:t>
      </w:r>
    </w:p>
    <w:p>
      <w:pPr>
        <w:pStyle w:val="BodyText"/>
        <w:spacing w:line="240" w:lineRule="auto" w:before="118"/>
        <w:ind w:left="633" w:right="1057"/>
        <w:jc w:val="left"/>
      </w:pPr>
      <w:r>
        <w:rPr/>
        <w:t>财政将贴息资金直接拨付给本公司，本公司将对应的贴息冲减相关借款费用。</w:t>
      </w:r>
    </w:p>
    <w:p>
      <w:pPr>
        <w:pStyle w:val="BodyText"/>
        <w:spacing w:line="312" w:lineRule="exact" w:before="148"/>
        <w:ind w:right="1057" w:firstLine="480"/>
        <w:jc w:val="left"/>
      </w:pPr>
      <w:r>
        <w:rPr/>
        <w:t>④政府补助退回 已确认的政府补助需要返还时，初始确认时冲减相关资产账面价值的，调整资产账面价值；</w:t>
      </w:r>
      <w:r>
        <w:rPr>
          <w:spacing w:val="-91"/>
        </w:rPr>
        <w:t> </w:t>
      </w:r>
      <w:r>
        <w:rPr>
          <w:spacing w:val="-91"/>
        </w:rPr>
      </w:r>
      <w:r>
        <w:rPr/>
        <w:t>存在相关递延收益余额的，冲减相关递延收益账面余额，超出部分计入当期损益；属于其他</w:t>
      </w:r>
      <w:r>
        <w:rPr>
          <w:spacing w:val="-91"/>
        </w:rPr>
        <w:t> </w:t>
      </w:r>
      <w:r>
        <w:rPr>
          <w:spacing w:val="-91"/>
        </w:rPr>
      </w:r>
      <w:r>
        <w:rPr/>
        <w:t>情况的，直接计入当期损益。</w:t>
      </w:r>
    </w:p>
    <w:p>
      <w:pPr>
        <w:spacing w:line="240" w:lineRule="auto" w:before="7"/>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7" w:firstLine="480"/>
        <w:jc w:val="both"/>
      </w:pPr>
      <w:r>
        <w:rPr/>
        <w:t>本公司通常根据资产与负债在资产负债表日的账面价值与计税基础之间的暂时性差异， 采用资产负债表债务法将应纳税暂时性差异或可抵扣暂时性差异对所得税的影响额确认和计</w:t>
      </w:r>
      <w:r>
        <w:rPr>
          <w:spacing w:val="-90"/>
        </w:rPr>
        <w:t> </w:t>
      </w:r>
      <w:r>
        <w:rPr>
          <w:spacing w:val="-90"/>
        </w:rPr>
      </w:r>
      <w:r>
        <w:rPr/>
        <w:t>量为递延所得税负债或递延所得税资产。本公司不对递延所得税资产和递延所得税负债进行</w:t>
      </w:r>
      <w:r>
        <w:rPr>
          <w:spacing w:val="-90"/>
        </w:rPr>
        <w:t> </w:t>
      </w:r>
      <w:r>
        <w:rPr>
          <w:spacing w:val="-90"/>
        </w:rPr>
      </w:r>
      <w:r>
        <w:rPr/>
        <w:t>折现。</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）递延所得税资产的确认</w:t>
      </w:r>
      <w:r>
        <w:rPr>
          <w:rFonts w:ascii="宋体" w:hAnsi="宋体" w:cs="宋体" w:eastAsia="宋体" w:hint="default"/>
          <w:b/>
          <w:bCs/>
          <w:w w:val="99"/>
          <w:sz w:val="24"/>
          <w:szCs w:val="24"/>
        </w:rPr>
        <w:t> </w:t>
      </w:r>
      <w:r>
        <w:rPr>
          <w:rFonts w:ascii="宋体" w:hAnsi="宋体" w:cs="宋体" w:eastAsia="宋体" w:hint="default"/>
          <w:sz w:val="24"/>
          <w:szCs w:val="24"/>
        </w:rPr>
        <w:t>对于可抵扣暂时性差异、能够结转以后年度的可抵扣亏损和税款抵减，其对所得税的影</w:t>
      </w:r>
    </w:p>
    <w:p>
      <w:pPr>
        <w:pStyle w:val="BodyText"/>
        <w:spacing w:line="239" w:lineRule="exact"/>
        <w:ind w:right="1057"/>
        <w:jc w:val="left"/>
      </w:pPr>
      <w:r>
        <w:rPr/>
        <w:t>响额按预计转回期间的所得税税率计算，并将该影响额确认为递延所得税资产，但是以本公</w:t>
      </w:r>
    </w:p>
    <w:p>
      <w:pPr>
        <w:pStyle w:val="BodyText"/>
        <w:spacing w:line="331" w:lineRule="auto"/>
        <w:ind w:left="633" w:right="996" w:hanging="481"/>
        <w:jc w:val="left"/>
      </w:pPr>
      <w:r>
        <w:rPr>
          <w:spacing w:val="-2"/>
        </w:rPr>
        <w:t>司很可能取得用来抵扣可抵扣暂时性差异、可抵扣亏损和税款抵减的未来应纳税所得额为限。</w:t>
      </w:r>
      <w:r>
        <w:rPr/>
        <w:t> 同时具有下列特征的交易或事项中因资产或负债的初始确认所产生的可抵扣暂时性差异</w:t>
      </w:r>
    </w:p>
    <w:p>
      <w:pPr>
        <w:pStyle w:val="BodyText"/>
        <w:spacing w:line="221" w:lineRule="exact"/>
        <w:ind w:right="1057"/>
        <w:jc w:val="left"/>
      </w:pPr>
      <w:r>
        <w:rPr/>
        <w:t>对所得税的影响额不确认为递延所得税资产：</w:t>
      </w:r>
    </w:p>
    <w:p>
      <w:pPr>
        <w:pStyle w:val="BodyText"/>
        <w:spacing w:line="240" w:lineRule="auto" w:before="118"/>
        <w:ind w:left="633" w:right="105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4"/>
        </w:rPr>
        <w:t> </w:t>
      </w:r>
      <w:r>
        <w:rPr/>
        <w:t>该项交易不是企业合并；</w:t>
      </w:r>
    </w:p>
    <w:p>
      <w:pPr>
        <w:pStyle w:val="BodyText"/>
        <w:spacing w:line="312" w:lineRule="auto" w:before="99"/>
        <w:ind w:left="633" w:right="1057"/>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6"/>
        </w:rPr>
        <w:t> </w:t>
      </w:r>
      <w:r>
        <w:rPr/>
        <w:t>交易发生时既不影响会计利润也不影响应纳税所得额（或可抵扣亏损）。 本公司对与子公司、联营公司及合营企业投资相关的可抵扣暂时性差异，同时满足下列</w:t>
      </w:r>
    </w:p>
    <w:p>
      <w:pPr>
        <w:pStyle w:val="BodyText"/>
        <w:spacing w:line="240" w:lineRule="exact"/>
        <w:ind w:right="1057"/>
        <w:jc w:val="left"/>
      </w:pPr>
      <w:r>
        <w:rPr/>
        <w:t>两项条件的，其对所得税的影响额（才能）确认为递延所得税资产：</w:t>
      </w:r>
    </w:p>
    <w:p>
      <w:pPr>
        <w:pStyle w:val="BodyText"/>
        <w:spacing w:line="240" w:lineRule="auto" w:before="118"/>
        <w:ind w:left="633" w:right="105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4"/>
        </w:rPr>
        <w:t> </w:t>
      </w:r>
      <w:r>
        <w:rPr/>
        <w:t>暂时性差异在可预见的未来很可能转回；</w:t>
      </w:r>
    </w:p>
    <w:p>
      <w:pPr>
        <w:pStyle w:val="BodyText"/>
        <w:spacing w:line="312" w:lineRule="auto" w:before="99"/>
        <w:ind w:left="633" w:right="1057"/>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6"/>
        </w:rPr>
        <w:t> </w:t>
      </w:r>
      <w:r>
        <w:rPr/>
        <w:t>未来很可能获得用来抵扣可抵扣暂时性差异的应纳税所得额； 资产负债表日，有确凿证据表明未来期间很可能获得足够的应纳税所得额用来抵扣可抵</w:t>
      </w:r>
    </w:p>
    <w:p>
      <w:pPr>
        <w:pStyle w:val="BodyText"/>
        <w:spacing w:line="240" w:lineRule="exact"/>
        <w:ind w:right="1057"/>
        <w:jc w:val="left"/>
      </w:pPr>
      <w:r>
        <w:rPr/>
        <w:t>扣暂时性差异的，确认以前期间未确认的递延所得税资产。</w:t>
      </w:r>
    </w:p>
    <w:p>
      <w:pPr>
        <w:pStyle w:val="BodyText"/>
        <w:spacing w:line="312" w:lineRule="exact" w:before="148"/>
        <w:ind w:right="1137" w:firstLine="480"/>
        <w:jc w:val="both"/>
      </w:pPr>
      <w:r>
        <w:rPr/>
        <w:t>在资产负债表日，本公司对递延所得税资产的账面价值进行复核。如果未来期间很可能 无法获得足够的应纳税所得额用以抵扣递延所得税资产的利益，减记递延所得税资产的账面</w:t>
      </w:r>
      <w:r>
        <w:rPr>
          <w:spacing w:val="-90"/>
        </w:rPr>
        <w:t> </w:t>
      </w:r>
      <w:r>
        <w:rPr>
          <w:spacing w:val="-90"/>
        </w:rPr>
      </w:r>
      <w:r>
        <w:rPr/>
        <w:t>价值。在很可能获得足够的应纳税所得额时，减记的金额予以转回。</w:t>
      </w:r>
    </w:p>
    <w:p>
      <w:pPr>
        <w:spacing w:line="312" w:lineRule="auto" w:before="89"/>
        <w:ind w:left="633" w:right="1057"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）递延所得税负债的确认</w:t>
      </w:r>
      <w:r>
        <w:rPr>
          <w:rFonts w:ascii="宋体" w:hAnsi="宋体" w:cs="宋体" w:eastAsia="宋体" w:hint="default"/>
          <w:b/>
          <w:bCs/>
          <w:w w:val="99"/>
          <w:sz w:val="24"/>
          <w:szCs w:val="24"/>
        </w:rPr>
        <w:t> </w:t>
      </w:r>
      <w:r>
        <w:rPr>
          <w:rFonts w:ascii="宋体" w:hAnsi="宋体" w:cs="宋体" w:eastAsia="宋体" w:hint="default"/>
          <w:sz w:val="24"/>
          <w:szCs w:val="24"/>
        </w:rPr>
        <w:t>本公司所有应纳税暂时性差异均按预计转回期间的所得税税率计量对所得税的影响，并</w:t>
      </w:r>
    </w:p>
    <w:p>
      <w:pPr>
        <w:pStyle w:val="BodyText"/>
        <w:spacing w:line="238" w:lineRule="exact"/>
        <w:ind w:right="1057"/>
        <w:jc w:val="left"/>
      </w:pPr>
      <w:r>
        <w:rPr/>
        <w:t>将该影响额确认为递延所得税负债，但下列情况的除外：</w:t>
      </w:r>
    </w:p>
    <w:p>
      <w:pPr>
        <w:pStyle w:val="BodyText"/>
        <w:spacing w:line="240" w:lineRule="auto" w:before="118"/>
        <w:ind w:left="633" w:right="1057"/>
        <w:jc w:val="left"/>
      </w:pPr>
      <w:r>
        <w:rPr/>
        <w:t>①因下列交易或事项中产生的应纳税暂时性差异对所得税的影响不确认为递延所得税负</w:t>
      </w:r>
    </w:p>
    <w:p>
      <w:pPr>
        <w:pStyle w:val="BodyText"/>
        <w:spacing w:line="312" w:lineRule="exact"/>
        <w:ind w:right="1057"/>
        <w:jc w:val="left"/>
      </w:pPr>
      <w:r>
        <w:rPr/>
        <w:t>债：</w:t>
      </w:r>
    </w:p>
    <w:p>
      <w:pPr>
        <w:spacing w:after="0" w:line="312"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auto" w:before="26"/>
        <w:ind w:left="633" w:right="1057"/>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rPr>
        <w:t>B.</w:t>
      </w:r>
      <w:r>
        <w:rPr/>
        <w:t>具有以下特征的交易中产生的资产或负债的初始确认：该交易不是企业合并，并且交</w:t>
      </w:r>
    </w:p>
    <w:p>
      <w:pPr>
        <w:pStyle w:val="BodyText"/>
        <w:spacing w:line="214" w:lineRule="exact"/>
        <w:ind w:right="0"/>
        <w:jc w:val="both"/>
      </w:pPr>
      <w:r>
        <w:rPr/>
        <w:t>易发生时既不影响会计利润也不影响应纳税所得额或可抵扣亏损。</w:t>
      </w:r>
    </w:p>
    <w:p>
      <w:pPr>
        <w:pStyle w:val="BodyText"/>
        <w:spacing w:line="312" w:lineRule="exact" w:before="148"/>
        <w:ind w:right="1057" w:firstLine="480"/>
        <w:jc w:val="left"/>
      </w:pPr>
      <w:r>
        <w:rPr/>
        <w:t>②本公司对与子公司、合营企业及联营企业投资相关的应纳税暂时性差异，其对所得税 的影响额一般确认为递延所得税负债，但同时满足以下两项条件的除外：</w:t>
      </w:r>
    </w:p>
    <w:p>
      <w:pPr>
        <w:pStyle w:val="BodyText"/>
        <w:spacing w:line="312" w:lineRule="auto" w:before="89"/>
        <w:ind w:left="633" w:right="5013"/>
        <w:jc w:val="left"/>
      </w:pP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pStyle w:val="Heading3"/>
        <w:spacing w:line="240" w:lineRule="auto" w:before="20"/>
        <w:ind w:left="635" w:right="1057"/>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331" w:lineRule="auto" w:before="99"/>
        <w:ind w:left="633" w:right="1057"/>
        <w:jc w:val="left"/>
      </w:pPr>
      <w:r>
        <w:rPr/>
        <w:t>①与企业合并相关的递延所得税负债或资产 非同一控制下企业合并产生的应纳税暂时性差异或可抵扣暂时性差异，在确认递延所得</w:t>
      </w:r>
    </w:p>
    <w:p>
      <w:pPr>
        <w:pStyle w:val="BodyText"/>
        <w:spacing w:line="220" w:lineRule="exact"/>
        <w:ind w:right="0"/>
        <w:jc w:val="both"/>
      </w:pPr>
      <w:r>
        <w:rPr/>
        <w:t>税负债或递延所得税资产的同时，相关的递延所得税费用（或收益），通常调整企业合并中</w:t>
      </w:r>
    </w:p>
    <w:p>
      <w:pPr>
        <w:pStyle w:val="BodyText"/>
        <w:spacing w:line="313" w:lineRule="exact"/>
        <w:ind w:right="0"/>
        <w:jc w:val="both"/>
      </w:pPr>
      <w:r>
        <w:rPr/>
        <w:t>所确认的商誉。</w:t>
      </w:r>
    </w:p>
    <w:p>
      <w:pPr>
        <w:pStyle w:val="BodyText"/>
        <w:spacing w:line="331" w:lineRule="auto" w:before="118"/>
        <w:ind w:left="633" w:right="1057"/>
        <w:jc w:val="left"/>
      </w:pPr>
      <w:r>
        <w:rPr/>
        <w:t>②直接计入所有者权益的项目 与直接计入所有者权益的交易或者事项相关的当期所得税和递延所得税，计入所有者权</w:t>
      </w:r>
    </w:p>
    <w:p>
      <w:pPr>
        <w:pStyle w:val="BodyText"/>
        <w:spacing w:line="220" w:lineRule="exact"/>
        <w:ind w:right="0"/>
        <w:jc w:val="both"/>
      </w:pPr>
      <w:r>
        <w:rPr/>
        <w:t>益。暂时性差异对所得税的影响计入所有者权益的交易或事项包括：可供出售金融资产公允</w:t>
      </w:r>
    </w:p>
    <w:p>
      <w:pPr>
        <w:pStyle w:val="BodyText"/>
        <w:spacing w:line="312" w:lineRule="exact" w:before="29"/>
        <w:ind w:right="1139"/>
        <w:jc w:val="both"/>
      </w:pPr>
      <w:r>
        <w:rPr/>
        <w:t>价值变动等形成的其他综合收益、会计政策变更采用追溯调整法或对前期（重要）会计差错</w:t>
      </w:r>
      <w:r>
        <w:rPr>
          <w:spacing w:val="-91"/>
        </w:rPr>
        <w:t> </w:t>
      </w:r>
      <w:r>
        <w:rPr>
          <w:spacing w:val="-91"/>
        </w:rPr>
      </w:r>
      <w:r>
        <w:rPr/>
        <w:t>更正差异追溯重述法调整期初留存收益、同时包含负债成份及权益成份的混合金融工具在初</w:t>
      </w:r>
      <w:r>
        <w:rPr>
          <w:spacing w:val="-91"/>
        </w:rPr>
        <w:t> </w:t>
      </w:r>
      <w:r>
        <w:rPr>
          <w:spacing w:val="-91"/>
        </w:rPr>
      </w:r>
      <w:r>
        <w:rPr/>
        <w:t>始确认时计入所有者权益等。</w:t>
      </w:r>
    </w:p>
    <w:p>
      <w:pPr>
        <w:pStyle w:val="BodyText"/>
        <w:spacing w:line="240" w:lineRule="auto" w:before="89"/>
        <w:ind w:left="633" w:right="1057"/>
        <w:jc w:val="left"/>
      </w:pPr>
      <w:r>
        <w:rPr/>
        <w:t>③可弥补亏损和税款抵减</w:t>
      </w:r>
    </w:p>
    <w:p>
      <w:pPr>
        <w:pStyle w:val="BodyText"/>
        <w:spacing w:line="312" w:lineRule="auto" w:before="118"/>
        <w:ind w:left="633" w:right="1057"/>
        <w:jc w:val="left"/>
      </w:pPr>
      <w:r>
        <w:rPr>
          <w:rFonts w:ascii="Times New Roman" w:hAnsi="Times New Roman" w:cs="Times New Roman" w:eastAsia="Times New Roman" w:hint="default"/>
        </w:rPr>
        <w:t>A.</w:t>
      </w:r>
      <w:r>
        <w:rPr/>
        <w:t>本公司自身经营产生的可弥补亏损以及税款抵减 可抵扣亏损是指按照税法规定计算确定的准予用以后年度的应纳税所得额弥补的亏损。</w:t>
      </w:r>
    </w:p>
    <w:p>
      <w:pPr>
        <w:pStyle w:val="BodyText"/>
        <w:spacing w:line="239" w:lineRule="exact"/>
        <w:ind w:right="0"/>
        <w:jc w:val="both"/>
      </w:pPr>
      <w:r>
        <w:rPr/>
        <w:t>对于按照税法规定可以结转以后年度的未弥补亏损（可抵扣亏损）和税款抵减，视同可抵扣</w:t>
      </w:r>
    </w:p>
    <w:p>
      <w:pPr>
        <w:pStyle w:val="BodyText"/>
        <w:spacing w:line="312" w:lineRule="exact" w:before="29"/>
        <w:ind w:right="1137"/>
        <w:jc w:val="both"/>
      </w:pPr>
      <w:r>
        <w:rPr/>
        <w:t>暂时性差异处理。在预计可利用可弥补亏损或税款抵减的未来期间内很可能取得足够的应纳</w:t>
      </w:r>
      <w:r>
        <w:rPr>
          <w:spacing w:val="-90"/>
        </w:rPr>
        <w:t> </w:t>
      </w:r>
      <w:r>
        <w:rPr>
          <w:spacing w:val="-90"/>
        </w:rPr>
      </w:r>
      <w:r>
        <w:rPr/>
        <w:t>税所得额时，以很可能取得的应纳税所得额为限，确认相应的递延所得税资产，同时减少当</w:t>
      </w:r>
      <w:r>
        <w:rPr>
          <w:spacing w:val="-91"/>
        </w:rPr>
        <w:t> </w:t>
      </w:r>
      <w:r>
        <w:rPr>
          <w:spacing w:val="-91"/>
        </w:rPr>
      </w:r>
      <w:r>
        <w:rPr/>
        <w:t>期利润表中的所得税费用。</w:t>
      </w:r>
    </w:p>
    <w:p>
      <w:pPr>
        <w:pStyle w:val="BodyText"/>
        <w:spacing w:line="312" w:lineRule="auto" w:before="89"/>
        <w:ind w:left="633" w:right="1057"/>
        <w:jc w:val="left"/>
      </w:pPr>
      <w:r>
        <w:rPr>
          <w:rFonts w:ascii="Times New Roman" w:hAnsi="Times New Roman" w:cs="Times New Roman" w:eastAsia="Times New Roman" w:hint="default"/>
        </w:rPr>
        <w:t>B.</w:t>
      </w:r>
      <w:r>
        <w:rPr/>
        <w:t>因企业合并而形成的可弥补的被合并企业的未弥补亏损 在企业合并中，本公司取得被购买方的可抵扣暂时性差异，在购买日不符合递延所得税</w:t>
      </w:r>
    </w:p>
    <w:p>
      <w:pPr>
        <w:pStyle w:val="BodyText"/>
        <w:spacing w:line="249" w:lineRule="exact"/>
        <w:ind w:right="0"/>
        <w:jc w:val="both"/>
      </w:pPr>
      <w:r>
        <w:rPr/>
        <w:t>资产确认条件的，不予以确认。购买日后</w:t>
      </w:r>
      <w:r>
        <w:rPr>
          <w:rFonts w:ascii="Times New Roman" w:hAnsi="Times New Roman" w:cs="Times New Roman" w:eastAsia="Times New Roman" w:hint="default"/>
        </w:rPr>
        <w:t>12</w:t>
      </w:r>
      <w:r>
        <w:rPr/>
        <w:t>个月内，如取得新的或进一步的信息表明购买日</w:t>
      </w:r>
    </w:p>
    <w:p>
      <w:pPr>
        <w:pStyle w:val="BodyText"/>
        <w:spacing w:line="312" w:lineRule="exact" w:before="20"/>
        <w:ind w:right="996"/>
        <w:jc w:val="left"/>
      </w:pPr>
      <w:r>
        <w:rPr>
          <w:spacing w:val="-2"/>
        </w:rPr>
        <w:t>的相关情况已经存在，预期被购买方在购买日可抵扣暂时性差异带来的经济利益能够实现的，</w:t>
      </w:r>
      <w:r>
        <w:rPr/>
        <w:t> 确认相关的递延所得税资产，同时减少商誉，商誉不足冲减的，差额部分确认为当期损益；</w:t>
      </w:r>
      <w:r>
        <w:rPr>
          <w:spacing w:val="-88"/>
        </w:rPr>
        <w:t> </w:t>
      </w:r>
      <w:r>
        <w:rPr>
          <w:spacing w:val="-88"/>
        </w:rPr>
      </w:r>
      <w:r>
        <w:rPr/>
        <w:t>除上述情况以外，确认与企业合并相关的递延所得税资产，计入当期损益。</w:t>
      </w:r>
    </w:p>
    <w:p>
      <w:pPr>
        <w:pStyle w:val="BodyText"/>
        <w:spacing w:line="331" w:lineRule="auto" w:before="89"/>
        <w:ind w:left="633" w:right="1000"/>
        <w:jc w:val="left"/>
      </w:pPr>
      <w:r>
        <w:rPr/>
        <w:t>④合并抵销形成的暂时性差异 </w:t>
      </w:r>
      <w:r>
        <w:rPr>
          <w:spacing w:val="-3"/>
        </w:rPr>
        <w:t>本公司在编制合并财务报表时，因抵销未实现内部销售损益导致合并资产负债表中资产、</w:t>
      </w:r>
    </w:p>
    <w:p>
      <w:pPr>
        <w:pStyle w:val="BodyText"/>
        <w:spacing w:line="220" w:lineRule="exact"/>
        <w:ind w:right="0"/>
        <w:jc w:val="both"/>
      </w:pPr>
      <w:r>
        <w:rPr/>
        <w:t>负债的账面价值与其在所属纳税主体的计税基础之间产生暂时性差异的，在合并资产负债表</w:t>
      </w:r>
    </w:p>
    <w:p>
      <w:pPr>
        <w:pStyle w:val="BodyText"/>
        <w:spacing w:line="312" w:lineRule="exact" w:before="29"/>
        <w:ind w:right="1135"/>
        <w:jc w:val="both"/>
      </w:pPr>
      <w:r>
        <w:rPr/>
        <w:t>中确认递延所得税资产或递延所得税负债，同时调整合并利润表中的所得税费用，但与直接</w:t>
      </w:r>
      <w:r>
        <w:rPr>
          <w:spacing w:val="-88"/>
        </w:rPr>
        <w:t> </w:t>
      </w:r>
      <w:r>
        <w:rPr>
          <w:spacing w:val="-88"/>
        </w:rPr>
      </w:r>
      <w:r>
        <w:rPr/>
        <w:t>计入所有者权益的交易或事项及企业合并相关的递延所得税除外。</w:t>
      </w:r>
    </w:p>
    <w:p>
      <w:pPr>
        <w:pStyle w:val="BodyText"/>
        <w:spacing w:line="240" w:lineRule="auto" w:before="89"/>
        <w:ind w:left="633" w:right="1057"/>
        <w:jc w:val="left"/>
      </w:pPr>
      <w:r>
        <w:rPr/>
        <w:t>⑤以权益结算的股份支付</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6" w:firstLine="480"/>
        <w:jc w:val="both"/>
      </w:pPr>
      <w:r>
        <w:rPr/>
        <w:t>如果税法规定与股份支付相关的支出允许税前扣除，在按照会计准则规定确认成本费用 的期间内，本公司根据会计期末取得信息估计可税前扣除的金额计算确定其计税基础及由此</w:t>
      </w:r>
      <w:r>
        <w:rPr>
          <w:spacing w:val="-91"/>
        </w:rPr>
        <w:t> </w:t>
      </w:r>
      <w:r>
        <w:rPr>
          <w:spacing w:val="-91"/>
        </w:rPr>
      </w:r>
      <w:r>
        <w:rPr/>
        <w:t>产生的暂时性差异，符合确认条件的情况下确认相关的递延所得税。其中预计未来期间可税</w:t>
      </w:r>
      <w:r>
        <w:rPr>
          <w:spacing w:val="-91"/>
        </w:rPr>
        <w:t> </w:t>
      </w:r>
      <w:r>
        <w:rPr>
          <w:spacing w:val="-91"/>
        </w:rPr>
      </w:r>
      <w:r>
        <w:rPr/>
        <w:t>前扣除的金额超过按照会计准则规定确认的与股份支付相关的成本费用，超过部分的所得税</w:t>
      </w:r>
      <w:r>
        <w:rPr>
          <w:spacing w:val="-91"/>
        </w:rPr>
        <w:t> </w:t>
      </w:r>
      <w:r>
        <w:rPr>
          <w:spacing w:val="-91"/>
        </w:rPr>
      </w:r>
      <w:r>
        <w:rPr/>
        <w:t>影响应直接计入所有者权益。</w:t>
      </w:r>
    </w:p>
    <w:p>
      <w:pPr>
        <w:spacing w:line="240" w:lineRule="auto" w:before="7"/>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37" w:lineRule="auto"/>
        <w:ind w:right="1136" w:firstLine="480"/>
        <w:jc w:val="both"/>
      </w:pPr>
      <w:r>
        <w:rPr/>
        <w:t>①本公司作为经营租赁承租人时，将经营租赁的租金支出，在租赁期内各个期间按照直 线法或根据租赁资产的使用量计入当期损益。出租人提供免租期的，本公司将租金总额在不</w:t>
      </w:r>
      <w:r>
        <w:rPr>
          <w:spacing w:val="-91"/>
        </w:rPr>
        <w:t> </w:t>
      </w:r>
      <w:r>
        <w:rPr>
          <w:spacing w:val="-91"/>
        </w:rPr>
      </w:r>
      <w:r>
        <w:rPr/>
        <w:t>扣除免租期的整个租赁期内，按直线法或其他合理的方法进行分摊，免租期内确认租金费用</w:t>
      </w:r>
      <w:r>
        <w:rPr>
          <w:spacing w:val="-89"/>
        </w:rPr>
        <w:t> </w:t>
      </w:r>
      <w:r>
        <w:rPr>
          <w:spacing w:val="-89"/>
        </w:rPr>
      </w:r>
      <w:r>
        <w:rPr/>
        <w:t>及相应的负债。出租人承担了承租人某些费用的，本公司按该费用从租金费用总额中扣除后</w:t>
      </w:r>
      <w:r>
        <w:rPr>
          <w:spacing w:val="-91"/>
        </w:rPr>
        <w:t> </w:t>
      </w:r>
      <w:r>
        <w:rPr>
          <w:spacing w:val="-91"/>
        </w:rPr>
      </w:r>
      <w:r>
        <w:rPr/>
        <w:t>的租金费用余额在租赁期内进行分摊。</w:t>
      </w:r>
    </w:p>
    <w:p>
      <w:pPr>
        <w:pStyle w:val="BodyText"/>
        <w:spacing w:line="240" w:lineRule="auto" w:before="118"/>
        <w:ind w:left="633" w:right="1057"/>
        <w:jc w:val="left"/>
      </w:pPr>
      <w:r>
        <w:rPr/>
        <w:t>初始直接费用，计入当期损益。如协议约定或有租金的在实际发生时计入当期损益。</w:t>
      </w:r>
    </w:p>
    <w:p>
      <w:pPr>
        <w:pStyle w:val="BodyText"/>
        <w:spacing w:line="237" w:lineRule="auto" w:before="120"/>
        <w:ind w:right="1057" w:firstLine="480"/>
        <w:jc w:val="left"/>
      </w:pPr>
      <w:r>
        <w:rPr/>
        <w:t>②本公司作为经营租赁出租人时，采用直线法将收到的租金在租赁期内确认为收益。出 租人提供免租期的，出租人将租金总额在不扣除免租期的整个租赁期内，按直线法或其他合</w:t>
      </w:r>
      <w:r>
        <w:rPr>
          <w:spacing w:val="-90"/>
        </w:rPr>
        <w:t> </w:t>
      </w:r>
      <w:r>
        <w:rPr>
          <w:spacing w:val="-90"/>
        </w:rPr>
      </w:r>
      <w:r>
        <w:rPr/>
        <w:t>理的方法进行分配，免租期内出租人也确认租金收入。承担了承租人某些费用的，本公司按</w:t>
      </w:r>
      <w:r>
        <w:rPr>
          <w:spacing w:val="-91"/>
        </w:rPr>
        <w:t> </w:t>
      </w:r>
      <w:r>
        <w:rPr>
          <w:spacing w:val="-91"/>
        </w:rPr>
      </w:r>
      <w:r>
        <w:rPr/>
        <w:t>该费用自租金收入总额中扣除后的租金收入余额在租赁期内进行分配。</w:t>
      </w:r>
      <w:r>
        <w:rPr/>
        <w:t> 初始直接费用，计入当期损益。金额较大的予以资本化，在整个经营租赁期内按照与确认租</w:t>
      </w:r>
      <w:r>
        <w:rPr>
          <w:spacing w:val="-91"/>
        </w:rPr>
        <w:t> </w:t>
      </w:r>
      <w:r>
        <w:rPr>
          <w:spacing w:val="-91"/>
        </w:rPr>
      </w:r>
      <w:r>
        <w:rPr/>
        <w:t>金收入相同的基础分期计入当期损益。如协议约定或有租金的在实际发生时计入当期收益。</w:t>
      </w:r>
    </w:p>
    <w:p>
      <w:pPr>
        <w:spacing w:line="240" w:lineRule="auto" w:before="10"/>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52" w:right="1128" w:firstLine="0"/>
        <w:jc w:val="both"/>
        <w:rPr>
          <w:rFonts w:ascii="宋体" w:hAnsi="宋体" w:cs="宋体" w:eastAsia="宋体" w:hint="default"/>
          <w:sz w:val="18"/>
          <w:szCs w:val="18"/>
        </w:rPr>
      </w:pPr>
      <w:r>
        <w:rPr>
          <w:rFonts w:ascii="宋体" w:hAnsi="宋体" w:cs="宋体" w:eastAsia="宋体" w:hint="default"/>
          <w:spacing w:val="-2"/>
          <w:sz w:val="18"/>
          <w:szCs w:val="18"/>
        </w:rPr>
        <w:t>①本公司作为融资租赁承租人时，在租赁期开始日，将租赁开始日租赁资产公允价值与最低租赁付款额现值两者中较低者作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为租入资产的入账价值，将最低租赁付款额作为长期应付款的入账价值，其差额作为未确认融资费用。在租赁期内各个期间</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采用实际利率法进行分摊，确认为当期融资费用，计入财务费用。</w:t>
      </w:r>
    </w:p>
    <w:p>
      <w:pPr>
        <w:spacing w:line="316" w:lineRule="auto" w:before="19"/>
        <w:ind w:left="152" w:right="1057" w:firstLine="0"/>
        <w:jc w:val="left"/>
        <w:rPr>
          <w:rFonts w:ascii="宋体" w:hAnsi="宋体" w:cs="宋体" w:eastAsia="宋体" w:hint="default"/>
          <w:sz w:val="18"/>
          <w:szCs w:val="18"/>
        </w:rPr>
      </w:pPr>
      <w:r>
        <w:rPr>
          <w:rFonts w:ascii="宋体" w:hAnsi="宋体" w:cs="宋体" w:eastAsia="宋体" w:hint="default"/>
          <w:sz w:val="18"/>
          <w:szCs w:val="18"/>
        </w:rPr>
        <w:t>发生的初始直接费用，计入租入资产价值。 </w:t>
      </w:r>
      <w:r>
        <w:rPr>
          <w:rFonts w:ascii="宋体" w:hAnsi="宋体" w:cs="宋体" w:eastAsia="宋体" w:hint="default"/>
          <w:spacing w:val="-2"/>
          <w:sz w:val="18"/>
          <w:szCs w:val="18"/>
        </w:rPr>
        <w:t>在计提融资租赁资产折旧时，本公司采用与自有应折旧资产相一致的折旧政策，折旧期间以租赁合同而定。如果能够合理确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定租赁期届满时本公司将会取得租赁资产所有权，以租赁期开始日租赁资产的寿命作为折旧期间；如果无法合理确定租赁期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届满后本公司是否能够取得租赁资产的所有权，以租赁期与租赁资产寿命两者中较短者作为折旧期间。</w:t>
      </w:r>
    </w:p>
    <w:p>
      <w:pPr>
        <w:spacing w:line="316" w:lineRule="auto" w:before="19"/>
        <w:ind w:left="152" w:right="1129" w:firstLine="0"/>
        <w:jc w:val="both"/>
        <w:rPr>
          <w:rFonts w:ascii="宋体" w:hAnsi="宋体" w:cs="宋体" w:eastAsia="宋体" w:hint="default"/>
          <w:sz w:val="18"/>
          <w:szCs w:val="18"/>
        </w:rPr>
      </w:pPr>
      <w:r>
        <w:rPr>
          <w:rFonts w:ascii="宋体" w:hAnsi="宋体" w:cs="宋体" w:eastAsia="宋体" w:hint="default"/>
          <w:spacing w:val="-2"/>
          <w:sz w:val="18"/>
          <w:szCs w:val="18"/>
        </w:rPr>
        <w:t>②本公司作为融资租赁出租人时，于租赁期开始日将租赁开始日最低租赁应收款额与初始直接费用之和作为应收融资租赁款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的入账价值，计入资产负债表的长期应收款，同时记录未担保余值；将最低租赁应收款额、初始直接费用及未担保余值之和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与其现值之和的差额作为未实现融资收益，在租赁期内各个期间采用实际利率法确认为租赁收入。</w:t>
      </w:r>
    </w:p>
    <w:p>
      <w:pPr>
        <w:spacing w:line="240" w:lineRule="auto" w:before="8"/>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r>
        <w:rPr/>
        <w:pict>
          <v:shape style="position:absolute;margin-left:210.529999pt;margin-top:164.059982pt;width:165.05pt;height:50.8pt;mso-position-horizontal-relative:page;mso-position-vertical-relative:page;z-index:-1233880"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02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
              <w:jc w:val="both"/>
              <w:rPr>
                <w:rFonts w:ascii="宋体" w:hAnsi="宋体" w:cs="宋体" w:eastAsia="宋体" w:hint="default"/>
                <w:sz w:val="18"/>
                <w:szCs w:val="18"/>
              </w:rPr>
            </w:pPr>
            <w:r>
              <w:rPr>
                <w:rFonts w:ascii="宋体" w:hAnsi="宋体" w:cs="宋体" w:eastAsia="宋体" w:hint="default"/>
                <w:sz w:val="18"/>
                <w:szCs w:val="18"/>
              </w:rPr>
              <w:t>《财政部关于修订印发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 </w:t>
            </w:r>
            <w:r>
              <w:rPr>
                <w:rFonts w:ascii="宋体" w:hAnsi="宋体" w:cs="宋体" w:eastAsia="宋体" w:hint="default"/>
                <w:spacing w:val="-5"/>
                <w:sz w:val="18"/>
                <w:szCs w:val="18"/>
              </w:rPr>
              <w:t>业财务报表格式的通知》（财会【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97"/>
              <w:jc w:val="both"/>
              <w:rPr>
                <w:rFonts w:ascii="宋体" w:hAnsi="宋体" w:cs="宋体" w:eastAsia="宋体" w:hint="default"/>
                <w:sz w:val="18"/>
                <w:szCs w:val="18"/>
              </w:rPr>
            </w:pPr>
            <w:r>
              <w:rPr>
                <w:rFonts w:ascii="宋体" w:hAnsi="宋体" w:cs="宋体" w:eastAsia="宋体" w:hint="default"/>
                <w:sz w:val="18"/>
                <w:szCs w:val="18"/>
              </w:rPr>
              <w:t>《财政部关于修订印发《合并财务报表 </w:t>
            </w:r>
            <w:r>
              <w:rPr>
                <w:rFonts w:ascii="宋体" w:hAnsi="宋体" w:cs="宋体" w:eastAsia="宋体" w:hint="default"/>
                <w:spacing w:val="-3"/>
                <w:sz w:val="18"/>
                <w:szCs w:val="18"/>
              </w:rPr>
              <w:t>格式（</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版）》的通知》（财会【</w:t>
            </w:r>
            <w:r>
              <w:rPr>
                <w:rFonts w:ascii="Times New Roman" w:hAnsi="Times New Roman" w:cs="Times New Roman" w:eastAsia="Times New Roman" w:hint="default"/>
                <w:spacing w:val="-16"/>
                <w:sz w:val="18"/>
                <w:szCs w:val="18"/>
              </w:rPr>
              <w:t>2019</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159.050pt;height:15.6pt;mso-position-horizontal-relative:char;mso-position-vertical-relative:line" coordorigin="0,0" coordsize="3181,312">
                  <v:group style="position:absolute;left:0;top:0;width:3181;height:312" coordorigin="0,0" coordsize="3181,312">
                    <v:shape style="position:absolute;left:0;top:0;width:3181;height:312" coordorigin="0,0" coordsize="3181,312" path="m0,312l3180,312,318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2" w:lineRule="exact"/>
              <w:ind w:right="-53"/>
              <w:jc w:val="left"/>
              <w:rPr>
                <w:rFonts w:ascii="宋体" w:hAnsi="宋体" w:cs="宋体" w:eastAsia="宋体" w:hint="default"/>
                <w:sz w:val="20"/>
                <w:szCs w:val="20"/>
              </w:rPr>
            </w:pPr>
            <w:r>
              <w:rPr>
                <w:rFonts w:ascii="宋体" w:hAnsi="宋体" w:cs="宋体" w:eastAsia="宋体" w:hint="default"/>
                <w:position w:val="-5"/>
                <w:sz w:val="20"/>
                <w:szCs w:val="20"/>
              </w:rPr>
              <w:pict>
                <v:group style="width:159.050pt;height:15.6pt;mso-position-horizontal-relative:char;mso-position-vertical-relative:line" coordorigin="0,0" coordsize="3181,312">
                  <v:group style="position:absolute;left:0;top:0;width:3181;height:312" coordorigin="0,0" coordsize="3181,312">
                    <v:shape style="position:absolute;left:0;top:0;width:3181;height:312" coordorigin="0,0" coordsize="3181,312" path="m0,312l3180,312,3180,0,0,0,0,312xe" filled="true" fillcolor="#ffffff" stroked="false">
                      <v:path arrowok="t"/>
                      <v:fill type="solid"/>
                    </v:shape>
                  </v:group>
                </v:group>
              </w:pict>
            </w:r>
            <w:r>
              <w:rPr>
                <w:rFonts w:ascii="宋体" w:hAnsi="宋体" w:cs="宋体" w:eastAsia="宋体" w:hint="default"/>
                <w:position w:val="-5"/>
                <w:sz w:val="20"/>
                <w:szCs w:val="20"/>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 计量（</w:t>
            </w:r>
            <w:r>
              <w:rPr>
                <w:rFonts w:ascii="Times New Roman" w:hAnsi="Times New Roman" w:cs="Times New Roman" w:eastAsia="Times New Roman" w:hint="default"/>
                <w:sz w:val="18"/>
                <w:szCs w:val="18"/>
              </w:rPr>
              <w:t>2017 </w:t>
            </w:r>
            <w:r>
              <w:rPr>
                <w:rFonts w:ascii="宋体" w:hAnsi="宋体" w:cs="宋体" w:eastAsia="宋体" w:hint="default"/>
                <w:spacing w:val="-13"/>
                <w:sz w:val="18"/>
                <w:szCs w:val="18"/>
              </w:rPr>
              <w:t>年修订）》（财会【</w:t>
            </w:r>
            <w:r>
              <w:rPr>
                <w:rFonts w:ascii="Times New Roman" w:hAnsi="Times New Roman" w:cs="Times New Roman" w:eastAsia="Times New Roman" w:hint="default"/>
                <w:spacing w:val="-13"/>
                <w:sz w:val="18"/>
                <w:szCs w:val="18"/>
              </w:rPr>
              <w:t>2017</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7</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p>
            <w:pPr>
              <w:pStyle w:val="TableParagraph"/>
              <w:spacing w:line="240" w:lineRule="auto" w:before="60"/>
              <w:ind w:left="24"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3"/>
              <w:jc w:val="left"/>
              <w:rPr>
                <w:rFonts w:ascii="宋体" w:hAnsi="宋体" w:cs="宋体" w:eastAsia="宋体" w:hint="default"/>
                <w:sz w:val="15"/>
                <w:szCs w:val="15"/>
              </w:rPr>
            </w:pPr>
            <w:r>
              <w:rPr>
                <w:rFonts w:ascii="宋体" w:hAnsi="宋体" w:cs="宋体" w:eastAsia="宋体" w:hint="default"/>
                <w:position w:val="-2"/>
                <w:sz w:val="15"/>
                <w:szCs w:val="15"/>
              </w:rPr>
              <w:pict>
                <v:group style="width:159.050pt;height:7.8pt;mso-position-horizontal-relative:char;mso-position-vertical-relative:line" coordorigin="0,0" coordsize="3181,156">
                  <v:group style="position:absolute;left:0;top:0;width:3181;height:156" coordorigin="0,0" coordsize="3181,156">
                    <v:shape style="position:absolute;left:0;top:0;width:3181;height:156" coordorigin="0,0" coordsize="3181,156" path="m0,156l3180,156,3180,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 </w:t>
            </w:r>
            <w:r>
              <w:rPr>
                <w:rFonts w:ascii="宋体" w:hAnsi="宋体" w:cs="宋体" w:eastAsia="宋体" w:hint="default"/>
                <w:spacing w:val="-7"/>
                <w:sz w:val="18"/>
                <w:szCs w:val="18"/>
              </w:rPr>
              <w:t>交换》（财会【</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4"/>
              <w:ind w:left="24" w:right="24"/>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21"/>
                <w:sz w:val="18"/>
                <w:szCs w:val="18"/>
              </w:rPr>
              <w:t>号</w:t>
            </w:r>
            <w:r>
              <w:rPr>
                <w:rFonts w:ascii="Times New Roman" w:hAnsi="Times New Roman" w:cs="Times New Roman" w:eastAsia="Times New Roman" w:hint="default"/>
                <w:spacing w:val="-21"/>
                <w:sz w:val="18"/>
                <w:szCs w:val="18"/>
              </w:rPr>
              <w:t>—</w:t>
            </w:r>
            <w:r>
              <w:rPr>
                <w:rFonts w:ascii="宋体" w:hAnsi="宋体" w:cs="宋体" w:eastAsia="宋体" w:hint="default"/>
                <w:spacing w:val="-21"/>
                <w:sz w:val="18"/>
                <w:szCs w:val="18"/>
              </w:rPr>
              <w:t>债务重组（》财</w:t>
            </w:r>
            <w:r>
              <w:rPr>
                <w:rFonts w:ascii="宋体" w:hAnsi="宋体" w:cs="宋体" w:eastAsia="宋体" w:hint="default"/>
                <w:sz w:val="18"/>
                <w:szCs w:val="18"/>
              </w:rPr>
              <w:t> 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董事会审议</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22" w:lineRule="exact" w:before="82"/>
        <w:ind w:left="633" w:right="1000"/>
        <w:jc w:val="left"/>
      </w:pPr>
      <w:r>
        <w:rPr/>
        <w:pict>
          <v:group style="position:absolute;margin-left:216.529999pt;margin-top:-79.704384pt;width:159.050pt;height:7.8pt;mso-position-horizontal-relative:page;mso-position-vertical-relative:paragraph;z-index:-1233856" coordorigin="4331,-1594" coordsize="3181,156">
            <v:shape style="position:absolute;left:4331;top:-1594;width:3181;height:156" coordorigin="4331,-1594" coordsize="3181,156" path="m4331,-1438l7511,-1438,7511,-1594,4331,-1594,4331,-1438xe" filled="true" fillcolor="#ffffff" stroked="false">
              <v:path arrowok="t"/>
              <v:fill type="solid"/>
            </v:shape>
            <w10:wrap type="none"/>
          </v:group>
        </w:pic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日，财政部发布的《关于修订印发</w:t>
      </w:r>
      <w:r>
        <w:rPr>
          <w:rFonts w:ascii="Times New Roman" w:hAnsi="Times New Roman" w:cs="Times New Roman" w:eastAsia="Times New Roman" w:hint="default"/>
        </w:rPr>
        <w:t>2019</w:t>
      </w:r>
      <w:r>
        <w:rPr/>
        <w:t>年度一般企业财务报表格式的通知》</w:t>
      </w:r>
    </w:p>
    <w:p>
      <w:pPr>
        <w:pStyle w:val="BodyText"/>
        <w:spacing w:line="312" w:lineRule="exact" w:before="20"/>
        <w:ind w:right="1120"/>
        <w:jc w:val="left"/>
      </w:pPr>
      <w:r>
        <w:rPr>
          <w:spacing w:val="-2"/>
        </w:rPr>
        <w:t>（财会【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号），要求对已执行新金融工具准则但未执行新收入准则和新租赁准则的企</w:t>
      </w:r>
      <w:r>
        <w:rPr>
          <w:spacing w:val="-118"/>
        </w:rPr>
        <w:t> </w:t>
      </w:r>
      <w:r>
        <w:rPr>
          <w:spacing w:val="-118"/>
        </w:rPr>
      </w:r>
      <w:r>
        <w:rPr/>
        <w:t>业应按如下规定编制财务报表：</w:t>
      </w:r>
    </w:p>
    <w:p>
      <w:pPr>
        <w:pStyle w:val="BodyText"/>
        <w:spacing w:line="312" w:lineRule="exact" w:before="120"/>
        <w:ind w:right="1131" w:firstLine="480"/>
        <w:jc w:val="both"/>
      </w:pPr>
      <w:r>
        <w:rPr/>
        <w:t>资产负债表中将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4"/>
        </w:rPr>
        <w:t>行项目拆分为</w:t>
      </w:r>
      <w:r>
        <w:rPr>
          <w:rFonts w:ascii="Times New Roman" w:hAnsi="Times New Roman" w:cs="Times New Roman" w:eastAsia="Times New Roman" w:hint="default"/>
          <w:spacing w:val="-4"/>
        </w:rPr>
        <w:t>“</w:t>
      </w:r>
      <w:r>
        <w:rPr>
          <w:spacing w:val="-4"/>
        </w:rPr>
        <w:t>应收票据</w:t>
      </w:r>
      <w:r>
        <w:rPr>
          <w:rFonts w:ascii="Times New Roman" w:hAnsi="Times New Roman" w:cs="Times New Roman" w:eastAsia="Times New Roman" w:hint="default"/>
          <w:spacing w:val="-4"/>
        </w:rPr>
        <w:t>”</w:t>
      </w:r>
      <w:r>
        <w:rPr>
          <w:spacing w:val="-4"/>
        </w:rPr>
        <w:t>及</w:t>
      </w:r>
      <w:r>
        <w:rPr>
          <w:rFonts w:ascii="Times New Roman" w:hAnsi="Times New Roman" w:cs="Times New Roman" w:eastAsia="Times New Roman" w:hint="default"/>
          <w:spacing w:val="-4"/>
        </w:rPr>
        <w:t>“</w:t>
      </w:r>
      <w:r>
        <w:rPr>
          <w:spacing w:val="-4"/>
        </w:rPr>
        <w:t>应收账款</w:t>
      </w:r>
      <w:r>
        <w:rPr>
          <w:rFonts w:ascii="Times New Roman" w:hAnsi="Times New Roman" w:cs="Times New Roman" w:eastAsia="Times New Roman" w:hint="default"/>
          <w:spacing w:val="-4"/>
        </w:rPr>
        <w:t>”</w:t>
      </w:r>
      <w:r>
        <w:rPr>
          <w:spacing w:val="-4"/>
        </w:rPr>
        <w:t>；增加</w:t>
      </w:r>
      <w:r>
        <w:rPr>
          <w:rFonts w:ascii="Times New Roman" w:hAnsi="Times New Roman" w:cs="Times New Roman" w:eastAsia="Times New Roman" w:hint="default"/>
          <w:spacing w:val="-4"/>
        </w:rPr>
        <w:t>“</w:t>
      </w:r>
      <w:r>
        <w:rPr>
          <w:spacing w:val="-4"/>
        </w:rPr>
        <w:t>应</w:t>
      </w:r>
      <w:r>
        <w:rPr/>
        <w:t> </w:t>
      </w:r>
      <w:r>
        <w:rPr>
          <w:spacing w:val="-2"/>
        </w:rPr>
        <w:t>收款项融资</w:t>
      </w:r>
      <w:r>
        <w:rPr>
          <w:rFonts w:ascii="Times New Roman" w:hAnsi="Times New Roman" w:cs="Times New Roman" w:eastAsia="Times New Roman" w:hint="default"/>
          <w:spacing w:val="-2"/>
        </w:rPr>
        <w:t>”</w:t>
      </w:r>
      <w:r>
        <w:rPr>
          <w:spacing w:val="-2"/>
        </w:rPr>
        <w:t>项目，反映资产负债表日以公允价值计量且其变动计入其他综合收益的应收票据</w:t>
      </w:r>
      <w:r>
        <w:rPr>
          <w:spacing w:val="-106"/>
        </w:rPr>
        <w:t> </w:t>
      </w:r>
      <w:r>
        <w:rPr>
          <w:spacing w:val="-106"/>
        </w:rPr>
      </w:r>
      <w:r>
        <w:rPr/>
        <w:t>和应收账款等；将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行项目拆分为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p>
    <w:p>
      <w:pPr>
        <w:pStyle w:val="BodyText"/>
        <w:spacing w:line="312" w:lineRule="exact" w:before="120"/>
        <w:ind w:right="1135" w:firstLine="480"/>
        <w:jc w:val="both"/>
      </w:pPr>
      <w:r>
        <w:rPr>
          <w:spacing w:val="2"/>
        </w:rPr>
        <w:t>利润表中在投资收益项目下增加</w:t>
      </w:r>
      <w:r>
        <w:rPr>
          <w:rFonts w:ascii="Times New Roman" w:hAnsi="Times New Roman" w:cs="Times New Roman" w:eastAsia="Times New Roman" w:hint="default"/>
          <w:spacing w:val="2"/>
        </w:rPr>
        <w:t>“</w:t>
      </w:r>
      <w:r>
        <w:rPr>
          <w:spacing w:val="2"/>
        </w:rPr>
        <w:t>以摊余成本计量的金融资产终止确认收益（损失以</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号填列）</w:t>
      </w:r>
      <w:r>
        <w:rPr>
          <w:rFonts w:ascii="Times New Roman" w:hAnsi="Times New Roman" w:cs="Times New Roman" w:eastAsia="Times New Roman" w:hint="default"/>
        </w:rPr>
        <w:t>”</w:t>
      </w:r>
      <w:r>
        <w:rPr/>
        <w:t>的明细项目。</w:t>
      </w:r>
    </w:p>
    <w:p>
      <w:pPr>
        <w:pStyle w:val="BodyText"/>
        <w:spacing w:line="322" w:lineRule="exact" w:before="89"/>
        <w:ind w:left="633" w:right="0"/>
        <w:jc w:val="left"/>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19</w:t>
      </w:r>
      <w:r>
        <w:rPr>
          <w:spacing w:val="-5"/>
        </w:rPr>
        <w:t>日，财政部发布了《关于修订印发《合并财务报表格式（</w:t>
      </w:r>
      <w:r>
        <w:rPr>
          <w:rFonts w:ascii="Times New Roman" w:hAnsi="Times New Roman" w:cs="Times New Roman" w:eastAsia="Times New Roman" w:hint="default"/>
          <w:spacing w:val="-5"/>
        </w:rPr>
        <w:t>2019</w:t>
      </w:r>
      <w:r>
        <w:rPr>
          <w:spacing w:val="-5"/>
        </w:rPr>
        <w:t>版）》的通知》</w:t>
      </w:r>
    </w:p>
    <w:p>
      <w:pPr>
        <w:pStyle w:val="BodyText"/>
        <w:spacing w:line="312" w:lineRule="auto"/>
        <w:ind w:left="633" w:right="1121" w:hanging="481"/>
        <w:jc w:val="left"/>
      </w:pP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号），与财会【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号配套执行。 </w:t>
      </w:r>
      <w:r>
        <w:rPr>
          <w:spacing w:val="-2"/>
        </w:rPr>
        <w:t>本公司根据财会【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16</w:t>
      </w:r>
      <w:r>
        <w:rPr>
          <w:spacing w:val="-2"/>
        </w:rPr>
        <w:t>号规定的财务报表格式编制比较报表，并</w:t>
      </w:r>
    </w:p>
    <w:p>
      <w:pPr>
        <w:pStyle w:val="BodyText"/>
        <w:spacing w:line="214" w:lineRule="exact"/>
        <w:ind w:right="1057"/>
        <w:jc w:val="left"/>
      </w:pPr>
      <w:r>
        <w:rPr/>
        <w:t>采用追溯调整法变更了相关财务报表列报。</w:t>
      </w:r>
    </w:p>
    <w:p>
      <w:pPr>
        <w:pStyle w:val="BodyText"/>
        <w:spacing w:line="312" w:lineRule="exact" w:before="148"/>
        <w:ind w:right="1049" w:firstLine="480"/>
        <w:jc w:val="both"/>
      </w:pPr>
      <w:r>
        <w:rPr>
          <w:spacing w:val="-2"/>
        </w:rPr>
        <w:t>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日分别发布了《企业会计准则第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7</w:t>
      </w:r>
      <w:r>
        <w:rPr/>
        <w:t>号）、《企业会计准则第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w:t>
      </w:r>
      <w:r>
        <w:rPr>
          <w:rFonts w:ascii="Times New Roman" w:hAnsi="Times New Roman" w:cs="Times New Roman" w:eastAsia="Times New Roman" w:hint="default"/>
        </w:rPr>
        <w:t>2017</w:t>
      </w:r>
      <w:r>
        <w:rPr/>
        <w:t>年修订）》</w:t>
      </w:r>
    </w:p>
    <w:p>
      <w:pPr>
        <w:pStyle w:val="BodyText"/>
        <w:spacing w:line="225" w:lineRule="auto"/>
        <w:ind w:right="993"/>
        <w:jc w:val="left"/>
      </w:pP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w:t>
      </w:r>
      <w:r>
        <w:rPr/>
        <w:t>号）、《企业会计准则第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年修订）》（财会【</w:t>
      </w:r>
      <w:r>
        <w:rPr>
          <w:rFonts w:ascii="Times New Roman" w:hAnsi="Times New Roman" w:cs="Times New Roman" w:eastAsia="Times New Roman" w:hint="default"/>
        </w:rPr>
        <w:t>2017</w:t>
      </w:r>
      <w:r>
        <w:rPr/>
        <w:t>】 </w:t>
      </w:r>
      <w:r>
        <w:rPr>
          <w:rFonts w:ascii="Times New Roman" w:hAnsi="Times New Roman" w:cs="Times New Roman" w:eastAsia="Times New Roman" w:hint="default"/>
        </w:rPr>
        <w:t>9</w:t>
      </w:r>
      <w:r>
        <w:rPr/>
        <w:t>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年修订）》（财 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 </w:t>
      </w:r>
      <w:r>
        <w:rPr/>
        <w:t>号）（上述准则以下统称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）。要求境内上市企业自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1</w:t>
      </w:r>
      <w:r>
        <w:rPr/>
        <w:t>日起执行新金融工具准则。本公司于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日执行上述新金融工具准则，对会计政策</w:t>
      </w:r>
    </w:p>
    <w:p>
      <w:pPr>
        <w:spacing w:after="0" w:line="225"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auto" w:before="26"/>
        <w:ind w:left="633" w:right="1057" w:hanging="481"/>
        <w:jc w:val="left"/>
      </w:pPr>
      <w:r>
        <w:rPr/>
        <w:t>的相关内容进行调整，详见附注三、</w:t>
      </w:r>
      <w:r>
        <w:rPr>
          <w:rFonts w:ascii="Times New Roman" w:hAnsi="Times New Roman" w:cs="Times New Roman" w:eastAsia="Times New Roman" w:hint="default"/>
        </w:rPr>
        <w:t>10</w:t>
      </w:r>
      <w:r>
        <w:rPr/>
        <w:t>。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日之前的金融工具确认和计量与新金融工具准则要求不一致的，本公司按</w:t>
      </w:r>
    </w:p>
    <w:p>
      <w:pPr>
        <w:pStyle w:val="BodyText"/>
        <w:spacing w:line="213" w:lineRule="exact"/>
        <w:ind w:right="0"/>
        <w:jc w:val="both"/>
      </w:pPr>
      <w:r>
        <w:rPr/>
        <w:t>照新金融工具准则的规定，对金融工具的分类和计量（含减值）进行追溯调整，将金融工具</w:t>
      </w:r>
    </w:p>
    <w:p>
      <w:pPr>
        <w:pStyle w:val="BodyText"/>
        <w:spacing w:line="312" w:lineRule="exact" w:before="29"/>
        <w:ind w:right="1131"/>
        <w:jc w:val="both"/>
      </w:pPr>
      <w:r>
        <w:rPr>
          <w:spacing w:val="-5"/>
        </w:rPr>
        <w:t>原账面价值和在新金融工具准则施行日（即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日）的新账面价值之间的差额计入</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31"/>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日的留存收益或其他综合收益。同时，本公司未对比较财务报表数据进行调整。</w:t>
      </w:r>
    </w:p>
    <w:p>
      <w:pPr>
        <w:pStyle w:val="BodyText"/>
        <w:spacing w:line="322" w:lineRule="exact" w:before="89"/>
        <w:ind w:left="633" w:right="100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日，财政部发布《企业会计准则第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非货币性资产交换》（财会【</w:t>
      </w:r>
      <w:r>
        <w:rPr>
          <w:rFonts w:ascii="Times New Roman" w:hAnsi="Times New Roman" w:cs="Times New Roman" w:eastAsia="Times New Roman" w:hint="default"/>
        </w:rPr>
        <w:t>2019</w:t>
      </w:r>
      <w:r>
        <w:rPr/>
        <w:t>】</w:t>
      </w:r>
    </w:p>
    <w:p>
      <w:pPr>
        <w:pStyle w:val="BodyText"/>
        <w:spacing w:line="312" w:lineRule="exact" w:before="20"/>
        <w:ind w:right="1131"/>
        <w:jc w:val="both"/>
      </w:pPr>
      <w:r>
        <w:rPr>
          <w:rFonts w:ascii="Times New Roman" w:hAnsi="Times New Roman" w:cs="Times New Roman" w:eastAsia="Times New Roman" w:hint="default"/>
          <w:spacing w:val="-2"/>
        </w:rPr>
        <w:t>8</w:t>
      </w:r>
      <w:r>
        <w:rPr>
          <w:spacing w:val="-2"/>
        </w:rPr>
        <w:t>号），根据要求，本公司对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日至执行日之间发生的非货币性资产交换，根据本准</w:t>
      </w:r>
      <w:r>
        <w:rPr>
          <w:spacing w:val="-117"/>
        </w:rPr>
        <w:t> </w:t>
      </w:r>
      <w:r>
        <w:rPr>
          <w:spacing w:val="-117"/>
        </w:rPr>
      </w:r>
      <w:r>
        <w:rPr>
          <w:spacing w:val="-5"/>
        </w:rPr>
        <w:t>则进行调整，对</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日之前发生的非货币性资产交换，不进行追溯调整，本公司于</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日起执行本准则。</w:t>
      </w:r>
    </w:p>
    <w:p>
      <w:pPr>
        <w:pStyle w:val="BodyText"/>
        <w:spacing w:line="225" w:lineRule="auto" w:before="106"/>
        <w:ind w:right="1006" w:firstLine="48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日，财政部发布《企业会计准则第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9</w:t>
      </w:r>
      <w:r>
        <w:rPr>
          <w:spacing w:val="-2"/>
        </w:rPr>
        <w:t>号），</w:t>
      </w:r>
      <w:r>
        <w:rPr/>
        <w:t> 根据要求，本公司对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日至执行日之间发生的债务重组，根据本准则进行调整，对</w:t>
      </w:r>
      <w:r>
        <w:rPr>
          <w:spacing w:val="-88"/>
        </w:rPr>
        <w:t> </w:t>
      </w:r>
      <w:r>
        <w:rPr>
          <w:spacing w:val="-88"/>
        </w:rPr>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日之前发生的债务重组，不进行追溯调整，本公司于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17</w:t>
      </w:r>
      <w:r>
        <w:rPr>
          <w:spacing w:val="-5"/>
        </w:rPr>
        <w:t>日起执行本准则。</w:t>
      </w:r>
      <w:r>
        <w:rPr>
          <w:spacing w:val="-82"/>
        </w:rPr>
        <w:t> </w:t>
      </w:r>
      <w:r>
        <w:rPr>
          <w:spacing w:val="3"/>
        </w:rPr>
        <w:t>上述会计政策变更分别经本公司于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26</w:t>
      </w:r>
      <w:r>
        <w:rPr>
          <w:spacing w:val="3"/>
        </w:rPr>
        <w:t>日召开的第三届董事会第十八次会议、及于</w:t>
      </w:r>
      <w:r>
        <w:rPr>
          <w:spacing w:val="-112"/>
        </w:rPr>
        <w:t> </w:t>
      </w:r>
      <w:r>
        <w:rPr>
          <w:spacing w:val="-112"/>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日召开的第三届董事会第二十一次会议批准。</w:t>
      </w:r>
    </w:p>
    <w:p>
      <w:pPr>
        <w:spacing w:line="240" w:lineRule="auto" w:before="7"/>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1,374,119,862.21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1,374,119,862.21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149,768,601.26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6" w:right="0"/>
              <w:jc w:val="left"/>
              <w:rPr>
                <w:rFonts w:ascii="Times New Roman" w:hAnsi="Times New Roman" w:cs="Times New Roman" w:eastAsia="Times New Roman" w:hint="default"/>
                <w:sz w:val="18"/>
                <w:szCs w:val="18"/>
              </w:rPr>
            </w:pPr>
            <w:r>
              <w:rPr>
                <w:rFonts w:ascii="Times New Roman"/>
                <w:sz w:val="18"/>
              </w:rPr>
              <w:t>149,768,601.26</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3,665,356.99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3,665,356.99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1,468,850,517.11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1,468,850,517.11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15,394,479.17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15,394,479.17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100,404,456.02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100,404,456.02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633,160,199.86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633,160,199.86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180,632,202.77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30,863,601.51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6" w:right="0"/>
              <w:jc w:val="left"/>
              <w:rPr>
                <w:rFonts w:ascii="Times New Roman" w:hAnsi="Times New Roman" w:cs="Times New Roman" w:eastAsia="Times New Roman" w:hint="default"/>
                <w:sz w:val="18"/>
                <w:szCs w:val="18"/>
              </w:rPr>
            </w:pPr>
            <w:r>
              <w:rPr>
                <w:rFonts w:ascii="Times New Roman"/>
                <w:sz w:val="18"/>
              </w:rPr>
              <w:t>-149,768,601.26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3,776,227,074.13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3,776,227,074.13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1,410,103.86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1,410,103.86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63,840,044.46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63,840,044.46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2,705,988.77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2,705,988.77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10,212,316.57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10,212,316.57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917,988.05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917,988.05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38,356,869.85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38,356,869.85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137,443,311.56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137,443,311.56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3,913,670,385.69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3,913,670,385.69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593,392,685.27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593,392,685.27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164,142,973.30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164,142,973.30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167,928,240.19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167,928,240.19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107,048,979.59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107,048,979.59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20,847,536.84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20,847,536.84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1,283,360,415.19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1,283,360,415.19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1,283,360,415.19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1,283,360,415.19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220,746,347.00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220,746,347.00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1,406,305,871.38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1,406,305,871.38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-391,654.57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38,930,772.35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38,930,772.35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104,811,789.16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104,811,789.16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859,515,190.61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859,515,190.61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2,630,309,970.50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2,630,309,970.50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2,630,309,970.50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2,630,309,970.50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3,913,670,385.69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3,913,670,385.69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40" w:lineRule="auto" w:before="145"/>
        <w:ind w:left="633" w:right="1057"/>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pStyle w:val="BodyText"/>
        <w:spacing w:line="240" w:lineRule="auto" w:before="99"/>
        <w:ind w:left="633" w:right="1057"/>
        <w:jc w:val="left"/>
      </w:pPr>
      <w:r>
        <w:rPr>
          <w:rFonts w:ascii="Times New Roman" w:hAnsi="Times New Roman" w:cs="Times New Roman" w:eastAsia="Times New Roman" w:hint="default"/>
        </w:rPr>
        <w:t>A</w:t>
      </w:r>
      <w:r>
        <w:rPr/>
        <w:t>．合并财务报表</w:t>
      </w:r>
    </w:p>
    <w:p>
      <w:pPr>
        <w:spacing w:line="240" w:lineRule="auto" w:before="6"/>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342"/>
        <w:gridCol w:w="1534"/>
        <w:gridCol w:w="1510"/>
        <w:gridCol w:w="1702"/>
        <w:gridCol w:w="2302"/>
        <w:gridCol w:w="1407"/>
      </w:tblGrid>
      <w:tr>
        <w:trPr>
          <w:trHeight w:val="427" w:hRule="exact"/>
        </w:trPr>
        <w:tc>
          <w:tcPr>
            <w:tcW w:w="43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p>
        </w:tc>
        <w:tc>
          <w:tcPr>
            <w:tcW w:w="54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3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p>
        </w:tc>
      </w:tr>
      <w:tr>
        <w:trPr>
          <w:trHeight w:val="430"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8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3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42"/>
        <w:gridCol w:w="1534"/>
        <w:gridCol w:w="1510"/>
        <w:gridCol w:w="1702"/>
        <w:gridCol w:w="2302"/>
        <w:gridCol w:w="1407"/>
      </w:tblGrid>
      <w:tr>
        <w:trPr>
          <w:trHeight w:val="428"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1,374,119,862.21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1,374,119,862.21</w:t>
            </w:r>
          </w:p>
        </w:tc>
      </w:tr>
      <w:tr>
        <w:trPr>
          <w:trHeight w:val="427"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3,665,356.99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3,665,356.99</w:t>
            </w:r>
          </w:p>
        </w:tc>
      </w:tr>
      <w:tr>
        <w:trPr>
          <w:trHeight w:val="427"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1,468,850,517.11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1,468,850,517.11</w:t>
            </w:r>
          </w:p>
        </w:tc>
      </w:tr>
      <w:tr>
        <w:trPr>
          <w:trHeight w:val="427"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100,404,456.02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100,404,456.02</w:t>
            </w:r>
          </w:p>
        </w:tc>
      </w:tr>
      <w:tr>
        <w:trPr>
          <w:trHeight w:val="739" w:hRule="exact"/>
        </w:trPr>
        <w:tc>
          <w:tcPr>
            <w:tcW w:w="1342"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34" w:type="dxa"/>
            <w:vMerge w:val="restart"/>
            <w:tcBorders>
              <w:top w:val="single" w:sz="6" w:space="0" w:color="000000"/>
              <w:left w:val="single" w:sz="6" w:space="0" w:color="000000"/>
              <w:right w:val="single" w:sz="6" w:space="0" w:color="000000"/>
            </w:tcBorders>
          </w:tcPr>
          <w:p>
            <w:pPr>
              <w:pStyle w:val="TableParagraph"/>
              <w:spacing w:line="240" w:lineRule="auto" w:before="61"/>
              <w:ind w:left="398"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10" w:type="dxa"/>
            <w:vMerge w:val="restart"/>
            <w:tcBorders>
              <w:top w:val="single" w:sz="6" w:space="0" w:color="000000"/>
              <w:left w:val="single" w:sz="6" w:space="0" w:color="000000"/>
              <w:right w:val="single" w:sz="6" w:space="0" w:color="000000"/>
            </w:tcBorders>
          </w:tcPr>
          <w:p>
            <w:pPr>
              <w:pStyle w:val="TableParagraph"/>
              <w:spacing w:line="240" w:lineRule="auto" w:before="103"/>
              <w:ind w:left="367" w:right="0"/>
              <w:jc w:val="left"/>
              <w:rPr>
                <w:rFonts w:ascii="Times New Roman" w:hAnsi="Times New Roman" w:cs="Times New Roman" w:eastAsia="Times New Roman" w:hint="default"/>
                <w:sz w:val="18"/>
                <w:szCs w:val="18"/>
              </w:rPr>
            </w:pPr>
            <w:r>
              <w:rPr>
                <w:rFonts w:ascii="Times New Roman"/>
                <w:sz w:val="18"/>
              </w:rPr>
              <w:t>180,632,202.77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695" w:right="62" w:hanging="632"/>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149,768,601.26</w:t>
            </w:r>
          </w:p>
        </w:tc>
      </w:tr>
      <w:tr>
        <w:trPr>
          <w:trHeight w:val="427" w:hRule="exact"/>
        </w:trPr>
        <w:tc>
          <w:tcPr>
            <w:tcW w:w="1342" w:type="dxa"/>
            <w:vMerge/>
            <w:tcBorders>
              <w:left w:val="single" w:sz="6" w:space="0" w:color="000000"/>
              <w:bottom w:val="single" w:sz="6" w:space="0" w:color="000000"/>
              <w:right w:val="single" w:sz="6" w:space="0" w:color="000000"/>
            </w:tcBorders>
          </w:tcPr>
          <w:p>
            <w:pPr/>
          </w:p>
        </w:tc>
        <w:tc>
          <w:tcPr>
            <w:tcW w:w="1534" w:type="dxa"/>
            <w:vMerge/>
            <w:tcBorders>
              <w:left w:val="single" w:sz="6" w:space="0" w:color="000000"/>
              <w:bottom w:val="single" w:sz="6" w:space="0" w:color="000000"/>
              <w:right w:val="single" w:sz="6" w:space="0" w:color="000000"/>
            </w:tcBorders>
          </w:tcPr>
          <w:p>
            <w:pPr/>
          </w:p>
        </w:tc>
        <w:tc>
          <w:tcPr>
            <w:tcW w:w="1510"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30,863,601.51</w:t>
            </w:r>
          </w:p>
        </w:tc>
      </w:tr>
    </w:tbl>
    <w:p>
      <w:pPr>
        <w:pStyle w:val="BodyText"/>
        <w:spacing w:line="312" w:lineRule="exact" w:before="113"/>
        <w:ind w:right="1057" w:firstLine="480"/>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 面价值的调节表</w:t>
      </w:r>
    </w:p>
    <w:p>
      <w:pPr>
        <w:pStyle w:val="BodyText"/>
        <w:spacing w:line="240" w:lineRule="auto" w:before="87"/>
        <w:ind w:left="633" w:right="1057"/>
        <w:jc w:val="left"/>
      </w:pPr>
      <w:r>
        <w:rPr>
          <w:rFonts w:ascii="Times New Roman" w:hAnsi="Times New Roman" w:cs="Times New Roman" w:eastAsia="Times New Roman" w:hint="default"/>
        </w:rPr>
        <w:t>A</w:t>
      </w:r>
      <w:r>
        <w:rPr/>
        <w:t>．合并财务报表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0" w:right="1510" w:firstLine="0"/>
        <w:jc w:val="right"/>
        <w:rPr>
          <w:rFonts w:ascii="宋体" w:hAnsi="宋体" w:cs="宋体" w:eastAsia="宋体" w:hint="default"/>
          <w:sz w:val="18"/>
          <w:szCs w:val="18"/>
        </w:rPr>
      </w:pPr>
      <w:r>
        <w:rPr/>
        <w:pict>
          <v:shape style="position:absolute;margin-left:56.279999pt;margin-top:-19.368303pt;width:460.2pt;height:169.9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9"/>
                    <w:gridCol w:w="2103"/>
                    <w:gridCol w:w="1664"/>
                    <w:gridCol w:w="1292"/>
                    <w:gridCol w:w="1865"/>
                  </w:tblGrid>
                  <w:tr>
                    <w:trPr>
                      <w:trHeight w:val="739"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5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日的账面价 值（按原金融工具准则）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5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4" w:right="19" w:firstLine="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日的账面价 </w:t>
                        </w:r>
                        <w:r>
                          <w:rPr>
                            <w:rFonts w:ascii="宋体" w:hAnsi="宋体" w:cs="宋体" w:eastAsia="宋体" w:hint="default"/>
                            <w:spacing w:val="-5"/>
                            <w:sz w:val="18"/>
                            <w:szCs w:val="18"/>
                          </w:rPr>
                          <w:t>值（按新金融工具准则</w:t>
                        </w:r>
                      </w:p>
                    </w:tc>
                  </w:tr>
                  <w:tr>
                    <w:trPr>
                      <w:trHeight w:val="427" w:hRule="exact"/>
                    </w:trPr>
                    <w:tc>
                      <w:tcPr>
                        <w:tcW w:w="918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一、新金融工具准则下以公允价值计量且其变动计入当期损益的金融资产</w:t>
                        </w:r>
                      </w:p>
                    </w:tc>
                  </w:tr>
                  <w:tr>
                    <w:trPr>
                      <w:trHeight w:val="1051"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77"/>
                          <w:jc w:val="both"/>
                          <w:rPr>
                            <w:rFonts w:ascii="宋体" w:hAnsi="宋体" w:cs="宋体" w:eastAsia="宋体" w:hint="default"/>
                            <w:sz w:val="18"/>
                            <w:szCs w:val="18"/>
                          </w:rPr>
                        </w:pPr>
                        <w:r>
                          <w:rPr>
                            <w:rFonts w:ascii="宋体" w:hAnsi="宋体" w:cs="宋体" w:eastAsia="宋体" w:hint="default"/>
                            <w:sz w:val="18"/>
                            <w:szCs w:val="18"/>
                          </w:rPr>
                          <w:t>公允价值计量且其变动计入 当期损益的金融资产（按原 金融工具准则列示金额）</w:t>
                        </w:r>
                      </w:p>
                    </w:tc>
                    <w:tc>
                      <w:tcPr>
                        <w:tcW w:w="210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加：从其他流动资产转入</w:t>
                        </w:r>
                      </w:p>
                    </w:tc>
                    <w:tc>
                      <w:tcPr>
                        <w:tcW w:w="210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149,768,601.26</w:t>
                        </w:r>
                      </w:p>
                    </w:tc>
                    <w:tc>
                      <w:tcPr>
                        <w:tcW w:w="129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77"/>
                          <w:jc w:val="left"/>
                          <w:rPr>
                            <w:rFonts w:ascii="宋体" w:hAnsi="宋体" w:cs="宋体" w:eastAsia="宋体" w:hint="default"/>
                            <w:sz w:val="18"/>
                            <w:szCs w:val="18"/>
                          </w:rPr>
                        </w:pPr>
                        <w:r>
                          <w:rPr>
                            <w:rFonts w:ascii="宋体" w:hAnsi="宋体" w:cs="宋体" w:eastAsia="宋体" w:hint="default"/>
                            <w:sz w:val="18"/>
                            <w:szCs w:val="18"/>
                          </w:rPr>
                          <w:t>交易性金融资产（按新融工 具准则列示金额）</w:t>
                        </w:r>
                      </w:p>
                    </w:tc>
                    <w:tc>
                      <w:tcPr>
                        <w:tcW w:w="210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22" w:right="0"/>
                          <w:jc w:val="left"/>
                          <w:rPr>
                            <w:rFonts w:ascii="Times New Roman" w:hAnsi="Times New Roman" w:cs="Times New Roman" w:eastAsia="Times New Roman" w:hint="default"/>
                            <w:sz w:val="18"/>
                            <w:szCs w:val="18"/>
                          </w:rPr>
                        </w:pPr>
                        <w:r>
                          <w:rPr>
                            <w:rFonts w:ascii="Times New Roman"/>
                            <w:sz w:val="18"/>
                          </w:rPr>
                          <w:t>149,768,601.26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1,329,349,662.34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1,329,349,662.34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149,768,601.26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6" w:right="0"/>
              <w:jc w:val="left"/>
              <w:rPr>
                <w:rFonts w:ascii="Times New Roman" w:hAnsi="Times New Roman" w:cs="Times New Roman" w:eastAsia="Times New Roman" w:hint="default"/>
                <w:sz w:val="18"/>
                <w:szCs w:val="18"/>
              </w:rPr>
            </w:pPr>
            <w:r>
              <w:rPr>
                <w:rFonts w:ascii="Times New Roman"/>
                <w:sz w:val="18"/>
              </w:rPr>
              <w:t>149,768,601.26</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3,665,356.99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3,665,356.99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1,468,850,517.11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1,468,850,517.11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15,392,479.17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15,392,479.17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101,149,828.45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101,149,828.45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628,810,889.69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628,810,889.69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179,870,586.69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30,101,985.43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6" w:right="0"/>
              <w:jc w:val="left"/>
              <w:rPr>
                <w:rFonts w:ascii="Times New Roman" w:hAnsi="Times New Roman" w:cs="Times New Roman" w:eastAsia="Times New Roman" w:hint="default"/>
                <w:sz w:val="18"/>
                <w:szCs w:val="18"/>
              </w:rPr>
            </w:pPr>
            <w:r>
              <w:rPr>
                <w:rFonts w:ascii="Times New Roman"/>
                <w:sz w:val="18"/>
              </w:rPr>
              <w:t>-149,768,601.26</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3,727,089,320.44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3,727,089,320.44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41,293,253.03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41,293,253.03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63,835,888.96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63,835,888.96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2,705,988.77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2,705,988.77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10,212,316.57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10,212,316.57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917,988.05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917,988.05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37,753,001.91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37,753,001.91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176,718,437.29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176,718,437.29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3,903,807,757.73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3,903,807,757.73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590,743,343.71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590,743,343.71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160,046,575.92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160,046,575.92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165,955,799.71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165,955,799.71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106,974,534.74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106,974,534.74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20,847,536.84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20,847,536.84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1,274,567,790.92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1,274,567,790.92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1,274,567,790.92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1,274,567,790.92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220,746,347.00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220,746,347.00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1,404,452,245.18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1,404,452,245.18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38,930,772.35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38,930,772.35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104,811,789.16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104,811,789.16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860,298,813.12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860,298,813.12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2,629,239,966.81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2,629,239,966.81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3,903,807,757.73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3,903,807,757.73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40" w:lineRule="auto" w:before="145"/>
        <w:ind w:left="633" w:right="1057"/>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pStyle w:val="BodyText"/>
        <w:spacing w:line="240" w:lineRule="auto" w:before="99"/>
        <w:ind w:left="633" w:right="1057"/>
        <w:jc w:val="left"/>
      </w:pPr>
      <w:r>
        <w:rPr>
          <w:rFonts w:ascii="Times New Roman" w:hAnsi="Times New Roman" w:cs="Times New Roman" w:eastAsia="Times New Roman" w:hint="default"/>
        </w:rPr>
        <w:t>B</w:t>
      </w:r>
      <w:r>
        <w:rPr/>
        <w:t>．母公司财务报表</w:t>
      </w:r>
    </w:p>
    <w:p>
      <w:pPr>
        <w:spacing w:line="240" w:lineRule="auto" w:before="6"/>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220"/>
        <w:gridCol w:w="1306"/>
        <w:gridCol w:w="1620"/>
        <w:gridCol w:w="1731"/>
        <w:gridCol w:w="2302"/>
        <w:gridCol w:w="1613"/>
      </w:tblGrid>
      <w:tr>
        <w:trPr>
          <w:trHeight w:val="427" w:hRule="exact"/>
        </w:trPr>
        <w:tc>
          <w:tcPr>
            <w:tcW w:w="41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p>
        </w:tc>
        <w:tc>
          <w:tcPr>
            <w:tcW w:w="56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p>
        </w:tc>
      </w:tr>
      <w:tr>
        <w:trPr>
          <w:trHeight w:val="427"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2"/>
              <w:jc w:val="right"/>
              <w:rPr>
                <w:rFonts w:ascii="宋体" w:hAnsi="宋体" w:cs="宋体" w:eastAsia="宋体" w:hint="default"/>
                <w:sz w:val="18"/>
                <w:szCs w:val="18"/>
              </w:rPr>
            </w:pPr>
            <w:r>
              <w:rPr>
                <w:rFonts w:ascii="宋体" w:hAnsi="宋体" w:cs="宋体" w:eastAsia="宋体" w:hint="default"/>
                <w:sz w:val="18"/>
                <w:szCs w:val="18"/>
              </w:rPr>
              <w:t>计量类别</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2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1,329,349,662.34</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2"/>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1,329,349,662.34</w:t>
            </w:r>
          </w:p>
        </w:tc>
      </w:tr>
      <w:tr>
        <w:trPr>
          <w:trHeight w:val="427"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3,665,356.99</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2"/>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3,665,356.99</w:t>
            </w:r>
          </w:p>
        </w:tc>
      </w:tr>
      <w:tr>
        <w:trPr>
          <w:trHeight w:val="427"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1,468,850,517.11</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2"/>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1,468,850,517.11</w:t>
            </w:r>
          </w:p>
        </w:tc>
      </w:tr>
      <w:tr>
        <w:trPr>
          <w:trHeight w:val="425"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101,149,828.45</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2"/>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101,149,828.45</w:t>
            </w:r>
          </w:p>
        </w:tc>
      </w:tr>
      <w:tr>
        <w:trPr>
          <w:trHeight w:val="739" w:hRule="exact"/>
        </w:trPr>
        <w:tc>
          <w:tcPr>
            <w:tcW w:w="1220" w:type="dxa"/>
            <w:vMerge w:val="restart"/>
            <w:tcBorders>
              <w:top w:val="single" w:sz="6" w:space="0" w:color="000000"/>
              <w:left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06" w:type="dxa"/>
            <w:vMerge w:val="restart"/>
            <w:tcBorders>
              <w:top w:val="single" w:sz="6" w:space="0" w:color="000000"/>
              <w:left w:val="single" w:sz="6" w:space="0" w:color="000000"/>
              <w:right w:val="single" w:sz="6" w:space="0" w:color="000000"/>
            </w:tcBorders>
          </w:tcPr>
          <w:p>
            <w:pPr>
              <w:pStyle w:val="TableParagraph"/>
              <w:spacing w:line="240" w:lineRule="auto" w:before="63"/>
              <w:ind w:left="28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20" w:type="dxa"/>
            <w:vMerge w:val="restart"/>
            <w:tcBorders>
              <w:top w:val="single" w:sz="6" w:space="0" w:color="000000"/>
              <w:left w:val="single" w:sz="6" w:space="0" w:color="000000"/>
              <w:right w:val="single" w:sz="6" w:space="0" w:color="000000"/>
            </w:tcBorders>
          </w:tcPr>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179,870,586.69</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693" w:right="62" w:hanging="629"/>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149,768,601.26</w:t>
            </w:r>
          </w:p>
        </w:tc>
      </w:tr>
      <w:tr>
        <w:trPr>
          <w:trHeight w:val="430" w:hRule="exact"/>
        </w:trPr>
        <w:tc>
          <w:tcPr>
            <w:tcW w:w="1220" w:type="dxa"/>
            <w:vMerge/>
            <w:tcBorders>
              <w:left w:val="single" w:sz="6" w:space="0" w:color="000000"/>
              <w:bottom w:val="single" w:sz="6" w:space="0" w:color="000000"/>
              <w:right w:val="single" w:sz="6" w:space="0" w:color="000000"/>
            </w:tcBorders>
          </w:tcPr>
          <w:p>
            <w:pPr/>
          </w:p>
        </w:tc>
        <w:tc>
          <w:tcPr>
            <w:tcW w:w="1306" w:type="dxa"/>
            <w:vMerge/>
            <w:tcBorders>
              <w:left w:val="single" w:sz="6" w:space="0" w:color="000000"/>
              <w:bottom w:val="single" w:sz="6" w:space="0" w:color="000000"/>
              <w:right w:val="single" w:sz="6" w:space="0" w:color="000000"/>
            </w:tcBorders>
          </w:tcPr>
          <w:p>
            <w:pPr/>
          </w:p>
        </w:tc>
        <w:tc>
          <w:tcPr>
            <w:tcW w:w="1620" w:type="dxa"/>
            <w:vMerge/>
            <w:tcBorders>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82"/>
              <w:jc w:val="right"/>
              <w:rPr>
                <w:rFonts w:ascii="宋体" w:hAnsi="宋体" w:cs="宋体" w:eastAsia="宋体" w:hint="default"/>
                <w:sz w:val="18"/>
                <w:szCs w:val="18"/>
              </w:rPr>
            </w:pPr>
            <w:r>
              <w:rPr>
                <w:rFonts w:ascii="宋体" w:hAnsi="宋体" w:cs="宋体" w:eastAsia="宋体" w:hint="default"/>
                <w:sz w:val="18"/>
                <w:szCs w:val="18"/>
              </w:rPr>
              <w:t>摊余成本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30,101,985.43</w:t>
            </w:r>
          </w:p>
        </w:tc>
      </w:tr>
    </w:tbl>
    <w:p>
      <w:pPr>
        <w:pStyle w:val="BodyText"/>
        <w:spacing w:line="312" w:lineRule="exact" w:before="112"/>
        <w:ind w:right="1057" w:firstLine="480"/>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 面价值的调节表</w:t>
      </w:r>
    </w:p>
    <w:p>
      <w:pPr>
        <w:spacing w:line="240" w:lineRule="auto" w:before="7"/>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400"/>
        <w:gridCol w:w="2233"/>
        <w:gridCol w:w="1769"/>
        <w:gridCol w:w="1371"/>
        <w:gridCol w:w="1980"/>
      </w:tblGrid>
      <w:tr>
        <w:trPr>
          <w:trHeight w:val="739"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日的账面价值</w:t>
            </w:r>
          </w:p>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（按原金融工具准则）</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0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19"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4" w:right="-19" w:firstLine="7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日的账面价 值（按新金融工具准则）</w:t>
            </w:r>
          </w:p>
        </w:tc>
      </w:tr>
      <w:tr>
        <w:trPr>
          <w:trHeight w:val="427" w:hRule="exact"/>
        </w:trPr>
        <w:tc>
          <w:tcPr>
            <w:tcW w:w="975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一、新金融工具准则下以公允价值计量且其变动计入当期损益的金融资产</w:t>
            </w:r>
          </w:p>
        </w:tc>
      </w:tr>
      <w:tr>
        <w:trPr>
          <w:trHeight w:val="1051"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39"/>
              <w:jc w:val="both"/>
              <w:rPr>
                <w:rFonts w:ascii="宋体" w:hAnsi="宋体" w:cs="宋体" w:eastAsia="宋体" w:hint="default"/>
                <w:sz w:val="18"/>
                <w:szCs w:val="18"/>
              </w:rPr>
            </w:pPr>
            <w:r>
              <w:rPr>
                <w:rFonts w:ascii="宋体" w:hAnsi="宋体" w:cs="宋体" w:eastAsia="宋体" w:hint="default"/>
                <w:sz w:val="18"/>
                <w:szCs w:val="18"/>
              </w:rPr>
              <w:t>公允价值计量且其变动计入当 期损益的金融资产（按原金融 工具准则列示金额）</w:t>
            </w:r>
          </w:p>
        </w:tc>
        <w:tc>
          <w:tcPr>
            <w:tcW w:w="2233"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加：从其他流动资产转入</w:t>
            </w:r>
          </w:p>
        </w:tc>
        <w:tc>
          <w:tcPr>
            <w:tcW w:w="2233"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29" w:right="0"/>
              <w:jc w:val="left"/>
              <w:rPr>
                <w:rFonts w:ascii="Times New Roman" w:hAnsi="Times New Roman" w:cs="Times New Roman" w:eastAsia="Times New Roman" w:hint="default"/>
                <w:sz w:val="18"/>
                <w:szCs w:val="18"/>
              </w:rPr>
            </w:pPr>
            <w:r>
              <w:rPr>
                <w:rFonts w:ascii="Times New Roman"/>
                <w:sz w:val="18"/>
              </w:rPr>
              <w:t>149,768,601.26</w:t>
            </w:r>
          </w:p>
        </w:tc>
        <w:tc>
          <w:tcPr>
            <w:tcW w:w="1371"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39"/>
              <w:jc w:val="left"/>
              <w:rPr>
                <w:rFonts w:ascii="宋体" w:hAnsi="宋体" w:cs="宋体" w:eastAsia="宋体" w:hint="default"/>
                <w:sz w:val="18"/>
                <w:szCs w:val="18"/>
              </w:rPr>
            </w:pPr>
            <w:r>
              <w:rPr>
                <w:rFonts w:ascii="宋体" w:hAnsi="宋体" w:cs="宋体" w:eastAsia="宋体" w:hint="default"/>
                <w:sz w:val="18"/>
                <w:szCs w:val="18"/>
              </w:rPr>
              <w:t>交易性金融资产（按新融工具 准则列示金额）</w:t>
            </w:r>
          </w:p>
        </w:tc>
        <w:tc>
          <w:tcPr>
            <w:tcW w:w="2233" w:type="dxa"/>
            <w:tcBorders>
              <w:top w:val="single" w:sz="6" w:space="0" w:color="000000"/>
              <w:left w:val="single" w:sz="6" w:space="0" w:color="000000"/>
              <w:bottom w:val="single" w:sz="6" w:space="0" w:color="000000"/>
              <w:right w:val="single" w:sz="6" w:space="0" w:color="000000"/>
            </w:tcBorders>
          </w:tcPr>
          <w:p>
            <w:pPr/>
          </w:p>
        </w:tc>
        <w:tc>
          <w:tcPr>
            <w:tcW w:w="1769"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37" w:right="0"/>
              <w:jc w:val="left"/>
              <w:rPr>
                <w:rFonts w:ascii="Times New Roman" w:hAnsi="Times New Roman" w:cs="Times New Roman" w:eastAsia="Times New Roman" w:hint="default"/>
                <w:sz w:val="18"/>
                <w:szCs w:val="18"/>
              </w:rPr>
            </w:pPr>
            <w:r>
              <w:rPr>
                <w:rFonts w:ascii="Times New Roman"/>
                <w:sz w:val="18"/>
              </w:rPr>
              <w:t>149,768,601.26</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5"/>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2"/>
        <w:ind w:left="633" w:right="1057"/>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pStyle w:val="BodyText"/>
        <w:spacing w:line="240" w:lineRule="auto" w:before="99"/>
        <w:ind w:left="633" w:right="1057"/>
        <w:jc w:val="left"/>
      </w:pPr>
      <w:r>
        <w:rPr>
          <w:rFonts w:ascii="Times New Roman" w:hAnsi="Times New Roman" w:cs="Times New Roman" w:eastAsia="Times New Roman" w:hint="default"/>
        </w:rPr>
        <w:t>A</w:t>
      </w:r>
      <w:r>
        <w:rPr/>
        <w:t>．合并财务报表</w:t>
      </w:r>
    </w:p>
    <w:p>
      <w:pPr>
        <w:spacing w:line="240" w:lineRule="auto" w:before="6"/>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935"/>
        <w:gridCol w:w="1455"/>
        <w:gridCol w:w="1599"/>
        <w:gridCol w:w="1469"/>
        <w:gridCol w:w="982"/>
        <w:gridCol w:w="1742"/>
      </w:tblGrid>
      <w:tr>
        <w:trPr>
          <w:trHeight w:val="427" w:hRule="exact"/>
        </w:trPr>
        <w:tc>
          <w:tcPr>
            <w:tcW w:w="49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p>
        </w:tc>
        <w:tc>
          <w:tcPr>
            <w:tcW w:w="41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7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p>
        </w:tc>
      </w:tr>
      <w:tr>
        <w:trPr>
          <w:trHeight w:val="427"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28"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1,374,119,862.21</w:t>
            </w:r>
            <w:r>
              <w:rPr>
                <w:rFonts w:ascii="Times New Roman"/>
                <w:sz w:val="18"/>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1,374,119,862.21</w:t>
            </w:r>
          </w:p>
        </w:tc>
      </w:tr>
      <w:tr>
        <w:trPr>
          <w:trHeight w:val="427"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3,665,356.99</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3,665,356.99</w:t>
            </w:r>
          </w:p>
        </w:tc>
      </w:tr>
      <w:tr>
        <w:trPr>
          <w:trHeight w:val="427"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1,468,850,517.11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1,468,850,517.11</w:t>
            </w:r>
          </w:p>
        </w:tc>
      </w:tr>
      <w:tr>
        <w:trPr>
          <w:trHeight w:val="427"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100,404,456.02</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100,404,456.02</w:t>
            </w:r>
          </w:p>
        </w:tc>
      </w:tr>
      <w:tr>
        <w:trPr>
          <w:trHeight w:val="1363" w:hRule="exact"/>
        </w:trPr>
        <w:tc>
          <w:tcPr>
            <w:tcW w:w="1935"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55" w:type="dxa"/>
            <w:vMerge w:val="restart"/>
            <w:tcBorders>
              <w:top w:val="single" w:sz="6" w:space="0" w:color="000000"/>
              <w:left w:val="single" w:sz="6" w:space="0" w:color="000000"/>
              <w:right w:val="single" w:sz="6" w:space="0" w:color="000000"/>
            </w:tcBorders>
          </w:tcPr>
          <w:p>
            <w:pPr>
              <w:pStyle w:val="TableParagraph"/>
              <w:spacing w:line="240" w:lineRule="auto" w:before="61"/>
              <w:ind w:left="36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vMerge w:val="restart"/>
            <w:tcBorders>
              <w:top w:val="single" w:sz="6" w:space="0" w:color="000000"/>
              <w:left w:val="single" w:sz="6" w:space="0" w:color="000000"/>
              <w:right w:val="single" w:sz="6" w:space="0" w:color="000000"/>
            </w:tcBorders>
          </w:tcPr>
          <w:p>
            <w:pPr>
              <w:pStyle w:val="TableParagraph"/>
              <w:spacing w:line="240" w:lineRule="auto" w:before="103"/>
              <w:ind w:left="455" w:right="0"/>
              <w:jc w:val="left"/>
              <w:rPr>
                <w:rFonts w:ascii="Times New Roman" w:hAnsi="Times New Roman" w:cs="Times New Roman" w:eastAsia="Times New Roman" w:hint="default"/>
                <w:sz w:val="18"/>
                <w:szCs w:val="18"/>
              </w:rPr>
            </w:pPr>
            <w:r>
              <w:rPr>
                <w:rFonts w:ascii="Times New Roman"/>
                <w:sz w:val="18"/>
              </w:rPr>
              <w:t>180,632,202.77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3" w:right="32"/>
              <w:jc w:val="center"/>
              <w:rPr>
                <w:rFonts w:ascii="宋体" w:hAnsi="宋体" w:cs="宋体" w:eastAsia="宋体" w:hint="default"/>
                <w:sz w:val="18"/>
                <w:szCs w:val="18"/>
              </w:rPr>
            </w:pPr>
            <w:r>
              <w:rPr>
                <w:rFonts w:ascii="宋体" w:hAnsi="宋体" w:cs="宋体" w:eastAsia="宋体" w:hint="default"/>
                <w:sz w:val="18"/>
                <w:szCs w:val="18"/>
              </w:rPr>
              <w:t>以公允价值 计量且其变 动计入当期 损益</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149,768,601.26</w:t>
            </w:r>
          </w:p>
        </w:tc>
      </w:tr>
      <w:tr>
        <w:trPr>
          <w:trHeight w:val="427" w:hRule="exact"/>
        </w:trPr>
        <w:tc>
          <w:tcPr>
            <w:tcW w:w="1935" w:type="dxa"/>
            <w:vMerge/>
            <w:tcBorders>
              <w:left w:val="single" w:sz="6" w:space="0" w:color="000000"/>
              <w:bottom w:val="single" w:sz="6" w:space="0" w:color="000000"/>
              <w:right w:val="single" w:sz="6" w:space="0" w:color="000000"/>
            </w:tcBorders>
          </w:tcPr>
          <w:p>
            <w:pPr/>
          </w:p>
        </w:tc>
        <w:tc>
          <w:tcPr>
            <w:tcW w:w="1455" w:type="dxa"/>
            <w:vMerge/>
            <w:tcBorders>
              <w:left w:val="single" w:sz="6" w:space="0" w:color="000000"/>
              <w:bottom w:val="single" w:sz="6" w:space="0" w:color="000000"/>
              <w:right w:val="single" w:sz="6" w:space="0" w:color="000000"/>
            </w:tcBorders>
          </w:tcPr>
          <w:p>
            <w:pPr/>
          </w:p>
        </w:tc>
        <w:tc>
          <w:tcPr>
            <w:tcW w:w="1599" w:type="dxa"/>
            <w:vMerge/>
            <w:tcBorders>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30,863,601.51</w:t>
            </w:r>
          </w:p>
        </w:tc>
      </w:tr>
    </w:tbl>
    <w:p>
      <w:pPr>
        <w:pStyle w:val="BodyText"/>
        <w:spacing w:line="240" w:lineRule="auto" w:before="82"/>
        <w:ind w:left="633" w:right="1057"/>
        <w:jc w:val="left"/>
      </w:pPr>
      <w:r>
        <w:rPr>
          <w:rFonts w:ascii="Times New Roman" w:hAnsi="Times New Roman" w:cs="Times New Roman" w:eastAsia="Times New Roman" w:hint="default"/>
        </w:rPr>
        <w:t>B</w:t>
      </w:r>
      <w:r>
        <w:rPr/>
        <w:t>．母公司财务报表</w:t>
      </w:r>
    </w:p>
    <w:p>
      <w:pPr>
        <w:spacing w:line="240" w:lineRule="auto" w:before="4"/>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935"/>
        <w:gridCol w:w="1455"/>
        <w:gridCol w:w="1599"/>
        <w:gridCol w:w="1469"/>
        <w:gridCol w:w="982"/>
        <w:gridCol w:w="1742"/>
      </w:tblGrid>
      <w:tr>
        <w:trPr>
          <w:trHeight w:val="427" w:hRule="exact"/>
        </w:trPr>
        <w:tc>
          <w:tcPr>
            <w:tcW w:w="49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p>
        </w:tc>
        <w:tc>
          <w:tcPr>
            <w:tcW w:w="41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7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p>
        </w:tc>
      </w:tr>
      <w:tr>
        <w:trPr>
          <w:trHeight w:val="427"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27"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1,329,349,662.34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1,329,349,662.34</w:t>
            </w:r>
          </w:p>
        </w:tc>
      </w:tr>
      <w:tr>
        <w:trPr>
          <w:trHeight w:val="427"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3,665,356.99</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3,665,356.99</w:t>
            </w:r>
          </w:p>
        </w:tc>
      </w:tr>
      <w:tr>
        <w:trPr>
          <w:trHeight w:val="427"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1,468,850,517.11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1,468,850,517.11</w:t>
            </w:r>
          </w:p>
        </w:tc>
      </w:tr>
      <w:tr>
        <w:trPr>
          <w:trHeight w:val="427" w:hRule="exact"/>
        </w:trPr>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101,149,828.45</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101,149,828.45</w:t>
            </w:r>
          </w:p>
        </w:tc>
      </w:tr>
      <w:tr>
        <w:trPr>
          <w:trHeight w:val="1364" w:hRule="exact"/>
        </w:trPr>
        <w:tc>
          <w:tcPr>
            <w:tcW w:w="1935" w:type="dxa"/>
            <w:vMerge w:val="restart"/>
            <w:tcBorders>
              <w:top w:val="single" w:sz="6" w:space="0" w:color="000000"/>
              <w:left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55" w:type="dxa"/>
            <w:vMerge w:val="restart"/>
            <w:tcBorders>
              <w:top w:val="single" w:sz="6" w:space="0" w:color="000000"/>
              <w:left w:val="single" w:sz="6" w:space="0" w:color="000000"/>
              <w:right w:val="single" w:sz="6" w:space="0" w:color="000000"/>
            </w:tcBorders>
          </w:tcPr>
          <w:p>
            <w:pPr>
              <w:pStyle w:val="TableParagraph"/>
              <w:spacing w:line="240" w:lineRule="auto" w:before="61"/>
              <w:ind w:left="36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99" w:type="dxa"/>
            <w:vMerge w:val="restart"/>
            <w:tcBorders>
              <w:top w:val="single" w:sz="6" w:space="0" w:color="000000"/>
              <w:left w:val="single" w:sz="6" w:space="0" w:color="000000"/>
              <w:right w:val="single" w:sz="6" w:space="0" w:color="000000"/>
            </w:tcBorders>
          </w:tcPr>
          <w:p>
            <w:pPr>
              <w:pStyle w:val="TableParagraph"/>
              <w:spacing w:line="240" w:lineRule="auto" w:before="103"/>
              <w:ind w:left="455" w:right="0"/>
              <w:jc w:val="left"/>
              <w:rPr>
                <w:rFonts w:ascii="Times New Roman" w:hAnsi="Times New Roman" w:cs="Times New Roman" w:eastAsia="Times New Roman" w:hint="default"/>
                <w:sz w:val="18"/>
                <w:szCs w:val="18"/>
              </w:rPr>
            </w:pPr>
            <w:r>
              <w:rPr>
                <w:rFonts w:ascii="Times New Roman"/>
                <w:sz w:val="18"/>
              </w:rPr>
              <w:t>179,870,586.69</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3" w:right="32"/>
              <w:jc w:val="center"/>
              <w:rPr>
                <w:rFonts w:ascii="宋体" w:hAnsi="宋体" w:cs="宋体" w:eastAsia="宋体" w:hint="default"/>
                <w:sz w:val="18"/>
                <w:szCs w:val="18"/>
              </w:rPr>
            </w:pPr>
            <w:r>
              <w:rPr>
                <w:rFonts w:ascii="宋体" w:hAnsi="宋体" w:cs="宋体" w:eastAsia="宋体" w:hint="default"/>
                <w:sz w:val="18"/>
                <w:szCs w:val="18"/>
              </w:rPr>
              <w:t>以公允价值 计量且其变 动计入当期 损益</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149,768,601.26</w:t>
            </w:r>
          </w:p>
        </w:tc>
      </w:tr>
      <w:tr>
        <w:trPr>
          <w:trHeight w:val="427" w:hRule="exact"/>
        </w:trPr>
        <w:tc>
          <w:tcPr>
            <w:tcW w:w="1935" w:type="dxa"/>
            <w:vMerge/>
            <w:tcBorders>
              <w:left w:val="single" w:sz="6" w:space="0" w:color="000000"/>
              <w:bottom w:val="single" w:sz="6" w:space="0" w:color="000000"/>
              <w:right w:val="single" w:sz="6" w:space="0" w:color="000000"/>
            </w:tcBorders>
          </w:tcPr>
          <w:p>
            <w:pPr/>
          </w:p>
        </w:tc>
        <w:tc>
          <w:tcPr>
            <w:tcW w:w="1455" w:type="dxa"/>
            <w:vMerge/>
            <w:tcBorders>
              <w:left w:val="single" w:sz="6" w:space="0" w:color="000000"/>
              <w:bottom w:val="single" w:sz="6" w:space="0" w:color="000000"/>
              <w:right w:val="single" w:sz="6" w:space="0" w:color="000000"/>
            </w:tcBorders>
          </w:tcPr>
          <w:p>
            <w:pPr/>
          </w:p>
        </w:tc>
        <w:tc>
          <w:tcPr>
            <w:tcW w:w="1599" w:type="dxa"/>
            <w:vMerge/>
            <w:tcBorders>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30,101,985.43</w:t>
            </w:r>
          </w:p>
        </w:tc>
      </w:tr>
    </w:tbl>
    <w:p>
      <w:pPr>
        <w:pStyle w:val="BodyText"/>
        <w:spacing w:line="312" w:lineRule="exact" w:before="113"/>
        <w:ind w:right="1057" w:firstLine="480"/>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 面价值的调节表</w:t>
      </w:r>
    </w:p>
    <w:p>
      <w:pPr>
        <w:pStyle w:val="BodyText"/>
        <w:spacing w:line="240" w:lineRule="auto" w:before="89"/>
        <w:ind w:left="633" w:right="1057"/>
        <w:jc w:val="left"/>
      </w:pPr>
      <w:r>
        <w:rPr>
          <w:rFonts w:ascii="Times New Roman" w:hAnsi="Times New Roman" w:cs="Times New Roman" w:eastAsia="Times New Roman" w:hint="default"/>
        </w:rPr>
        <w:t>A</w:t>
      </w:r>
      <w:r>
        <w:rPr/>
        <w:t>．合并财务报表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0" w:right="1510" w:firstLine="0"/>
        <w:jc w:val="right"/>
        <w:rPr>
          <w:rFonts w:ascii="宋体" w:hAnsi="宋体" w:cs="宋体" w:eastAsia="宋体" w:hint="default"/>
          <w:sz w:val="18"/>
          <w:szCs w:val="18"/>
        </w:rPr>
      </w:pPr>
      <w:r>
        <w:rPr/>
        <w:pict>
          <v:shape style="position:absolute;margin-left:56.279999pt;margin-top:-19.364248pt;width:460.2pt;height:37.7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9"/>
                    <w:gridCol w:w="2103"/>
                    <w:gridCol w:w="1664"/>
                    <w:gridCol w:w="1292"/>
                    <w:gridCol w:w="1865"/>
                  </w:tblGrid>
                  <w:tr>
                    <w:trPr>
                      <w:trHeight w:val="740"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5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日的账面价 值（按原金融工具准则）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19" w:firstLine="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日的账面价 </w:t>
                        </w:r>
                        <w:r>
                          <w:rPr>
                            <w:rFonts w:ascii="宋体" w:hAnsi="宋体" w:cs="宋体" w:eastAsia="宋体" w:hint="default"/>
                            <w:spacing w:val="-5"/>
                            <w:sz w:val="18"/>
                            <w:szCs w:val="18"/>
                          </w:rPr>
                          <w:t>值（按新金融工具准则</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259"/>
        <w:gridCol w:w="2103"/>
        <w:gridCol w:w="1664"/>
        <w:gridCol w:w="1292"/>
        <w:gridCol w:w="1865"/>
      </w:tblGrid>
      <w:tr>
        <w:trPr>
          <w:trHeight w:val="428" w:hRule="exact"/>
        </w:trPr>
        <w:tc>
          <w:tcPr>
            <w:tcW w:w="918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一、新金融工具准则下以公允价值计量且其变动计入当期损益的金融资产</w:t>
            </w:r>
          </w:p>
        </w:tc>
      </w:tr>
      <w:tr>
        <w:trPr>
          <w:trHeight w:val="1051"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77"/>
              <w:jc w:val="both"/>
              <w:rPr>
                <w:rFonts w:ascii="宋体" w:hAnsi="宋体" w:cs="宋体" w:eastAsia="宋体" w:hint="default"/>
                <w:sz w:val="18"/>
                <w:szCs w:val="18"/>
              </w:rPr>
            </w:pPr>
            <w:r>
              <w:rPr>
                <w:rFonts w:ascii="宋体" w:hAnsi="宋体" w:cs="宋体" w:eastAsia="宋体" w:hint="default"/>
                <w:sz w:val="18"/>
                <w:szCs w:val="18"/>
              </w:rPr>
              <w:t>公允价值计量且其变动计入 当期损益的金融资产（按原 金融工具准则列示金额）</w:t>
            </w:r>
          </w:p>
        </w:tc>
        <w:tc>
          <w:tcPr>
            <w:tcW w:w="210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加：从其他流动资产转入</w:t>
            </w:r>
          </w:p>
        </w:tc>
        <w:tc>
          <w:tcPr>
            <w:tcW w:w="210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20" w:right="0"/>
              <w:jc w:val="left"/>
              <w:rPr>
                <w:rFonts w:ascii="Times New Roman" w:hAnsi="Times New Roman" w:cs="Times New Roman" w:eastAsia="Times New Roman" w:hint="default"/>
                <w:sz w:val="18"/>
                <w:szCs w:val="18"/>
              </w:rPr>
            </w:pPr>
            <w:r>
              <w:rPr>
                <w:rFonts w:ascii="Times New Roman"/>
                <w:sz w:val="18"/>
              </w:rPr>
              <w:t>149,768,601.26</w:t>
            </w:r>
          </w:p>
        </w:tc>
        <w:tc>
          <w:tcPr>
            <w:tcW w:w="129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77"/>
              <w:jc w:val="left"/>
              <w:rPr>
                <w:rFonts w:ascii="宋体" w:hAnsi="宋体" w:cs="宋体" w:eastAsia="宋体" w:hint="default"/>
                <w:sz w:val="18"/>
                <w:szCs w:val="18"/>
              </w:rPr>
            </w:pPr>
            <w:r>
              <w:rPr>
                <w:rFonts w:ascii="宋体" w:hAnsi="宋体" w:cs="宋体" w:eastAsia="宋体" w:hint="default"/>
                <w:sz w:val="18"/>
                <w:szCs w:val="18"/>
              </w:rPr>
              <w:t>交易性金融资产（按新融工 具准则列示金额）</w:t>
            </w:r>
          </w:p>
        </w:tc>
        <w:tc>
          <w:tcPr>
            <w:tcW w:w="210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22" w:right="0"/>
              <w:jc w:val="left"/>
              <w:rPr>
                <w:rFonts w:ascii="Times New Roman" w:hAnsi="Times New Roman" w:cs="Times New Roman" w:eastAsia="Times New Roman" w:hint="default"/>
                <w:sz w:val="18"/>
                <w:szCs w:val="18"/>
              </w:rPr>
            </w:pPr>
            <w:r>
              <w:rPr>
                <w:rFonts w:ascii="Times New Roman"/>
                <w:sz w:val="18"/>
              </w:rPr>
              <w:t>149,768,601.26</w:t>
            </w:r>
          </w:p>
        </w:tc>
      </w:tr>
    </w:tbl>
    <w:p>
      <w:pPr>
        <w:pStyle w:val="BodyText"/>
        <w:spacing w:line="240" w:lineRule="auto" w:before="82"/>
        <w:ind w:left="633" w:right="1057"/>
        <w:jc w:val="left"/>
      </w:pPr>
      <w:r>
        <w:rPr>
          <w:rFonts w:ascii="Times New Roman" w:hAnsi="Times New Roman" w:cs="Times New Roman" w:eastAsia="Times New Roman" w:hint="default"/>
        </w:rPr>
        <w:t>B</w:t>
      </w:r>
      <w:r>
        <w:rPr/>
        <w:t>．母公司财务报表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510" w:firstLine="0"/>
        <w:jc w:val="right"/>
        <w:rPr>
          <w:rFonts w:ascii="宋体" w:hAnsi="宋体" w:cs="宋体" w:eastAsia="宋体" w:hint="default"/>
          <w:sz w:val="18"/>
          <w:szCs w:val="18"/>
        </w:rPr>
      </w:pPr>
      <w:r>
        <w:rPr/>
        <w:pict>
          <v:shape style="position:absolute;margin-left:56.279999pt;margin-top:-19.398266pt;width:460.2pt;height:169.8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9"/>
                    <w:gridCol w:w="2103"/>
                    <w:gridCol w:w="1664"/>
                    <w:gridCol w:w="1292"/>
                    <w:gridCol w:w="1865"/>
                  </w:tblGrid>
                  <w:tr>
                    <w:trPr>
                      <w:trHeight w:val="737"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5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日的账面价 值（按原金融工具准则）</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5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0"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19" w:firstLine="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日的账面价 </w:t>
                        </w:r>
                        <w:r>
                          <w:rPr>
                            <w:rFonts w:ascii="宋体" w:hAnsi="宋体" w:cs="宋体" w:eastAsia="宋体" w:hint="default"/>
                            <w:spacing w:val="-5"/>
                            <w:sz w:val="18"/>
                            <w:szCs w:val="18"/>
                          </w:rPr>
                          <w:t>值（按新金融工具准则</w:t>
                        </w:r>
                      </w:p>
                    </w:tc>
                  </w:tr>
                  <w:tr>
                    <w:trPr>
                      <w:trHeight w:val="427" w:hRule="exact"/>
                    </w:trPr>
                    <w:tc>
                      <w:tcPr>
                        <w:tcW w:w="918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一、新金融工具准则下以公允价值计量且其变动计入当期损益的金融资产</w:t>
                        </w:r>
                      </w:p>
                    </w:tc>
                  </w:tr>
                  <w:tr>
                    <w:trPr>
                      <w:trHeight w:val="1051"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77"/>
                          <w:jc w:val="both"/>
                          <w:rPr>
                            <w:rFonts w:ascii="宋体" w:hAnsi="宋体" w:cs="宋体" w:eastAsia="宋体" w:hint="default"/>
                            <w:sz w:val="18"/>
                            <w:szCs w:val="18"/>
                          </w:rPr>
                        </w:pPr>
                        <w:r>
                          <w:rPr>
                            <w:rFonts w:ascii="宋体" w:hAnsi="宋体" w:cs="宋体" w:eastAsia="宋体" w:hint="default"/>
                            <w:sz w:val="18"/>
                            <w:szCs w:val="18"/>
                          </w:rPr>
                          <w:t>公允价值计量且其变动计入 当期损益的金融资产（按原 金融工具准则列示金额）</w:t>
                        </w:r>
                      </w:p>
                    </w:tc>
                    <w:tc>
                      <w:tcPr>
                        <w:tcW w:w="210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加：从其他流动资产转入</w:t>
                        </w:r>
                      </w:p>
                    </w:tc>
                    <w:tc>
                      <w:tcPr>
                        <w:tcW w:w="210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149,768,601.26</w:t>
                        </w:r>
                      </w:p>
                    </w:tc>
                    <w:tc>
                      <w:tcPr>
                        <w:tcW w:w="129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77"/>
                          <w:jc w:val="left"/>
                          <w:rPr>
                            <w:rFonts w:ascii="宋体" w:hAnsi="宋体" w:cs="宋体" w:eastAsia="宋体" w:hint="default"/>
                            <w:sz w:val="18"/>
                            <w:szCs w:val="18"/>
                          </w:rPr>
                        </w:pPr>
                        <w:r>
                          <w:rPr>
                            <w:rFonts w:ascii="宋体" w:hAnsi="宋体" w:cs="宋体" w:eastAsia="宋体" w:hint="default"/>
                            <w:sz w:val="18"/>
                            <w:szCs w:val="18"/>
                          </w:rPr>
                          <w:t>交易性金融资产（按新融工 具准则列示金额）</w:t>
                        </w:r>
                      </w:p>
                    </w:tc>
                    <w:tc>
                      <w:tcPr>
                        <w:tcW w:w="2103"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722" w:right="0"/>
                          <w:jc w:val="left"/>
                          <w:rPr>
                            <w:rFonts w:ascii="Times New Roman" w:hAnsi="Times New Roman" w:cs="Times New Roman" w:eastAsia="Times New Roman" w:hint="default"/>
                            <w:sz w:val="18"/>
                            <w:szCs w:val="18"/>
                          </w:rPr>
                        </w:pPr>
                        <w:r>
                          <w:rPr>
                            <w:rFonts w:ascii="Times New Roman"/>
                            <w:sz w:val="18"/>
                          </w:rPr>
                          <w:t>149,768,601.26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7" w:lineRule="auto" w:before="0"/>
        <w:ind w:left="152" w:right="1034" w:firstLine="360"/>
        <w:jc w:val="left"/>
        <w:rPr>
          <w:rFonts w:ascii="宋体" w:hAnsi="宋体" w:cs="宋体" w:eastAsia="宋体" w:hint="default"/>
          <w:sz w:val="18"/>
          <w:szCs w:val="18"/>
        </w:rPr>
      </w:pPr>
      <w:r>
        <w:rPr>
          <w:rFonts w:ascii="宋体" w:hAnsi="宋体" w:cs="宋体" w:eastAsia="宋体" w:hint="default"/>
          <w:spacing w:val="-2"/>
          <w:sz w:val="18"/>
          <w:szCs w:val="18"/>
        </w:rPr>
        <w:t>本公司按照国家规定提取的安全生产费，计入相关产品的成本或当期损益，同时记入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专项储备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科目。使用提取的安全</w:t>
      </w:r>
      <w:r>
        <w:rPr>
          <w:rFonts w:ascii="宋体" w:hAnsi="宋体" w:cs="宋体" w:eastAsia="宋体" w:hint="default"/>
          <w:sz w:val="18"/>
          <w:szCs w:val="18"/>
        </w:rPr>
        <w:t> </w:t>
      </w:r>
      <w:r>
        <w:rPr>
          <w:rFonts w:ascii="宋体" w:hAnsi="宋体" w:cs="宋体" w:eastAsia="宋体" w:hint="default"/>
          <w:spacing w:val="-2"/>
          <w:sz w:val="18"/>
          <w:szCs w:val="18"/>
        </w:rPr>
        <w:t>生产费时，属于费用性支出的，直接冲减专项储备。形成固定资产的，通过</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在建工程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科目归集所发生的支出，待安全项目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完工达到预定可使用状态时确认为固定资产；同时，按照形成固定资产的成本冲减专项储备，并确认相同金额的累计折旧。 该固定资产在以后期间不再计提折旧。</w:t>
      </w:r>
    </w:p>
    <w:p>
      <w:pPr>
        <w:spacing w:line="240" w:lineRule="auto" w:before="5"/>
        <w:rPr>
          <w:rFonts w:ascii="宋体" w:hAnsi="宋体" w:cs="宋体" w:eastAsia="宋体" w:hint="default"/>
          <w:sz w:val="21"/>
          <w:szCs w:val="21"/>
        </w:rPr>
      </w:pPr>
    </w:p>
    <w:p>
      <w:pPr>
        <w:pStyle w:val="Heading3"/>
        <w:spacing w:line="240" w:lineRule="auto"/>
        <w:ind w:right="1057"/>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销售货物、应税服务、销售无形资产或 者不动产</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为纳税基准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广西诚本规划设计咨询有限公司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润沃科技（山东）有限公司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广西信安锐达科技有限公司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广州云谷创智科技有限公司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广州市恒泰电力工程有限公司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广州市泺立能源科技有限公司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广州市赛皓达智能科技有限公司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广州鑫广源电力设计有限公司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广西润联信息技术有限公司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广州卓联科技有限公司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五象云谷有限公司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广州汇柠科技有限公司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广东南粤云视科技有限公司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广州纵诺电力工程技术有限公司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广东博深咨询有限公司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小型微利企业</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010" w:firstLine="480"/>
        <w:jc w:val="left"/>
      </w:pPr>
      <w:r>
        <w:rPr/>
        <w:t>经广西壮族自治区科学技术厅、广西壮族自治区财政厅、国家税务总局、广西壮族自治 区税务局以桂科高字〔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167</w:t>
      </w:r>
      <w:r>
        <w:rPr/>
        <w:t>号《关于公布广西壮族自治区</w:t>
      </w:r>
      <w:r>
        <w:rPr>
          <w:rFonts w:ascii="Times New Roman" w:hAnsi="Times New Roman" w:cs="Times New Roman" w:eastAsia="Times New Roman" w:hint="default"/>
        </w:rPr>
        <w:t>2019</w:t>
      </w:r>
      <w:r>
        <w:rPr/>
        <w:t>年第一批通过认定高新技 </w:t>
      </w:r>
      <w:r>
        <w:rPr>
          <w:spacing w:val="-2"/>
        </w:rPr>
        <w:t>术企业名单的通知》，认定本公司为高新技术企业，自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w:t>
      </w:r>
      <w:r>
        <w:rPr>
          <w:spacing w:val="-106"/>
        </w:rPr>
        <w:t> </w:t>
      </w:r>
      <w:r>
        <w:rPr/>
        <w:t>有效期三年，公司按高新技术企业优惠的</w:t>
      </w:r>
      <w:r>
        <w:rPr>
          <w:rFonts w:ascii="Times New Roman" w:hAnsi="Times New Roman" w:cs="Times New Roman" w:eastAsia="Times New Roman" w:hint="default"/>
        </w:rPr>
        <w:t>15%</w:t>
      </w:r>
      <w:r>
        <w:rPr/>
        <w:t>税率计提及缴纳企业所得税。</w:t>
      </w:r>
    </w:p>
    <w:p>
      <w:pPr>
        <w:pStyle w:val="BodyText"/>
        <w:spacing w:line="225" w:lineRule="auto" w:before="106"/>
        <w:ind w:right="1000" w:firstLine="480"/>
        <w:jc w:val="left"/>
      </w:pPr>
      <w:r>
        <w:rPr>
          <w:spacing w:val="-4"/>
        </w:rPr>
        <w:t>本公司子公司鑫广源于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月取得高新技术企业证书，证书编号：</w:t>
      </w:r>
      <w:r>
        <w:rPr>
          <w:rFonts w:ascii="Times New Roman" w:hAnsi="Times New Roman" w:cs="Times New Roman" w:eastAsia="Times New Roman" w:hint="default"/>
          <w:spacing w:val="-4"/>
        </w:rPr>
        <w:t>GR201744009977</w:t>
      </w:r>
      <w:r>
        <w:rPr>
          <w:spacing w:val="-4"/>
        </w:rPr>
        <w:t>，</w:t>
      </w:r>
      <w:r>
        <w:rPr/>
        <w:t> </w:t>
      </w:r>
      <w:r>
        <w:rPr>
          <w:spacing w:val="-4"/>
        </w:rPr>
        <w:t>有效期：三年。根据《中华人民共和国企业所得税法》规定，子公司鑫广源</w:t>
      </w:r>
      <w:r>
        <w:rPr>
          <w:rFonts w:ascii="Times New Roman" w:hAnsi="Times New Roman" w:cs="Times New Roman" w:eastAsia="Times New Roman" w:hint="default"/>
          <w:spacing w:val="-4"/>
        </w:rPr>
        <w:t>2019</w:t>
      </w:r>
      <w:r>
        <w:rPr>
          <w:spacing w:val="-4"/>
        </w:rPr>
        <w:t>年度减按</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48"/>
        </w:rPr>
        <w:t> </w:t>
      </w:r>
      <w:r>
        <w:rPr/>
        <w:t>税率计缴企业所得税。</w:t>
      </w:r>
    </w:p>
    <w:p>
      <w:pPr>
        <w:pStyle w:val="BodyText"/>
        <w:spacing w:line="312" w:lineRule="exact" w:before="150"/>
        <w:ind w:right="1000" w:firstLine="480"/>
        <w:jc w:val="left"/>
      </w:pPr>
      <w:r>
        <w:rPr>
          <w:spacing w:val="-4"/>
        </w:rPr>
        <w:t>本公司孙公司赛皓达于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月取得高新技术企业证书，证书编号：</w:t>
      </w:r>
      <w:r>
        <w:rPr>
          <w:rFonts w:ascii="Times New Roman" w:hAnsi="Times New Roman" w:cs="Times New Roman" w:eastAsia="Times New Roman" w:hint="default"/>
          <w:spacing w:val="-4"/>
        </w:rPr>
        <w:t>GR201844002127</w:t>
      </w:r>
      <w:r>
        <w:rPr>
          <w:spacing w:val="-4"/>
        </w:rPr>
        <w:t>，</w:t>
      </w:r>
      <w:r>
        <w:rPr/>
        <w:t> </w:t>
      </w:r>
      <w:r>
        <w:rPr>
          <w:spacing w:val="-4"/>
        </w:rPr>
        <w:t>有效期：三年。根据《中华人民共和国企业所得税法》规定，孙公司赛皓达</w:t>
      </w:r>
      <w:r>
        <w:rPr>
          <w:rFonts w:ascii="Times New Roman" w:hAnsi="Times New Roman" w:cs="Times New Roman" w:eastAsia="Times New Roman" w:hint="default"/>
          <w:spacing w:val="-4"/>
        </w:rPr>
        <w:t>2019</w:t>
      </w:r>
      <w:r>
        <w:rPr>
          <w:spacing w:val="-4"/>
        </w:rPr>
        <w:t>年度减按</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48"/>
        </w:rPr>
        <w:t> </w:t>
      </w:r>
      <w:r>
        <w:rPr/>
        <w:t>税率计缴企业所得税。</w:t>
      </w:r>
    </w:p>
    <w:p>
      <w:pPr>
        <w:pStyle w:val="BodyText"/>
        <w:spacing w:line="312" w:lineRule="exact" w:before="120"/>
        <w:ind w:right="1000" w:firstLine="480"/>
        <w:jc w:val="left"/>
      </w:pPr>
      <w:r>
        <w:rPr/>
        <w:t>根据国家税务总局公告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2</w:t>
      </w:r>
      <w:r>
        <w:rPr/>
        <w:t>号《国家税务总局关于实施小型微利企业普惠性所得税 减免政策有关问题的公告》，自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日，对小型微利企业年应纳税</w:t>
      </w:r>
      <w:r>
        <w:rPr>
          <w:spacing w:val="-89"/>
        </w:rPr>
        <w:t> </w:t>
      </w:r>
      <w:r>
        <w:rPr>
          <w:spacing w:val="-89"/>
        </w:rPr>
      </w:r>
      <w:r>
        <w:rPr/>
        <w:t>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 </w:t>
      </w:r>
      <w:r>
        <w:rPr>
          <w:spacing w:val="-3"/>
        </w:rPr>
        <w:t>对年应纳税所得额超过</w:t>
      </w:r>
      <w:r>
        <w:rPr>
          <w:rFonts w:ascii="Times New Roman" w:hAnsi="Times New Roman" w:cs="Times New Roman" w:eastAsia="Times New Roman" w:hint="default"/>
          <w:spacing w:val="-3"/>
        </w:rPr>
        <w:t>100</w:t>
      </w:r>
      <w:r>
        <w:rPr>
          <w:spacing w:val="-3"/>
        </w:rPr>
        <w:t>万元但不超过</w:t>
      </w:r>
      <w:r>
        <w:rPr>
          <w:rFonts w:ascii="Times New Roman" w:hAnsi="Times New Roman" w:cs="Times New Roman" w:eastAsia="Times New Roman" w:hint="default"/>
          <w:spacing w:val="-3"/>
        </w:rPr>
        <w:t>300</w:t>
      </w:r>
      <w:r>
        <w:rPr>
          <w:spacing w:val="-3"/>
        </w:rPr>
        <w:t>万元的部分，减按</w:t>
      </w:r>
      <w:r>
        <w:rPr>
          <w:rFonts w:ascii="Times New Roman" w:hAnsi="Times New Roman" w:cs="Times New Roman" w:eastAsia="Times New Roman" w:hint="default"/>
          <w:spacing w:val="-3"/>
        </w:rPr>
        <w:t>50%</w:t>
      </w:r>
      <w:r>
        <w:rPr>
          <w:spacing w:val="-3"/>
        </w:rPr>
        <w:t>计入应纳税所得额，按</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43"/>
        </w:rPr>
        <w:t> </w:t>
      </w:r>
      <w:r>
        <w:rPr>
          <w:spacing w:val="-2"/>
        </w:rPr>
        <w:t>的税率缴纳企业所得税，</w:t>
      </w:r>
      <w:r>
        <w:rPr>
          <w:rFonts w:ascii="Times New Roman" w:hAnsi="Times New Roman" w:cs="Times New Roman" w:eastAsia="Times New Roman" w:hint="default"/>
          <w:spacing w:val="-2"/>
        </w:rPr>
        <w:t>2019</w:t>
      </w:r>
      <w:r>
        <w:rPr>
          <w:spacing w:val="-2"/>
        </w:rPr>
        <w:t>年度本公司子公司润联信息、卓联科技、五象云谷、长嘉科技、</w:t>
      </w:r>
      <w:r>
        <w:rPr>
          <w:spacing w:val="-115"/>
        </w:rPr>
        <w:t> </w:t>
      </w:r>
      <w:r>
        <w:rPr>
          <w:spacing w:val="-115"/>
        </w:rPr>
      </w:r>
      <w:r>
        <w:rPr/>
        <w:t>汇拧科技、南粤云视、纵诺电力、博深咨询为小型微利企业。</w:t>
      </w:r>
    </w:p>
    <w:p>
      <w:pPr>
        <w:pStyle w:val="BodyText"/>
        <w:spacing w:line="302" w:lineRule="exact"/>
        <w:ind w:right="1057"/>
        <w:jc w:val="left"/>
      </w:pPr>
      <w:r>
        <w:rPr/>
        <w:t>根据财政部税务总局</w:t>
      </w:r>
      <w:r>
        <w:rPr>
          <w:spacing w:val="-82"/>
        </w:rPr>
        <w:t> </w:t>
      </w:r>
      <w:r>
        <w:rPr/>
        <w:t>海关总署公告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39</w:t>
      </w:r>
      <w:r>
        <w:rPr/>
        <w:t>号《关于深化增值税改革有关政策的公告》规</w:t>
      </w:r>
    </w:p>
    <w:p>
      <w:pPr>
        <w:spacing w:after="0" w:line="302"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057"/>
        <w:jc w:val="left"/>
      </w:pPr>
      <w:r>
        <w:rPr/>
        <w:t>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日，本公司子公司鑫广源、孙公司赛皓达可按照当期可</w:t>
      </w:r>
      <w:r>
        <w:rPr>
          <w:spacing w:val="-91"/>
        </w:rPr>
        <w:t> </w:t>
      </w:r>
      <w:r>
        <w:rPr>
          <w:spacing w:val="-91"/>
        </w:rPr>
      </w:r>
      <w:r>
        <w:rPr/>
        <w:t>抵扣进项税额加计</w:t>
      </w:r>
      <w:r>
        <w:rPr>
          <w:rFonts w:ascii="Times New Roman" w:hAnsi="Times New Roman" w:cs="Times New Roman" w:eastAsia="Times New Roman" w:hint="default"/>
        </w:rPr>
        <w:t>10%</w:t>
      </w:r>
      <w:r>
        <w:rPr/>
        <w:t>，抵减应纳税额。</w:t>
      </w:r>
    </w:p>
    <w:p>
      <w:pPr>
        <w:spacing w:before="58"/>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1057"/>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111,619.57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4,664.03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1,039,070,270.18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1,197,470,075.67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153,986,665.29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176,645,122.51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1,193,168,555.04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1,374,119,862.21</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3"/>
          <w:szCs w:val="13"/>
        </w:rPr>
      </w:pPr>
    </w:p>
    <w:p>
      <w:pPr>
        <w:pStyle w:val="BodyText"/>
        <w:spacing w:line="312" w:lineRule="exact"/>
        <w:ind w:right="1057"/>
        <w:jc w:val="left"/>
      </w:pPr>
      <w:r>
        <w:rPr>
          <w:spacing w:val="-3"/>
        </w:rPr>
        <w:t>（</w:t>
      </w:r>
      <w:r>
        <w:rPr>
          <w:rFonts w:ascii="Times New Roman" w:hAnsi="Times New Roman" w:cs="Times New Roman" w:eastAsia="Times New Roman" w:hint="default"/>
          <w:spacing w:val="-3"/>
        </w:rPr>
        <w:t>1</w:t>
      </w:r>
      <w:r>
        <w:rPr>
          <w:spacing w:val="-3"/>
        </w:rPr>
        <w:t>）其他货币资金主要系本公司存入的银行保函保证金及承兑汇票保证金。除此之外，期末</w:t>
      </w:r>
      <w:r>
        <w:rPr>
          <w:spacing w:val="-81"/>
        </w:rPr>
        <w:t> </w:t>
      </w:r>
      <w:r>
        <w:rPr>
          <w:spacing w:val="-81"/>
        </w:rPr>
      </w:r>
      <w:r>
        <w:rPr/>
        <w:t>货币资金中无其他因抵押、质押或冻结等对使用有限制、有潜在回收风险的款项。</w:t>
      </w:r>
    </w:p>
    <w:p>
      <w:pPr>
        <w:spacing w:line="240" w:lineRule="auto" w:before="7"/>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209,445,913.39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149,768,601.26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债务投资工具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209,445,913.39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149,768,601.26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209,445,913.39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149,768,601.26</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2,102,903.34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3,665,356.99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5,668,030.41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7,770,933.75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3,665,356.99</w:t>
            </w:r>
          </w:p>
        </w:tc>
      </w:tr>
    </w:tbl>
    <w:p>
      <w:pPr>
        <w:spacing w:before="5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8,179,93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408,996.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7,770,933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5,966,34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72.94%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298,317.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5,668,030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银行承兑汇票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2,213,58</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2.46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27.06%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110,679.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2,102,903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8,179,93</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408,996.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7,770,933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0</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2"/>
        <w:ind w:left="152" w:right="105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408,996.51</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商业承兑汇票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5,966,347.80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298,317.39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银行承兑汇票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2,213,582.46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110,679.12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8,179,930.26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408,996.51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145"/>
        <w:ind w:right="1057" w:firstLine="480"/>
        <w:jc w:val="left"/>
      </w:pPr>
      <w:r>
        <w:rPr/>
        <w:t>对于存在客观证据表明存在减值，以及其他适用于单项评估的应收票据、应收账款，其 他应收款、应收款项融资及长期应收款等单独进行减值测试，确认预期信用损失，计提单项</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5"/>
        <w:jc w:val="both"/>
      </w:pPr>
      <w:r>
        <w:rPr/>
        <w:t>减值准备。对于不存在减值客观证据的应收票据、应收账款、其他应收款、应收款项融资及</w:t>
      </w:r>
      <w:r>
        <w:rPr>
          <w:spacing w:val="-89"/>
        </w:rPr>
        <w:t> </w:t>
      </w:r>
      <w:r>
        <w:rPr>
          <w:spacing w:val="-89"/>
        </w:rPr>
      </w:r>
      <w:r>
        <w:rPr/>
        <w:t>长期应收款或当单项金融资产无法以合理成本评估预期信用损失的信息时，本公司依据信用</w:t>
      </w:r>
      <w:r>
        <w:rPr>
          <w:spacing w:val="-91"/>
        </w:rPr>
        <w:t> </w:t>
      </w:r>
      <w:r>
        <w:rPr>
          <w:spacing w:val="-91"/>
        </w:rPr>
      </w:r>
      <w:r>
        <w:rPr/>
        <w:t>风险特征将应收票据、应收账款、其他应收款、应收款项融资及长期应收款等划分为若干组</w:t>
      </w:r>
      <w:r>
        <w:rPr>
          <w:spacing w:val="-87"/>
        </w:rPr>
        <w:t> </w:t>
      </w:r>
      <w:r>
        <w:rPr>
          <w:spacing w:val="-87"/>
        </w:rPr>
      </w:r>
      <w:r>
        <w:rPr/>
        <w:t>合，在组合基础上计算预期信用损失，确定组合的依据如下：</w:t>
      </w:r>
    </w:p>
    <w:p>
      <w:pPr>
        <w:pStyle w:val="BodyText"/>
        <w:spacing w:line="321" w:lineRule="auto" w:before="89"/>
        <w:ind w:left="633" w:right="6913"/>
        <w:jc w:val="left"/>
      </w:pPr>
      <w:r>
        <w:rPr/>
        <w:t>应收票据确定组合的依据如下： 应收票据组合</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商业承兑汇票 应收票据组合</w:t>
      </w: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银行承兑汇票</w:t>
      </w:r>
    </w:p>
    <w:p>
      <w:pPr>
        <w:pStyle w:val="BodyText"/>
        <w:spacing w:line="312" w:lineRule="exact" w:before="40"/>
        <w:ind w:right="1057" w:firstLine="480"/>
        <w:jc w:val="left"/>
      </w:pPr>
      <w:r>
        <w:rPr/>
        <w:t>对于划分为组合的应收票据，本公司参考历史信用损失经验，结合当前状况以及对未来 经济状况的预测，通过违约风险敞口和整个存续期预期信用损失率，计算预期信用损失。</w:t>
      </w:r>
    </w:p>
    <w:p>
      <w:pPr>
        <w:spacing w:line="240" w:lineRule="auto" w:before="13"/>
        <w:rPr>
          <w:rFonts w:ascii="宋体" w:hAnsi="宋体" w:cs="宋体" w:eastAsia="宋体" w:hint="default"/>
          <w:sz w:val="24"/>
          <w:szCs w:val="24"/>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1"/>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9"/>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1,741,549.26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4,741,549.26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357" w:lineRule="auto" w:before="51"/>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）本期实际核销的应收票据情况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57" w:lineRule="auto" w:before="51"/>
        <w:ind w:left="152" w:right="9134" w:firstLine="0"/>
        <w:jc w:val="left"/>
        <w:rPr>
          <w:rFonts w:ascii="宋体" w:hAnsi="宋体" w:cs="宋体" w:eastAsia="宋体" w:hint="default"/>
          <w:sz w:val="18"/>
          <w:szCs w:val="18"/>
        </w:rPr>
      </w:pPr>
      <w:r>
        <w:rPr>
          <w:rFonts w:ascii="宋体" w:hAnsi="宋体" w:cs="宋体" w:eastAsia="宋体" w:hint="default"/>
          <w:sz w:val="18"/>
          <w:szCs w:val="18"/>
        </w:rPr>
        <w:t>应收票据核销说明：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1,989,27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0,014.80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154,602,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511.56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1,834,667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,503.24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1,582,268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,798.66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113,418,2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1,468,850,5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17.11</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应收合并范围 内关联方客户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141,768.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141,768.7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应收中央企业 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1,775,32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7,844.42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128,224,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516.98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1,647,103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,327.44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应收国企、政</w:t>
            </w:r>
            <w:r>
              <w:rPr>
                <w:rFonts w:ascii="宋体" w:hAnsi="宋体" w:cs="宋体" w:eastAsia="宋体" w:hint="default"/>
                <w:sz w:val="18"/>
                <w:szCs w:val="18"/>
              </w:rPr>
              <w:t> 府及事业单位客户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103,827,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928.70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14,380,2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89,447,72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0.93</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应收其他客户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109,972,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472.94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11,997,7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86.81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97,974,68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6.13</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1,582,268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,798.66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113,418,2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1,468,850,5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17.11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1,989,27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0,014.80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center"/>
              <w:rPr>
                <w:rFonts w:ascii="Times New Roman" w:hAnsi="Times New Roman" w:cs="Times New Roman" w:eastAsia="Times New Roman" w:hint="default"/>
                <w:sz w:val="18"/>
                <w:szCs w:val="18"/>
              </w:rPr>
            </w:pPr>
            <w:r>
              <w:rPr>
                <w:rFonts w:ascii="Times New Roman"/>
                <w:sz w:val="18"/>
              </w:rPr>
              <w:t>154,602,</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511.56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1,834,667</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,503.24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1,582,268</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,798.66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113,418,2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81.55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1,468,850,5</w:t>
            </w:r>
          </w:p>
          <w:p>
            <w:pPr>
              <w:pStyle w:val="TableParagraph"/>
              <w:spacing w:line="240" w:lineRule="auto" w:before="102"/>
              <w:ind w:left="501" w:right="0"/>
              <w:jc w:val="left"/>
              <w:rPr>
                <w:rFonts w:ascii="Times New Roman" w:hAnsi="Times New Roman" w:cs="Times New Roman" w:eastAsia="Times New Roman" w:hint="default"/>
                <w:sz w:val="18"/>
                <w:szCs w:val="18"/>
              </w:rPr>
            </w:pPr>
            <w:r>
              <w:rPr>
                <w:rFonts w:ascii="Times New Roman"/>
                <w:sz w:val="18"/>
              </w:rPr>
              <w:t>17.11</w:t>
            </w:r>
          </w:p>
        </w:tc>
      </w:tr>
    </w:tbl>
    <w:p>
      <w:pPr>
        <w:spacing w:before="51"/>
        <w:ind w:left="152" w:right="105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0</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1"/>
        <w:ind w:left="152" w:right="105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154,602,511.56</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
              <w:jc w:val="left"/>
              <w:rPr>
                <w:rFonts w:ascii="宋体" w:hAnsi="宋体" w:cs="宋体" w:eastAsia="宋体" w:hint="default"/>
                <w:sz w:val="18"/>
                <w:szCs w:val="18"/>
              </w:rPr>
            </w:pPr>
            <w:r>
              <w:rPr>
                <w:rFonts w:ascii="宋体" w:hAnsi="宋体" w:cs="宋体" w:eastAsia="宋体" w:hint="default"/>
                <w:sz w:val="18"/>
                <w:szCs w:val="18"/>
              </w:rPr>
              <w:t>其中：组合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应收合并范围内 关联方客户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141,768.74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应收中央企业客户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1,775,327,844.42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128,224,516.98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应收国企、政府及事业 单位客户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103,827,928.70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14,380,207.77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应收其他客户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109,972,472.94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11,997,786.81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1,989,270,014.80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154,602,511.56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37" w:lineRule="auto" w:before="69"/>
        <w:ind w:right="1169"/>
        <w:jc w:val="both"/>
        <w:rPr>
          <w:sz w:val="18"/>
          <w:szCs w:val="18"/>
        </w:rPr>
      </w:pPr>
      <w:r>
        <w:rPr/>
        <w:t>对于存在客观证据表明存在减值，以及其他适用于单项评估的应收票据、应收账款，其他应 收款、应收款项融资及长期应收款等单独进行减值测试，确认预期信用损失，计提单项减值 准备。对于不存在减值客观证据的应收票据、应收账款、其他应收款、应收款项融资及长期 应收款或当单项金融资产无法以合理成本评估预期信用损失的信息时，本公司依据信用风险 特征将应收票据、应收账款、其他应收款、应收款项融资及长期应收款等划分为若干组合， 在组合基础上计算预期信用损失，确定组合的依据如下：</w:t>
      </w:r>
      <w:r>
        <w:rPr>
          <w:sz w:val="18"/>
          <w:szCs w:val="18"/>
        </w:rPr>
        <w:t>应收账款确定组合的依据如下：</w:t>
      </w:r>
    </w:p>
    <w:p>
      <w:pPr>
        <w:pStyle w:val="BodyText"/>
        <w:spacing w:line="312" w:lineRule="auto" w:before="118"/>
        <w:ind w:left="633" w:right="5234"/>
        <w:jc w:val="left"/>
      </w:pPr>
      <w:r>
        <w:rPr/>
        <w:t>应收账款组合</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应收合并范围内关联方客户 应收账款组合</w:t>
      </w: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应收中央企业客户 应收账款组合</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应收国企、政府及事业单位客户 应收账款组合</w:t>
      </w:r>
      <w:r>
        <w:rPr>
          <w:rFonts w:ascii="Times New Roman" w:hAnsi="Times New Roman" w:cs="Times New Roman" w:eastAsia="Times New Roman" w:hint="default"/>
        </w:rPr>
        <w:t>4  </w:t>
      </w:r>
      <w:r>
        <w:rPr>
          <w:rFonts w:ascii="Times New Roman" w:hAnsi="Times New Roman" w:cs="Times New Roman" w:eastAsia="Times New Roman" w:hint="default"/>
          <w:spacing w:val="11"/>
        </w:rPr>
        <w:t> </w:t>
      </w:r>
      <w:r>
        <w:rPr/>
        <w:t>应收其他客户</w:t>
      </w:r>
    </w:p>
    <w:p>
      <w:pPr>
        <w:pStyle w:val="BodyText"/>
        <w:spacing w:line="240" w:lineRule="auto" w:before="20"/>
        <w:ind w:right="1057" w:firstLine="480"/>
        <w:jc w:val="left"/>
      </w:pPr>
      <w:r>
        <w:rPr/>
        <w:t>对于划分为组合的应收账款，本公司参考历史信用损失经验，结合当前状况以及对未来 经济状况的预测，编制应收账款账龄与整个存续期预期信用损失率对照表，计算预期信用损</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26"/>
        <w:ind w:right="-20"/>
        <w:jc w:val="left"/>
      </w:pPr>
      <w:r>
        <w:rPr/>
        <w:t>失。</w:t>
      </w:r>
    </w:p>
    <w:p>
      <w:pPr>
        <w:spacing w:before="87"/>
        <w:ind w:left="152" w:right="-2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1"/>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1,661,188,561.24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202,014,221.50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76,039,617.77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50,027,614.29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41,755,638.35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3,064,653.38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5,207,322.56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1,989,270,014.80</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30"/>
        <w:gridCol w:w="113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4"/>
              <w:ind w:left="24" w:right="6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应收中央 企业客户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101,949,854.40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26,274,662.58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128,224,516.98</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政府及事业单位 客户</w:t>
            </w:r>
          </w:p>
        </w:tc>
        <w:tc>
          <w:tcPr>
            <w:tcW w:w="230" w:type="dxa"/>
            <w:tcBorders>
              <w:top w:val="single" w:sz="4" w:space="0" w:color="000000"/>
              <w:left w:val="single" w:sz="4" w:space="0" w:color="000000"/>
              <w:bottom w:val="single" w:sz="4" w:space="0" w:color="000000"/>
              <w:right w:val="nil" w:sz="6" w:space="0" w:color="auto"/>
            </w:tcBorders>
          </w:tcPr>
          <w:p>
            <w:pP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7,357,018.50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4,903,899.25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14,380,207.77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6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应收其他 客户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4,111,408.65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2,194,664.02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11,997,786.81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113,418,281.55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33,373,225.85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154,602,511.56</w:t>
            </w:r>
          </w:p>
        </w:tc>
      </w:tr>
    </w:tbl>
    <w:p>
      <w:pPr>
        <w:spacing w:before="51"/>
        <w:ind w:left="152" w:right="1057" w:firstLine="0"/>
        <w:jc w:val="left"/>
        <w:rPr>
          <w:rFonts w:ascii="宋体" w:hAnsi="宋体" w:cs="宋体" w:eastAsia="宋体" w:hint="default"/>
          <w:sz w:val="18"/>
          <w:szCs w:val="18"/>
        </w:rPr>
      </w:pPr>
      <w:r>
        <w:rPr/>
        <w:pict>
          <v:shape style="position:absolute;margin-left:83.304001pt;margin-top:-107.178284pt;width:109.95pt;height:50.8pt;mso-position-horizontal-relative:page;mso-position-vertical-relative:paragraph;z-index:-123376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应收国企、</w:t>
                  </w:r>
                </w:p>
              </w:txbxContent>
            </v:textbox>
            <w10:wrap type="none"/>
          </v:shape>
        </w:pict>
      </w:r>
      <w:r>
        <w:rPr/>
        <w:pict>
          <v:group style="position:absolute;margin-left:125.419998pt;margin-top:-107.178284pt;width:67.850pt;height:50.8pt;mso-position-horizontal-relative:page;mso-position-vertical-relative:paragraph;z-index:-1233736" coordorigin="2508,-2144" coordsize="1357,1016">
            <v:group style="position:absolute;left:2508;top:-2144;width:1357;height:1016" coordorigin="2508,-2144" coordsize="1357,1016">
              <v:shape style="position:absolute;left:2508;top:-2144;width:1357;height:1016" coordorigin="2508,-2144" coordsize="1357,1016" path="m2508,-1128l3865,-1128,3865,-2144,2508,-2144,2508,-1128xe" filled="true" fillcolor="#ffffff" stroked="false">
                <v:path arrowok="t"/>
                <v:fill type="solid"/>
              </v:shape>
            </v:group>
            <v:group style="position:absolute;left:2532;top:-1832;width:1311;height:392" coordorigin="2532,-1832" coordsize="1311,392">
              <v:shape style="position:absolute;left:2532;top:-1832;width:1311;height:392" coordorigin="2532,-1832" coordsize="1311,392" path="m2532,-1440l3843,-1440,3843,-1832,2532,-1832,2532,-1440xe" filled="true" fillcolor="#ffffff" stroked="false">
                <v:path arrowok="t"/>
                <v:fill type="solid"/>
              </v:shape>
            </v:group>
            <w10:wrap type="none"/>
          </v:group>
        </w:pict>
      </w: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3"/>
        <w:ind w:left="633" w:right="1057"/>
        <w:jc w:val="left"/>
      </w:pPr>
      <w:r>
        <w:rPr/>
        <w:t>本期无收回或转回的坏账准备。</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68"/>
        <w:ind w:right="1057"/>
        <w:jc w:val="left"/>
      </w:pPr>
      <w:r>
        <w:rPr/>
        <w:t>本期无实际核销的应收账款情况</w:t>
      </w:r>
    </w:p>
    <w:p>
      <w:pPr>
        <w:spacing w:line="240" w:lineRule="auto" w:before="9"/>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中国移动通信集团广东 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347,562,168.32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19,264,527.03</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中国移动通信集团广西 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215,682,544.53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13,325,740.04</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中国电信股份有限公司 广西分公司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140,632,622.82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8,663,519.45</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中国移动通信集团贵州 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118,215,748.41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10,015,225.27</w:t>
            </w:r>
          </w:p>
        </w:tc>
      </w:tr>
      <w:tr>
        <w:trPr>
          <w:trHeight w:val="7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中国铁塔股份有限公司 广东省分公司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96,352,997.38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7,204,741.33</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918,446,081.46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46.16%</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9854"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after="0" w:line="36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2,611,336.90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2,611,336.90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before="41"/>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2"/>
        <w:ind w:right="1057"/>
        <w:jc w:val="left"/>
      </w:pPr>
      <w:r>
        <w:rPr>
          <w:rFonts w:ascii="宋体" w:hAnsi="宋体" w:cs="宋体" w:eastAsia="宋体" w:hint="default"/>
        </w:rPr>
        <w:t>1. </w:t>
      </w:r>
      <w:r>
        <w:rPr/>
        <w:t>应收票据按减值计提方法分类披露</w:t>
      </w:r>
    </w:p>
    <w:p>
      <w:pPr>
        <w:spacing w:line="240" w:lineRule="auto" w:before="1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081"/>
        <w:gridCol w:w="1340"/>
        <w:gridCol w:w="1080"/>
        <w:gridCol w:w="1080"/>
        <w:gridCol w:w="1080"/>
      </w:tblGrid>
      <w:tr>
        <w:trPr>
          <w:trHeight w:val="65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64"/>
                <w:sz w:val="21"/>
                <w:szCs w:val="21"/>
              </w:rPr>
              <w:t> </w:t>
            </w:r>
            <w:r>
              <w:rPr>
                <w:rFonts w:ascii="宋体" w:hAnsi="宋体" w:cs="宋体" w:eastAsia="宋体" w:hint="default"/>
                <w:sz w:val="21"/>
                <w:szCs w:val="21"/>
              </w:rPr>
              <w:t>别</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2081"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45" w:right="29" w:hanging="315"/>
              <w:jc w:val="left"/>
              <w:rPr>
                <w:rFonts w:ascii="宋体" w:hAnsi="宋体" w:cs="宋体" w:eastAsia="宋体" w:hint="default"/>
                <w:sz w:val="21"/>
                <w:szCs w:val="21"/>
              </w:rPr>
            </w:pPr>
            <w:r>
              <w:rPr>
                <w:rFonts w:ascii="宋体" w:hAnsi="宋体" w:cs="宋体" w:eastAsia="宋体" w:hint="default"/>
                <w:sz w:val="21"/>
                <w:szCs w:val="21"/>
              </w:rPr>
              <w:t>计提减值准备</w:t>
            </w:r>
            <w:r>
              <w:rPr>
                <w:rFonts w:ascii="宋体" w:hAnsi="宋体" w:cs="宋体" w:eastAsia="宋体" w:hint="default"/>
                <w:w w:val="100"/>
                <w:sz w:val="21"/>
                <w:szCs w:val="21"/>
              </w:rPr>
              <w:t> </w:t>
            </w:r>
            <w:r>
              <w:rPr>
                <w:rFonts w:ascii="宋体" w:hAnsi="宋体" w:cs="宋体" w:eastAsia="宋体" w:hint="default"/>
                <w:sz w:val="21"/>
                <w:szCs w:val="21"/>
              </w:rPr>
              <w:t>的基础</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0"/>
              <w:jc w:val="both"/>
              <w:rPr>
                <w:rFonts w:ascii="宋体" w:hAnsi="宋体" w:cs="宋体" w:eastAsia="宋体" w:hint="default"/>
                <w:sz w:val="21"/>
                <w:szCs w:val="21"/>
              </w:rPr>
            </w:pPr>
            <w:r>
              <w:rPr>
                <w:rFonts w:ascii="宋体" w:hAnsi="宋体" w:cs="宋体" w:eastAsia="宋体" w:hint="default"/>
                <w:sz w:val="21"/>
                <w:szCs w:val="21"/>
              </w:rPr>
              <w:t>整个存续期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2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按单项计提减值准备</w:t>
            </w:r>
          </w:p>
        </w:tc>
        <w:tc>
          <w:tcPr>
            <w:tcW w:w="134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按组合计提减值准备</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1"/>
                <w:szCs w:val="21"/>
              </w:rPr>
            </w:pPr>
            <w:r>
              <w:rPr>
                <w:rFonts w:ascii="Times New Roman"/>
                <w:spacing w:val="-1"/>
                <w:sz w:val="21"/>
              </w:rPr>
              <w:t>2,611,336.90</w:t>
            </w: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银行承兑汇票</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2,611,336.90</w:t>
            </w: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pacing w:val="-1"/>
                <w:sz w:val="21"/>
              </w:rPr>
              <w:t>2,611,336.90</w:t>
            </w: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r>
    </w:tbl>
    <w:p>
      <w:pPr>
        <w:spacing w:line="360"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93,736,228.11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14,722,932.27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1,844,757.96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512,022.11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282,961.49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221,888.10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159,524.79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96,085,835.66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15,394,479.17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132"/>
        <w:ind w:left="633" w:right="1057"/>
        <w:jc w:val="left"/>
      </w:pPr>
      <w:r>
        <w:rPr/>
        <w:t>预付账款期末余额较期初增加</w:t>
      </w:r>
      <w:r>
        <w:rPr>
          <w:rFonts w:ascii="Times New Roman" w:hAnsi="Times New Roman" w:cs="Times New Roman" w:eastAsia="Times New Roman" w:hint="default"/>
        </w:rPr>
        <w:t>524.16%</w:t>
      </w:r>
      <w:r>
        <w:rPr/>
        <w:t>，主要系本期预付货款增加所致。</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431"/>
        <w:gridCol w:w="1462"/>
        <w:gridCol w:w="2929"/>
      </w:tblGrid>
      <w:tr>
        <w:trPr>
          <w:trHeight w:val="73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日余额</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8"/>
              <w:ind w:left="950" w:right="87" w:hanging="860"/>
              <w:jc w:val="left"/>
              <w:rPr>
                <w:rFonts w:ascii="宋体" w:hAnsi="宋体" w:cs="宋体" w:eastAsia="宋体" w:hint="default"/>
                <w:sz w:val="21"/>
                <w:szCs w:val="21"/>
              </w:rPr>
            </w:pPr>
            <w:r>
              <w:rPr>
                <w:rFonts w:ascii="宋体" w:hAnsi="宋体" w:cs="宋体" w:eastAsia="宋体" w:hint="default"/>
                <w:spacing w:val="-2"/>
                <w:sz w:val="21"/>
                <w:szCs w:val="21"/>
              </w:rPr>
              <w:t>占预付款项期末余额合计数的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浙江天猫供应链管理有限公司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pacing w:val="-1"/>
                <w:sz w:val="21"/>
              </w:rPr>
              <w:t>46,240,000.00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21"/>
                <w:szCs w:val="21"/>
              </w:rPr>
            </w:pPr>
            <w:r>
              <w:rPr>
                <w:rFonts w:ascii="Times New Roman"/>
                <w:sz w:val="21"/>
              </w:rPr>
              <w:t>48.12</w:t>
            </w:r>
          </w:p>
        </w:tc>
      </w:tr>
      <w:tr>
        <w:trPr>
          <w:trHeight w:val="42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哈工大大数据集团（广西）有限公司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pacing w:val="-1"/>
                <w:sz w:val="21"/>
              </w:rPr>
              <w:t>18,111,970.40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21"/>
                <w:szCs w:val="21"/>
              </w:rPr>
            </w:pPr>
            <w:r>
              <w:rPr>
                <w:rFonts w:ascii="Times New Roman"/>
                <w:sz w:val="21"/>
              </w:rPr>
              <w:t>18.85</w:t>
            </w:r>
          </w:p>
        </w:tc>
      </w:tr>
      <w:tr>
        <w:trPr>
          <w:trHeight w:val="42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广州鲁粤电气科技有限公司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pacing w:val="-1"/>
                <w:sz w:val="21"/>
              </w:rPr>
              <w:t>4,124,699.31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21"/>
                <w:szCs w:val="21"/>
              </w:rPr>
            </w:pPr>
            <w:r>
              <w:rPr>
                <w:rFonts w:ascii="Times New Roman"/>
                <w:sz w:val="21"/>
              </w:rPr>
              <w:t>4.29</w:t>
            </w:r>
          </w:p>
        </w:tc>
      </w:tr>
      <w:tr>
        <w:trPr>
          <w:trHeight w:val="42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广西申云得露科技有限责任公司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pacing w:val="-1"/>
                <w:sz w:val="21"/>
              </w:rPr>
              <w:t>3,000,000.00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21"/>
                <w:szCs w:val="21"/>
              </w:rPr>
            </w:pPr>
            <w:r>
              <w:rPr>
                <w:rFonts w:ascii="Times New Roman"/>
                <w:sz w:val="21"/>
              </w:rPr>
              <w:t>3.12</w:t>
            </w:r>
          </w:p>
        </w:tc>
      </w:tr>
      <w:tr>
        <w:trPr>
          <w:trHeight w:val="427"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21"/>
                <w:szCs w:val="21"/>
              </w:rPr>
            </w:pPr>
            <w:r>
              <w:rPr>
                <w:rFonts w:ascii="宋体" w:hAnsi="宋体" w:cs="宋体" w:eastAsia="宋体" w:hint="default"/>
                <w:sz w:val="21"/>
                <w:szCs w:val="21"/>
              </w:rPr>
              <w:t>广州益德机电设备工程有限公司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pacing w:val="-1"/>
                <w:sz w:val="21"/>
              </w:rPr>
              <w:t>2,150,252.30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21"/>
                <w:szCs w:val="21"/>
              </w:rPr>
            </w:pPr>
            <w:r>
              <w:rPr>
                <w:rFonts w:ascii="Times New Roman"/>
                <w:sz w:val="21"/>
              </w:rPr>
              <w:t>2.24</w:t>
            </w:r>
          </w:p>
        </w:tc>
      </w:tr>
      <w:tr>
        <w:trPr>
          <w:trHeight w:val="428" w:hRule="exact"/>
        </w:trPr>
        <w:tc>
          <w:tcPr>
            <w:tcW w:w="3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right"/>
              <w:rPr>
                <w:rFonts w:ascii="Times New Roman" w:hAnsi="Times New Roman" w:cs="Times New Roman" w:eastAsia="Times New Roman" w:hint="default"/>
                <w:sz w:val="21"/>
                <w:szCs w:val="21"/>
              </w:rPr>
            </w:pPr>
            <w:r>
              <w:rPr>
                <w:rFonts w:ascii="Times New Roman"/>
                <w:spacing w:val="-1"/>
                <w:sz w:val="21"/>
              </w:rPr>
              <w:t>73,626,922.01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
              <w:jc w:val="right"/>
              <w:rPr>
                <w:rFonts w:ascii="Times New Roman" w:hAnsi="Times New Roman" w:cs="Times New Roman" w:eastAsia="Times New Roman" w:hint="default"/>
                <w:sz w:val="21"/>
                <w:szCs w:val="21"/>
              </w:rPr>
            </w:pPr>
            <w:r>
              <w:rPr>
                <w:rFonts w:ascii="Times New Roman"/>
                <w:sz w:val="21"/>
              </w:rPr>
              <w:t>76.62</w:t>
            </w:r>
          </w:p>
        </w:tc>
      </w:tr>
    </w:tbl>
    <w:p>
      <w:pPr>
        <w:spacing w:line="240" w:lineRule="auto" w:before="5"/>
        <w:rPr>
          <w:rFonts w:ascii="宋体" w:hAnsi="宋体" w:cs="宋体" w:eastAsia="宋体" w:hint="default"/>
          <w:b/>
          <w:bCs/>
          <w:sz w:val="24"/>
          <w:szCs w:val="24"/>
        </w:rPr>
      </w:pPr>
    </w:p>
    <w:p>
      <w:pPr>
        <w:spacing w:line="360" w:lineRule="auto" w:before="44"/>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99,729,265.32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100,404,456.02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99,729,265.32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100,404,456.02</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38" w:lineRule="auto" w:before="0"/>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93,832,205.52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109,672,521.47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25,268,569.21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13,787,531.26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1,724,660.71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1,251,004.16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12,015,033.48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58,942.42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132,840,468.92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124,769,999.31</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7"/>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63,502,244.11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18,558,035.08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20,673,186.61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30,107,003.12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20,610,567.35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7,218,957.27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2,277,478.50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132,840,468.92</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5"/>
        <w:gridCol w:w="1304"/>
        <w:gridCol w:w="1092"/>
        <w:gridCol w:w="1736"/>
        <w:gridCol w:w="1730"/>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应收押金 和保证金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23,339,054.16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3,853,380.65</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27,529,344.21</w:t>
            </w: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应收备用 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710,661.84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1,038,364.39</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1,851,850.62</w:t>
            </w: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应收代垫 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309,933.05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1,121,207.24</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1,431,140.29</w:t>
            </w: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应收其他 款项</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5,894.24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-1,120,525.76</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2,298,868.48</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24,365,543.29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4,892,426.52</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33,111,203.60</w:t>
            </w:r>
          </w:p>
        </w:tc>
      </w:tr>
    </w:tbl>
    <w:p>
      <w:pPr>
        <w:pStyle w:val="BodyText"/>
        <w:spacing w:line="295" w:lineRule="exact"/>
        <w:ind w:right="1057"/>
        <w:jc w:val="left"/>
      </w:pPr>
      <w:r>
        <w:rPr/>
        <w:t>本期非同一控制下企业合并，其他应收款坏账准备转入</w:t>
      </w:r>
      <w:r>
        <w:rPr>
          <w:rFonts w:ascii="Times New Roman" w:hAnsi="Times New Roman" w:cs="Times New Roman" w:eastAsia="Times New Roman" w:hint="default"/>
        </w:rPr>
        <w:t>3,853,233.79</w:t>
      </w:r>
      <w:r>
        <w:rPr/>
        <w:t>元。</w:t>
      </w:r>
    </w:p>
    <w:p>
      <w:pPr>
        <w:pStyle w:val="BodyText"/>
        <w:spacing w:line="240" w:lineRule="auto" w:before="127"/>
        <w:ind w:right="1057"/>
        <w:jc w:val="left"/>
        <w:rPr>
          <w:rFonts w:ascii="等线" w:hAnsi="等线" w:cs="等线" w:eastAsia="等线" w:hint="default"/>
        </w:rPr>
      </w:pPr>
      <w:r>
        <w:rPr>
          <w:rFonts w:ascii="等线" w:hAnsi="等线" w:cs="等线" w:eastAsia="等线" w:hint="default"/>
        </w:rPr>
        <w:t>其中本期坏账准备转回或收回金额重要的：</w:t>
      </w:r>
    </w:p>
    <w:p>
      <w:pPr>
        <w:spacing w:line="240" w:lineRule="auto" w:before="3"/>
        <w:rPr>
          <w:rFonts w:ascii="等线" w:hAnsi="等线" w:cs="等线" w:eastAsia="等线" w:hint="default"/>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64" w:lineRule="exact" w:before="0"/>
        <w:ind w:left="152" w:right="1057"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66"/>
        <w:ind w:right="1057"/>
        <w:jc w:val="left"/>
      </w:pPr>
      <w:r>
        <w:rPr/>
        <w:t>本期无实际核销的其他应收款。</w:t>
      </w:r>
    </w:p>
    <w:p>
      <w:pPr>
        <w:spacing w:line="240" w:lineRule="auto" w:before="9"/>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中国移动通信集团 贵州有限公司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14,463,629.43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5,356,142.39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中国移动通信集团 北京有限公司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11,831,500.00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7,296,575.00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广东紫莲实业有限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中国移动通信集团 广西有限公司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2,664,000.00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中国联合网络通信 有限公司广西壮族 自治区分公司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3,876,808.85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193,840.44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42,701,938.28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16,670,557.83</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1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9854"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after="0" w:line="36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spacing w:line="338" w:lineRule="auto"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894" w:space="93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按下列格式披露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开发成本</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主要项目及其利息资本化情况：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7"/>
        <w:gridCol w:w="799"/>
        <w:gridCol w:w="797"/>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按下列格式项目披露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主要项目信息：</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2"/>
        <w:gridCol w:w="1404"/>
      </w:tblGrid>
      <w:tr>
        <w:trPr>
          <w:trHeight w:val="71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15" w:right="63"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按下列格式分项目披露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分期收款开发产品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出租开发产品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周转房</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50"/>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）存货跌价准备和合同履约成本减值准备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573" w:space="5256"/>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5"/>
        <w:gridCol w:w="106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按主要项目分类：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2259"/>
        <w:gridCol w:w="2792"/>
        <w:gridCol w:w="1195"/>
        <w:gridCol w:w="1063"/>
      </w:tblGrid>
      <w:tr>
        <w:trPr>
          <w:trHeight w:val="401"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5"/>
        <w:gridCol w:w="1063"/>
      </w:tblGrid>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）存货期末余额中利息资本化率的情况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）存货受限情况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按项目披露受限存货情况：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4"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4"/>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spacing w:line="340" w:lineRule="auto"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894" w:space="93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按下列格式披露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开发成本</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主要项目及其利息资本化情况：</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7"/>
        <w:gridCol w:w="799"/>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按下列格式项目披露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主要项目信息：</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2"/>
        <w:gridCol w:w="1404"/>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15" w:right="63"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按下列格式分项目披露</w:t>
      </w:r>
      <w:r>
        <w:rPr>
          <w:rFonts w:ascii="Times New Roman" w:hAnsi="Times New Roman" w:cs="Times New Roman" w:eastAsia="Times New Roman" w:hint="default"/>
          <w:sz w:val="18"/>
          <w:szCs w:val="18"/>
        </w:rPr>
        <w:t>“</w:t>
      </w:r>
      <w:r>
        <w:rPr>
          <w:rFonts w:ascii="宋体" w:hAnsi="宋体" w:cs="宋体" w:eastAsia="宋体" w:hint="default"/>
          <w:sz w:val="18"/>
          <w:szCs w:val="18"/>
        </w:rPr>
        <w:t>分期收款开发产品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出租开发产品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周转房</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50"/>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573" w:space="525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5"/>
        <w:gridCol w:w="1063"/>
      </w:tblGrid>
      <w:tr>
        <w:trPr>
          <w:trHeight w:val="401"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按主要项目分类：</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5"/>
        <w:gridCol w:w="1063"/>
      </w:tblGrid>
      <w:tr>
        <w:trPr>
          <w:trHeight w:val="401"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）存货期末余额中利息资本化率的情况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）存货受限情况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按项目披露受限存货情况：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6"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57" w:lineRule="auto" w:before="52"/>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22,038,596.17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22,038,596.17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10,474,057.02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10,474,057.02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1,837,504.66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1,837,504.66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64,023,988.27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64,023,988.27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9,861,459.74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9,861,459.74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741,170,611.48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5,564,405.94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735,606,205.54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616,614,500.26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3,789,817.16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612,824,683.10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829,070,700.58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5,564,405.94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823,506,294.64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636,950,017.02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3,789,817.16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633,160,199.86</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3,789,817.16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2,832,845.61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1,058,256.83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5,564,405.94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3,789,817.16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2,832,845.61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1,058,256.83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5,564,405.94</w:t>
            </w:r>
          </w:p>
        </w:tc>
      </w:tr>
    </w:tbl>
    <w:p>
      <w:pPr>
        <w:pStyle w:val="BodyText"/>
        <w:spacing w:line="240" w:lineRule="auto" w:before="82"/>
        <w:ind w:left="633" w:right="1057"/>
        <w:jc w:val="left"/>
      </w:pPr>
      <w:r>
        <w:rPr/>
        <w:t>资产负债表日按成本与可变现净值孰低计量，存货成本高于其可变现净值的，计提存货</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31" w:lineRule="auto" w:before="26"/>
        <w:ind w:left="633" w:right="1057" w:hanging="481"/>
        <w:jc w:val="left"/>
      </w:pPr>
      <w:r>
        <w:rPr/>
        <w:t>跌价准备，计入当期损益。 在确定存货的可变现净值时，以取得的可靠证据为基础，并且考虑持有存货的目的、资</w:t>
      </w:r>
    </w:p>
    <w:p>
      <w:pPr>
        <w:pStyle w:val="BodyText"/>
        <w:spacing w:line="221" w:lineRule="exact"/>
        <w:ind w:right="1057"/>
        <w:jc w:val="left"/>
      </w:pPr>
      <w:r>
        <w:rPr/>
        <w:t>产负债表日后事项的影响等因素。</w:t>
      </w:r>
    </w:p>
    <w:p>
      <w:pPr>
        <w:pStyle w:val="BodyText"/>
        <w:spacing w:line="312" w:lineRule="exact" w:before="148"/>
        <w:ind w:right="1136" w:firstLine="480"/>
        <w:jc w:val="both"/>
      </w:pPr>
      <w:r>
        <w:rPr/>
        <w:t>①产成品、商品和用于出售的材料等直接用于出售的存货，在正常生产经营过程中，以 该存货的估计售价减去估计的销售费用和相关税费后的金额确定其可变现净值。为执行销售</w:t>
      </w:r>
      <w:r>
        <w:rPr>
          <w:spacing w:val="-91"/>
        </w:rPr>
        <w:t> </w:t>
      </w:r>
      <w:r>
        <w:rPr>
          <w:spacing w:val="-91"/>
        </w:rPr>
      </w:r>
      <w:r>
        <w:rPr/>
        <w:t>合同或者劳务合同而持有的存货，以合同价格作为其可变现净值的计量基础；如果持有存货</w:t>
      </w:r>
      <w:r>
        <w:rPr>
          <w:spacing w:val="-91"/>
        </w:rPr>
        <w:t> </w:t>
      </w:r>
      <w:r>
        <w:rPr>
          <w:spacing w:val="-91"/>
        </w:rPr>
      </w:r>
      <w:r>
        <w:rPr/>
        <w:t>的数量多于销售合同订购数量，超出部分的存货可变现净值以一般销售价格为计量基础。用</w:t>
      </w:r>
      <w:r>
        <w:rPr>
          <w:spacing w:val="-88"/>
        </w:rPr>
        <w:t> </w:t>
      </w:r>
      <w:r>
        <w:rPr>
          <w:spacing w:val="-88"/>
        </w:rPr>
      </w:r>
      <w:r>
        <w:rPr/>
        <w:t>于出售的材料等，以市场价格作为其可变现净值的计量基础。</w:t>
      </w:r>
    </w:p>
    <w:p>
      <w:pPr>
        <w:pStyle w:val="BodyText"/>
        <w:spacing w:line="237" w:lineRule="auto" w:before="92"/>
        <w:ind w:right="1134" w:firstLine="480"/>
        <w:jc w:val="both"/>
      </w:pPr>
      <w:r>
        <w:rPr/>
        <w:t>②需要经过加工的材料存货，在正常生产经营过程中，以所生产的产成品的估计售价减 去至完工时估计将要发生的成本、估计的销售费用和相关税费后的金额确定其可变现净值。</w:t>
      </w:r>
      <w:r>
        <w:rPr>
          <w:spacing w:val="-91"/>
        </w:rPr>
        <w:t> </w:t>
      </w:r>
      <w:r>
        <w:rPr>
          <w:spacing w:val="-91"/>
        </w:rPr>
      </w:r>
      <w:r>
        <w:rPr/>
        <w:t>如果用其生产的产成品的可变现净值高于成本，则该材料按成本计量；如果材料价格的下降</w:t>
      </w:r>
      <w:r>
        <w:rPr>
          <w:spacing w:val="-86"/>
        </w:rPr>
        <w:t> </w:t>
      </w:r>
      <w:r>
        <w:rPr>
          <w:spacing w:val="-86"/>
        </w:rPr>
      </w:r>
      <w:r>
        <w:rPr/>
        <w:t>表明产成品的可变现净值低于成本，则该材料按可变现净值计量，按其差额计提存货跌价准</w:t>
      </w:r>
      <w:r>
        <w:rPr>
          <w:spacing w:val="-91"/>
        </w:rPr>
        <w:t> </w:t>
      </w:r>
      <w:r>
        <w:rPr>
          <w:spacing w:val="-91"/>
        </w:rPr>
      </w:r>
      <w:r>
        <w:rPr/>
        <w:t>备。</w:t>
      </w:r>
    </w:p>
    <w:p>
      <w:pPr>
        <w:pStyle w:val="BodyText"/>
        <w:spacing w:line="312" w:lineRule="exact" w:before="149"/>
        <w:ind w:right="1057" w:firstLine="480"/>
        <w:jc w:val="left"/>
      </w:pPr>
      <w:r>
        <w:rPr/>
        <w:t>③存货跌价准备一般按单个存货项目计提；对于数量繁多、单价较低的存货，按存货类 别计提。</w:t>
      </w:r>
    </w:p>
    <w:p>
      <w:pPr>
        <w:pStyle w:val="BodyText"/>
        <w:spacing w:line="312" w:lineRule="exact" w:before="120"/>
        <w:ind w:right="1057" w:firstLine="480"/>
        <w:jc w:val="left"/>
      </w:pPr>
      <w:r>
        <w:rPr/>
        <w:t>④资产负债表日如果以前减记存货价值的影响因素已经消失，则减记的金额予以恢复， 并在原已计提的存货跌价准备的金额内转回，转回的金额计入当期损益。</w:t>
      </w:r>
    </w:p>
    <w:p>
      <w:pPr>
        <w:spacing w:line="240" w:lineRule="auto" w:before="7"/>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60"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357" w:lineRule="auto" w:before="52"/>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6"/>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26,278,966.76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30,103,183.74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966,939.99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2,197.28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431,094.80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758,220.49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27,677,001.55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30,863,601.51</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1"/>
              <w:jc w:val="both"/>
              <w:rPr>
                <w:rFonts w:ascii="宋体" w:hAnsi="宋体" w:cs="宋体" w:eastAsia="宋体" w:hint="default"/>
                <w:sz w:val="18"/>
                <w:szCs w:val="18"/>
              </w:rPr>
            </w:pPr>
            <w:r>
              <w:rPr>
                <w:rFonts w:ascii="宋体" w:hAnsi="宋体" w:cs="宋体" w:eastAsia="宋体" w:hint="default"/>
                <w:sz w:val="18"/>
                <w:szCs w:val="18"/>
              </w:rPr>
              <w:t>广西农村 投资集团 润建智慧 农业有限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-713,208.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48,286,79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云南安润 盛达科技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966,821.5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-443,282.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966,821.5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-1,156,49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48,286,79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1,410,103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49,000,00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966,821.5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-1,156,49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48,286,79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Times New Roman" w:hAnsi="Times New Roman" w:cs="Times New Roman" w:eastAsia="Times New Roman" w:hint="default"/>
                <w:sz w:val="18"/>
                <w:szCs w:val="18"/>
              </w:rPr>
            </w:pPr>
            <w:r>
              <w:rPr>
                <w:rFonts w:ascii="Times New Roman"/>
                <w:sz w:val="18"/>
              </w:rPr>
              <w:t>1.08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非上市权益工具投资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山东旋几工业自 动化有限公司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持有目的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广州众连易达科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持有目的</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、其他非流动金融资产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line="357" w:lineRule="auto" w:before="52"/>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202,118,290.87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63,840,044.46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202,118,290.87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63,840,044.46</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shape style="position:absolute;margin-left:74.523003pt;margin-top:39.951694pt;width:101.55pt;height:19.6pt;mso-position-horizontal-relative:page;mso-position-vertical-relative:paragraph;z-index:-123371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账面原值：</w:t>
                  </w:r>
                </w:p>
              </w:txbxContent>
            </v:textbox>
            <w10:wrap type="none"/>
          </v:shape>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19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198" w:type="dxa"/>
            <w:tcBorders>
              <w:top w:val="single" w:sz="4" w:space="0" w:color="000000"/>
              <w:left w:val="single" w:sz="13" w:space="0" w:color="FFFFFF"/>
              <w:bottom w:val="single" w:sz="4" w:space="0" w:color="000000"/>
              <w:right w:val="single" w:sz="13" w:space="0" w:color="FFFFFF"/>
            </w:tcBorders>
          </w:tcPr>
          <w:p>
            <w:pPr/>
          </w:p>
        </w:tc>
        <w:tc>
          <w:tcPr>
            <w:tcW w:w="1196" w:type="dxa"/>
            <w:tcBorders>
              <w:top w:val="single" w:sz="4" w:space="0" w:color="000000"/>
              <w:left w:val="single" w:sz="13" w:space="0" w:color="FFFFFF"/>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36,460,684.01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65,624,891.33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13,963,094.27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5,491,342.18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6,410,194.00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3,087,179.06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131,037,384.85</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139,804,519.71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20,653,388.35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4,665,850.46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1,611,171.75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1,737,303.86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70,082.99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168,542,317.12</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 w:right="0"/>
              <w:jc w:val="center"/>
              <w:rPr>
                <w:rFonts w:ascii="Times New Roman" w:hAnsi="Times New Roman" w:cs="Times New Roman" w:eastAsia="Times New Roman" w:hint="default"/>
                <w:sz w:val="18"/>
                <w:szCs w:val="18"/>
              </w:rPr>
            </w:pPr>
            <w:r>
              <w:rPr>
                <w:rFonts w:ascii="Times New Roman"/>
                <w:sz w:val="18"/>
              </w:rPr>
              <w:t>139,804,519.71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18,439,770.59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503,899.12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799,233.38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1,226,957.53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2,099.99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160,776,480.32</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2,213,617.76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4,161,951.34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811,938.37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510,346.33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67,983.00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7,765,836.80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5,888,835.41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2,756,209.64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458,879.64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163,353.20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269,269.09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9,536,546.98</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5,888,835.41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2,756,209.64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458,879.64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163,353.20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269,269.09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9,536,546.98</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176,265,203.72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80,389,444.27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15,872,735.09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6,643,634.29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7,984,144.66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2,887,992.96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290,043,154.99</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5,195,647.46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40,622,281.17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11,927,263.08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5,014,536.80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3,642,929.95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794,681.93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67,197,340.39</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5" w:right="0"/>
              <w:jc w:val="center"/>
              <w:rPr>
                <w:rFonts w:ascii="Times New Roman" w:hAnsi="Times New Roman" w:cs="Times New Roman" w:eastAsia="Times New Roman" w:hint="default"/>
                <w:sz w:val="18"/>
                <w:szCs w:val="18"/>
              </w:rPr>
            </w:pPr>
            <w:r>
              <w:rPr>
                <w:rFonts w:ascii="Times New Roman"/>
                <w:sz w:val="18"/>
              </w:rPr>
              <w:t>5,605,632.71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16,617,588.08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3,756,630.23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1,145,793.02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1,314,698.21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228,169.39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28,668,511.64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5,605,632.71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15,876,781.50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412,404.78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807,846.15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1,105,527.44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187,017.56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23,995,210.14</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740,806.58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3,344,225.45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337,946.87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209,170.77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41,151.83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4,673,301.50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4,528,774.35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2,618,399.16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428,871.83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141,614.12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223,328.45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7,940,987.91</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4,528,774.35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2,618,399.16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428,871.83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141,614.12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223,328.45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7,940,987.91</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10,801,280.17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52,711,094.90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13,065,494.15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5,731,457.99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4,816,014.04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799,522.87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87,924,864.12</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7"/>
              <w:jc w:val="center"/>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165,463,923.60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27,678,349.37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2,807,240.94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912,176.30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3,168,130.62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2,088,470.09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202,118,290.90</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31,265,036.55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25,002,610.16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2,035,831.19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476,805.38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2,767,264.05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2,292,497.13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63,840,044.46</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120,978,384.84</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29,533,154.08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购置办公写字楼、权证正在办理中</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2,659,356.37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4,479,356.37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11,488,480.29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12,088,480.29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2,005,728.74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2,605,728.74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9,482,751.55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9,482,751.55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14,147,836.66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16,567,836.66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1,025,682.53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727,685.07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1,773,367.60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1,611,317.10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254,444.48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1,865,761.58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1,048,402.77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254,444.48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1,302,847.25</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562,914.33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562,914.33</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2,636,999.63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982,129.55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2" w:right="0"/>
              <w:jc w:val="left"/>
              <w:rPr>
                <w:rFonts w:ascii="Times New Roman" w:hAnsi="Times New Roman" w:cs="Times New Roman" w:eastAsia="Times New Roman" w:hint="default"/>
                <w:sz w:val="18"/>
                <w:szCs w:val="18"/>
              </w:rPr>
            </w:pPr>
            <w:r>
              <w:rPr>
                <w:rFonts w:ascii="Times New Roman"/>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3,639,129.18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11,510,837.03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1,417,870.45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12,928,707.48</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1,633,673.84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1,072,314.93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2,705,988.77</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357" w:lineRule="auto" w:before="52"/>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1"/>
        <w:gridCol w:w="3188"/>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3"/>
        <w:gridCol w:w="1063"/>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7"/>
              <w:jc w:val="both"/>
              <w:rPr>
                <w:rFonts w:ascii="宋体" w:hAnsi="宋体" w:cs="宋体" w:eastAsia="宋体" w:hint="default"/>
                <w:sz w:val="18"/>
                <w:szCs w:val="18"/>
              </w:rPr>
            </w:pPr>
            <w:r>
              <w:rPr>
                <w:rFonts w:ascii="宋体" w:hAnsi="宋体" w:cs="宋体" w:eastAsia="宋体" w:hint="default"/>
                <w:sz w:val="18"/>
                <w:szCs w:val="18"/>
              </w:rPr>
              <w:t>智慧融媒体 中心设计与 建设研究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7,581,275.41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7,581,275.41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 手机精准定 位与排查解 决方案</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6,983,813.89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6,983,813.89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通信网络疑 难弱覆盖解 决方案</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6,746,013.89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6,746,013.89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基于大数据 深度挖掘的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网络质量 评估及优化 方案</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6,473,188.07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6,473,188.07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通信基站智 能节电平台 研发与应用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6,208,449.84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6,208,449.84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重点场景网 络智能分析 与保障系统 研发与应用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5,513,221.86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5,513,221.86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通信服务领 域云课堂双 创平台研究 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5,403,036.69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pacing w:val="-1"/>
                <w:sz w:val="18"/>
              </w:rPr>
              <w:t>5,403,036.69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施工现场智 能调度业务 支撑体系研 究与应用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5,394,704.93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5,394,704.93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全国支付中 心与现金流 一体化监管 平台研究与 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5,190,980.13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5,190,980.13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集团专线建 设管理及流 程规范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4,964,557.08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4,964,557.08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合作伙伴服</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4,766,121.70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4,766,121.70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3"/>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29"/>
              <w:jc w:val="left"/>
              <w:rPr>
                <w:rFonts w:ascii="宋体" w:hAnsi="宋体" w:cs="宋体" w:eastAsia="宋体" w:hint="default"/>
                <w:sz w:val="18"/>
                <w:szCs w:val="18"/>
              </w:rPr>
            </w:pPr>
            <w:r>
              <w:rPr>
                <w:rFonts w:ascii="宋体" w:hAnsi="宋体" w:cs="宋体" w:eastAsia="宋体" w:hint="default"/>
                <w:sz w:val="18"/>
                <w:szCs w:val="18"/>
              </w:rPr>
              <w:t>务管理体系 建设及探讨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铁塔智能代 维平台研究 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4,698,998.30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4,698,998.30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财务共享服 务体系建设 研究与应用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4,662,140.58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4,662,140.58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NB</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无线大数 据优化平台 研发与应用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4,621,188.62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4,621,188.62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LTE-MR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w:t>
            </w:r>
          </w:p>
          <w:p>
            <w:pPr>
              <w:pStyle w:val="TableParagraph"/>
              <w:spacing w:line="316"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合分析平台 研究与应用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4,461,034.73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4,461,034.73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基于大数据 的视频监控 领域的图像 质量分析研 究与应用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4,020,874.85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4,020,874.85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基于物联网 的智能人流 量监测与预 警体系</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3,755,989.68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3,755,989.68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基于三维视 频的通信行 业培训管理 平台研究与 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3,643,582.33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3,643,582.33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智能资产与 材料调度管 理体系研究 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3,005,828.70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3,005,828.70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招投标项目 信息大数据 平台建设方 案及应用管 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2,439,446.77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2,439,446.77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电力智能化 管理分析系 统研究与应 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2,315,555.25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2,315,555.25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数据通信相 关技术的研 究和应用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2,043,336.11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2,043,336.11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施工安全与 质量管理体 系研究与应 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1,881,680.44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pacing w:val="-1"/>
                <w:sz w:val="18"/>
              </w:rPr>
              <w:t>1,881,680.44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工程验收标 准体系与信 息化平台研 究与应用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1,766,780.82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1,766,780.82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基于大数据 挖掘的无线 网络质量评 估及优化系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1,643,617.36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1,643,617.36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网优大数据 平台研究与 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1,555,745.60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1,555,745.60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基于云计算 的智慧城市 资源管理综 合解决方案</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1,128,502.21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pacing w:val="-1"/>
                <w:sz w:val="18"/>
              </w:rPr>
              <w:t>1,128,502.21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城市智慧水 务云平台在 水利现代化 建设中的应 用及其技术 探究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1,026,869.42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1,026,869.42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输电线路三 维模型展示 平台研发项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953,233.16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pacing w:val="-1"/>
                <w:sz w:val="18"/>
              </w:rPr>
              <w:t>953,233.16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大数据视角 下高校智慧 校园信息化 建设的顶层 设计及创新 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892,649.78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892,649.78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left"/>
              <w:rPr>
                <w:rFonts w:ascii="宋体" w:hAnsi="宋体" w:cs="宋体" w:eastAsia="宋体" w:hint="default"/>
                <w:sz w:val="18"/>
                <w:szCs w:val="18"/>
              </w:rPr>
            </w:pPr>
            <w:r>
              <w:rPr>
                <w:rFonts w:ascii="宋体" w:hAnsi="宋体" w:cs="宋体" w:eastAsia="宋体" w:hint="default"/>
                <w:sz w:val="18"/>
                <w:szCs w:val="18"/>
              </w:rPr>
              <w:t>输电线路故 障定位系统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379,603.22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379,603.22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3"/>
      </w:tblGrid>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智慧食堂管 理系统的设 计与实现及 其综合解决 方案</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373,170.67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373,170.67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29"/>
              <w:jc w:val="left"/>
              <w:rPr>
                <w:rFonts w:ascii="宋体" w:hAnsi="宋体" w:cs="宋体" w:eastAsia="宋体" w:hint="default"/>
                <w:sz w:val="18"/>
                <w:szCs w:val="18"/>
              </w:rPr>
            </w:pPr>
            <w:r>
              <w:rPr>
                <w:rFonts w:ascii="宋体" w:hAnsi="宋体" w:cs="宋体" w:eastAsia="宋体" w:hint="default"/>
                <w:sz w:val="18"/>
                <w:szCs w:val="18"/>
              </w:rPr>
              <w:t>微电网储能 系统的研发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327,138.82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327,138.82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配电房智能 环境监控平 台的研发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264,877.63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264,877.63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2" w:right="129"/>
              <w:jc w:val="both"/>
              <w:rPr>
                <w:rFonts w:ascii="宋体" w:hAnsi="宋体" w:cs="宋体" w:eastAsia="宋体" w:hint="default"/>
                <w:sz w:val="18"/>
                <w:szCs w:val="18"/>
              </w:rPr>
            </w:pPr>
            <w:r>
              <w:rPr>
                <w:rFonts w:ascii="宋体" w:hAnsi="宋体" w:cs="宋体" w:eastAsia="宋体" w:hint="default"/>
                <w:sz w:val="18"/>
                <w:szCs w:val="18"/>
              </w:rPr>
              <w:t>应急发电车 快速接入装 置的研发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186,977.82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186,977.82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基于内置式 传感器的高 压电缆局部 放电多点同 步检测及状 态评价系统 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181,237.45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181,237.45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2" w:right="129"/>
              <w:jc w:val="both"/>
              <w:rPr>
                <w:rFonts w:ascii="宋体" w:hAnsi="宋体" w:cs="宋体" w:eastAsia="宋体" w:hint="default"/>
                <w:sz w:val="18"/>
                <w:szCs w:val="18"/>
              </w:rPr>
            </w:pPr>
            <w:r>
              <w:rPr>
                <w:rFonts w:ascii="宋体" w:hAnsi="宋体" w:cs="宋体" w:eastAsia="宋体" w:hint="default"/>
                <w:sz w:val="18"/>
                <w:szCs w:val="18"/>
              </w:rPr>
              <w:t>输电线路通 道地质灾害 监测系统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157,419.60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157,419.60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82,691.45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82,691.45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无人机光伏 电站巡检作 业管理平台 软件研发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pacing w:val="-1"/>
                <w:sz w:val="18"/>
              </w:rPr>
              <w:t>58,056.29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pacing w:val="-1"/>
                <w:sz w:val="18"/>
              </w:rPr>
              <w:t>58,056.29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光伏组件热 斑智能识别 软件研发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53,897.73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53,897.73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电力系统网 络安全态势 感知系统的 应用研发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53,098.65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pacing w:val="-1"/>
                <w:sz w:val="18"/>
              </w:rPr>
              <w:t>53,098.65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输电线路分 布式风害监 测系统的应 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53,098.65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53,098.65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left"/>
              <w:rPr>
                <w:rFonts w:ascii="宋体" w:hAnsi="宋体" w:cs="宋体" w:eastAsia="宋体" w:hint="default"/>
                <w:sz w:val="18"/>
                <w:szCs w:val="18"/>
              </w:rPr>
            </w:pPr>
            <w:r>
              <w:rPr>
                <w:rFonts w:ascii="宋体" w:hAnsi="宋体" w:cs="宋体" w:eastAsia="宋体" w:hint="default"/>
                <w:sz w:val="18"/>
                <w:szCs w:val="18"/>
              </w:rPr>
              <w:t>电力杆塔精 确位移监测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36,125.31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36,125.31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09"/>
              <w:jc w:val="right"/>
              <w:rPr>
                <w:rFonts w:ascii="宋体" w:hAnsi="宋体" w:cs="宋体" w:eastAsia="宋体" w:hint="default"/>
                <w:sz w:val="18"/>
                <w:szCs w:val="18"/>
              </w:rPr>
            </w:pPr>
            <w:r>
              <w:rPr>
                <w:rFonts w:ascii="宋体" w:hAnsi="宋体" w:cs="宋体" w:eastAsia="宋体" w:hint="default"/>
                <w:sz w:val="18"/>
                <w:szCs w:val="18"/>
              </w:rPr>
              <w:t>系统研发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消弧线圈并 联小电阻接 地装置系统 的应用研发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35,381.48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35,381.48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无人机光伏 组件自动巡 检地面站控 制软件研发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10,450.01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10,450.01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117,995,642.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117,995,642.</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广州逸信电子科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10,212,316.57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10,212,316.57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广州市泺立能源 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25,590,114.79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25,590,114.79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广州鑫广源电力 设计有限公司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35,107,839.21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35,107,839.21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广州市赛皓达智 能科技有限公司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13,375,147.07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13,375,147.07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广东博深咨询有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5,587,446.57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5,587,446.57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广州纵诺电力工 程技术有限公司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5,174,079.96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5,174,079.96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10,212,316.57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84,834,627.60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95,046,944.17</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40" w:lineRule="auto" w:before="145"/>
        <w:ind w:left="633" w:right="1057"/>
        <w:jc w:val="left"/>
      </w:pPr>
      <w:r>
        <w:rPr/>
        <w:t>资产负债表日，本公司商誉无减值准备。</w:t>
      </w:r>
    </w:p>
    <w:p>
      <w:pPr>
        <w:pStyle w:val="BodyText"/>
        <w:spacing w:line="240" w:lineRule="auto" w:before="118"/>
        <w:ind w:left="633" w:right="1057"/>
        <w:jc w:val="left"/>
      </w:pPr>
      <w:r>
        <w:rPr>
          <w:rFonts w:ascii="Times New Roman" w:hAnsi="Times New Roman" w:cs="Times New Roman" w:eastAsia="Times New Roman" w:hint="default"/>
        </w:rPr>
        <w:t>1</w:t>
      </w:r>
      <w:r>
        <w:rPr/>
        <w:t>）广州逸信电子科技有限公司</w:t>
      </w:r>
    </w:p>
    <w:p>
      <w:pPr>
        <w:pStyle w:val="BodyText"/>
        <w:spacing w:line="240" w:lineRule="auto" w:before="99"/>
        <w:ind w:left="633" w:right="1057"/>
        <w:jc w:val="left"/>
      </w:pPr>
      <w:r>
        <w:rPr/>
        <w:t>①商誉所在的资产组或资产组组合的相关信息</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017"/>
        <w:gridCol w:w="4272"/>
      </w:tblGrid>
      <w:tr>
        <w:trPr>
          <w:trHeight w:val="350" w:hRule="exact"/>
        </w:trPr>
        <w:tc>
          <w:tcPr>
            <w:tcW w:w="5017"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1241"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4272"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广州逸信电子科技有限公司</w:t>
            </w:r>
          </w:p>
        </w:tc>
      </w:tr>
      <w:tr>
        <w:trPr>
          <w:trHeight w:val="348"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3"/>
              <w:jc w:val="center"/>
              <w:rPr>
                <w:rFonts w:ascii="Times New Roman" w:hAnsi="Times New Roman" w:cs="Times New Roman" w:eastAsia="Times New Roman" w:hint="default"/>
                <w:sz w:val="21"/>
                <w:szCs w:val="21"/>
              </w:rPr>
            </w:pPr>
            <w:r>
              <w:rPr>
                <w:rFonts w:ascii="Times New Roman"/>
                <w:sz w:val="21"/>
              </w:rPr>
              <w:t>723,014.66</w:t>
            </w:r>
          </w:p>
        </w:tc>
      </w:tr>
      <w:tr>
        <w:trPr>
          <w:trHeight w:val="346"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center"/>
              <w:rPr>
                <w:rFonts w:ascii="Times New Roman" w:hAnsi="Times New Roman" w:cs="Times New Roman" w:eastAsia="Times New Roman" w:hint="default"/>
                <w:sz w:val="21"/>
                <w:szCs w:val="21"/>
              </w:rPr>
            </w:pPr>
            <w:r>
              <w:rPr>
                <w:rFonts w:ascii="Times New Roman"/>
                <w:sz w:val="21"/>
              </w:rPr>
              <w:t>10,212,316.57</w:t>
            </w:r>
          </w:p>
        </w:tc>
      </w:tr>
      <w:tr>
        <w:trPr>
          <w:trHeight w:val="348"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10,935,331.23</w:t>
            </w:r>
          </w:p>
        </w:tc>
      </w:tr>
      <w:tr>
        <w:trPr>
          <w:trHeight w:val="348"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2"/>
              <w:jc w:val="left"/>
              <w:rPr>
                <w:rFonts w:ascii="宋体" w:hAnsi="宋体" w:cs="宋体" w:eastAsia="宋体" w:hint="default"/>
                <w:sz w:val="21"/>
                <w:szCs w:val="21"/>
              </w:rPr>
            </w:pPr>
            <w:r>
              <w:rPr>
                <w:rFonts w:ascii="宋体" w:hAnsi="宋体" w:cs="宋体" w:eastAsia="宋体" w:hint="default"/>
                <w:spacing w:val="-4"/>
                <w:sz w:val="21"/>
                <w:szCs w:val="21"/>
              </w:rPr>
              <w:t>资产组或资产组组合是否与购买日、以前年度商誉减值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68"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68" w:lineRule="exact"/>
        <w:jc w:val="center"/>
        <w:rPr>
          <w:rFonts w:ascii="宋体" w:hAnsi="宋体" w:cs="宋体" w:eastAsia="宋体" w:hint="default"/>
          <w:sz w:val="21"/>
          <w:szCs w:val="21"/>
        </w:rPr>
        <w:sectPr>
          <w:pgSz w:w="11910" w:h="16840"/>
          <w:pgMar w:header="748" w:footer="974" w:top="1060" w:bottom="1160" w:left="980" w:right="0"/>
        </w:sectPr>
      </w:pPr>
    </w:p>
    <w:p>
      <w:pPr>
        <w:spacing w:line="240" w:lineRule="auto" w:before="10"/>
        <w:rPr>
          <w:rFonts w:ascii="宋体" w:hAnsi="宋体" w:cs="宋体" w:eastAsia="宋体" w:hint="default"/>
          <w:sz w:val="27"/>
          <w:szCs w:val="27"/>
        </w:rPr>
      </w:pPr>
    </w:p>
    <w:p>
      <w:pPr>
        <w:spacing w:line="374" w:lineRule="exact"/>
        <w:ind w:left="13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5.85pt;height:18.75pt;mso-position-horizontal-relative:char;mso-position-vertical-relative:line" coordorigin="0,0" coordsize="9317,375">
            <v:group style="position:absolute;left:24;top:14;width:5003;height:2" coordorigin="24,14" coordsize="5003,2">
              <v:shape style="position:absolute;left:24;top:14;width:5003;height:2" coordorigin="24,14" coordsize="5003,0" path="m24,14l5027,14e" filled="false" stroked="true" strokeweight=".72pt" strokecolor="#000000">
                <v:path arrowok="t"/>
              </v:shape>
            </v:group>
            <v:group style="position:absolute;left:5041;top:14;width:4266;height:2" coordorigin="5041,14" coordsize="4266,2">
              <v:shape style="position:absolute;left:5041;top:14;width:4266;height:2" coordorigin="5041,14" coordsize="4266,0" path="m5041,14l9307,14e" filled="false" stroked="true" strokeweight=".72pt" strokecolor="#000000">
                <v:path arrowok="t"/>
              </v:shape>
            </v:group>
            <v:group style="position:absolute;left:17;top:7;width:2;height:349" coordorigin="17,7" coordsize="2,349">
              <v:shape style="position:absolute;left:17;top:7;width:2;height:349" coordorigin="17,7" coordsize="0,349" path="m17,7l17,356e" filled="false" stroked="true" strokeweight=".72pt" strokecolor="#000000">
                <v:path arrowok="t"/>
              </v:shape>
            </v:group>
            <v:group style="position:absolute;left:10;top:365;width:5018;height:2" coordorigin="10,365" coordsize="5018,2">
              <v:shape style="position:absolute;left:10;top:365;width:5018;height:2" coordorigin="10,365" coordsize="5018,0" path="m10,365l5027,365e" filled="false" stroked="true" strokeweight=".96pt" strokecolor="#000000">
                <v:path arrowok="t"/>
              </v:shape>
            </v:group>
            <v:group style="position:absolute;left:5034;top:7;width:2;height:349" coordorigin="5034,7" coordsize="2,349">
              <v:shape style="position:absolute;left:5034;top:7;width:2;height:349" coordorigin="5034,7" coordsize="0,349" path="m5034,7l5034,356e" filled="false" stroked="true" strokeweight=".72pt" strokecolor="#000000">
                <v:path arrowok="t"/>
              </v:shape>
            </v:group>
            <v:group style="position:absolute;left:5027;top:365;width:20;height:2" coordorigin="5027,365" coordsize="20,2">
              <v:shape style="position:absolute;left:5027;top:365;width:20;height:2" coordorigin="5027,365" coordsize="20,0" path="m5027,365l5046,365e" filled="false" stroked="true" strokeweight=".96pt" strokecolor="#000000">
                <v:path arrowok="t"/>
              </v:shape>
            </v:group>
            <v:group style="position:absolute;left:5046;top:365;width:4261;height:2" coordorigin="5046,365" coordsize="4261,2">
              <v:shape style="position:absolute;left:5046;top:365;width:4261;height:2" coordorigin="5046,365" coordsize="4261,0" path="m5046,365l9307,365e" filled="false" stroked="true" strokeweight=".96pt" strokecolor="#000000">
                <v:path arrowok="t"/>
              </v:shape>
              <v:shape style="position:absolute;left:17;top:14;width:5018;height:351" type="#_x0000_t202" filled="false" stroked="false">
                <v:textbox inset="0,0,0,0">
                  <w:txbxContent>
                    <w:p>
                      <w:pPr>
                        <w:spacing w:before="4"/>
                        <w:ind w:left="12" w:right="0" w:firstLine="0"/>
                        <w:jc w:val="left"/>
                        <w:rPr>
                          <w:rFonts w:ascii="宋体" w:hAnsi="宋体" w:cs="宋体" w:eastAsia="宋体" w:hint="default"/>
                          <w:sz w:val="21"/>
                          <w:szCs w:val="21"/>
                        </w:rPr>
                      </w:pPr>
                      <w:r>
                        <w:rPr>
                          <w:rFonts w:ascii="宋体" w:hAnsi="宋体" w:cs="宋体" w:eastAsia="宋体" w:hint="default"/>
                          <w:sz w:val="21"/>
                          <w:szCs w:val="21"/>
                        </w:rPr>
                        <w:t>测试时所确定的资产组或资产组组合一致</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26"/>
        <w:ind w:left="633" w:right="1057"/>
        <w:jc w:val="left"/>
      </w:pPr>
      <w:r>
        <w:rPr>
          <w:rFonts w:ascii="Times New Roman" w:hAnsi="Times New Roman" w:cs="Times New Roman" w:eastAsia="Times New Roman" w:hint="default"/>
        </w:rPr>
        <w:t>2</w:t>
      </w:r>
      <w:r>
        <w:rPr/>
        <w:t>）广州市泺立能源科技有限公司</w:t>
      </w:r>
    </w:p>
    <w:p>
      <w:pPr>
        <w:pStyle w:val="BodyText"/>
        <w:spacing w:line="240" w:lineRule="auto" w:before="99"/>
        <w:ind w:left="633" w:right="1057"/>
        <w:jc w:val="left"/>
      </w:pPr>
      <w:r>
        <w:rPr/>
        <w:t>①商誉所在的资产组或资产组组合的相关信息</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017"/>
        <w:gridCol w:w="4272"/>
      </w:tblGrid>
      <w:tr>
        <w:trPr>
          <w:trHeight w:val="348" w:hRule="exact"/>
        </w:trPr>
        <w:tc>
          <w:tcPr>
            <w:tcW w:w="5017"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241"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4272"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广州市泺立能源科技有限公司</w:t>
            </w:r>
          </w:p>
        </w:tc>
      </w:tr>
      <w:tr>
        <w:trPr>
          <w:trHeight w:val="348"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7,687,391.57</w:t>
            </w:r>
          </w:p>
        </w:tc>
      </w:tr>
      <w:tr>
        <w:trPr>
          <w:trHeight w:val="348"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center"/>
              <w:rPr>
                <w:rFonts w:ascii="Times New Roman" w:hAnsi="Times New Roman" w:cs="Times New Roman" w:eastAsia="Times New Roman" w:hint="default"/>
                <w:sz w:val="21"/>
                <w:szCs w:val="21"/>
              </w:rPr>
            </w:pPr>
            <w:r>
              <w:rPr>
                <w:rFonts w:ascii="Times New Roman"/>
                <w:sz w:val="21"/>
              </w:rPr>
              <w:t>50,176,695.67</w:t>
            </w:r>
          </w:p>
        </w:tc>
      </w:tr>
      <w:tr>
        <w:trPr>
          <w:trHeight w:val="346"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center"/>
              <w:rPr>
                <w:rFonts w:ascii="Times New Roman" w:hAnsi="Times New Roman" w:cs="Times New Roman" w:eastAsia="Times New Roman" w:hint="default"/>
                <w:sz w:val="21"/>
                <w:szCs w:val="21"/>
              </w:rPr>
            </w:pPr>
            <w:r>
              <w:rPr>
                <w:rFonts w:ascii="Times New Roman"/>
                <w:sz w:val="21"/>
              </w:rPr>
              <w:t>57,864,087.24</w:t>
            </w:r>
          </w:p>
        </w:tc>
      </w:tr>
      <w:tr>
        <w:trPr>
          <w:trHeight w:val="661"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4"/>
                <w:sz w:val="21"/>
                <w:szCs w:val="21"/>
              </w:rPr>
              <w:t>资产组或资产组组合是否与购买日、以前年度商誉减值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测试时所确定的资产组或资产组组合一致</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left="633" w:right="1057"/>
        <w:jc w:val="left"/>
      </w:pPr>
      <w:r>
        <w:rPr>
          <w:rFonts w:ascii="Times New Roman" w:hAnsi="Times New Roman" w:cs="Times New Roman" w:eastAsia="Times New Roman" w:hint="default"/>
        </w:rPr>
        <w:t>3</w:t>
      </w:r>
      <w:r>
        <w:rPr/>
        <w:t>）广州鑫广源电力设计有限公司</w:t>
      </w:r>
    </w:p>
    <w:p>
      <w:pPr>
        <w:pStyle w:val="BodyText"/>
        <w:spacing w:line="240" w:lineRule="auto" w:before="99"/>
        <w:ind w:left="633" w:right="1057"/>
        <w:jc w:val="left"/>
      </w:pPr>
      <w:r>
        <w:rPr/>
        <w:t>①商誉所在的资产组或资产组组合的相关信息</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017"/>
        <w:gridCol w:w="4272"/>
      </w:tblGrid>
      <w:tr>
        <w:trPr>
          <w:trHeight w:val="350" w:hRule="exact"/>
        </w:trPr>
        <w:tc>
          <w:tcPr>
            <w:tcW w:w="5017"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1241"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4272"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广州鑫广源电力设计有限公司</w:t>
            </w:r>
          </w:p>
        </w:tc>
      </w:tr>
      <w:tr>
        <w:trPr>
          <w:trHeight w:val="346"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center"/>
              <w:rPr>
                <w:rFonts w:ascii="Times New Roman" w:hAnsi="Times New Roman" w:cs="Times New Roman" w:eastAsia="Times New Roman" w:hint="default"/>
                <w:sz w:val="21"/>
                <w:szCs w:val="21"/>
              </w:rPr>
            </w:pPr>
            <w:r>
              <w:rPr>
                <w:rFonts w:ascii="Times New Roman"/>
                <w:sz w:val="21"/>
              </w:rPr>
              <w:t>-3,599,577.15</w:t>
            </w:r>
          </w:p>
        </w:tc>
      </w:tr>
      <w:tr>
        <w:trPr>
          <w:trHeight w:val="348"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50,154,056.01</w:t>
            </w:r>
          </w:p>
        </w:tc>
      </w:tr>
      <w:tr>
        <w:trPr>
          <w:trHeight w:val="346"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center"/>
              <w:rPr>
                <w:rFonts w:ascii="Times New Roman" w:hAnsi="Times New Roman" w:cs="Times New Roman" w:eastAsia="Times New Roman" w:hint="default"/>
                <w:sz w:val="21"/>
                <w:szCs w:val="21"/>
              </w:rPr>
            </w:pPr>
            <w:r>
              <w:rPr>
                <w:rFonts w:ascii="Times New Roman"/>
                <w:sz w:val="21"/>
              </w:rPr>
              <w:t>46,554,478.86</w:t>
            </w:r>
          </w:p>
        </w:tc>
      </w:tr>
      <w:tr>
        <w:trPr>
          <w:trHeight w:val="660"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4"/>
                <w:sz w:val="21"/>
                <w:szCs w:val="21"/>
              </w:rPr>
              <w:t>资产组或资产组组合是否与购买日、以前年度商誉减值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测试时所确定的资产组或资产组组合一致</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633" w:right="1057"/>
        <w:jc w:val="left"/>
      </w:pPr>
      <w:r>
        <w:rPr>
          <w:rFonts w:ascii="Times New Roman" w:hAnsi="Times New Roman" w:cs="Times New Roman" w:eastAsia="Times New Roman" w:hint="default"/>
        </w:rPr>
        <w:t>4</w:t>
      </w:r>
      <w:r>
        <w:rPr/>
        <w:t>）广州市赛皓达智能科技有限公司</w:t>
      </w:r>
    </w:p>
    <w:p>
      <w:pPr>
        <w:pStyle w:val="BodyText"/>
        <w:spacing w:line="240" w:lineRule="auto" w:before="99"/>
        <w:ind w:left="633" w:right="1057"/>
        <w:jc w:val="left"/>
      </w:pPr>
      <w:r>
        <w:rPr/>
        <w:t>①商誉所在的资产组或资产组组合的相关信息</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017"/>
        <w:gridCol w:w="4272"/>
      </w:tblGrid>
      <w:tr>
        <w:trPr>
          <w:trHeight w:val="350" w:hRule="exact"/>
        </w:trPr>
        <w:tc>
          <w:tcPr>
            <w:tcW w:w="5017"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1241"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4272"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广州市赛皓达智能科技有限公司</w:t>
            </w:r>
          </w:p>
        </w:tc>
      </w:tr>
      <w:tr>
        <w:trPr>
          <w:trHeight w:val="348"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center"/>
              <w:rPr>
                <w:rFonts w:ascii="Times New Roman" w:hAnsi="Times New Roman" w:cs="Times New Roman" w:eastAsia="Times New Roman" w:hint="default"/>
                <w:sz w:val="21"/>
                <w:szCs w:val="21"/>
              </w:rPr>
            </w:pPr>
            <w:r>
              <w:rPr>
                <w:rFonts w:ascii="Times New Roman"/>
                <w:sz w:val="21"/>
              </w:rPr>
              <w:t>17,138,347.82</w:t>
            </w:r>
          </w:p>
        </w:tc>
      </w:tr>
      <w:tr>
        <w:trPr>
          <w:trHeight w:val="346"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center"/>
              <w:rPr>
                <w:rFonts w:ascii="Times New Roman" w:hAnsi="Times New Roman" w:cs="Times New Roman" w:eastAsia="Times New Roman" w:hint="default"/>
                <w:sz w:val="21"/>
                <w:szCs w:val="21"/>
              </w:rPr>
            </w:pPr>
            <w:r>
              <w:rPr>
                <w:rFonts w:ascii="Times New Roman"/>
                <w:sz w:val="21"/>
              </w:rPr>
              <w:t>13,375,147.07</w:t>
            </w:r>
          </w:p>
        </w:tc>
      </w:tr>
      <w:tr>
        <w:trPr>
          <w:trHeight w:val="349"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30,513,494.89</w:t>
            </w:r>
          </w:p>
        </w:tc>
      </w:tr>
      <w:tr>
        <w:trPr>
          <w:trHeight w:val="660"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4"/>
                <w:sz w:val="21"/>
                <w:szCs w:val="21"/>
              </w:rPr>
              <w:t>资产组或资产组组合是否与购买日、以前年度商誉减值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测试时所确定的资产组或资产组组合一致</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left="633" w:right="1057"/>
        <w:jc w:val="left"/>
      </w:pPr>
      <w:r>
        <w:rPr>
          <w:rFonts w:ascii="Times New Roman" w:hAnsi="Times New Roman" w:cs="Times New Roman" w:eastAsia="Times New Roman" w:hint="default"/>
        </w:rPr>
        <w:t>5</w:t>
      </w:r>
      <w:r>
        <w:rPr/>
        <w:t>）广东博深咨询有限公司</w:t>
      </w:r>
    </w:p>
    <w:p>
      <w:pPr>
        <w:pStyle w:val="BodyText"/>
        <w:spacing w:line="240" w:lineRule="auto" w:before="99"/>
        <w:ind w:left="633" w:right="1057"/>
        <w:jc w:val="left"/>
      </w:pPr>
      <w:r>
        <w:rPr/>
        <w:t>①商誉所在的资产组或资产组组合的相关信息</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900"/>
        <w:gridCol w:w="4174"/>
      </w:tblGrid>
      <w:tr>
        <w:trPr>
          <w:trHeight w:val="348" w:hRule="exact"/>
        </w:trPr>
        <w:tc>
          <w:tcPr>
            <w:tcW w:w="4900"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181"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4174"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7"/>
              <w:jc w:val="center"/>
              <w:rPr>
                <w:rFonts w:ascii="宋体" w:hAnsi="宋体" w:cs="宋体" w:eastAsia="宋体" w:hint="default"/>
                <w:sz w:val="21"/>
                <w:szCs w:val="21"/>
              </w:rPr>
            </w:pPr>
            <w:r>
              <w:rPr>
                <w:rFonts w:ascii="宋体" w:hAnsi="宋体" w:cs="宋体" w:eastAsia="宋体" w:hint="default"/>
                <w:sz w:val="21"/>
                <w:szCs w:val="21"/>
              </w:rPr>
              <w:t>广东博深咨询有限公司</w:t>
            </w:r>
          </w:p>
        </w:tc>
      </w:tr>
      <w:tr>
        <w:trPr>
          <w:trHeight w:val="348" w:hRule="exact"/>
        </w:trPr>
        <w:tc>
          <w:tcPr>
            <w:tcW w:w="490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1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144,190.52</w:t>
            </w:r>
          </w:p>
        </w:tc>
      </w:tr>
      <w:tr>
        <w:trPr>
          <w:trHeight w:val="346" w:hRule="exact"/>
        </w:trPr>
        <w:tc>
          <w:tcPr>
            <w:tcW w:w="4900"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分摊至本资产组或资产组组合的商誉账面价值</w:t>
            </w:r>
          </w:p>
        </w:tc>
        <w:tc>
          <w:tcPr>
            <w:tcW w:w="41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center"/>
              <w:rPr>
                <w:rFonts w:ascii="Times New Roman" w:hAnsi="Times New Roman" w:cs="Times New Roman" w:eastAsia="Times New Roman" w:hint="default"/>
                <w:sz w:val="21"/>
                <w:szCs w:val="21"/>
              </w:rPr>
            </w:pPr>
            <w:r>
              <w:rPr>
                <w:rFonts w:ascii="Times New Roman"/>
                <w:sz w:val="21"/>
              </w:rPr>
              <w:t>10,955,777.59</w:t>
            </w:r>
          </w:p>
        </w:tc>
      </w:tr>
      <w:tr>
        <w:trPr>
          <w:trHeight w:val="348" w:hRule="exact"/>
        </w:trPr>
        <w:tc>
          <w:tcPr>
            <w:tcW w:w="4900"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1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center"/>
              <w:rPr>
                <w:rFonts w:ascii="Times New Roman" w:hAnsi="Times New Roman" w:cs="Times New Roman" w:eastAsia="Times New Roman" w:hint="default"/>
                <w:sz w:val="21"/>
                <w:szCs w:val="21"/>
              </w:rPr>
            </w:pPr>
            <w:r>
              <w:rPr>
                <w:rFonts w:ascii="Times New Roman"/>
                <w:sz w:val="21"/>
              </w:rPr>
              <w:t>11,099,968.11</w:t>
            </w:r>
          </w:p>
        </w:tc>
      </w:tr>
      <w:tr>
        <w:trPr>
          <w:trHeight w:val="348" w:hRule="exact"/>
        </w:trPr>
        <w:tc>
          <w:tcPr>
            <w:tcW w:w="4900"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资产组或资产组组合是否与购买日、以前年度商誉减</w:t>
            </w:r>
          </w:p>
        </w:tc>
        <w:tc>
          <w:tcPr>
            <w:tcW w:w="4174"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9"/>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67" w:lineRule="exact"/>
        <w:jc w:val="center"/>
        <w:rPr>
          <w:rFonts w:ascii="宋体" w:hAnsi="宋体" w:cs="宋体" w:eastAsia="宋体" w:hint="default"/>
          <w:sz w:val="21"/>
          <w:szCs w:val="21"/>
        </w:rPr>
        <w:sectPr>
          <w:pgSz w:w="11910" w:h="16840"/>
          <w:pgMar w:header="748" w:footer="974" w:top="1060" w:bottom="1160" w:left="980" w:right="0"/>
        </w:sectPr>
      </w:pPr>
    </w:p>
    <w:p>
      <w:pPr>
        <w:spacing w:line="240" w:lineRule="auto" w:before="10"/>
        <w:rPr>
          <w:rFonts w:ascii="宋体" w:hAnsi="宋体" w:cs="宋体" w:eastAsia="宋体" w:hint="default"/>
          <w:sz w:val="27"/>
          <w:szCs w:val="27"/>
        </w:rPr>
      </w:pPr>
    </w:p>
    <w:p>
      <w:pPr>
        <w:spacing w:line="374" w:lineRule="exact"/>
        <w:ind w:left="13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55.05pt;height:18.75pt;mso-position-horizontal-relative:char;mso-position-vertical-relative:line" coordorigin="0,0" coordsize="9101,375">
            <v:group style="position:absolute;left:24;top:14;width:4886;height:2" coordorigin="24,14" coordsize="4886,2">
              <v:shape style="position:absolute;left:24;top:14;width:4886;height:2" coordorigin="24,14" coordsize="4886,0" path="m24,14l4909,14e" filled="false" stroked="true" strokeweight=".72pt" strokecolor="#000000">
                <v:path arrowok="t"/>
              </v:shape>
            </v:group>
            <v:group style="position:absolute;left:4924;top:14;width:4167;height:2" coordorigin="4924,14" coordsize="4167,2">
              <v:shape style="position:absolute;left:4924;top:14;width:4167;height:2" coordorigin="4924,14" coordsize="4167,0" path="m4924,14l9091,14e" filled="false" stroked="true" strokeweight=".72pt" strokecolor="#000000">
                <v:path arrowok="t"/>
              </v:shape>
            </v:group>
            <v:group style="position:absolute;left:17;top:7;width:2;height:349" coordorigin="17,7" coordsize="2,349">
              <v:shape style="position:absolute;left:17;top:7;width:2;height:349" coordorigin="17,7" coordsize="0,349" path="m17,7l17,356e" filled="false" stroked="true" strokeweight=".72pt" strokecolor="#000000">
                <v:path arrowok="t"/>
              </v:shape>
            </v:group>
            <v:group style="position:absolute;left:10;top:365;width:4900;height:2" coordorigin="10,365" coordsize="4900,2">
              <v:shape style="position:absolute;left:10;top:365;width:4900;height:2" coordorigin="10,365" coordsize="4900,0" path="m10,365l4909,365e" filled="false" stroked="true" strokeweight=".96pt" strokecolor="#000000">
                <v:path arrowok="t"/>
              </v:shape>
            </v:group>
            <v:group style="position:absolute;left:4917;top:7;width:2;height:349" coordorigin="4917,7" coordsize="2,349">
              <v:shape style="position:absolute;left:4917;top:7;width:2;height:349" coordorigin="4917,7" coordsize="0,349" path="m4917,7l4917,356e" filled="false" stroked="true" strokeweight=".72pt" strokecolor="#000000">
                <v:path arrowok="t"/>
              </v:shape>
            </v:group>
            <v:group style="position:absolute;left:4909;top:365;width:20;height:2" coordorigin="4909,365" coordsize="20,2">
              <v:shape style="position:absolute;left:4909;top:365;width:20;height:2" coordorigin="4909,365" coordsize="20,0" path="m4909,365l4929,365e" filled="false" stroked="true" strokeweight=".96pt" strokecolor="#000000">
                <v:path arrowok="t"/>
              </v:shape>
            </v:group>
            <v:group style="position:absolute;left:4929;top:365;width:4162;height:2" coordorigin="4929,365" coordsize="4162,2">
              <v:shape style="position:absolute;left:4929;top:365;width:4162;height:2" coordorigin="4929,365" coordsize="4162,0" path="m4929,365l9091,365e" filled="false" stroked="true" strokeweight=".96pt" strokecolor="#000000">
                <v:path arrowok="t"/>
              </v:shape>
              <v:shape style="position:absolute;left:17;top:14;width:4900;height:351" type="#_x0000_t202" filled="false" stroked="false">
                <v:textbox inset="0,0,0,0">
                  <w:txbxContent>
                    <w:p>
                      <w:pPr>
                        <w:spacing w:before="4"/>
                        <w:ind w:left="12" w:right="0" w:firstLine="0"/>
                        <w:jc w:val="left"/>
                        <w:rPr>
                          <w:rFonts w:ascii="宋体" w:hAnsi="宋体" w:cs="宋体" w:eastAsia="宋体" w:hint="default"/>
                          <w:sz w:val="21"/>
                          <w:szCs w:val="21"/>
                        </w:rPr>
                      </w:pPr>
                      <w:r>
                        <w:rPr>
                          <w:rFonts w:ascii="宋体" w:hAnsi="宋体" w:cs="宋体" w:eastAsia="宋体" w:hint="default"/>
                          <w:sz w:val="21"/>
                          <w:szCs w:val="21"/>
                        </w:rPr>
                        <w:t>值测试时所确定的资产组或资产组组合一致</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633" w:right="1057"/>
        <w:jc w:val="left"/>
      </w:pPr>
      <w:r>
        <w:rPr>
          <w:rFonts w:ascii="Times New Roman" w:hAnsi="Times New Roman" w:cs="Times New Roman" w:eastAsia="Times New Roman" w:hint="default"/>
        </w:rPr>
        <w:t>6</w:t>
      </w:r>
      <w:r>
        <w:rPr/>
        <w:t>）广州纵诺电力工程技术有限公司</w:t>
      </w:r>
    </w:p>
    <w:p>
      <w:pPr>
        <w:pStyle w:val="BodyText"/>
        <w:spacing w:line="240" w:lineRule="auto" w:before="99"/>
        <w:ind w:left="633" w:right="1057"/>
        <w:jc w:val="left"/>
      </w:pPr>
      <w:r>
        <w:rPr/>
        <w:t>①商誉所在的资产组或资产组组合的相关信息</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017"/>
        <w:gridCol w:w="4272"/>
      </w:tblGrid>
      <w:tr>
        <w:trPr>
          <w:trHeight w:val="348" w:hRule="exact"/>
        </w:trPr>
        <w:tc>
          <w:tcPr>
            <w:tcW w:w="5017"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241"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4272" w:type="dxa"/>
            <w:tcBorders>
              <w:top w:val="single" w:sz="6" w:space="0" w:color="000000"/>
              <w:left w:val="single" w:sz="6" w:space="0" w:color="000000"/>
              <w:bottom w:val="single" w:sz="8" w:space="0" w:color="000000"/>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广州纵诺电力工程技术有限公司</w:t>
            </w:r>
          </w:p>
        </w:tc>
      </w:tr>
      <w:tr>
        <w:trPr>
          <w:trHeight w:val="348"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center"/>
              <w:rPr>
                <w:rFonts w:ascii="Times New Roman" w:hAnsi="Times New Roman" w:cs="Times New Roman" w:eastAsia="Times New Roman" w:hint="default"/>
                <w:sz w:val="21"/>
                <w:szCs w:val="21"/>
              </w:rPr>
            </w:pPr>
            <w:r>
              <w:rPr>
                <w:rFonts w:ascii="Times New Roman"/>
                <w:sz w:val="21"/>
              </w:rPr>
              <w:t>-64,723.85</w:t>
            </w:r>
          </w:p>
        </w:tc>
      </w:tr>
      <w:tr>
        <w:trPr>
          <w:trHeight w:val="348"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center"/>
              <w:rPr>
                <w:rFonts w:ascii="Times New Roman" w:hAnsi="Times New Roman" w:cs="Times New Roman" w:eastAsia="Times New Roman" w:hint="default"/>
                <w:sz w:val="21"/>
                <w:szCs w:val="21"/>
              </w:rPr>
            </w:pPr>
            <w:r>
              <w:rPr>
                <w:rFonts w:ascii="Times New Roman"/>
                <w:sz w:val="21"/>
              </w:rPr>
              <w:t>5,174,079.96</w:t>
            </w:r>
          </w:p>
        </w:tc>
      </w:tr>
      <w:tr>
        <w:trPr>
          <w:trHeight w:val="346"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4"/>
              <w:jc w:val="center"/>
              <w:rPr>
                <w:rFonts w:ascii="Times New Roman" w:hAnsi="Times New Roman" w:cs="Times New Roman" w:eastAsia="Times New Roman" w:hint="default"/>
                <w:sz w:val="21"/>
                <w:szCs w:val="21"/>
              </w:rPr>
            </w:pPr>
            <w:r>
              <w:rPr>
                <w:rFonts w:ascii="Times New Roman"/>
                <w:sz w:val="21"/>
              </w:rPr>
              <w:t>5,109,356.11</w:t>
            </w:r>
          </w:p>
        </w:tc>
      </w:tr>
      <w:tr>
        <w:trPr>
          <w:trHeight w:val="661" w:hRule="exact"/>
        </w:trPr>
        <w:tc>
          <w:tcPr>
            <w:tcW w:w="5017"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4"/>
                <w:sz w:val="21"/>
                <w:szCs w:val="21"/>
              </w:rPr>
              <w:t>资产组或资产组组合是否与购买日、以前年度商誉减值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测试时所确定的资产组或资产组组合一致</w:t>
            </w:r>
          </w:p>
        </w:tc>
        <w:tc>
          <w:tcPr>
            <w:tcW w:w="4272"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8" w:hRule="exact"/>
        </w:trPr>
        <w:tc>
          <w:tcPr>
            <w:tcW w:w="50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left="4" w:right="0"/>
              <w:jc w:val="left"/>
              <w:rPr>
                <w:rFonts w:ascii="Times New Roman" w:hAnsi="Times New Roman" w:cs="Times New Roman" w:eastAsia="Times New Roman" w:hint="default"/>
                <w:sz w:val="21"/>
                <w:szCs w:val="21"/>
              </w:rPr>
            </w:pPr>
            <w:r>
              <w:rPr>
                <w:rFonts w:ascii="Times New Roman"/>
                <w:w w:val="100"/>
                <w:sz w:val="21"/>
              </w:rPr>
              <w:t>;</w:t>
            </w:r>
          </w:p>
        </w:tc>
        <w:tc>
          <w:tcPr>
            <w:tcW w:w="4272" w:type="dxa"/>
            <w:tcBorders>
              <w:top w:val="single" w:sz="8"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314" w:lineRule="auto" w:before="0"/>
        <w:ind w:left="152" w:right="1057"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等）及商誉减值损失的确认方法：</w:t>
      </w:r>
    </w:p>
    <w:p>
      <w:pPr>
        <w:pStyle w:val="BodyText"/>
        <w:spacing w:line="312" w:lineRule="auto" w:before="92"/>
        <w:ind w:left="633" w:right="1057"/>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）广州逸信电子科技有限公司 </w:t>
      </w:r>
      <w:r>
        <w:rPr>
          <w:spacing w:val="-3"/>
        </w:rPr>
        <w:t>商誉的可收回金额按照预计未来现金流量的现值计算，其预计现金流量根据公司批准的</w:t>
      </w:r>
      <w:r>
        <w:rPr>
          <w:rFonts w:ascii="Times New Roman" w:hAnsi="Times New Roman" w:cs="Times New Roman" w:eastAsia="Times New Roman" w:hint="default"/>
          <w:spacing w:val="-3"/>
        </w:rPr>
        <w:t>5</w:t>
      </w:r>
    </w:p>
    <w:p>
      <w:pPr>
        <w:pStyle w:val="BodyText"/>
        <w:spacing w:line="222" w:lineRule="exact"/>
        <w:ind w:right="1057"/>
        <w:jc w:val="left"/>
      </w:pPr>
      <w:r>
        <w:rPr/>
        <w:t>年期现金流量预测为基础，现金流量预测使用的折现率</w:t>
      </w:r>
      <w:r>
        <w:rPr>
          <w:rFonts w:ascii="Times New Roman" w:hAnsi="Times New Roman" w:cs="Times New Roman" w:eastAsia="Times New Roman" w:hint="default"/>
        </w:rPr>
        <w:t>14.91%</w:t>
      </w:r>
      <w:r>
        <w:rPr/>
        <w:t>，预测期以后的现金流量与最</w:t>
      </w:r>
    </w:p>
    <w:p>
      <w:pPr>
        <w:pStyle w:val="BodyText"/>
        <w:spacing w:line="304" w:lineRule="exact"/>
        <w:ind w:right="1057"/>
        <w:jc w:val="left"/>
      </w:pPr>
      <w:r>
        <w:rPr/>
        <w:t>后一期持平，该增长率和通信服务行业总体长期平均增长率基本相当。</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24"/>
        <w:gridCol w:w="1635"/>
        <w:gridCol w:w="1433"/>
        <w:gridCol w:w="1472"/>
        <w:gridCol w:w="1294"/>
        <w:gridCol w:w="2333"/>
      </w:tblGrid>
      <w:tr>
        <w:trPr>
          <w:trHeight w:val="350" w:hRule="exact"/>
        </w:trPr>
        <w:tc>
          <w:tcPr>
            <w:tcW w:w="1124" w:type="dxa"/>
            <w:vMerge w:val="restart"/>
            <w:tcBorders>
              <w:top w:val="single" w:sz="6" w:space="0" w:color="000000"/>
              <w:left w:val="single" w:sz="6" w:space="0" w:color="000000"/>
              <w:right w:val="single" w:sz="6" w:space="0" w:color="000000"/>
            </w:tcBorders>
          </w:tcPr>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166" w:type="dxa"/>
            <w:gridSpan w:val="5"/>
            <w:tcBorders>
              <w:top w:val="single" w:sz="6" w:space="0" w:color="000000"/>
              <w:left w:val="single" w:sz="6" w:space="0" w:color="000000"/>
              <w:bottom w:val="single" w:sz="8" w:space="0" w:color="000000"/>
              <w:right w:val="nil" w:sz="6" w:space="0" w:color="auto"/>
            </w:tcBorders>
          </w:tcPr>
          <w:p>
            <w:pPr>
              <w:pStyle w:val="TableParagraph"/>
              <w:spacing w:line="274" w:lineRule="exact"/>
              <w:ind w:left="-1" w:right="2"/>
              <w:jc w:val="center"/>
              <w:rPr>
                <w:rFonts w:ascii="宋体" w:hAnsi="宋体" w:cs="宋体" w:eastAsia="宋体" w:hint="default"/>
                <w:sz w:val="21"/>
                <w:szCs w:val="21"/>
              </w:rPr>
            </w:pPr>
            <w:r>
              <w:rPr>
                <w:rFonts w:ascii="宋体" w:hAnsi="宋体" w:cs="宋体" w:eastAsia="宋体" w:hint="default"/>
                <w:sz w:val="21"/>
                <w:szCs w:val="21"/>
              </w:rPr>
              <w:t>关键参数</w:t>
            </w:r>
          </w:p>
        </w:tc>
      </w:tr>
      <w:tr>
        <w:trPr>
          <w:trHeight w:val="660" w:hRule="exact"/>
        </w:trPr>
        <w:tc>
          <w:tcPr>
            <w:tcW w:w="1124" w:type="dxa"/>
            <w:vMerge/>
            <w:tcBorders>
              <w:left w:val="single" w:sz="6" w:space="0" w:color="000000"/>
              <w:bottom w:val="single" w:sz="8" w:space="0" w:color="000000"/>
              <w:right w:val="single" w:sz="6" w:space="0" w:color="000000"/>
            </w:tcBorders>
          </w:tcPr>
          <w:p>
            <w:pPr/>
          </w:p>
        </w:tc>
        <w:tc>
          <w:tcPr>
            <w:tcW w:w="1635"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43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79" w:right="0"/>
              <w:jc w:val="left"/>
              <w:rPr>
                <w:rFonts w:ascii="宋体" w:hAnsi="宋体" w:cs="宋体" w:eastAsia="宋体" w:hint="default"/>
                <w:sz w:val="21"/>
                <w:szCs w:val="21"/>
              </w:rPr>
            </w:pPr>
            <w:r>
              <w:rPr>
                <w:rFonts w:ascii="宋体" w:hAnsi="宋体" w:cs="宋体" w:eastAsia="宋体" w:hint="default"/>
                <w:sz w:val="21"/>
                <w:szCs w:val="21"/>
              </w:rPr>
              <w:t>预测期增长率</w:t>
            </w:r>
          </w:p>
        </w:tc>
        <w:tc>
          <w:tcPr>
            <w:tcW w:w="147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稳定期增长率</w:t>
            </w:r>
          </w:p>
        </w:tc>
        <w:tc>
          <w:tcPr>
            <w:tcW w:w="129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321" w:right="0"/>
              <w:jc w:val="left"/>
              <w:rPr>
                <w:rFonts w:ascii="宋体" w:hAnsi="宋体" w:cs="宋体" w:eastAsia="宋体" w:hint="default"/>
                <w:sz w:val="21"/>
                <w:szCs w:val="21"/>
              </w:rPr>
            </w:pPr>
            <w:r>
              <w:rPr>
                <w:rFonts w:ascii="宋体" w:hAnsi="宋体" w:cs="宋体" w:eastAsia="宋体" w:hint="default"/>
                <w:sz w:val="21"/>
                <w:szCs w:val="21"/>
              </w:rPr>
              <w:t>利润率</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73" w:lineRule="auto"/>
              <w:ind w:left="382" w:right="7" w:hanging="380"/>
              <w:jc w:val="left"/>
              <w:rPr>
                <w:rFonts w:ascii="宋体" w:hAnsi="宋体" w:cs="宋体" w:eastAsia="宋体" w:hint="default"/>
                <w:sz w:val="21"/>
                <w:szCs w:val="21"/>
              </w:rPr>
            </w:pPr>
            <w:r>
              <w:rPr>
                <w:rFonts w:ascii="宋体" w:hAnsi="宋体" w:cs="宋体" w:eastAsia="宋体" w:hint="default"/>
                <w:spacing w:val="-2"/>
                <w:sz w:val="21"/>
                <w:szCs w:val="21"/>
              </w:rPr>
              <w:t>折现率（税前加权平均资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本成本</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WACC</w:t>
            </w:r>
            <w:r>
              <w:rPr>
                <w:rFonts w:ascii="宋体" w:hAnsi="宋体" w:cs="宋体" w:eastAsia="宋体" w:hint="default"/>
                <w:sz w:val="21"/>
                <w:szCs w:val="21"/>
              </w:rPr>
              <w:t>）</w:t>
            </w:r>
          </w:p>
        </w:tc>
      </w:tr>
      <w:tr>
        <w:trPr>
          <w:trHeight w:val="970" w:hRule="exact"/>
        </w:trPr>
        <w:tc>
          <w:tcPr>
            <w:tcW w:w="112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134" w:right="0"/>
              <w:jc w:val="left"/>
              <w:rPr>
                <w:rFonts w:ascii="宋体" w:hAnsi="宋体" w:cs="宋体" w:eastAsia="宋体" w:hint="default"/>
                <w:sz w:val="21"/>
                <w:szCs w:val="21"/>
              </w:rPr>
            </w:pPr>
            <w:r>
              <w:rPr>
                <w:rFonts w:ascii="宋体" w:hAnsi="宋体" w:cs="宋体" w:eastAsia="宋体" w:hint="default"/>
                <w:sz w:val="21"/>
                <w:szCs w:val="21"/>
              </w:rPr>
              <w:t>逸信科技</w:t>
            </w:r>
          </w:p>
        </w:tc>
        <w:tc>
          <w:tcPr>
            <w:tcW w:w="1635"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Times New Roman" w:hAnsi="Times New Roman" w:cs="Times New Roman" w:eastAsia="Times New Roman" w:hint="default"/>
                <w:sz w:val="21"/>
                <w:szCs w:val="21"/>
              </w:rPr>
              <w:t>-2024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（后续为稳定期</w:t>
            </w:r>
          </w:p>
        </w:tc>
        <w:tc>
          <w:tcPr>
            <w:tcW w:w="1433"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p>
            <w:pPr>
              <w:pStyle w:val="TableParagraph"/>
              <w:spacing w:line="240" w:lineRule="auto" w:before="21"/>
              <w:ind w:left="-16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72"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持平</w:t>
            </w:r>
          </w:p>
        </w:tc>
        <w:tc>
          <w:tcPr>
            <w:tcW w:w="1294"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7" w:right="7"/>
              <w:jc w:val="center"/>
              <w:rPr>
                <w:rFonts w:ascii="宋体" w:hAnsi="宋体" w:cs="宋体" w:eastAsia="宋体" w:hint="default"/>
                <w:sz w:val="21"/>
                <w:szCs w:val="21"/>
              </w:rPr>
            </w:pPr>
            <w:r>
              <w:rPr>
                <w:rFonts w:ascii="宋体" w:hAnsi="宋体" w:cs="宋体" w:eastAsia="宋体" w:hint="default"/>
                <w:sz w:val="21"/>
                <w:szCs w:val="21"/>
              </w:rPr>
              <w:t>根据预测的收</w:t>
            </w:r>
            <w:r>
              <w:rPr>
                <w:rFonts w:ascii="宋体" w:hAnsi="宋体" w:cs="宋体" w:eastAsia="宋体" w:hint="default"/>
                <w:w w:val="100"/>
                <w:sz w:val="21"/>
                <w:szCs w:val="21"/>
              </w:rPr>
              <w:t> </w:t>
            </w:r>
            <w:r>
              <w:rPr>
                <w:rFonts w:ascii="宋体" w:hAnsi="宋体" w:cs="宋体" w:eastAsia="宋体" w:hint="default"/>
                <w:sz w:val="21"/>
                <w:szCs w:val="21"/>
              </w:rPr>
              <w:t>入、成本、费</w:t>
            </w:r>
            <w:r>
              <w:rPr>
                <w:rFonts w:ascii="宋体" w:hAnsi="宋体" w:cs="宋体" w:eastAsia="宋体" w:hint="default"/>
                <w:w w:val="100"/>
                <w:sz w:val="21"/>
                <w:szCs w:val="21"/>
              </w:rPr>
              <w:t> </w:t>
            </w:r>
            <w:r>
              <w:rPr>
                <w:rFonts w:ascii="宋体" w:hAnsi="宋体" w:cs="宋体" w:eastAsia="宋体" w:hint="default"/>
                <w:sz w:val="21"/>
                <w:szCs w:val="21"/>
              </w:rPr>
              <w:t>用等计算</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14.91%</w:t>
            </w:r>
          </w:p>
        </w:tc>
      </w:tr>
    </w:tbl>
    <w:p>
      <w:pPr>
        <w:spacing w:line="240" w:lineRule="auto" w:before="2"/>
        <w:rPr>
          <w:rFonts w:ascii="宋体" w:hAnsi="宋体" w:cs="宋体" w:eastAsia="宋体" w:hint="default"/>
          <w:sz w:val="28"/>
          <w:szCs w:val="28"/>
        </w:rPr>
      </w:pPr>
    </w:p>
    <w:p>
      <w:pPr>
        <w:pStyle w:val="BodyText"/>
        <w:spacing w:line="312" w:lineRule="auto" w:before="26"/>
        <w:ind w:left="633" w:right="1057" w:hanging="9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）广州市泺立能源科技有限公司 </w:t>
      </w:r>
      <w:r>
        <w:rPr>
          <w:spacing w:val="-3"/>
        </w:rPr>
        <w:t>商誉的可收回金额按照预计未来现金流量的现值计算，其预计现金流量根据公司批准的</w:t>
      </w:r>
      <w:r>
        <w:rPr>
          <w:rFonts w:ascii="Times New Roman" w:hAnsi="Times New Roman" w:cs="Times New Roman" w:eastAsia="Times New Roman" w:hint="default"/>
          <w:spacing w:val="-3"/>
        </w:rPr>
        <w:t>5</w:t>
      </w:r>
    </w:p>
    <w:p>
      <w:pPr>
        <w:pStyle w:val="BodyText"/>
        <w:spacing w:line="222" w:lineRule="exact"/>
        <w:ind w:right="1057"/>
        <w:jc w:val="left"/>
      </w:pPr>
      <w:r>
        <w:rPr/>
        <w:t>年期现金流量预测为基础，现金流量预测使用的折现率</w:t>
      </w:r>
      <w:r>
        <w:rPr>
          <w:rFonts w:ascii="Times New Roman" w:hAnsi="Times New Roman" w:cs="Times New Roman" w:eastAsia="Times New Roman" w:hint="default"/>
        </w:rPr>
        <w:t>15.43%</w:t>
      </w:r>
      <w:r>
        <w:rPr/>
        <w:t>，预测期以后的现金流量与最</w:t>
      </w:r>
    </w:p>
    <w:p>
      <w:pPr>
        <w:pStyle w:val="BodyText"/>
        <w:spacing w:line="304" w:lineRule="exact"/>
        <w:ind w:right="1057"/>
        <w:jc w:val="left"/>
      </w:pPr>
      <w:r>
        <w:rPr/>
        <w:t>后一期持平，该增长率和电力设备行业总体长期平均增长率基本相当。</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24"/>
        <w:gridCol w:w="1887"/>
        <w:gridCol w:w="1490"/>
        <w:gridCol w:w="968"/>
        <w:gridCol w:w="1488"/>
        <w:gridCol w:w="2333"/>
      </w:tblGrid>
      <w:tr>
        <w:trPr>
          <w:trHeight w:val="350" w:hRule="exact"/>
        </w:trPr>
        <w:tc>
          <w:tcPr>
            <w:tcW w:w="1124" w:type="dxa"/>
            <w:vMerge w:val="restart"/>
            <w:tcBorders>
              <w:top w:val="single" w:sz="6" w:space="0" w:color="000000"/>
              <w:left w:val="single" w:sz="6" w:space="0" w:color="000000"/>
              <w:right w:val="single" w:sz="6" w:space="0" w:color="000000"/>
            </w:tcBorders>
          </w:tcPr>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166" w:type="dxa"/>
            <w:gridSpan w:val="5"/>
            <w:tcBorders>
              <w:top w:val="single" w:sz="6" w:space="0" w:color="000000"/>
              <w:left w:val="single" w:sz="6" w:space="0" w:color="000000"/>
              <w:bottom w:val="single" w:sz="8" w:space="0" w:color="000000"/>
              <w:right w:val="nil" w:sz="6" w:space="0" w:color="auto"/>
            </w:tcBorders>
          </w:tcPr>
          <w:p>
            <w:pPr>
              <w:pStyle w:val="TableParagraph"/>
              <w:spacing w:line="274" w:lineRule="exact"/>
              <w:ind w:left="-1" w:right="2"/>
              <w:jc w:val="center"/>
              <w:rPr>
                <w:rFonts w:ascii="宋体" w:hAnsi="宋体" w:cs="宋体" w:eastAsia="宋体" w:hint="default"/>
                <w:sz w:val="21"/>
                <w:szCs w:val="21"/>
              </w:rPr>
            </w:pPr>
            <w:r>
              <w:rPr>
                <w:rFonts w:ascii="宋体" w:hAnsi="宋体" w:cs="宋体" w:eastAsia="宋体" w:hint="default"/>
                <w:sz w:val="21"/>
                <w:szCs w:val="21"/>
              </w:rPr>
              <w:t>关键参数</w:t>
            </w:r>
          </w:p>
        </w:tc>
      </w:tr>
      <w:tr>
        <w:trPr>
          <w:trHeight w:val="660" w:hRule="exact"/>
        </w:trPr>
        <w:tc>
          <w:tcPr>
            <w:tcW w:w="1124" w:type="dxa"/>
            <w:vMerge/>
            <w:tcBorders>
              <w:left w:val="single" w:sz="6" w:space="0" w:color="000000"/>
              <w:bottom w:val="single" w:sz="8" w:space="0" w:color="000000"/>
              <w:right w:val="single" w:sz="6" w:space="0" w:color="000000"/>
            </w:tcBorders>
          </w:tcPr>
          <w:p>
            <w:pPr/>
          </w:p>
        </w:tc>
        <w:tc>
          <w:tcPr>
            <w:tcW w:w="1887"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619"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预测期增长率</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66" w:right="51" w:hanging="209"/>
              <w:jc w:val="left"/>
              <w:rPr>
                <w:rFonts w:ascii="宋体" w:hAnsi="宋体" w:cs="宋体" w:eastAsia="宋体" w:hint="default"/>
                <w:sz w:val="21"/>
                <w:szCs w:val="21"/>
              </w:rPr>
            </w:pPr>
            <w:r>
              <w:rPr>
                <w:rFonts w:ascii="宋体" w:hAnsi="宋体" w:cs="宋体" w:eastAsia="宋体" w:hint="default"/>
                <w:sz w:val="21"/>
                <w:szCs w:val="21"/>
              </w:rPr>
              <w:t>稳定期增</w:t>
            </w:r>
            <w:r>
              <w:rPr>
                <w:rFonts w:ascii="宋体" w:hAnsi="宋体" w:cs="宋体" w:eastAsia="宋体" w:hint="default"/>
                <w:w w:val="100"/>
                <w:sz w:val="21"/>
                <w:szCs w:val="21"/>
              </w:rPr>
              <w:t> </w:t>
            </w:r>
            <w:r>
              <w:rPr>
                <w:rFonts w:ascii="宋体" w:hAnsi="宋体" w:cs="宋体" w:eastAsia="宋体" w:hint="default"/>
                <w:sz w:val="21"/>
                <w:szCs w:val="21"/>
              </w:rPr>
              <w:t>长率</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20" w:right="0"/>
              <w:jc w:val="left"/>
              <w:rPr>
                <w:rFonts w:ascii="宋体" w:hAnsi="宋体" w:cs="宋体" w:eastAsia="宋体" w:hint="default"/>
                <w:sz w:val="21"/>
                <w:szCs w:val="21"/>
              </w:rPr>
            </w:pPr>
            <w:r>
              <w:rPr>
                <w:rFonts w:ascii="宋体" w:hAnsi="宋体" w:cs="宋体" w:eastAsia="宋体" w:hint="default"/>
                <w:sz w:val="21"/>
                <w:szCs w:val="21"/>
              </w:rPr>
              <w:t>利润率</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73" w:lineRule="auto"/>
              <w:ind w:left="382" w:right="7" w:hanging="380"/>
              <w:jc w:val="left"/>
              <w:rPr>
                <w:rFonts w:ascii="宋体" w:hAnsi="宋体" w:cs="宋体" w:eastAsia="宋体" w:hint="default"/>
                <w:sz w:val="21"/>
                <w:szCs w:val="21"/>
              </w:rPr>
            </w:pPr>
            <w:r>
              <w:rPr>
                <w:rFonts w:ascii="宋体" w:hAnsi="宋体" w:cs="宋体" w:eastAsia="宋体" w:hint="default"/>
                <w:spacing w:val="-2"/>
                <w:sz w:val="21"/>
                <w:szCs w:val="21"/>
              </w:rPr>
              <w:t>折现率（税前加权平均资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本成本</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WACC</w:t>
            </w:r>
            <w:r>
              <w:rPr>
                <w:rFonts w:ascii="宋体" w:hAnsi="宋体" w:cs="宋体" w:eastAsia="宋体" w:hint="default"/>
                <w:sz w:val="21"/>
                <w:szCs w:val="21"/>
              </w:rPr>
              <w:t>）</w:t>
            </w:r>
          </w:p>
        </w:tc>
      </w:tr>
      <w:tr>
        <w:trPr>
          <w:trHeight w:val="972" w:hRule="exact"/>
        </w:trPr>
        <w:tc>
          <w:tcPr>
            <w:tcW w:w="112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134" w:right="0"/>
              <w:jc w:val="left"/>
              <w:rPr>
                <w:rFonts w:ascii="宋体" w:hAnsi="宋体" w:cs="宋体" w:eastAsia="宋体" w:hint="default"/>
                <w:sz w:val="21"/>
                <w:szCs w:val="21"/>
              </w:rPr>
            </w:pPr>
            <w:r>
              <w:rPr>
                <w:rFonts w:ascii="宋体" w:hAnsi="宋体" w:cs="宋体" w:eastAsia="宋体" w:hint="default"/>
                <w:sz w:val="21"/>
                <w:szCs w:val="21"/>
              </w:rPr>
              <w:t>泺立能源</w:t>
            </w:r>
          </w:p>
        </w:tc>
        <w:tc>
          <w:tcPr>
            <w:tcW w:w="1887" w:type="dxa"/>
            <w:tcBorders>
              <w:top w:val="single" w:sz="8" w:space="0" w:color="000000"/>
              <w:left w:val="single" w:sz="6" w:space="0" w:color="000000"/>
              <w:bottom w:val="single" w:sz="8" w:space="0" w:color="000000"/>
              <w:right w:val="single" w:sz="6" w:space="0" w:color="000000"/>
            </w:tcBorders>
          </w:tcPr>
          <w:p>
            <w:pPr>
              <w:pStyle w:val="TableParagraph"/>
              <w:spacing w:line="256" w:lineRule="auto"/>
              <w:ind w:left="304" w:right="15" w:hanging="286"/>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-2024</w:t>
            </w:r>
            <w:r>
              <w:rPr>
                <w:rFonts w:ascii="宋体" w:hAnsi="宋体" w:cs="宋体" w:eastAsia="宋体" w:hint="default"/>
                <w:sz w:val="21"/>
                <w:szCs w:val="21"/>
              </w:rPr>
              <w:t>年（后</w:t>
            </w:r>
            <w:r>
              <w:rPr>
                <w:rFonts w:ascii="宋体" w:hAnsi="宋体" w:cs="宋体" w:eastAsia="宋体" w:hint="default"/>
                <w:w w:val="100"/>
                <w:sz w:val="21"/>
                <w:szCs w:val="21"/>
              </w:rPr>
              <w:t> </w:t>
            </w:r>
            <w:r>
              <w:rPr>
                <w:rFonts w:ascii="宋体" w:hAnsi="宋体" w:cs="宋体" w:eastAsia="宋体" w:hint="default"/>
                <w:sz w:val="21"/>
                <w:szCs w:val="21"/>
              </w:rPr>
              <w:t>续为稳定期）</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66" w:right="0"/>
              <w:jc w:val="left"/>
              <w:rPr>
                <w:rFonts w:ascii="宋体" w:hAnsi="宋体" w:cs="宋体" w:eastAsia="宋体" w:hint="default"/>
                <w:sz w:val="21"/>
                <w:szCs w:val="21"/>
              </w:rPr>
            </w:pPr>
            <w:r>
              <w:rPr>
                <w:rFonts w:ascii="宋体" w:hAnsi="宋体" w:cs="宋体" w:eastAsia="宋体" w:hint="default"/>
                <w:sz w:val="21"/>
                <w:szCs w:val="21"/>
              </w:rPr>
              <w:t>持平</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 w:hanging="6"/>
              <w:jc w:val="center"/>
              <w:rPr>
                <w:rFonts w:ascii="宋体" w:hAnsi="宋体" w:cs="宋体" w:eastAsia="宋体" w:hint="default"/>
                <w:sz w:val="21"/>
                <w:szCs w:val="21"/>
              </w:rPr>
            </w:pPr>
            <w:r>
              <w:rPr>
                <w:rFonts w:ascii="宋体" w:hAnsi="宋体" w:cs="宋体" w:eastAsia="宋体" w:hint="default"/>
                <w:sz w:val="21"/>
                <w:szCs w:val="21"/>
              </w:rPr>
              <w:t>根据预测的收</w:t>
            </w:r>
            <w:r>
              <w:rPr>
                <w:rFonts w:ascii="宋体" w:hAnsi="宋体" w:cs="宋体" w:eastAsia="宋体" w:hint="default"/>
                <w:spacing w:val="-3"/>
                <w:w w:val="100"/>
                <w:sz w:val="21"/>
                <w:szCs w:val="21"/>
              </w:rPr>
              <w:t> </w:t>
            </w:r>
            <w:r>
              <w:rPr>
                <w:rFonts w:ascii="宋体" w:hAnsi="宋体" w:cs="宋体" w:eastAsia="宋体" w:hint="default"/>
                <w:spacing w:val="-2"/>
                <w:sz w:val="21"/>
                <w:szCs w:val="21"/>
              </w:rPr>
              <w:t>入、成本、费用</w:t>
            </w:r>
            <w:r>
              <w:rPr>
                <w:rFonts w:ascii="宋体" w:hAnsi="宋体" w:cs="宋体" w:eastAsia="宋体" w:hint="default"/>
                <w:w w:val="100"/>
                <w:sz w:val="21"/>
                <w:szCs w:val="21"/>
              </w:rPr>
              <w:t> </w:t>
            </w:r>
            <w:r>
              <w:rPr>
                <w:rFonts w:ascii="宋体" w:hAnsi="宋体" w:cs="宋体" w:eastAsia="宋体" w:hint="default"/>
                <w:sz w:val="21"/>
                <w:szCs w:val="21"/>
              </w:rPr>
              <w:t>等计算</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15.43%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left="633" w:right="1057"/>
        <w:jc w:val="left"/>
      </w:pPr>
      <w:r>
        <w:rPr>
          <w:rFonts w:ascii="Times New Roman" w:hAnsi="Times New Roman" w:cs="Times New Roman" w:eastAsia="Times New Roman" w:hint="default"/>
        </w:rPr>
        <w:t>3</w:t>
      </w:r>
      <w:r>
        <w:rPr/>
        <w:t>）广州鑫广源电力设计有限公司</w:t>
      </w:r>
    </w:p>
    <w:p>
      <w:pPr>
        <w:spacing w:after="0" w:line="240" w:lineRule="auto"/>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31" w:firstLine="480"/>
        <w:jc w:val="both"/>
      </w:pPr>
      <w:r>
        <w:rPr>
          <w:spacing w:val="-3"/>
        </w:rPr>
        <w:t>商誉的可收回金额按照预计未来现金流量的现值计算，其预计现金流量根据公司批准的</w:t>
      </w:r>
      <w:r>
        <w:rPr>
          <w:rFonts w:ascii="Times New Roman" w:hAnsi="Times New Roman" w:cs="Times New Roman" w:eastAsia="Times New Roman" w:hint="default"/>
          <w:spacing w:val="-3"/>
        </w:rPr>
        <w:t>5</w:t>
      </w:r>
      <w:r>
        <w:rPr>
          <w:rFonts w:ascii="Times New Roman" w:hAnsi="Times New Roman" w:cs="Times New Roman" w:eastAsia="Times New Roman" w:hint="default"/>
        </w:rPr>
        <w:t> </w:t>
      </w:r>
      <w:r>
        <w:rPr/>
        <w:t>年期现金流量预测为基础，现金流量预测使用的折现率</w:t>
      </w:r>
      <w:r>
        <w:rPr>
          <w:rFonts w:ascii="Times New Roman" w:hAnsi="Times New Roman" w:cs="Times New Roman" w:eastAsia="Times New Roman" w:hint="default"/>
        </w:rPr>
        <w:t>13.85%</w:t>
      </w:r>
      <w:r>
        <w:rPr/>
        <w:t>，预测期以后的现金流量与最</w:t>
      </w:r>
      <w:r>
        <w:rPr>
          <w:spacing w:val="-106"/>
        </w:rPr>
        <w:t> </w:t>
      </w:r>
      <w:r>
        <w:rPr>
          <w:spacing w:val="-106"/>
        </w:rPr>
      </w:r>
      <w:r>
        <w:rPr/>
        <w:t>后一期持平，该增长率和电力设计行业总体长期平均增长率基本相当。</w:t>
      </w:r>
    </w:p>
    <w:tbl>
      <w:tblPr>
        <w:tblW w:w="0" w:type="auto"/>
        <w:jc w:val="left"/>
        <w:tblInd w:w="145" w:type="dxa"/>
        <w:tblLayout w:type="fixed"/>
        <w:tblCellMar>
          <w:top w:w="0" w:type="dxa"/>
          <w:left w:w="0" w:type="dxa"/>
          <w:bottom w:w="0" w:type="dxa"/>
          <w:right w:w="0" w:type="dxa"/>
        </w:tblCellMar>
        <w:tblLook w:val="01E0"/>
      </w:tblPr>
      <w:tblGrid>
        <w:gridCol w:w="1124"/>
        <w:gridCol w:w="1493"/>
        <w:gridCol w:w="1884"/>
        <w:gridCol w:w="968"/>
        <w:gridCol w:w="1488"/>
        <w:gridCol w:w="2333"/>
      </w:tblGrid>
      <w:tr>
        <w:trPr>
          <w:trHeight w:val="350" w:hRule="exact"/>
        </w:trPr>
        <w:tc>
          <w:tcPr>
            <w:tcW w:w="1124" w:type="dxa"/>
            <w:vMerge w:val="restart"/>
            <w:tcBorders>
              <w:top w:val="single" w:sz="6" w:space="0" w:color="000000"/>
              <w:left w:val="single" w:sz="6" w:space="0" w:color="000000"/>
              <w:right w:val="single" w:sz="6" w:space="0" w:color="000000"/>
            </w:tcBorders>
          </w:tcPr>
          <w:p>
            <w:pPr>
              <w:pStyle w:val="TableParagraph"/>
              <w:spacing w:line="272" w:lineRule="exact"/>
              <w:ind w:left="13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166" w:type="dxa"/>
            <w:gridSpan w:val="5"/>
            <w:tcBorders>
              <w:top w:val="single" w:sz="6" w:space="0" w:color="000000"/>
              <w:left w:val="single" w:sz="6" w:space="0" w:color="000000"/>
              <w:bottom w:val="single" w:sz="8" w:space="0" w:color="000000"/>
              <w:right w:val="nil" w:sz="6" w:space="0" w:color="auto"/>
            </w:tcBorders>
          </w:tcPr>
          <w:p>
            <w:pPr>
              <w:pStyle w:val="TableParagraph"/>
              <w:spacing w:line="272" w:lineRule="exact"/>
              <w:ind w:left="-1" w:right="2"/>
              <w:jc w:val="center"/>
              <w:rPr>
                <w:rFonts w:ascii="宋体" w:hAnsi="宋体" w:cs="宋体" w:eastAsia="宋体" w:hint="default"/>
                <w:sz w:val="21"/>
                <w:szCs w:val="21"/>
              </w:rPr>
            </w:pPr>
            <w:r>
              <w:rPr>
                <w:rFonts w:ascii="宋体" w:hAnsi="宋体" w:cs="宋体" w:eastAsia="宋体" w:hint="default"/>
                <w:sz w:val="21"/>
                <w:szCs w:val="21"/>
              </w:rPr>
              <w:t>关键参数</w:t>
            </w:r>
          </w:p>
        </w:tc>
      </w:tr>
      <w:tr>
        <w:trPr>
          <w:trHeight w:val="658" w:hRule="exact"/>
        </w:trPr>
        <w:tc>
          <w:tcPr>
            <w:tcW w:w="1124" w:type="dxa"/>
            <w:vMerge/>
            <w:tcBorders>
              <w:left w:val="single" w:sz="6" w:space="0" w:color="000000"/>
              <w:bottom w:val="single" w:sz="8" w:space="0" w:color="000000"/>
              <w:right w:val="single" w:sz="6" w:space="0" w:color="000000"/>
            </w:tcBorders>
          </w:tcPr>
          <w:p>
            <w:pP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24"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预测期增长率</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66" w:right="51" w:hanging="209"/>
              <w:jc w:val="left"/>
              <w:rPr>
                <w:rFonts w:ascii="宋体" w:hAnsi="宋体" w:cs="宋体" w:eastAsia="宋体" w:hint="default"/>
                <w:sz w:val="21"/>
                <w:szCs w:val="21"/>
              </w:rPr>
            </w:pPr>
            <w:r>
              <w:rPr>
                <w:rFonts w:ascii="宋体" w:hAnsi="宋体" w:cs="宋体" w:eastAsia="宋体" w:hint="default"/>
                <w:sz w:val="21"/>
                <w:szCs w:val="21"/>
              </w:rPr>
              <w:t>稳定期增</w:t>
            </w:r>
            <w:r>
              <w:rPr>
                <w:rFonts w:ascii="宋体" w:hAnsi="宋体" w:cs="宋体" w:eastAsia="宋体" w:hint="default"/>
                <w:w w:val="100"/>
                <w:sz w:val="21"/>
                <w:szCs w:val="21"/>
              </w:rPr>
              <w:t> </w:t>
            </w:r>
            <w:r>
              <w:rPr>
                <w:rFonts w:ascii="宋体" w:hAnsi="宋体" w:cs="宋体" w:eastAsia="宋体" w:hint="default"/>
                <w:sz w:val="21"/>
                <w:szCs w:val="21"/>
              </w:rPr>
              <w:t>长率</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20" w:right="0"/>
              <w:jc w:val="left"/>
              <w:rPr>
                <w:rFonts w:ascii="宋体" w:hAnsi="宋体" w:cs="宋体" w:eastAsia="宋体" w:hint="default"/>
                <w:sz w:val="21"/>
                <w:szCs w:val="21"/>
              </w:rPr>
            </w:pPr>
            <w:r>
              <w:rPr>
                <w:rFonts w:ascii="宋体" w:hAnsi="宋体" w:cs="宋体" w:eastAsia="宋体" w:hint="default"/>
                <w:sz w:val="21"/>
                <w:szCs w:val="21"/>
              </w:rPr>
              <w:t>利润率</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73" w:lineRule="auto"/>
              <w:ind w:left="382" w:right="7" w:hanging="380"/>
              <w:jc w:val="left"/>
              <w:rPr>
                <w:rFonts w:ascii="宋体" w:hAnsi="宋体" w:cs="宋体" w:eastAsia="宋体" w:hint="default"/>
                <w:sz w:val="21"/>
                <w:szCs w:val="21"/>
              </w:rPr>
            </w:pPr>
            <w:r>
              <w:rPr>
                <w:rFonts w:ascii="宋体" w:hAnsi="宋体" w:cs="宋体" w:eastAsia="宋体" w:hint="default"/>
                <w:spacing w:val="-2"/>
                <w:sz w:val="21"/>
                <w:szCs w:val="21"/>
              </w:rPr>
              <w:t>折现率（税前加权平均资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本成本</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WACC</w:t>
            </w:r>
            <w:r>
              <w:rPr>
                <w:rFonts w:ascii="宋体" w:hAnsi="宋体" w:cs="宋体" w:eastAsia="宋体" w:hint="default"/>
                <w:sz w:val="21"/>
                <w:szCs w:val="21"/>
              </w:rPr>
              <w:t>）</w:t>
            </w:r>
          </w:p>
        </w:tc>
      </w:tr>
      <w:tr>
        <w:trPr>
          <w:trHeight w:val="972" w:hRule="exact"/>
        </w:trPr>
        <w:tc>
          <w:tcPr>
            <w:tcW w:w="112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40" w:right="0"/>
              <w:jc w:val="left"/>
              <w:rPr>
                <w:rFonts w:ascii="宋体" w:hAnsi="宋体" w:cs="宋体" w:eastAsia="宋体" w:hint="default"/>
                <w:sz w:val="21"/>
                <w:szCs w:val="21"/>
              </w:rPr>
            </w:pPr>
            <w:r>
              <w:rPr>
                <w:rFonts w:ascii="宋体" w:hAnsi="宋体" w:cs="宋体" w:eastAsia="宋体" w:hint="default"/>
                <w:sz w:val="21"/>
                <w:szCs w:val="21"/>
              </w:rPr>
              <w:t>鑫广源</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-2024</w:t>
            </w:r>
            <w:r>
              <w:rPr>
                <w:rFonts w:ascii="宋体" w:hAnsi="宋体" w:cs="宋体" w:eastAsia="宋体" w:hint="default"/>
                <w:sz w:val="21"/>
                <w:szCs w:val="21"/>
              </w:rPr>
              <w:t>年</w:t>
            </w:r>
          </w:p>
          <w:p>
            <w:pPr>
              <w:pStyle w:val="TableParagraph"/>
              <w:spacing w:line="273" w:lineRule="auto" w:before="21"/>
              <w:ind w:left="530" w:right="104" w:hanging="420"/>
              <w:jc w:val="left"/>
              <w:rPr>
                <w:rFonts w:ascii="宋体" w:hAnsi="宋体" w:cs="宋体" w:eastAsia="宋体" w:hint="default"/>
                <w:sz w:val="21"/>
                <w:szCs w:val="21"/>
              </w:rPr>
            </w:pPr>
            <w:r>
              <w:rPr>
                <w:rFonts w:ascii="宋体" w:hAnsi="宋体" w:cs="宋体" w:eastAsia="宋体" w:hint="default"/>
                <w:sz w:val="21"/>
                <w:szCs w:val="21"/>
              </w:rPr>
              <w:t>（后续为稳定</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66" w:right="0"/>
              <w:jc w:val="left"/>
              <w:rPr>
                <w:rFonts w:ascii="宋体" w:hAnsi="宋体" w:cs="宋体" w:eastAsia="宋体" w:hint="default"/>
                <w:sz w:val="21"/>
                <w:szCs w:val="21"/>
              </w:rPr>
            </w:pPr>
            <w:r>
              <w:rPr>
                <w:rFonts w:ascii="宋体" w:hAnsi="宋体" w:cs="宋体" w:eastAsia="宋体" w:hint="default"/>
                <w:sz w:val="21"/>
                <w:szCs w:val="21"/>
              </w:rPr>
              <w:t>持平</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 w:hanging="3"/>
              <w:jc w:val="center"/>
              <w:rPr>
                <w:rFonts w:ascii="宋体" w:hAnsi="宋体" w:cs="宋体" w:eastAsia="宋体" w:hint="default"/>
                <w:sz w:val="21"/>
                <w:szCs w:val="21"/>
              </w:rPr>
            </w:pPr>
            <w:r>
              <w:rPr>
                <w:rFonts w:ascii="宋体" w:hAnsi="宋体" w:cs="宋体" w:eastAsia="宋体" w:hint="default"/>
                <w:sz w:val="21"/>
                <w:szCs w:val="21"/>
              </w:rPr>
              <w:t>根据预测的收</w:t>
            </w:r>
            <w:r>
              <w:rPr>
                <w:rFonts w:ascii="宋体" w:hAnsi="宋体" w:cs="宋体" w:eastAsia="宋体" w:hint="default"/>
                <w:w w:val="100"/>
                <w:sz w:val="21"/>
                <w:szCs w:val="21"/>
              </w:rPr>
              <w:t> </w:t>
            </w:r>
            <w:r>
              <w:rPr>
                <w:rFonts w:ascii="宋体" w:hAnsi="宋体" w:cs="宋体" w:eastAsia="宋体" w:hint="default"/>
                <w:spacing w:val="-2"/>
                <w:sz w:val="21"/>
                <w:szCs w:val="21"/>
              </w:rPr>
              <w:t>入、成本、费用</w:t>
            </w:r>
            <w:r>
              <w:rPr>
                <w:rFonts w:ascii="宋体" w:hAnsi="宋体" w:cs="宋体" w:eastAsia="宋体" w:hint="default"/>
                <w:w w:val="100"/>
                <w:sz w:val="21"/>
                <w:szCs w:val="21"/>
              </w:rPr>
              <w:t> </w:t>
            </w:r>
            <w:r>
              <w:rPr>
                <w:rFonts w:ascii="宋体" w:hAnsi="宋体" w:cs="宋体" w:eastAsia="宋体" w:hint="default"/>
                <w:sz w:val="21"/>
                <w:szCs w:val="21"/>
              </w:rPr>
              <w:t>等计算</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13.85%</w:t>
            </w:r>
          </w:p>
        </w:tc>
      </w:tr>
    </w:tbl>
    <w:p>
      <w:pPr>
        <w:spacing w:line="240" w:lineRule="auto" w:before="10"/>
        <w:rPr>
          <w:rFonts w:ascii="宋体" w:hAnsi="宋体" w:cs="宋体" w:eastAsia="宋体" w:hint="default"/>
          <w:sz w:val="28"/>
          <w:szCs w:val="28"/>
        </w:rPr>
      </w:pPr>
    </w:p>
    <w:p>
      <w:pPr>
        <w:pStyle w:val="BodyText"/>
        <w:spacing w:line="312" w:lineRule="auto" w:before="26"/>
        <w:ind w:left="633" w:right="1057" w:hanging="96"/>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）广州市赛皓达智能科技有限公司 </w:t>
      </w:r>
      <w:r>
        <w:rPr>
          <w:spacing w:val="-3"/>
        </w:rPr>
        <w:t>商誉的可收回金额按照预计未来现金流量的现值计算，其预计现金流量根据公司批准的</w:t>
      </w:r>
      <w:r>
        <w:rPr>
          <w:rFonts w:ascii="Times New Roman" w:hAnsi="Times New Roman" w:cs="Times New Roman" w:eastAsia="Times New Roman" w:hint="default"/>
          <w:spacing w:val="-3"/>
        </w:rPr>
        <w:t>5</w:t>
      </w:r>
    </w:p>
    <w:p>
      <w:pPr>
        <w:pStyle w:val="BodyText"/>
        <w:spacing w:line="222" w:lineRule="exact"/>
        <w:ind w:right="1057"/>
        <w:jc w:val="left"/>
      </w:pPr>
      <w:r>
        <w:rPr/>
        <w:t>年期现金流量预测为基础，现金流量预测使用的折现率</w:t>
      </w:r>
      <w:r>
        <w:rPr>
          <w:rFonts w:ascii="Times New Roman" w:hAnsi="Times New Roman" w:cs="Times New Roman" w:eastAsia="Times New Roman" w:hint="default"/>
        </w:rPr>
        <w:t>14.27%</w:t>
      </w:r>
      <w:r>
        <w:rPr/>
        <w:t>，预测期以后的现金流量与最</w:t>
      </w:r>
    </w:p>
    <w:p>
      <w:pPr>
        <w:pStyle w:val="BodyText"/>
        <w:spacing w:line="304" w:lineRule="exact"/>
        <w:ind w:right="1057"/>
        <w:jc w:val="left"/>
      </w:pPr>
      <w:r>
        <w:rPr/>
        <w:t>后一期持平，该增长率和电力服务行业总体长期平均增长率基本相当。</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24"/>
        <w:gridCol w:w="1493"/>
        <w:gridCol w:w="1884"/>
        <w:gridCol w:w="968"/>
        <w:gridCol w:w="1488"/>
        <w:gridCol w:w="2333"/>
      </w:tblGrid>
      <w:tr>
        <w:trPr>
          <w:trHeight w:val="350" w:hRule="exact"/>
        </w:trPr>
        <w:tc>
          <w:tcPr>
            <w:tcW w:w="1124" w:type="dxa"/>
            <w:vMerge w:val="restart"/>
            <w:tcBorders>
              <w:top w:val="single" w:sz="6" w:space="0" w:color="000000"/>
              <w:left w:val="single" w:sz="6" w:space="0" w:color="000000"/>
              <w:right w:val="single" w:sz="6" w:space="0" w:color="000000"/>
            </w:tcBorders>
          </w:tcPr>
          <w:p>
            <w:pPr>
              <w:pStyle w:val="TableParagraph"/>
              <w:spacing w:line="272" w:lineRule="exact"/>
              <w:ind w:left="13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166" w:type="dxa"/>
            <w:gridSpan w:val="5"/>
            <w:tcBorders>
              <w:top w:val="single" w:sz="6" w:space="0" w:color="000000"/>
              <w:left w:val="single" w:sz="6" w:space="0" w:color="000000"/>
              <w:bottom w:val="single" w:sz="8" w:space="0" w:color="000000"/>
              <w:right w:val="nil" w:sz="6" w:space="0" w:color="auto"/>
            </w:tcBorders>
          </w:tcPr>
          <w:p>
            <w:pPr>
              <w:pStyle w:val="TableParagraph"/>
              <w:spacing w:line="272" w:lineRule="exact"/>
              <w:ind w:left="-1" w:right="2"/>
              <w:jc w:val="center"/>
              <w:rPr>
                <w:rFonts w:ascii="宋体" w:hAnsi="宋体" w:cs="宋体" w:eastAsia="宋体" w:hint="default"/>
                <w:sz w:val="21"/>
                <w:szCs w:val="21"/>
              </w:rPr>
            </w:pPr>
            <w:r>
              <w:rPr>
                <w:rFonts w:ascii="宋体" w:hAnsi="宋体" w:cs="宋体" w:eastAsia="宋体" w:hint="default"/>
                <w:sz w:val="21"/>
                <w:szCs w:val="21"/>
              </w:rPr>
              <w:t>关键参数</w:t>
            </w:r>
          </w:p>
        </w:tc>
      </w:tr>
      <w:tr>
        <w:trPr>
          <w:trHeight w:val="658" w:hRule="exact"/>
        </w:trPr>
        <w:tc>
          <w:tcPr>
            <w:tcW w:w="1124" w:type="dxa"/>
            <w:vMerge/>
            <w:tcBorders>
              <w:left w:val="single" w:sz="6" w:space="0" w:color="000000"/>
              <w:bottom w:val="single" w:sz="8" w:space="0" w:color="000000"/>
              <w:right w:val="single" w:sz="6" w:space="0" w:color="000000"/>
            </w:tcBorders>
          </w:tcPr>
          <w:p>
            <w:pP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24"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预测期增长率</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66" w:right="51" w:hanging="209"/>
              <w:jc w:val="left"/>
              <w:rPr>
                <w:rFonts w:ascii="宋体" w:hAnsi="宋体" w:cs="宋体" w:eastAsia="宋体" w:hint="default"/>
                <w:sz w:val="21"/>
                <w:szCs w:val="21"/>
              </w:rPr>
            </w:pPr>
            <w:r>
              <w:rPr>
                <w:rFonts w:ascii="宋体" w:hAnsi="宋体" w:cs="宋体" w:eastAsia="宋体" w:hint="default"/>
                <w:sz w:val="21"/>
                <w:szCs w:val="21"/>
              </w:rPr>
              <w:t>稳定期增</w:t>
            </w:r>
            <w:r>
              <w:rPr>
                <w:rFonts w:ascii="宋体" w:hAnsi="宋体" w:cs="宋体" w:eastAsia="宋体" w:hint="default"/>
                <w:w w:val="100"/>
                <w:sz w:val="21"/>
                <w:szCs w:val="21"/>
              </w:rPr>
              <w:t> </w:t>
            </w:r>
            <w:r>
              <w:rPr>
                <w:rFonts w:ascii="宋体" w:hAnsi="宋体" w:cs="宋体" w:eastAsia="宋体" w:hint="default"/>
                <w:sz w:val="21"/>
                <w:szCs w:val="21"/>
              </w:rPr>
              <w:t>长率</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20" w:right="0"/>
              <w:jc w:val="left"/>
              <w:rPr>
                <w:rFonts w:ascii="宋体" w:hAnsi="宋体" w:cs="宋体" w:eastAsia="宋体" w:hint="default"/>
                <w:sz w:val="21"/>
                <w:szCs w:val="21"/>
              </w:rPr>
            </w:pPr>
            <w:r>
              <w:rPr>
                <w:rFonts w:ascii="宋体" w:hAnsi="宋体" w:cs="宋体" w:eastAsia="宋体" w:hint="default"/>
                <w:sz w:val="21"/>
                <w:szCs w:val="21"/>
              </w:rPr>
              <w:t>利润率</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73" w:lineRule="auto"/>
              <w:ind w:left="382" w:right="7" w:hanging="380"/>
              <w:jc w:val="left"/>
              <w:rPr>
                <w:rFonts w:ascii="宋体" w:hAnsi="宋体" w:cs="宋体" w:eastAsia="宋体" w:hint="default"/>
                <w:sz w:val="21"/>
                <w:szCs w:val="21"/>
              </w:rPr>
            </w:pPr>
            <w:r>
              <w:rPr>
                <w:rFonts w:ascii="宋体" w:hAnsi="宋体" w:cs="宋体" w:eastAsia="宋体" w:hint="default"/>
                <w:spacing w:val="-2"/>
                <w:sz w:val="21"/>
                <w:szCs w:val="21"/>
              </w:rPr>
              <w:t>折现率（税前加权平均资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本成本</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WACC</w:t>
            </w:r>
            <w:r>
              <w:rPr>
                <w:rFonts w:ascii="宋体" w:hAnsi="宋体" w:cs="宋体" w:eastAsia="宋体" w:hint="default"/>
                <w:sz w:val="21"/>
                <w:szCs w:val="21"/>
              </w:rPr>
              <w:t>）</w:t>
            </w:r>
          </w:p>
        </w:tc>
      </w:tr>
      <w:tr>
        <w:trPr>
          <w:trHeight w:val="972" w:hRule="exact"/>
        </w:trPr>
        <w:tc>
          <w:tcPr>
            <w:tcW w:w="112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40" w:right="0"/>
              <w:jc w:val="left"/>
              <w:rPr>
                <w:rFonts w:ascii="宋体" w:hAnsi="宋体" w:cs="宋体" w:eastAsia="宋体" w:hint="default"/>
                <w:sz w:val="21"/>
                <w:szCs w:val="21"/>
              </w:rPr>
            </w:pPr>
            <w:r>
              <w:rPr>
                <w:rFonts w:ascii="宋体" w:hAnsi="宋体" w:cs="宋体" w:eastAsia="宋体" w:hint="default"/>
                <w:sz w:val="21"/>
                <w:szCs w:val="21"/>
              </w:rPr>
              <w:t>赛皓达</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-2024</w:t>
            </w:r>
            <w:r>
              <w:rPr>
                <w:rFonts w:ascii="宋体" w:hAnsi="宋体" w:cs="宋体" w:eastAsia="宋体" w:hint="default"/>
                <w:sz w:val="21"/>
                <w:szCs w:val="21"/>
              </w:rPr>
              <w:t>年</w:t>
            </w:r>
          </w:p>
          <w:p>
            <w:pPr>
              <w:pStyle w:val="TableParagraph"/>
              <w:spacing w:line="273" w:lineRule="auto" w:before="21"/>
              <w:ind w:left="530" w:right="104" w:hanging="420"/>
              <w:jc w:val="left"/>
              <w:rPr>
                <w:rFonts w:ascii="宋体" w:hAnsi="宋体" w:cs="宋体" w:eastAsia="宋体" w:hint="default"/>
                <w:sz w:val="21"/>
                <w:szCs w:val="21"/>
              </w:rPr>
            </w:pPr>
            <w:r>
              <w:rPr>
                <w:rFonts w:ascii="宋体" w:hAnsi="宋体" w:cs="宋体" w:eastAsia="宋体" w:hint="default"/>
                <w:sz w:val="21"/>
                <w:szCs w:val="21"/>
              </w:rPr>
              <w:t>（后续为稳定</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66" w:right="0"/>
              <w:jc w:val="left"/>
              <w:rPr>
                <w:rFonts w:ascii="宋体" w:hAnsi="宋体" w:cs="宋体" w:eastAsia="宋体" w:hint="default"/>
                <w:sz w:val="21"/>
                <w:szCs w:val="21"/>
              </w:rPr>
            </w:pPr>
            <w:r>
              <w:rPr>
                <w:rFonts w:ascii="宋体" w:hAnsi="宋体" w:cs="宋体" w:eastAsia="宋体" w:hint="default"/>
                <w:sz w:val="21"/>
                <w:szCs w:val="21"/>
              </w:rPr>
              <w:t>持平</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 w:hanging="3"/>
              <w:jc w:val="center"/>
              <w:rPr>
                <w:rFonts w:ascii="宋体" w:hAnsi="宋体" w:cs="宋体" w:eastAsia="宋体" w:hint="default"/>
                <w:sz w:val="21"/>
                <w:szCs w:val="21"/>
              </w:rPr>
            </w:pPr>
            <w:r>
              <w:rPr>
                <w:rFonts w:ascii="宋体" w:hAnsi="宋体" w:cs="宋体" w:eastAsia="宋体" w:hint="default"/>
                <w:sz w:val="21"/>
                <w:szCs w:val="21"/>
              </w:rPr>
              <w:t>根据预测的收</w:t>
            </w:r>
            <w:r>
              <w:rPr>
                <w:rFonts w:ascii="宋体" w:hAnsi="宋体" w:cs="宋体" w:eastAsia="宋体" w:hint="default"/>
                <w:w w:val="100"/>
                <w:sz w:val="21"/>
                <w:szCs w:val="21"/>
              </w:rPr>
              <w:t> </w:t>
            </w:r>
            <w:r>
              <w:rPr>
                <w:rFonts w:ascii="宋体" w:hAnsi="宋体" w:cs="宋体" w:eastAsia="宋体" w:hint="default"/>
                <w:spacing w:val="-2"/>
                <w:sz w:val="21"/>
                <w:szCs w:val="21"/>
              </w:rPr>
              <w:t>入、成本、费用</w:t>
            </w:r>
            <w:r>
              <w:rPr>
                <w:rFonts w:ascii="宋体" w:hAnsi="宋体" w:cs="宋体" w:eastAsia="宋体" w:hint="default"/>
                <w:w w:val="100"/>
                <w:sz w:val="21"/>
                <w:szCs w:val="21"/>
              </w:rPr>
              <w:t> </w:t>
            </w:r>
            <w:r>
              <w:rPr>
                <w:rFonts w:ascii="宋体" w:hAnsi="宋体" w:cs="宋体" w:eastAsia="宋体" w:hint="default"/>
                <w:sz w:val="21"/>
                <w:szCs w:val="21"/>
              </w:rPr>
              <w:t>等计算</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14.27%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312" w:lineRule="auto" w:before="26"/>
        <w:ind w:left="633" w:right="1057" w:hanging="96"/>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）广东博深咨询有限公司 </w:t>
      </w:r>
      <w:r>
        <w:rPr>
          <w:spacing w:val="-3"/>
        </w:rPr>
        <w:t>商誉的可收回金额按照预计未来现金流量的现值计算，其预计现金流量根据公司批准的</w:t>
      </w:r>
      <w:r>
        <w:rPr>
          <w:rFonts w:ascii="Times New Roman" w:hAnsi="Times New Roman" w:cs="Times New Roman" w:eastAsia="Times New Roman" w:hint="default"/>
          <w:spacing w:val="-3"/>
        </w:rPr>
        <w:t>5</w:t>
      </w:r>
    </w:p>
    <w:p>
      <w:pPr>
        <w:pStyle w:val="BodyText"/>
        <w:spacing w:line="222" w:lineRule="exact"/>
        <w:ind w:right="1057"/>
        <w:jc w:val="left"/>
      </w:pPr>
      <w:r>
        <w:rPr/>
        <w:t>年期现金流量预测为基础，现金流量预测使用的折现率</w:t>
      </w:r>
      <w:r>
        <w:rPr>
          <w:rFonts w:ascii="Times New Roman" w:hAnsi="Times New Roman" w:cs="Times New Roman" w:eastAsia="Times New Roman" w:hint="default"/>
        </w:rPr>
        <w:t>15.43%</w:t>
      </w:r>
      <w:r>
        <w:rPr/>
        <w:t>，预测期以后的现金流量与最</w:t>
      </w:r>
    </w:p>
    <w:p>
      <w:pPr>
        <w:pStyle w:val="BodyText"/>
        <w:spacing w:line="304" w:lineRule="exact"/>
        <w:ind w:right="1057"/>
        <w:jc w:val="left"/>
      </w:pPr>
      <w:r>
        <w:rPr/>
        <w:t>后一期持平，该增长率和电力服务行业总体长期平均增长率基本相当。</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24"/>
        <w:gridCol w:w="1493"/>
        <w:gridCol w:w="1884"/>
        <w:gridCol w:w="968"/>
        <w:gridCol w:w="1488"/>
        <w:gridCol w:w="2333"/>
      </w:tblGrid>
      <w:tr>
        <w:trPr>
          <w:trHeight w:val="350" w:hRule="exact"/>
        </w:trPr>
        <w:tc>
          <w:tcPr>
            <w:tcW w:w="1124" w:type="dxa"/>
            <w:vMerge w:val="restart"/>
            <w:tcBorders>
              <w:top w:val="single" w:sz="6" w:space="0" w:color="000000"/>
              <w:left w:val="single" w:sz="6" w:space="0" w:color="000000"/>
              <w:right w:val="single" w:sz="6" w:space="0" w:color="000000"/>
            </w:tcBorders>
          </w:tcPr>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166" w:type="dxa"/>
            <w:gridSpan w:val="5"/>
            <w:tcBorders>
              <w:top w:val="single" w:sz="6" w:space="0" w:color="000000"/>
              <w:left w:val="single" w:sz="6" w:space="0" w:color="000000"/>
              <w:bottom w:val="single" w:sz="8" w:space="0" w:color="000000"/>
              <w:right w:val="nil" w:sz="6" w:space="0" w:color="auto"/>
            </w:tcBorders>
          </w:tcPr>
          <w:p>
            <w:pPr>
              <w:pStyle w:val="TableParagraph"/>
              <w:spacing w:line="274" w:lineRule="exact"/>
              <w:ind w:left="-1" w:right="2"/>
              <w:jc w:val="center"/>
              <w:rPr>
                <w:rFonts w:ascii="宋体" w:hAnsi="宋体" w:cs="宋体" w:eastAsia="宋体" w:hint="default"/>
                <w:sz w:val="21"/>
                <w:szCs w:val="21"/>
              </w:rPr>
            </w:pPr>
            <w:r>
              <w:rPr>
                <w:rFonts w:ascii="宋体" w:hAnsi="宋体" w:cs="宋体" w:eastAsia="宋体" w:hint="default"/>
                <w:sz w:val="21"/>
                <w:szCs w:val="21"/>
              </w:rPr>
              <w:t>关键参数</w:t>
            </w:r>
          </w:p>
        </w:tc>
      </w:tr>
      <w:tr>
        <w:trPr>
          <w:trHeight w:val="658" w:hRule="exact"/>
        </w:trPr>
        <w:tc>
          <w:tcPr>
            <w:tcW w:w="1124" w:type="dxa"/>
            <w:vMerge/>
            <w:tcBorders>
              <w:left w:val="single" w:sz="6" w:space="0" w:color="000000"/>
              <w:bottom w:val="single" w:sz="8" w:space="0" w:color="000000"/>
              <w:right w:val="single" w:sz="6" w:space="0" w:color="000000"/>
            </w:tcBorders>
          </w:tcPr>
          <w:p>
            <w:pP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24"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预测期增长率</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66" w:right="51" w:hanging="209"/>
              <w:jc w:val="left"/>
              <w:rPr>
                <w:rFonts w:ascii="宋体" w:hAnsi="宋体" w:cs="宋体" w:eastAsia="宋体" w:hint="default"/>
                <w:sz w:val="21"/>
                <w:szCs w:val="21"/>
              </w:rPr>
            </w:pPr>
            <w:r>
              <w:rPr>
                <w:rFonts w:ascii="宋体" w:hAnsi="宋体" w:cs="宋体" w:eastAsia="宋体" w:hint="default"/>
                <w:sz w:val="21"/>
                <w:szCs w:val="21"/>
              </w:rPr>
              <w:t>稳定期增</w:t>
            </w:r>
            <w:r>
              <w:rPr>
                <w:rFonts w:ascii="宋体" w:hAnsi="宋体" w:cs="宋体" w:eastAsia="宋体" w:hint="default"/>
                <w:w w:val="100"/>
                <w:sz w:val="21"/>
                <w:szCs w:val="21"/>
              </w:rPr>
              <w:t> </w:t>
            </w:r>
            <w:r>
              <w:rPr>
                <w:rFonts w:ascii="宋体" w:hAnsi="宋体" w:cs="宋体" w:eastAsia="宋体" w:hint="default"/>
                <w:sz w:val="21"/>
                <w:szCs w:val="21"/>
              </w:rPr>
              <w:t>长率</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20" w:right="0"/>
              <w:jc w:val="left"/>
              <w:rPr>
                <w:rFonts w:ascii="宋体" w:hAnsi="宋体" w:cs="宋体" w:eastAsia="宋体" w:hint="default"/>
                <w:sz w:val="21"/>
                <w:szCs w:val="21"/>
              </w:rPr>
            </w:pPr>
            <w:r>
              <w:rPr>
                <w:rFonts w:ascii="宋体" w:hAnsi="宋体" w:cs="宋体" w:eastAsia="宋体" w:hint="default"/>
                <w:sz w:val="21"/>
                <w:szCs w:val="21"/>
              </w:rPr>
              <w:t>利润率</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73" w:lineRule="auto"/>
              <w:ind w:left="382" w:right="7" w:hanging="380"/>
              <w:jc w:val="left"/>
              <w:rPr>
                <w:rFonts w:ascii="宋体" w:hAnsi="宋体" w:cs="宋体" w:eastAsia="宋体" w:hint="default"/>
                <w:sz w:val="21"/>
                <w:szCs w:val="21"/>
              </w:rPr>
            </w:pPr>
            <w:r>
              <w:rPr>
                <w:rFonts w:ascii="宋体" w:hAnsi="宋体" w:cs="宋体" w:eastAsia="宋体" w:hint="default"/>
                <w:spacing w:val="-2"/>
                <w:sz w:val="21"/>
                <w:szCs w:val="21"/>
              </w:rPr>
              <w:t>折现率（税前加权平均资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本成本</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WACC</w:t>
            </w:r>
            <w:r>
              <w:rPr>
                <w:rFonts w:ascii="宋体" w:hAnsi="宋体" w:cs="宋体" w:eastAsia="宋体" w:hint="default"/>
                <w:sz w:val="21"/>
                <w:szCs w:val="21"/>
              </w:rPr>
              <w:t>）</w:t>
            </w:r>
          </w:p>
        </w:tc>
      </w:tr>
      <w:tr>
        <w:trPr>
          <w:trHeight w:val="973" w:hRule="exact"/>
        </w:trPr>
        <w:tc>
          <w:tcPr>
            <w:tcW w:w="112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137" w:right="0"/>
              <w:jc w:val="left"/>
              <w:rPr>
                <w:rFonts w:ascii="宋体" w:hAnsi="宋体" w:cs="宋体" w:eastAsia="宋体" w:hint="default"/>
                <w:sz w:val="21"/>
                <w:szCs w:val="21"/>
              </w:rPr>
            </w:pPr>
            <w:r>
              <w:rPr>
                <w:rFonts w:ascii="宋体" w:hAnsi="宋体" w:cs="宋体" w:eastAsia="宋体" w:hint="default"/>
                <w:sz w:val="21"/>
                <w:szCs w:val="21"/>
              </w:rPr>
              <w:t>博深咨询</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-2024</w:t>
            </w:r>
            <w:r>
              <w:rPr>
                <w:rFonts w:ascii="宋体" w:hAnsi="宋体" w:cs="宋体" w:eastAsia="宋体" w:hint="default"/>
                <w:sz w:val="21"/>
                <w:szCs w:val="21"/>
              </w:rPr>
              <w:t>年</w:t>
            </w:r>
          </w:p>
          <w:p>
            <w:pPr>
              <w:pStyle w:val="TableParagraph"/>
              <w:spacing w:line="273" w:lineRule="auto" w:before="22"/>
              <w:ind w:left="530" w:right="104" w:hanging="420"/>
              <w:jc w:val="left"/>
              <w:rPr>
                <w:rFonts w:ascii="宋体" w:hAnsi="宋体" w:cs="宋体" w:eastAsia="宋体" w:hint="default"/>
                <w:sz w:val="21"/>
                <w:szCs w:val="21"/>
              </w:rPr>
            </w:pPr>
            <w:r>
              <w:rPr>
                <w:rFonts w:ascii="宋体" w:hAnsi="宋体" w:cs="宋体" w:eastAsia="宋体" w:hint="default"/>
                <w:sz w:val="21"/>
                <w:szCs w:val="21"/>
              </w:rPr>
              <w:t>（后续为稳定</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66" w:right="0"/>
              <w:jc w:val="left"/>
              <w:rPr>
                <w:rFonts w:ascii="宋体" w:hAnsi="宋体" w:cs="宋体" w:eastAsia="宋体" w:hint="default"/>
                <w:sz w:val="21"/>
                <w:szCs w:val="21"/>
              </w:rPr>
            </w:pPr>
            <w:r>
              <w:rPr>
                <w:rFonts w:ascii="宋体" w:hAnsi="宋体" w:cs="宋体" w:eastAsia="宋体" w:hint="default"/>
                <w:sz w:val="21"/>
                <w:szCs w:val="21"/>
              </w:rPr>
              <w:t>持平</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 w:hanging="3"/>
              <w:jc w:val="center"/>
              <w:rPr>
                <w:rFonts w:ascii="宋体" w:hAnsi="宋体" w:cs="宋体" w:eastAsia="宋体" w:hint="default"/>
                <w:sz w:val="21"/>
                <w:szCs w:val="21"/>
              </w:rPr>
            </w:pPr>
            <w:r>
              <w:rPr>
                <w:rFonts w:ascii="宋体" w:hAnsi="宋体" w:cs="宋体" w:eastAsia="宋体" w:hint="default"/>
                <w:sz w:val="21"/>
                <w:szCs w:val="21"/>
              </w:rPr>
              <w:t>根据预测的收</w:t>
            </w:r>
            <w:r>
              <w:rPr>
                <w:rFonts w:ascii="宋体" w:hAnsi="宋体" w:cs="宋体" w:eastAsia="宋体" w:hint="default"/>
                <w:w w:val="100"/>
                <w:sz w:val="21"/>
                <w:szCs w:val="21"/>
              </w:rPr>
              <w:t> </w:t>
            </w:r>
            <w:r>
              <w:rPr>
                <w:rFonts w:ascii="宋体" w:hAnsi="宋体" w:cs="宋体" w:eastAsia="宋体" w:hint="default"/>
                <w:spacing w:val="-2"/>
                <w:sz w:val="21"/>
                <w:szCs w:val="21"/>
              </w:rPr>
              <w:t>入、成本、费用</w:t>
            </w:r>
            <w:r>
              <w:rPr>
                <w:rFonts w:ascii="宋体" w:hAnsi="宋体" w:cs="宋体" w:eastAsia="宋体" w:hint="default"/>
                <w:w w:val="100"/>
                <w:sz w:val="21"/>
                <w:szCs w:val="21"/>
              </w:rPr>
              <w:t> </w:t>
            </w:r>
            <w:r>
              <w:rPr>
                <w:rFonts w:ascii="宋体" w:hAnsi="宋体" w:cs="宋体" w:eastAsia="宋体" w:hint="default"/>
                <w:sz w:val="21"/>
                <w:szCs w:val="21"/>
              </w:rPr>
              <w:t>等计算</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15.43%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312" w:lineRule="auto" w:before="26"/>
        <w:ind w:left="633" w:right="1057" w:hanging="96"/>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）广州纵诺电力工程技术有限公司 </w:t>
      </w:r>
      <w:r>
        <w:rPr>
          <w:spacing w:val="-3"/>
        </w:rPr>
        <w:t>商誉的可收回金额按照预计未来现金流量的现值计算，其预计现金流量根据公司批准的</w:t>
      </w:r>
      <w:r>
        <w:rPr>
          <w:rFonts w:ascii="Times New Roman" w:hAnsi="Times New Roman" w:cs="Times New Roman" w:eastAsia="Times New Roman" w:hint="default"/>
          <w:spacing w:val="-3"/>
        </w:rPr>
        <w:t>5</w:t>
      </w:r>
    </w:p>
    <w:p>
      <w:pPr>
        <w:pStyle w:val="BodyText"/>
        <w:spacing w:line="222" w:lineRule="exact"/>
        <w:ind w:right="1057"/>
        <w:jc w:val="left"/>
      </w:pPr>
      <w:r>
        <w:rPr/>
        <w:t>年期现金流量预测为基础，现金流量预测使用的折现率</w:t>
      </w:r>
      <w:r>
        <w:rPr>
          <w:rFonts w:ascii="Times New Roman" w:hAnsi="Times New Roman" w:cs="Times New Roman" w:eastAsia="Times New Roman" w:hint="default"/>
        </w:rPr>
        <w:t>15.43%</w:t>
      </w:r>
      <w:r>
        <w:rPr/>
        <w:t>，预测期以后的现金流量与最</w:t>
      </w:r>
    </w:p>
    <w:p>
      <w:pPr>
        <w:pStyle w:val="BodyText"/>
        <w:spacing w:line="304" w:lineRule="exact"/>
        <w:ind w:right="1057"/>
        <w:jc w:val="left"/>
      </w:pPr>
      <w:r>
        <w:rPr/>
        <w:t>后一期持平，该增长率和电力服务行业总体长期平均增长率基本相当。</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24"/>
        <w:gridCol w:w="1493"/>
        <w:gridCol w:w="1884"/>
        <w:gridCol w:w="968"/>
        <w:gridCol w:w="1488"/>
        <w:gridCol w:w="2333"/>
      </w:tblGrid>
      <w:tr>
        <w:trPr>
          <w:trHeight w:val="348" w:hRule="exact"/>
        </w:trPr>
        <w:tc>
          <w:tcPr>
            <w:tcW w:w="1124" w:type="dxa"/>
            <w:vMerge w:val="restart"/>
            <w:tcBorders>
              <w:top w:val="single" w:sz="6" w:space="0" w:color="000000"/>
              <w:left w:val="single" w:sz="6" w:space="0" w:color="000000"/>
              <w:right w:val="single" w:sz="6" w:space="0" w:color="000000"/>
            </w:tcBorders>
          </w:tcPr>
          <w:p>
            <w:pPr>
              <w:pStyle w:val="TableParagraph"/>
              <w:spacing w:line="272" w:lineRule="exact"/>
              <w:ind w:left="13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166" w:type="dxa"/>
            <w:gridSpan w:val="5"/>
            <w:tcBorders>
              <w:top w:val="single" w:sz="6" w:space="0" w:color="000000"/>
              <w:left w:val="single" w:sz="6" w:space="0" w:color="000000"/>
              <w:bottom w:val="single" w:sz="8" w:space="0" w:color="000000"/>
              <w:right w:val="nil" w:sz="6" w:space="0" w:color="auto"/>
            </w:tcBorders>
          </w:tcPr>
          <w:p>
            <w:pPr>
              <w:pStyle w:val="TableParagraph"/>
              <w:spacing w:line="272" w:lineRule="exact"/>
              <w:ind w:left="-1" w:right="2"/>
              <w:jc w:val="center"/>
              <w:rPr>
                <w:rFonts w:ascii="宋体" w:hAnsi="宋体" w:cs="宋体" w:eastAsia="宋体" w:hint="default"/>
                <w:sz w:val="21"/>
                <w:szCs w:val="21"/>
              </w:rPr>
            </w:pPr>
            <w:r>
              <w:rPr>
                <w:rFonts w:ascii="宋体" w:hAnsi="宋体" w:cs="宋体" w:eastAsia="宋体" w:hint="default"/>
                <w:sz w:val="21"/>
                <w:szCs w:val="21"/>
              </w:rPr>
              <w:t>关键参数</w:t>
            </w:r>
          </w:p>
        </w:tc>
      </w:tr>
      <w:tr>
        <w:trPr>
          <w:trHeight w:val="348" w:hRule="exact"/>
        </w:trPr>
        <w:tc>
          <w:tcPr>
            <w:tcW w:w="1124" w:type="dxa"/>
            <w:vMerge/>
            <w:tcBorders>
              <w:left w:val="single" w:sz="6" w:space="0" w:color="000000"/>
              <w:bottom w:val="single" w:sz="8" w:space="0" w:color="000000"/>
              <w:right w:val="single" w:sz="6" w:space="0" w:color="000000"/>
            </w:tcBorders>
          </w:tcPr>
          <w:p>
            <w:pP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预测期增长率</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57" w:right="0"/>
              <w:jc w:val="left"/>
              <w:rPr>
                <w:rFonts w:ascii="宋体" w:hAnsi="宋体" w:cs="宋体" w:eastAsia="宋体" w:hint="default"/>
                <w:sz w:val="21"/>
                <w:szCs w:val="21"/>
              </w:rPr>
            </w:pPr>
            <w:r>
              <w:rPr>
                <w:rFonts w:ascii="宋体" w:hAnsi="宋体" w:cs="宋体" w:eastAsia="宋体" w:hint="default"/>
                <w:sz w:val="21"/>
                <w:szCs w:val="21"/>
              </w:rPr>
              <w:t>稳定期增</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20" w:right="0"/>
              <w:jc w:val="left"/>
              <w:rPr>
                <w:rFonts w:ascii="宋体" w:hAnsi="宋体" w:cs="宋体" w:eastAsia="宋体" w:hint="default"/>
                <w:sz w:val="21"/>
                <w:szCs w:val="21"/>
              </w:rPr>
            </w:pPr>
            <w:r>
              <w:rPr>
                <w:rFonts w:ascii="宋体" w:hAnsi="宋体" w:cs="宋体" w:eastAsia="宋体" w:hint="default"/>
                <w:sz w:val="21"/>
                <w:szCs w:val="21"/>
              </w:rPr>
              <w:t>利润率</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折现率（税前加权平均资</w:t>
            </w:r>
          </w:p>
        </w:tc>
      </w:tr>
    </w:tbl>
    <w:p>
      <w:pPr>
        <w:spacing w:after="0" w:line="270" w:lineRule="exact"/>
        <w:jc w:val="left"/>
        <w:rPr>
          <w:rFonts w:ascii="宋体" w:hAnsi="宋体" w:cs="宋体" w:eastAsia="宋体" w:hint="default"/>
          <w:sz w:val="21"/>
          <w:szCs w:val="21"/>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124"/>
        <w:gridCol w:w="1493"/>
        <w:gridCol w:w="1884"/>
        <w:gridCol w:w="968"/>
        <w:gridCol w:w="1488"/>
        <w:gridCol w:w="2333"/>
      </w:tblGrid>
      <w:tr>
        <w:trPr>
          <w:trHeight w:val="351" w:hRule="exact"/>
        </w:trPr>
        <w:tc>
          <w:tcPr>
            <w:tcW w:w="1124" w:type="dxa"/>
            <w:tcBorders>
              <w:top w:val="single" w:sz="6" w:space="0" w:color="000000"/>
              <w:left w:val="single" w:sz="6" w:space="0" w:color="000000"/>
              <w:bottom w:val="single" w:sz="8" w:space="0" w:color="000000"/>
              <w:right w:val="single" w:sz="6" w:space="0" w:color="000000"/>
            </w:tcBorders>
          </w:tcPr>
          <w:p>
            <w:pPr/>
          </w:p>
        </w:tc>
        <w:tc>
          <w:tcPr>
            <w:tcW w:w="1493" w:type="dxa"/>
            <w:tcBorders>
              <w:top w:val="single" w:sz="6" w:space="0" w:color="000000"/>
              <w:left w:val="single" w:sz="6" w:space="0" w:color="000000"/>
              <w:bottom w:val="single" w:sz="8" w:space="0" w:color="000000"/>
              <w:right w:val="single" w:sz="6" w:space="0" w:color="000000"/>
            </w:tcBorders>
          </w:tcPr>
          <w:p>
            <w:pPr/>
          </w:p>
        </w:tc>
        <w:tc>
          <w:tcPr>
            <w:tcW w:w="1884" w:type="dxa"/>
            <w:tcBorders>
              <w:top w:val="single" w:sz="6" w:space="0" w:color="000000"/>
              <w:left w:val="single" w:sz="6" w:space="0" w:color="000000"/>
              <w:bottom w:val="single" w:sz="8" w:space="0" w:color="000000"/>
              <w:right w:val="single" w:sz="6" w:space="0" w:color="000000"/>
            </w:tcBorders>
          </w:tcPr>
          <w:p>
            <w:pPr/>
          </w:p>
        </w:tc>
        <w:tc>
          <w:tcPr>
            <w:tcW w:w="968"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长率</w:t>
            </w:r>
          </w:p>
        </w:tc>
        <w:tc>
          <w:tcPr>
            <w:tcW w:w="1488" w:type="dxa"/>
            <w:tcBorders>
              <w:top w:val="single" w:sz="6" w:space="0" w:color="000000"/>
              <w:left w:val="single" w:sz="6" w:space="0" w:color="000000"/>
              <w:bottom w:val="single" w:sz="8" w:space="0" w:color="000000"/>
              <w:right w:val="single" w:sz="6" w:space="0" w:color="000000"/>
            </w:tcBorders>
          </w:tcPr>
          <w:p>
            <w:pPr/>
          </w:p>
        </w:tc>
        <w:tc>
          <w:tcPr>
            <w:tcW w:w="2333" w:type="dxa"/>
            <w:tcBorders>
              <w:top w:val="single" w:sz="6" w:space="0" w:color="000000"/>
              <w:left w:val="single" w:sz="6" w:space="0" w:color="000000"/>
              <w:bottom w:val="single" w:sz="8" w:space="0" w:color="000000"/>
              <w:right w:val="nil" w:sz="6" w:space="0" w:color="auto"/>
            </w:tcBorders>
          </w:tcPr>
          <w:p>
            <w:pPr>
              <w:pStyle w:val="TableParagraph"/>
              <w:spacing w:line="288" w:lineRule="exact"/>
              <w:ind w:right="3"/>
              <w:jc w:val="center"/>
              <w:rPr>
                <w:rFonts w:ascii="宋体" w:hAnsi="宋体" w:cs="宋体" w:eastAsia="宋体" w:hint="default"/>
                <w:sz w:val="21"/>
                <w:szCs w:val="21"/>
              </w:rPr>
            </w:pPr>
            <w:r>
              <w:rPr>
                <w:rFonts w:ascii="宋体" w:hAnsi="宋体" w:cs="宋体" w:eastAsia="宋体" w:hint="default"/>
                <w:sz w:val="21"/>
                <w:szCs w:val="21"/>
              </w:rPr>
              <w:t>本成本</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WACC</w:t>
            </w:r>
            <w:r>
              <w:rPr>
                <w:rFonts w:ascii="宋体" w:hAnsi="宋体" w:cs="宋体" w:eastAsia="宋体" w:hint="default"/>
                <w:sz w:val="21"/>
                <w:szCs w:val="21"/>
              </w:rPr>
              <w:t>）</w:t>
            </w:r>
          </w:p>
        </w:tc>
      </w:tr>
      <w:tr>
        <w:trPr>
          <w:trHeight w:val="970" w:hRule="exact"/>
        </w:trPr>
        <w:tc>
          <w:tcPr>
            <w:tcW w:w="112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137" w:right="0"/>
              <w:jc w:val="left"/>
              <w:rPr>
                <w:rFonts w:ascii="宋体" w:hAnsi="宋体" w:cs="宋体" w:eastAsia="宋体" w:hint="default"/>
                <w:sz w:val="21"/>
                <w:szCs w:val="21"/>
              </w:rPr>
            </w:pPr>
            <w:r>
              <w:rPr>
                <w:rFonts w:ascii="宋体" w:hAnsi="宋体" w:cs="宋体" w:eastAsia="宋体" w:hint="default"/>
                <w:sz w:val="21"/>
                <w:szCs w:val="21"/>
              </w:rPr>
              <w:t>纵诺电力</w:t>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-2024</w:t>
            </w:r>
            <w:r>
              <w:rPr>
                <w:rFonts w:ascii="宋体" w:hAnsi="宋体" w:cs="宋体" w:eastAsia="宋体" w:hint="default"/>
                <w:sz w:val="21"/>
                <w:szCs w:val="21"/>
              </w:rPr>
              <w:t>年</w:t>
            </w:r>
          </w:p>
          <w:p>
            <w:pPr>
              <w:pStyle w:val="TableParagraph"/>
              <w:spacing w:line="273" w:lineRule="auto" w:before="21"/>
              <w:ind w:left="530" w:right="104" w:hanging="420"/>
              <w:jc w:val="left"/>
              <w:rPr>
                <w:rFonts w:ascii="宋体" w:hAnsi="宋体" w:cs="宋体" w:eastAsia="宋体" w:hint="default"/>
                <w:sz w:val="21"/>
                <w:szCs w:val="21"/>
              </w:rPr>
            </w:pPr>
            <w:r>
              <w:rPr>
                <w:rFonts w:ascii="宋体" w:hAnsi="宋体" w:cs="宋体" w:eastAsia="宋体" w:hint="default"/>
                <w:sz w:val="21"/>
                <w:szCs w:val="21"/>
              </w:rPr>
              <w:t>（后续为稳定</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884"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96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持平</w:t>
            </w:r>
          </w:p>
        </w:tc>
        <w:tc>
          <w:tcPr>
            <w:tcW w:w="148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 w:hanging="3"/>
              <w:jc w:val="center"/>
              <w:rPr>
                <w:rFonts w:ascii="宋体" w:hAnsi="宋体" w:cs="宋体" w:eastAsia="宋体" w:hint="default"/>
                <w:sz w:val="21"/>
                <w:szCs w:val="21"/>
              </w:rPr>
            </w:pPr>
            <w:r>
              <w:rPr>
                <w:rFonts w:ascii="宋体" w:hAnsi="宋体" w:cs="宋体" w:eastAsia="宋体" w:hint="default"/>
                <w:sz w:val="21"/>
                <w:szCs w:val="21"/>
              </w:rPr>
              <w:t>根据预测的收</w:t>
            </w:r>
            <w:r>
              <w:rPr>
                <w:rFonts w:ascii="宋体" w:hAnsi="宋体" w:cs="宋体" w:eastAsia="宋体" w:hint="default"/>
                <w:w w:val="100"/>
                <w:sz w:val="21"/>
                <w:szCs w:val="21"/>
              </w:rPr>
              <w:t> </w:t>
            </w:r>
            <w:r>
              <w:rPr>
                <w:rFonts w:ascii="宋体" w:hAnsi="宋体" w:cs="宋体" w:eastAsia="宋体" w:hint="default"/>
                <w:spacing w:val="-2"/>
                <w:sz w:val="21"/>
                <w:szCs w:val="21"/>
              </w:rPr>
              <w:t>入、成本、费用</w:t>
            </w:r>
            <w:r>
              <w:rPr>
                <w:rFonts w:ascii="宋体" w:hAnsi="宋体" w:cs="宋体" w:eastAsia="宋体" w:hint="default"/>
                <w:w w:val="100"/>
                <w:sz w:val="21"/>
                <w:szCs w:val="21"/>
              </w:rPr>
              <w:t> </w:t>
            </w:r>
            <w:r>
              <w:rPr>
                <w:rFonts w:ascii="宋体" w:hAnsi="宋体" w:cs="宋体" w:eastAsia="宋体" w:hint="default"/>
                <w:sz w:val="21"/>
                <w:szCs w:val="21"/>
              </w:rPr>
              <w:t>等计算</w:t>
            </w:r>
          </w:p>
        </w:tc>
        <w:tc>
          <w:tcPr>
            <w:tcW w:w="233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15.43%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pStyle w:val="BodyText"/>
        <w:spacing w:line="312" w:lineRule="auto" w:before="68"/>
        <w:ind w:left="633" w:right="1057"/>
        <w:jc w:val="left"/>
      </w:pPr>
      <w:r>
        <w:rPr>
          <w:rFonts w:ascii="Times New Roman" w:hAnsi="Times New Roman" w:cs="Times New Roman" w:eastAsia="Times New Roman" w:hint="default"/>
        </w:rPr>
        <w:t>1</w:t>
      </w:r>
      <w:r>
        <w:rPr/>
        <w:t>）广州逸信电子科技有限公司 </w:t>
      </w:r>
      <w:r>
        <w:rPr>
          <w:spacing w:val="3"/>
        </w:rPr>
        <w:t>根据本公司聘请的中水致远资产评估有限公司于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日出具的中水致远评报字</w:t>
      </w:r>
    </w:p>
    <w:p>
      <w:pPr>
        <w:pStyle w:val="BodyText"/>
        <w:spacing w:line="223" w:lineRule="exact"/>
        <w:ind w:right="1057"/>
        <w:jc w:val="left"/>
      </w:pPr>
      <w:r>
        <w:rPr>
          <w:rFonts w:ascii="Times New Roman" w:hAnsi="Times New Roman" w:cs="Times New Roman" w:eastAsia="Times New Roman" w:hint="default"/>
        </w:rPr>
        <w:t>[2020]</w:t>
      </w:r>
      <w:r>
        <w:rPr/>
        <w:t>第</w:t>
      </w:r>
      <w:r>
        <w:rPr>
          <w:rFonts w:ascii="Times New Roman" w:hAnsi="Times New Roman" w:cs="Times New Roman" w:eastAsia="Times New Roman" w:hint="default"/>
        </w:rPr>
        <w:t>020100</w:t>
      </w:r>
      <w:r>
        <w:rPr>
          <w:rFonts w:ascii="Times New Roman" w:hAnsi="Times New Roman" w:cs="Times New Roman" w:eastAsia="Times New Roman" w:hint="default"/>
          <w:spacing w:val="50"/>
        </w:rPr>
        <w:t> </w:t>
      </w:r>
      <w:r>
        <w:rPr/>
        <w:t>号《润建股份有限公司并购广州逸信电子科技有限公司所涉及的以财务报告</w:t>
      </w:r>
    </w:p>
    <w:p>
      <w:pPr>
        <w:pStyle w:val="BodyText"/>
        <w:spacing w:line="303" w:lineRule="exact"/>
        <w:ind w:right="1057"/>
        <w:jc w:val="left"/>
      </w:pPr>
      <w:r>
        <w:rPr/>
        <w:t>为目的的商誉减值测试项目资产评估报告》的评估结果，包含商誉的资产组的可收回金额为</w:t>
      </w:r>
    </w:p>
    <w:p>
      <w:pPr>
        <w:pStyle w:val="BodyText"/>
        <w:spacing w:line="331" w:lineRule="exact"/>
        <w:ind w:right="1057"/>
        <w:jc w:val="left"/>
      </w:pPr>
      <w:r>
        <w:rPr>
          <w:rFonts w:ascii="Times New Roman" w:hAnsi="Times New Roman" w:cs="Times New Roman" w:eastAsia="Times New Roman" w:hint="default"/>
        </w:rPr>
        <w:t>1,510.00</w:t>
      </w:r>
      <w:r>
        <w:rPr/>
        <w:t>万元，无需计提商誉减值准备。</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BodyText"/>
        <w:spacing w:line="312" w:lineRule="auto"/>
        <w:ind w:left="633" w:right="1057"/>
        <w:jc w:val="left"/>
      </w:pPr>
      <w:r>
        <w:rPr>
          <w:rFonts w:ascii="Times New Roman" w:hAnsi="Times New Roman" w:cs="Times New Roman" w:eastAsia="Times New Roman" w:hint="default"/>
        </w:rPr>
        <w:t>2</w:t>
      </w:r>
      <w:r>
        <w:rPr/>
        <w:t>）广州市泺立能源科技有限公司 </w:t>
      </w:r>
      <w:r>
        <w:rPr>
          <w:spacing w:val="9"/>
        </w:rPr>
        <w:t>根据本公司聘请的中水致远资产评估有限公司于</w:t>
      </w:r>
      <w:r>
        <w:rPr>
          <w:rFonts w:ascii="Times New Roman" w:hAnsi="Times New Roman" w:cs="Times New Roman" w:eastAsia="Times New Roman" w:hint="default"/>
          <w:spacing w:val="9"/>
        </w:rPr>
        <w:t>2020</w:t>
      </w:r>
      <w:r>
        <w:rPr>
          <w:spacing w:val="9"/>
        </w:rPr>
        <w:t>年</w:t>
      </w:r>
      <w:r>
        <w:rPr>
          <w:rFonts w:ascii="Times New Roman" w:hAnsi="Times New Roman" w:cs="Times New Roman" w:eastAsia="Times New Roman" w:hint="default"/>
          <w:spacing w:val="9"/>
        </w:rPr>
        <w:t>4</w:t>
      </w:r>
      <w:r>
        <w:rPr>
          <w:spacing w:val="9"/>
        </w:rPr>
        <w:t>月</w:t>
      </w:r>
      <w:r>
        <w:rPr>
          <w:rFonts w:ascii="Times New Roman" w:hAnsi="Times New Roman" w:cs="Times New Roman" w:eastAsia="Times New Roman" w:hint="default"/>
          <w:spacing w:val="9"/>
        </w:rPr>
        <w:t>25</w:t>
      </w:r>
      <w:r>
        <w:rPr>
          <w:spacing w:val="9"/>
        </w:rPr>
        <w:t>日出具中水致远评报字</w:t>
      </w:r>
    </w:p>
    <w:p>
      <w:pPr>
        <w:pStyle w:val="BodyText"/>
        <w:spacing w:line="222" w:lineRule="exact"/>
        <w:ind w:right="1057"/>
        <w:jc w:val="left"/>
      </w:pP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020105</w:t>
      </w:r>
      <w:r>
        <w:rPr>
          <w:spacing w:val="2"/>
        </w:rPr>
        <w:t>号《润建股份有限公司并购广州市泺立能源科技有限公司所涉及的以财务报</w:t>
      </w:r>
    </w:p>
    <w:p>
      <w:pPr>
        <w:pStyle w:val="BodyText"/>
        <w:spacing w:line="312" w:lineRule="exact" w:before="20"/>
        <w:ind w:right="1057"/>
        <w:jc w:val="left"/>
      </w:pPr>
      <w:r>
        <w:rPr/>
        <w:t>告为目的的商誉减值测试项目资产评估报告》的评估结果，包含商誉的资产组的可收回金额</w:t>
      </w:r>
      <w:r>
        <w:rPr>
          <w:spacing w:val="-91"/>
        </w:rPr>
        <w:t> </w:t>
      </w:r>
      <w:r>
        <w:rPr>
          <w:spacing w:val="-91"/>
        </w:rPr>
      </w:r>
      <w:r>
        <w:rPr/>
        <w:t>为</w:t>
      </w:r>
      <w:r>
        <w:rPr>
          <w:rFonts w:ascii="Times New Roman" w:hAnsi="Times New Roman" w:cs="Times New Roman" w:eastAsia="Times New Roman" w:hint="default"/>
        </w:rPr>
        <w:t>5,860.00</w:t>
      </w:r>
      <w:r>
        <w:rPr/>
        <w:t>万元，无需计提商誉减值准备。</w:t>
      </w:r>
    </w:p>
    <w:p>
      <w:pPr>
        <w:spacing w:line="240" w:lineRule="auto" w:before="1"/>
        <w:rPr>
          <w:rFonts w:ascii="宋体" w:hAnsi="宋体" w:cs="宋体" w:eastAsia="宋体" w:hint="default"/>
          <w:sz w:val="33"/>
          <w:szCs w:val="33"/>
        </w:rPr>
      </w:pPr>
    </w:p>
    <w:p>
      <w:pPr>
        <w:pStyle w:val="BodyText"/>
        <w:spacing w:line="312" w:lineRule="exact"/>
        <w:ind w:right="1154" w:firstLine="384"/>
        <w:jc w:val="left"/>
      </w:pPr>
      <w:r>
        <w:rPr>
          <w:rFonts w:ascii="Times New Roman" w:hAnsi="Times New Roman" w:cs="Times New Roman" w:eastAsia="Times New Roman" w:hint="default"/>
        </w:rPr>
        <w:t>3</w:t>
      </w:r>
      <w:r>
        <w:rPr/>
        <w:t>）广州鑫广源电力设计有限公司 根据本公司聘请的中水致远资产评估有限公司于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日出具中水致远评报字</w:t>
      </w:r>
      <w:r>
        <w:rPr>
          <w:rFonts w:ascii="Times New Roman" w:hAnsi="Times New Roman" w:cs="Times New Roman" w:eastAsia="Times New Roman" w:hint="default"/>
        </w:rPr>
        <w:t>[2020] </w:t>
      </w:r>
      <w:r>
        <w:rPr/>
        <w:t>第</w:t>
      </w:r>
      <w:r>
        <w:rPr>
          <w:rFonts w:ascii="Times New Roman" w:hAnsi="Times New Roman" w:cs="Times New Roman" w:eastAsia="Times New Roman" w:hint="default"/>
        </w:rPr>
        <w:t>020103</w:t>
      </w:r>
      <w:r>
        <w:rPr/>
        <w:t>号《润建股份有限公司并购广州鑫广源电力设计有限公司所涉及的以财务报告为目 的的商誉减值测试项目资产评估报告》的评估结果，包含商誉的资产组的可收回金额为 </w:t>
      </w:r>
      <w:r>
        <w:rPr>
          <w:rFonts w:ascii="Times New Roman" w:hAnsi="Times New Roman" w:cs="Times New Roman" w:eastAsia="Times New Roman" w:hint="default"/>
        </w:rPr>
        <w:t>7,500.00</w:t>
      </w:r>
      <w:r>
        <w:rPr/>
        <w:t>万元，无需计提商誉减值准备。</w:t>
      </w:r>
    </w:p>
    <w:p>
      <w:pPr>
        <w:pStyle w:val="BodyText"/>
        <w:spacing w:line="302" w:lineRule="exact"/>
        <w:ind w:left="537" w:right="1057"/>
        <w:jc w:val="left"/>
      </w:pPr>
      <w:r>
        <w:rPr>
          <w:rFonts w:ascii="Times New Roman" w:hAnsi="Times New Roman" w:cs="Times New Roman" w:eastAsia="Times New Roman" w:hint="default"/>
        </w:rPr>
        <w:t>4</w:t>
      </w:r>
      <w:r>
        <w:rPr/>
        <w:t>）广州市赛皓达智能科技有限公司</w:t>
      </w:r>
    </w:p>
    <w:p>
      <w:pPr>
        <w:pStyle w:val="BodyText"/>
        <w:spacing w:line="312" w:lineRule="exact" w:before="130"/>
        <w:ind w:right="1129" w:firstLine="480"/>
        <w:jc w:val="both"/>
      </w:pPr>
      <w:r>
        <w:rPr>
          <w:spacing w:val="9"/>
        </w:rPr>
        <w:t>根据本公司聘请的中水致远资产评估有限公司于</w:t>
      </w:r>
      <w:r>
        <w:rPr>
          <w:rFonts w:ascii="Times New Roman" w:hAnsi="Times New Roman" w:cs="Times New Roman" w:eastAsia="Times New Roman" w:hint="default"/>
          <w:spacing w:val="9"/>
        </w:rPr>
        <w:t>2020</w:t>
      </w:r>
      <w:r>
        <w:rPr>
          <w:spacing w:val="9"/>
        </w:rPr>
        <w:t>年</w:t>
      </w:r>
      <w:r>
        <w:rPr>
          <w:rFonts w:ascii="Times New Roman" w:hAnsi="Times New Roman" w:cs="Times New Roman" w:eastAsia="Times New Roman" w:hint="default"/>
          <w:spacing w:val="9"/>
        </w:rPr>
        <w:t>4</w:t>
      </w:r>
      <w:r>
        <w:rPr>
          <w:spacing w:val="9"/>
        </w:rPr>
        <w:t>月</w:t>
      </w:r>
      <w:r>
        <w:rPr>
          <w:rFonts w:ascii="Times New Roman" w:hAnsi="Times New Roman" w:cs="Times New Roman" w:eastAsia="Times New Roman" w:hint="default"/>
          <w:spacing w:val="9"/>
        </w:rPr>
        <w:t>25</w:t>
      </w:r>
      <w:r>
        <w:rPr>
          <w:spacing w:val="9"/>
        </w:rPr>
        <w:t>日出具中水致远评报字</w:t>
      </w:r>
      <w:r>
        <w:rPr/>
        <w:t> </w:t>
      </w: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020106</w:t>
      </w:r>
      <w:r>
        <w:rPr>
          <w:spacing w:val="2"/>
        </w:rPr>
        <w:t>号《润建股份有限公司并购广州市赛皓达智能科技有限公司所涉及的以财务</w:t>
      </w:r>
      <w:r>
        <w:rPr>
          <w:spacing w:val="-116"/>
        </w:rPr>
        <w:t> </w:t>
      </w:r>
      <w:r>
        <w:rPr>
          <w:spacing w:val="-116"/>
        </w:rPr>
      </w:r>
      <w:r>
        <w:rPr/>
        <w:t>报告为目的的商誉减值测试项目资产评估报告》的评估结果，包含商誉的资产组的可收回金</w:t>
      </w:r>
      <w:r>
        <w:rPr>
          <w:spacing w:val="-91"/>
        </w:rPr>
        <w:t> </w:t>
      </w:r>
      <w:r>
        <w:rPr>
          <w:spacing w:val="-91"/>
        </w:rPr>
      </w:r>
      <w:r>
        <w:rPr/>
        <w:t>额为</w:t>
      </w:r>
      <w:r>
        <w:rPr>
          <w:rFonts w:ascii="Times New Roman" w:hAnsi="Times New Roman" w:cs="Times New Roman" w:eastAsia="Times New Roman" w:hint="default"/>
        </w:rPr>
        <w:t>9,850.00</w:t>
      </w:r>
      <w:r>
        <w:rPr/>
        <w:t>万元，无需计提商誉减值准备。</w:t>
      </w:r>
    </w:p>
    <w:p>
      <w:pPr>
        <w:spacing w:line="240" w:lineRule="auto" w:before="7"/>
        <w:rPr>
          <w:rFonts w:ascii="宋体" w:hAnsi="宋体" w:cs="宋体" w:eastAsia="宋体" w:hint="default"/>
          <w:sz w:val="21"/>
          <w:szCs w:val="21"/>
        </w:rPr>
      </w:pPr>
    </w:p>
    <w:p>
      <w:pPr>
        <w:pStyle w:val="BodyText"/>
        <w:spacing w:line="312" w:lineRule="auto"/>
        <w:ind w:left="633" w:right="1057" w:hanging="96"/>
        <w:jc w:val="left"/>
      </w:pPr>
      <w:r>
        <w:rPr>
          <w:rFonts w:ascii="Times New Roman" w:hAnsi="Times New Roman" w:cs="Times New Roman" w:eastAsia="Times New Roman" w:hint="default"/>
        </w:rPr>
        <w:t>5</w:t>
      </w:r>
      <w:r>
        <w:rPr/>
        <w:t>）广东博深咨询有限公司 </w:t>
      </w:r>
      <w:r>
        <w:rPr>
          <w:spacing w:val="9"/>
        </w:rPr>
        <w:t>根据本公司聘请的中水致远资产评估有限公司于</w:t>
      </w:r>
      <w:r>
        <w:rPr>
          <w:rFonts w:ascii="Times New Roman" w:hAnsi="Times New Roman" w:cs="Times New Roman" w:eastAsia="Times New Roman" w:hint="default"/>
          <w:spacing w:val="9"/>
        </w:rPr>
        <w:t>2020</w:t>
      </w:r>
      <w:r>
        <w:rPr>
          <w:spacing w:val="9"/>
        </w:rPr>
        <w:t>年</w:t>
      </w:r>
      <w:r>
        <w:rPr>
          <w:rFonts w:ascii="Times New Roman" w:hAnsi="Times New Roman" w:cs="Times New Roman" w:eastAsia="Times New Roman" w:hint="default"/>
          <w:spacing w:val="9"/>
        </w:rPr>
        <w:t>4</w:t>
      </w:r>
      <w:r>
        <w:rPr>
          <w:spacing w:val="9"/>
        </w:rPr>
        <w:t>月</w:t>
      </w:r>
      <w:r>
        <w:rPr>
          <w:rFonts w:ascii="Times New Roman" w:hAnsi="Times New Roman" w:cs="Times New Roman" w:eastAsia="Times New Roman" w:hint="default"/>
          <w:spacing w:val="9"/>
        </w:rPr>
        <w:t>25</w:t>
      </w:r>
      <w:r>
        <w:rPr>
          <w:spacing w:val="9"/>
        </w:rPr>
        <w:t>日出具中水致远评报字</w:t>
      </w:r>
    </w:p>
    <w:p>
      <w:pPr>
        <w:pStyle w:val="BodyText"/>
        <w:spacing w:line="222" w:lineRule="exact"/>
        <w:ind w:right="1057"/>
        <w:jc w:val="left"/>
      </w:pP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020101</w:t>
      </w:r>
      <w:r>
        <w:rPr>
          <w:spacing w:val="2"/>
        </w:rPr>
        <w:t>号《润建股份有限公司并购广东博深咨询有限公司所涉及的以财务报告为目</w:t>
      </w:r>
    </w:p>
    <w:p>
      <w:pPr>
        <w:pStyle w:val="BodyText"/>
        <w:spacing w:line="303" w:lineRule="exact"/>
        <w:ind w:right="1057"/>
        <w:jc w:val="left"/>
      </w:pPr>
      <w:r>
        <w:rPr>
          <w:spacing w:val="13"/>
        </w:rPr>
        <w:t>的的商誉减值测试项目资产评估报告》的评估结果，包含商誉的资产组的可收回金额为</w:t>
      </w:r>
    </w:p>
    <w:p>
      <w:pPr>
        <w:pStyle w:val="BodyText"/>
        <w:spacing w:line="331" w:lineRule="exact"/>
        <w:ind w:right="1057"/>
        <w:jc w:val="left"/>
      </w:pPr>
      <w:r>
        <w:rPr>
          <w:rFonts w:ascii="Times New Roman" w:hAnsi="Times New Roman" w:cs="Times New Roman" w:eastAsia="Times New Roman" w:hint="default"/>
        </w:rPr>
        <w:t>1,421.00</w:t>
      </w:r>
      <w:r>
        <w:rPr/>
        <w:t>万元，无需计提商誉减值准备。</w:t>
      </w:r>
    </w:p>
    <w:p>
      <w:pPr>
        <w:spacing w:line="240" w:lineRule="auto" w:before="4"/>
        <w:rPr>
          <w:rFonts w:ascii="宋体" w:hAnsi="宋体" w:cs="宋体" w:eastAsia="宋体" w:hint="default"/>
          <w:sz w:val="22"/>
          <w:szCs w:val="22"/>
        </w:rPr>
      </w:pPr>
    </w:p>
    <w:p>
      <w:pPr>
        <w:pStyle w:val="BodyText"/>
        <w:spacing w:line="312" w:lineRule="auto"/>
        <w:ind w:left="633" w:right="1057" w:hanging="96"/>
        <w:jc w:val="left"/>
      </w:pPr>
      <w:r>
        <w:rPr>
          <w:rFonts w:ascii="Times New Roman" w:hAnsi="Times New Roman" w:cs="Times New Roman" w:eastAsia="Times New Roman" w:hint="default"/>
        </w:rPr>
        <w:t>6</w:t>
      </w:r>
      <w:r>
        <w:rPr/>
        <w:t>）广州纵诺电力工程技术有限公司 </w:t>
      </w:r>
      <w:r>
        <w:rPr>
          <w:spacing w:val="9"/>
        </w:rPr>
        <w:t>根据本公司聘请的中水致远资产评估有限公司于</w:t>
      </w:r>
      <w:r>
        <w:rPr>
          <w:rFonts w:ascii="Times New Roman" w:hAnsi="Times New Roman" w:cs="Times New Roman" w:eastAsia="Times New Roman" w:hint="default"/>
          <w:spacing w:val="9"/>
        </w:rPr>
        <w:t>2020</w:t>
      </w:r>
      <w:r>
        <w:rPr>
          <w:spacing w:val="9"/>
        </w:rPr>
        <w:t>年</w:t>
      </w:r>
      <w:r>
        <w:rPr>
          <w:rFonts w:ascii="Times New Roman" w:hAnsi="Times New Roman" w:cs="Times New Roman" w:eastAsia="Times New Roman" w:hint="default"/>
          <w:spacing w:val="9"/>
        </w:rPr>
        <w:t>4</w:t>
      </w:r>
      <w:r>
        <w:rPr>
          <w:spacing w:val="9"/>
        </w:rPr>
        <w:t>月</w:t>
      </w:r>
      <w:r>
        <w:rPr>
          <w:rFonts w:ascii="Times New Roman" w:hAnsi="Times New Roman" w:cs="Times New Roman" w:eastAsia="Times New Roman" w:hint="default"/>
          <w:spacing w:val="9"/>
        </w:rPr>
        <w:t>25</w:t>
      </w:r>
      <w:r>
        <w:rPr>
          <w:spacing w:val="9"/>
        </w:rPr>
        <w:t>日出具中水致远评报字</w:t>
      </w:r>
    </w:p>
    <w:p>
      <w:pPr>
        <w:pStyle w:val="BodyText"/>
        <w:spacing w:line="222" w:lineRule="exact"/>
        <w:ind w:right="1057"/>
        <w:jc w:val="left"/>
      </w:pPr>
      <w:r>
        <w:rPr>
          <w:rFonts w:ascii="Times New Roman" w:hAnsi="Times New Roman" w:cs="Times New Roman" w:eastAsia="Times New Roman" w:hint="default"/>
          <w:spacing w:val="2"/>
        </w:rPr>
        <w:t>[2020]</w:t>
      </w:r>
      <w:r>
        <w:rPr>
          <w:spacing w:val="2"/>
        </w:rPr>
        <w:t>第</w:t>
      </w:r>
      <w:r>
        <w:rPr>
          <w:rFonts w:ascii="Times New Roman" w:hAnsi="Times New Roman" w:cs="Times New Roman" w:eastAsia="Times New Roman" w:hint="default"/>
          <w:spacing w:val="2"/>
        </w:rPr>
        <w:t>020102</w:t>
      </w:r>
      <w:r>
        <w:rPr>
          <w:spacing w:val="2"/>
        </w:rPr>
        <w:t>号《广州纵诺电力工程技术有限公司所涉及的以财务报告为目的的商誉减值</w:t>
      </w:r>
    </w:p>
    <w:p>
      <w:pPr>
        <w:pStyle w:val="BodyText"/>
        <w:spacing w:line="322" w:lineRule="exact"/>
        <w:ind w:right="1057"/>
        <w:jc w:val="left"/>
      </w:pPr>
      <w:r>
        <w:rPr/>
        <w:t>测试项目资产评估报告》的评估结果，包含商誉的资产组的可收回金额为</w:t>
      </w:r>
      <w:r>
        <w:rPr>
          <w:rFonts w:ascii="Times New Roman" w:hAnsi="Times New Roman" w:cs="Times New Roman" w:eastAsia="Times New Roman" w:hint="default"/>
        </w:rPr>
        <w:t>513.40</w:t>
      </w:r>
      <w:r>
        <w:rPr/>
        <w:t>万元，无需</w:t>
      </w:r>
    </w:p>
    <w:p>
      <w:pPr>
        <w:spacing w:after="0" w:line="322"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057"/>
        <w:jc w:val="left"/>
      </w:pPr>
      <w:r>
        <w:rPr/>
        <w:t>计提商誉减值准备。</w:t>
      </w:r>
    </w:p>
    <w:p>
      <w:pPr>
        <w:spacing w:line="240" w:lineRule="auto" w:before="7"/>
        <w:rPr>
          <w:rFonts w:ascii="宋体" w:hAnsi="宋体" w:cs="宋体" w:eastAsia="宋体" w:hint="default"/>
          <w:sz w:val="30"/>
          <w:szCs w:val="30"/>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房屋装修费用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917,988.05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16,213.14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381,332.31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552,868.88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7,706.48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7,005.88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917,988.05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23,919.62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382,032.91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559,874.76</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5,564,405.94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834,660.89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141,573,642.00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21,237,613.30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376,530.09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176,124.29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3,728,898.68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932,224.67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1,123,271.56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280,817.89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188,111,454.05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29,298,043.77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75,771,405.63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11,475,035.60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111,405,237.56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16,838,438.66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273,552,694.39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42,716,089.22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254,102,151.12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38,356,869.85</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7,580,503.82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1,287,087.87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交易性金融工具、衍生 金融工具的公允价值变 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1,645,913.39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248,448.65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9,226,417.21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1,535,536.52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42,716,089.22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38,356,869.85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1,535,536.52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11,257.62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991,892.38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12,968.30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1,003,150.00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12,968.30</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3,900.95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4,343.14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77,400.06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3,679.53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93,052.88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w w:val="95"/>
                <w:sz w:val="18"/>
              </w:rPr>
              <w:t>1,044.68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821,439.44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991,892.38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12,968.30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大额存单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216,653,265.77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预付购置长期资产款项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7,533,613.21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专项维修基金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287,120.85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224,473,999.83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465,720,000.00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465,720,000.00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230,000,000.00</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44,267,953.77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20,520,749.38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应付劳务费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823,810,479.01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422,697,628.75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应付固定资产购置款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2,986,583.94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6,991,909.99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应付暂估款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106,794,035.03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127,351,825.19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18,109.83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8,834,532.96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15,812,462.13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986,693,584.71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593,392,685.27</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任丘市振华防腐材料有限公司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3,462,545.40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广东电白建设集团有限公司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2,540,347.48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广州白云电器设备股份有限公司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1,741,091.00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甘肃鸿祥通信技术有限公司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1,286,205.06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9,030,188.94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3,476,995.14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预收技术服务款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60,786,040.58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184,563,876.94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160,046,575.92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预收设计款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31,809,463.37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4,096,397.38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280,636,376.03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164,142,973.30</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贵州电网有限责任公司凯里供电局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5,720,155.50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中国移动通信集团陕西有限公司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1,694,932.39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中国电信股份有限公司广东分公司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1,655,936.48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中铁一局集团有限公司第三工程分公司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10,612,024.37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167,594,937.60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350,242,825.09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419,028,714.88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98,809,047.81</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333,302.59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33,685,034.45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33,669,477.15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348,859.89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1,687,396.16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1,594,746.16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92,650.00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167,928,240.19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385,615,255.70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454,292,938.19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99,250,557.70</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167,407,327.14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295,529,222.32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364,390,005.74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98,546,543.72</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32,081,570.85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32,081,570.85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170,586.14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16,153,494.82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16,114,412.31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209,668.65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167,392.21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13,710,678.38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13,702,422.73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175,647.86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204.48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531,288.40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518,597.17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12,895.71</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2,989.45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1,911,528.04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1,893,392.41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21,125.08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17,024.32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4,104,818.47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4,069,007.35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52,835.44</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2,373,718.63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2,373,718.63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167,594,937.60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350,242,825.09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419,028,714.88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98,809,047.81</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325,566.24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32,635,512.70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32,630,272.04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330,806.90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7,736.35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1,049,521.75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1,039,205.11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18,052.99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333,302.59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33,685,034.45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33,669,477.15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348,859.89</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55,666,398.45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87,777,813.11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34,707,906.91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13,143,306.85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285,189.58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497,828.92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5,001,921.17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3,440,988.55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3,939,511.95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2,189,042.16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99,600,928.06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107,048,979.59</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82,312,044.63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20,847,536.84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82,312,044.63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20,847,536.84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27,369,380.77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19,940,319.37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51,110,914.42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3,069,400.96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459,606.00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762,348.48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447,611.47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82,312,044.63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20,847,536.84</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以不满足终止确认条件的应收票据背书 转让清偿的负债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2"/>
              <w:jc w:val="left"/>
              <w:rPr>
                <w:rFonts w:ascii="宋体" w:hAnsi="宋体" w:cs="宋体" w:eastAsia="宋体" w:hint="default"/>
                <w:sz w:val="18"/>
                <w:szCs w:val="18"/>
              </w:rPr>
            </w:pPr>
            <w:r>
              <w:rPr>
                <w:rFonts w:ascii="宋体" w:hAnsi="宋体" w:cs="宋体" w:eastAsia="宋体" w:hint="default"/>
                <w:sz w:val="18"/>
                <w:szCs w:val="18"/>
              </w:rPr>
              <w:t>以不满足终止确认条件的应收票据贴现 转让清偿的负债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1,741,549.26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4,741,549.26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220,746,347.00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220,746,347.00</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3"/>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1"/>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4" w:right="0"/>
              <w:jc w:val="left"/>
              <w:rPr>
                <w:rFonts w:ascii="Times New Roman" w:hAnsi="Times New Roman" w:cs="Times New Roman" w:eastAsia="Times New Roman" w:hint="default"/>
                <w:sz w:val="18"/>
                <w:szCs w:val="18"/>
              </w:rPr>
            </w:pPr>
            <w:r>
              <w:rPr>
                <w:rFonts w:ascii="Times New Roman"/>
                <w:sz w:val="18"/>
              </w:rPr>
              <w:t>1,406,305,871.38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1,406,305,871.38</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7" w:lineRule="auto" w:before="51"/>
        <w:ind w:left="152" w:right="661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38,930,772.35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30,196,156.68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17,481,264.94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51,645,664.09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38,930,772.35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30,196,156.68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17,481,264.94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51,645,664.09</w:t>
            </w:r>
          </w:p>
        </w:tc>
      </w:tr>
    </w:tbl>
    <w:p>
      <w:pPr>
        <w:spacing w:line="357" w:lineRule="auto" w:before="51"/>
        <w:ind w:left="152" w:right="2699"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专项储备本期增加额系依据通信网络建设服务收入计提安全生产费，</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年实际使用</w:t>
      </w:r>
      <w:r>
        <w:rPr>
          <w:rFonts w:ascii="Times New Roman" w:hAnsi="Times New Roman" w:cs="Times New Roman" w:eastAsia="Times New Roman" w:hint="default"/>
          <w:sz w:val="18"/>
          <w:szCs w:val="18"/>
        </w:rPr>
        <w:t>17,481,264.94</w:t>
      </w:r>
      <w:r>
        <w:rPr>
          <w:rFonts w:ascii="宋体" w:hAnsi="宋体" w:cs="宋体" w:eastAsia="宋体" w:hint="default"/>
          <w:sz w:val="18"/>
          <w:szCs w:val="18"/>
        </w:rPr>
        <w:t>元。</w:t>
      </w:r>
    </w:p>
    <w:p>
      <w:pPr>
        <w:spacing w:line="240" w:lineRule="auto" w:before="7"/>
        <w:rPr>
          <w:rFonts w:ascii="宋体" w:hAnsi="宋体" w:cs="宋体" w:eastAsia="宋体" w:hint="default"/>
          <w:sz w:val="18"/>
          <w:szCs w:val="18"/>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104,811,789.16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21,490,542.55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126,302,331.71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104,811,789.16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21,490,542.55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126,302,331.71</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312" w:lineRule="exact" w:before="99"/>
        <w:ind w:right="1154"/>
        <w:jc w:val="left"/>
      </w:pPr>
      <w:r>
        <w:rPr/>
        <w:t>本期盈余公积增加系本公司按《公司法》及本公司章程有关规定，按本期净利润</w:t>
      </w:r>
      <w:r>
        <w:rPr>
          <w:rFonts w:ascii="Times New Roman" w:hAnsi="Times New Roman" w:cs="Times New Roman" w:eastAsia="Times New Roman" w:hint="default"/>
        </w:rPr>
        <w:t>10</w:t>
      </w:r>
      <w:r>
        <w:rPr/>
        <w:t>％提取法 定盈余公积金。</w:t>
      </w:r>
    </w:p>
    <w:p>
      <w:pPr>
        <w:spacing w:line="240" w:lineRule="auto" w:before="7"/>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859,515,190.61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700,670,498.29</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859,515,190.61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700,670,498.29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230,046,221.21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4"/>
              <w:jc w:val="right"/>
              <w:rPr>
                <w:rFonts w:ascii="Times New Roman" w:hAnsi="Times New Roman" w:cs="Times New Roman" w:eastAsia="Times New Roman" w:hint="default"/>
                <w:sz w:val="18"/>
                <w:szCs w:val="18"/>
              </w:rPr>
            </w:pPr>
            <w:r>
              <w:rPr>
                <w:rFonts w:ascii="Times New Roman"/>
                <w:spacing w:val="-1"/>
                <w:sz w:val="18"/>
              </w:rPr>
              <w:t>205,877,713.64</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21,490,542.55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20,543,459.68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26,489,561.64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26,489,561.64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1,041,581,307.63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859,515,190.61</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3,714,279,690.45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3,062,892,760.71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3,231,680,137.02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2,585,299,525.16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2,745,295.49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3,467,006.46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3,717,024,985.94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3,066,359,767.17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3,231,680,137.02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2,585,299,525.16</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50" w:lineRule="auto" w:before="115"/>
        <w:ind w:left="152" w:right="9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 无</w:t>
      </w:r>
    </w:p>
    <w:p>
      <w:pPr>
        <w:spacing w:line="240" w:lineRule="auto" w:before="9"/>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10,647,784.20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6,696,275.53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4,496,123.31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2,894,273.26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712,850.44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294,201.72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3,244,278.72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1,930,056.56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1,784,660.06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1,135,035.15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20,885,696.73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12,949,842.22</w:t>
            </w:r>
          </w:p>
        </w:tc>
      </w:tr>
    </w:tbl>
    <w:p>
      <w:pPr>
        <w:spacing w:line="357" w:lineRule="auto" w:before="51"/>
        <w:ind w:left="152" w:right="5159" w:firstLine="0"/>
        <w:jc w:val="left"/>
        <w:rPr>
          <w:rFonts w:ascii="宋体" w:hAnsi="宋体" w:cs="宋体" w:eastAsia="宋体" w:hint="default"/>
          <w:sz w:val="18"/>
          <w:szCs w:val="18"/>
        </w:rPr>
      </w:pPr>
      <w:r>
        <w:rPr>
          <w:rFonts w:ascii="宋体" w:hAnsi="宋体" w:cs="宋体" w:eastAsia="宋体" w:hint="default"/>
          <w:sz w:val="18"/>
          <w:szCs w:val="18"/>
        </w:rPr>
        <w:t>其他说明： 本期税金及附加较上期增长</w:t>
      </w:r>
      <w:r>
        <w:rPr>
          <w:rFonts w:ascii="Times New Roman" w:hAnsi="Times New Roman" w:cs="Times New Roman" w:eastAsia="Times New Roman" w:hint="default"/>
          <w:sz w:val="18"/>
          <w:szCs w:val="18"/>
        </w:rPr>
        <w:t>61.28%</w:t>
      </w:r>
      <w:r>
        <w:rPr>
          <w:rFonts w:ascii="宋体" w:hAnsi="宋体" w:cs="宋体" w:eastAsia="宋体" w:hint="default"/>
          <w:sz w:val="18"/>
          <w:szCs w:val="18"/>
        </w:rPr>
        <w:t>，主要系本期增值税缴纳增加所致。</w:t>
      </w:r>
    </w:p>
    <w:p>
      <w:pPr>
        <w:spacing w:after="0" w:line="357"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47,384,167.27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57,153,043.42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23,549,892.09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11,454,107.41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18,210,506.83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10,567,539.11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11,023,682.03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14,125,579.53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7,435,966.26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6,779,280.51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2,238,861.25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2,818,931.62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608,724.38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1,340,825.58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67,566.55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100,097.88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37,711.95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194,162.83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5,437.51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5,660.38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110,562,516.12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104,539,228.27</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48,980,051.41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95,931,382.28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17,720,762.98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11,433,430.09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13,172,232.99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11,508,428.47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12,500,713.97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17,020,454.26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6,948,267.78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8,367,873.40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5,122,284.35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7,505,107.42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3,955,623.15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2,915,708.27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2,134,483.89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2,408,164.65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1,096,146.43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589,326.99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558,918.76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330,487.26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202,374.99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318,369.08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财产保险费摊销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27,291.48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73,303.23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1,029.56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40" w:right="0"/>
              <w:jc w:val="left"/>
              <w:rPr>
                <w:rFonts w:ascii="Times New Roman" w:hAnsi="Times New Roman" w:cs="Times New Roman" w:eastAsia="Times New Roman" w:hint="default"/>
                <w:sz w:val="18"/>
                <w:szCs w:val="18"/>
              </w:rPr>
            </w:pPr>
            <w:r>
              <w:rPr>
                <w:rFonts w:ascii="Times New Roman"/>
                <w:sz w:val="18"/>
              </w:rPr>
              <w:t>112,419,336.04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3" w:right="0"/>
              <w:jc w:val="left"/>
              <w:rPr>
                <w:rFonts w:ascii="Times New Roman" w:hAnsi="Times New Roman" w:cs="Times New Roman" w:eastAsia="Times New Roman" w:hint="default"/>
                <w:sz w:val="18"/>
                <w:szCs w:val="18"/>
              </w:rPr>
            </w:pPr>
            <w:r>
              <w:rPr>
                <w:rFonts w:ascii="Times New Roman"/>
                <w:sz w:val="18"/>
              </w:rPr>
              <w:t>158,403,064.96</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1057"/>
        <w:jc w:val="left"/>
      </w:pPr>
      <w:r>
        <w:rPr/>
        <w:t>本期管理费用较上期减少</w:t>
      </w:r>
      <w:r>
        <w:rPr>
          <w:rFonts w:ascii="Times New Roman" w:hAnsi="Times New Roman" w:cs="Times New Roman" w:eastAsia="Times New Roman" w:hint="default"/>
        </w:rPr>
        <w:t>29.03%</w:t>
      </w:r>
      <w:r>
        <w:rPr/>
        <w:t>，主要系本期人员结构优化，职工减少所致。</w:t>
      </w:r>
    </w:p>
    <w:p>
      <w:pPr>
        <w:spacing w:line="240" w:lineRule="auto" w:before="4"/>
        <w:rPr>
          <w:rFonts w:ascii="宋体" w:hAnsi="宋体" w:cs="宋体" w:eastAsia="宋体" w:hint="default"/>
          <w:sz w:val="23"/>
          <w:szCs w:val="23"/>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83,084,295.71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96,891,644.55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11,858,547.07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3,299,879.00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6,743,813.23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6,536,753.62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2,188,454.78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5,447,591.17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1,095,960.68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2,138,773.41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2,386,026.20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1,847,961.87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3,924,665.19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201,263.32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200,986.76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71,336.21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65,307.37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149,226.22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117,995,642.98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110,388,843.38</w:t>
            </w:r>
          </w:p>
        </w:tc>
      </w:tr>
    </w:tbl>
    <w:p>
      <w:pPr>
        <w:spacing w:line="360"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6,346,033.39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11,531,247.63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17,991,790.58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3,988,261.48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-11,645,757.19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7,542,986.15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1,231,446.52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2,114,673.53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信用证手续费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3,123,466.67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-7,290,844.00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9,657,659.68</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一、计入其他收益的政府补助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直接计入当期损益的政府补助（与收益 相关）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11,153,237.80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13,125,604.83</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二、其他与日常活动相关且计入其他收 益的项目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39,619.78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其中：增值税进项税加计抵减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39,619.78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11,192,857.58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13,125,604.83</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-1,126,489.77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-89,896.14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-30,001.31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17,006,423.29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-6,280.56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14,735,225.37</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15,843,651.65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14,645,329.23</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、净敞口套期收益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1,445,203.80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1,445,203.80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-4,892,426.52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-14,855.74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-33,373,225.85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-38,280,508.11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-37,247,561.27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-2,832,845.61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-3,789,817.16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-2,832,845.61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-41,037,378.43</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6"/>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建工程、生产性生物资产及无形资产的 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-104,025.58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399,206.59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-104,025.58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399,206.59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-104,025.58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399,206.59</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4"/>
        <w:gridCol w:w="2392"/>
      </w:tblGrid>
      <w:tr>
        <w:trPr>
          <w:trHeight w:val="161"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7"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21" w:right="0"/>
              <w:jc w:val="left"/>
              <w:rPr>
                <w:rFonts w:ascii="Times New Roman" w:hAnsi="Times New Roman" w:cs="Times New Roman" w:eastAsia="Times New Roman" w:hint="default"/>
                <w:sz w:val="18"/>
                <w:szCs w:val="18"/>
              </w:rPr>
            </w:pPr>
            <w:r>
              <w:rPr>
                <w:rFonts w:ascii="Times New Roman"/>
                <w:sz w:val="18"/>
              </w:rPr>
              <w:t>1,250,550.00</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13" w:right="0"/>
              <w:jc w:val="left"/>
              <w:rPr>
                <w:rFonts w:ascii="Times New Roman" w:hAnsi="Times New Roman" w:cs="Times New Roman" w:eastAsia="Times New Roman" w:hint="default"/>
                <w:sz w:val="18"/>
                <w:szCs w:val="18"/>
              </w:rPr>
            </w:pPr>
            <w:r>
              <w:rPr>
                <w:rFonts w:ascii="Times New Roman"/>
                <w:sz w:val="18"/>
              </w:rPr>
              <w:t>6,200,000.00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12" w:right="0"/>
              <w:jc w:val="left"/>
              <w:rPr>
                <w:rFonts w:ascii="Times New Roman" w:hAnsi="Times New Roman" w:cs="Times New Roman" w:eastAsia="Times New Roman" w:hint="default"/>
                <w:sz w:val="18"/>
                <w:szCs w:val="18"/>
              </w:rPr>
            </w:pPr>
            <w:r>
              <w:rPr>
                <w:rFonts w:ascii="Times New Roman"/>
                <w:sz w:val="18"/>
              </w:rPr>
              <w:t>1,250,550.00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权益法下长期股权投资初始 成本调整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9,028,794.73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9,028,794.73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78,336.32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3,996.36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78,336.32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10,357,681.05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6,203,996.36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29"/>
              <w:jc w:val="left"/>
              <w:rPr>
                <w:rFonts w:ascii="宋体" w:hAnsi="宋体" w:cs="宋体" w:eastAsia="宋体" w:hint="default"/>
                <w:sz w:val="18"/>
                <w:szCs w:val="18"/>
              </w:rPr>
            </w:pPr>
            <w:r>
              <w:rPr>
                <w:rFonts w:ascii="宋体" w:hAnsi="宋体" w:cs="宋体" w:eastAsia="宋体" w:hint="default"/>
                <w:sz w:val="18"/>
                <w:szCs w:val="18"/>
              </w:rPr>
              <w:t>上市补贴奖 励款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建筑业企业 奖励金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年规模 以上其他营 利性服务业 企业奖励资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失业动态检 测费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1,250,550.00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6,200,000.00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1,825,000.00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128,939.22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1,018,307.88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128,939.22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罚款及赔偿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731,927.55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731,927.55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50,160.87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29,791.72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50,160.87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2,736,027.64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1,808,299.60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2,736,027.64</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45,059,789.73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35,641,774.52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246,170.75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450,944.17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45,305,960.48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36,092,718.69</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290,978,858.04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43,646,828.71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1,933,769.49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-211,244.66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-2,267,073.68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1,997,304.00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-607.79</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206,984.41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45,305,960.48</w:t>
            </w:r>
          </w:p>
        </w:tc>
      </w:tr>
    </w:tbl>
    <w:p>
      <w:pPr>
        <w:spacing w:line="360" w:lineRule="auto" w:before="51"/>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line="547" w:lineRule="auto" w:before="0"/>
        <w:ind w:left="152" w:right="8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其他综合收益。。</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108,725,593.85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76,032,942.01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73,572,254.35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63,531,142.56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57,021,789.97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447,611.47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52,051,962.42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16,338,524.81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3,988,261.48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12,403,787.80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19,325,604.83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2,067.10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320,246,034.20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163,327,629.45</w:t>
            </w:r>
          </w:p>
        </w:tc>
      </w:tr>
    </w:tbl>
    <w:p>
      <w:pPr>
        <w:spacing w:line="357" w:lineRule="auto" w:before="51"/>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line="240" w:lineRule="auto" w:before="4"/>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办公费、差旅费等支出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140,060,725.56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113,282,638.95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95,075,411.93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90,664,107.85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84,149,778.78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59,378,667.70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29,715,360.58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2,556,927.55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789,866.22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1,231,446.52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2,114,673.53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93,005,374.93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352,789,650.92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359,235,329.18</w:t>
            </w:r>
          </w:p>
        </w:tc>
      </w:tr>
    </w:tbl>
    <w:p>
      <w:pPr>
        <w:spacing w:line="357" w:lineRule="auto" w:before="51"/>
        <w:ind w:left="15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1"/>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5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 无</w:t>
      </w:r>
    </w:p>
    <w:p>
      <w:pPr>
        <w:spacing w:after="0" w:line="36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1"/>
        <w:ind w:left="152" w:right="751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27,648,763.96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11,630,670.46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发行股份、债券相关费用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19,878,490.57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27,648,763.96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31,509,161.03</w:t>
            </w:r>
          </w:p>
        </w:tc>
      </w:tr>
    </w:tbl>
    <w:p>
      <w:pPr>
        <w:spacing w:line="357" w:lineRule="auto" w:before="51"/>
        <w:ind w:left="152" w:right="7514"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245,672,897.56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205,877,713.64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2,832,845.61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41,037,378.43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38,280,508.11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 生产性生物资产折旧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23,995,210.14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16,418,141.20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1,302,847.25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790,313.75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382,032.91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380,595.24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104,025.58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-399,206.59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128,939.22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1,018,307.88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-1,445,203.80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7,816,234.29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11,531,247.63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r>
        <w:rPr/>
        <w:pict>
          <v:shape style="position:absolute;margin-left:190.130005pt;margin-top:164.059982pt;width:185.55pt;height:19.6pt;mso-position-horizontal-relative:page;mso-position-vertical-relative:page;z-index:-123359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957"/>
        <w:gridCol w:w="2101"/>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30" w:right="0"/>
              <w:jc w:val="left"/>
              <w:rPr>
                <w:rFonts w:ascii="Times New Roman" w:hAnsi="Times New Roman" w:cs="Times New Roman" w:eastAsia="Times New Roman" w:hint="default"/>
                <w:sz w:val="18"/>
                <w:szCs w:val="18"/>
              </w:rPr>
            </w:pPr>
            <w:r>
              <w:rPr>
                <w:rFonts w:ascii="Times New Roman"/>
                <w:sz w:val="18"/>
              </w:rPr>
              <w:t>-15,849,932.21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-14,645,329.23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102,800.32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450,944.17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143,370.43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957" w:type="dxa"/>
            <w:tcBorders>
              <w:top w:val="single" w:sz="4" w:space="0" w:color="000000"/>
              <w:left w:val="single" w:sz="13" w:space="0" w:color="FFFFFF"/>
              <w:bottom w:val="single" w:sz="4" w:space="0" w:color="000000"/>
              <w:right w:val="nil" w:sz="6" w:space="0" w:color="auto"/>
            </w:tcBorders>
          </w:tcPr>
          <w:p>
            <w:pPr/>
          </w:p>
        </w:tc>
        <w:tc>
          <w:tcPr>
            <w:tcW w:w="210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6"/>
              <w:ind w:left="894" w:right="0"/>
              <w:jc w:val="left"/>
              <w:rPr>
                <w:rFonts w:ascii="Times New Roman" w:hAnsi="Times New Roman" w:cs="Times New Roman" w:eastAsia="Times New Roman" w:hint="default"/>
                <w:sz w:val="18"/>
                <w:szCs w:val="18"/>
              </w:rPr>
            </w:pPr>
            <w:r>
              <w:rPr>
                <w:rFonts w:ascii="Times New Roman"/>
                <w:sz w:val="18"/>
              </w:rPr>
              <w:t>-119,014,057.80</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-42,205,071.71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-222,164,570.22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-213,890,243.74</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451,690,375.28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252,149,336.05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55,738,059.43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-87,583,872.94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8" w:right="0"/>
              <w:jc w:val="left"/>
              <w:rPr>
                <w:rFonts w:ascii="Times New Roman" w:hAnsi="Times New Roman" w:cs="Times New Roman" w:eastAsia="Times New Roman" w:hint="default"/>
                <w:sz w:val="18"/>
                <w:szCs w:val="18"/>
              </w:rPr>
            </w:pPr>
            <w:r>
              <w:rPr>
                <w:rFonts w:ascii="Times New Roman"/>
                <w:sz w:val="18"/>
              </w:rPr>
              <w:t>469,716,382.10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170,930,253.78</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4" w:right="0"/>
              <w:jc w:val="left"/>
              <w:rPr>
                <w:rFonts w:ascii="Times New Roman" w:hAnsi="Times New Roman" w:cs="Times New Roman" w:eastAsia="Times New Roman" w:hint="default"/>
                <w:sz w:val="18"/>
                <w:szCs w:val="18"/>
              </w:rPr>
            </w:pPr>
            <w:r>
              <w:rPr>
                <w:rFonts w:ascii="Times New Roman"/>
                <w:sz w:val="18"/>
              </w:rPr>
              <w:t>1,039,689,130.99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1,197,474,739.70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64" w:right="0"/>
              <w:jc w:val="left"/>
              <w:rPr>
                <w:rFonts w:ascii="Times New Roman" w:hAnsi="Times New Roman" w:cs="Times New Roman" w:eastAsia="Times New Roman" w:hint="default"/>
                <w:sz w:val="18"/>
                <w:szCs w:val="18"/>
              </w:rPr>
            </w:pPr>
            <w:r>
              <w:rPr>
                <w:rFonts w:ascii="Times New Roman"/>
                <w:sz w:val="18"/>
              </w:rPr>
              <w:t>1,197,474,739.70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160,895,553.20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-157,785,608.71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1,036,579,186.50</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9"/>
        <w:gridCol w:w="4582"/>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125,200,000.00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7,625,460.07</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117,574,539.93</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7"/>
          <w:pgSz w:w="11910" w:h="16840"/>
          <w:pgMar w:footer="974"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224" w:right="0"/>
              <w:jc w:val="left"/>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1,039,689,130.99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1,197,474,739.70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111,619.57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4,664.03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1,039,070,270.00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1,197,470,076.00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507,241.24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1,039,689,130.99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1,197,474,739.70</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line="544" w:lineRule="auto" w:before="0"/>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153,479,424.05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166,207,935.33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结构性存款质押开立承兑汇票</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96,607,457.55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大额存单质押开立承兑汇票</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416,294,816.93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2" w:right="985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14" w:right="0"/>
              <w:jc w:val="left"/>
              <w:rPr>
                <w:rFonts w:ascii="Times New Roman" w:hAnsi="Times New Roman" w:cs="Times New Roman" w:eastAsia="Times New Roman" w:hint="default"/>
                <w:sz w:val="18"/>
                <w:szCs w:val="18"/>
              </w:rPr>
            </w:pPr>
            <w:r>
              <w:rPr>
                <w:rFonts w:ascii="Times New Roman"/>
                <w:sz w:val="18"/>
              </w:rPr>
              <w:t>1,250,550.00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14" w:right="0"/>
              <w:jc w:val="left"/>
              <w:rPr>
                <w:rFonts w:ascii="Times New Roman" w:hAnsi="Times New Roman" w:cs="Times New Roman" w:eastAsia="Times New Roman" w:hint="default"/>
                <w:sz w:val="18"/>
                <w:szCs w:val="18"/>
              </w:rPr>
            </w:pPr>
            <w:r>
              <w:rPr>
                <w:rFonts w:ascii="Times New Roman"/>
                <w:sz w:val="18"/>
              </w:rPr>
              <w:t>1,250,550.00</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40"/>
          <w:pgMar w:footer="974" w:header="748" w:top="1060" w:bottom="1160" w:left="980" w:right="0"/>
          <w:pgNumType w:start="201"/>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30" w:right="0"/>
              <w:jc w:val="left"/>
              <w:rPr>
                <w:rFonts w:ascii="Times New Roman" w:hAnsi="Times New Roman" w:cs="Times New Roman" w:eastAsia="Times New Roman" w:hint="default"/>
                <w:sz w:val="18"/>
                <w:szCs w:val="18"/>
              </w:rPr>
            </w:pPr>
            <w:r>
              <w:rPr>
                <w:rFonts w:ascii="Times New Roman"/>
                <w:sz w:val="18"/>
              </w:rPr>
              <w:t>11,153,237.80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30" w:right="0"/>
              <w:jc w:val="left"/>
              <w:rPr>
                <w:rFonts w:ascii="Times New Roman" w:hAnsi="Times New Roman" w:cs="Times New Roman" w:eastAsia="Times New Roman" w:hint="default"/>
                <w:sz w:val="18"/>
                <w:szCs w:val="18"/>
              </w:rPr>
            </w:pPr>
            <w:r>
              <w:rPr>
                <w:rFonts w:ascii="Times New Roman"/>
                <w:sz w:val="18"/>
              </w:rPr>
              <w:t>11,153,237.80</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before="41"/>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3"/>
        <w:spacing w:line="240" w:lineRule="auto"/>
        <w:ind w:right="1057"/>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3"/>
        <w:gridCol w:w="106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广州市泺立 能源科技有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24,201,592.5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1,986,297.33</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广州鑫广源 电力设计有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7,079,502.96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3,196,673.23</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广州恒泰电 力工程有限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40,325,413.7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6,107,071.87</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9"/>
              <w:jc w:val="left"/>
              <w:rPr>
                <w:rFonts w:ascii="宋体" w:hAnsi="宋体" w:cs="宋体" w:eastAsia="宋体" w:hint="default"/>
                <w:sz w:val="18"/>
                <w:szCs w:val="18"/>
              </w:rPr>
            </w:pPr>
            <w:r>
              <w:rPr>
                <w:rFonts w:ascii="宋体" w:hAnsi="宋体" w:cs="宋体" w:eastAsia="宋体" w:hint="default"/>
                <w:sz w:val="18"/>
                <w:szCs w:val="18"/>
              </w:rPr>
              <w:t>广东博深咨 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2,258,226.44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671,756.01</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广州市赛皓 达智能科技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17,811,933.2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9,694,872.40</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广州纵诺电 力工程技术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101,935.51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8" w:right="0"/>
              <w:jc w:val="center"/>
              <w:rPr>
                <w:rFonts w:ascii="Times New Roman" w:hAnsi="Times New Roman" w:cs="Times New Roman" w:eastAsia="Times New Roman" w:hint="default"/>
                <w:sz w:val="18"/>
                <w:szCs w:val="18"/>
              </w:rPr>
            </w:pPr>
            <w:r>
              <w:rPr>
                <w:rFonts w:ascii="Times New Roman"/>
                <w:sz w:val="18"/>
              </w:rPr>
              <w:t>-77,657.54</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24" w:right="129"/>
              <w:jc w:val="left"/>
              <w:rPr>
                <w:rFonts w:ascii="宋体" w:hAnsi="宋体" w:cs="宋体" w:eastAsia="宋体" w:hint="default"/>
                <w:sz w:val="18"/>
                <w:szCs w:val="18"/>
              </w:rPr>
            </w:pPr>
            <w:r>
              <w:rPr>
                <w:rFonts w:ascii="宋体" w:hAnsi="宋体" w:cs="宋体" w:eastAsia="宋体" w:hint="default"/>
                <w:sz w:val="18"/>
                <w:szCs w:val="18"/>
              </w:rPr>
              <w:t>广西信安锐 达科技有限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11,076,286.1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8" w:right="0"/>
              <w:jc w:val="center"/>
              <w:rPr>
                <w:rFonts w:ascii="Times New Roman" w:hAnsi="Times New Roman" w:cs="Times New Roman" w:eastAsia="Times New Roman" w:hint="default"/>
                <w:sz w:val="18"/>
                <w:szCs w:val="18"/>
              </w:rPr>
            </w:pPr>
            <w:r>
              <w:rPr>
                <w:rFonts w:ascii="Times New Roman"/>
                <w:sz w:val="18"/>
              </w:rPr>
              <w:t>96,985.89</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3"/>
        <w:gridCol w:w="1061"/>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广州云谷创 智科技有限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-40,730.17</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8"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泺立能源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鑫广源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恒泰电力</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博深咨询</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赛皓达</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纵诺电力</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信安锐达</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云谷创智</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250,000.00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29"/>
              <w:jc w:val="left"/>
              <w:rPr>
                <w:rFonts w:ascii="宋体" w:hAnsi="宋体" w:cs="宋体" w:eastAsia="宋体" w:hint="default"/>
                <w:sz w:val="18"/>
                <w:szCs w:val="18"/>
              </w:rPr>
            </w:pPr>
            <w:r>
              <w:rPr>
                <w:rFonts w:ascii="宋体" w:hAnsi="宋体" w:cs="宋体" w:eastAsia="宋体" w:hint="default"/>
                <w:sz w:val="18"/>
                <w:szCs w:val="18"/>
              </w:rPr>
              <w:t>合并成本合 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47,500,000.0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27,400,000.0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250,000.00</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12"/>
                <w:sz w:val="18"/>
                <w:szCs w:val="18"/>
              </w:rPr>
              <w:t>减：取得的可</w:t>
            </w:r>
            <w:r>
              <w:rPr>
                <w:rFonts w:ascii="宋体" w:hAnsi="宋体" w:cs="宋体" w:eastAsia="宋体" w:hint="default"/>
                <w:sz w:val="18"/>
                <w:szCs w:val="18"/>
              </w:rPr>
              <w:t> 辨认净资产 公允价值份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-1,590,114.79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12,392,160.7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24,328,794.7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-487,446.57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14,024,852.9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-174,079.96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250,000.00</w:t>
            </w:r>
          </w:p>
        </w:tc>
      </w:tr>
      <w:tr>
        <w:trPr>
          <w:trHeight w:val="196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 本小于取得 的可辨认净 资产公允价 值份额的金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25,590,114.7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35,107,839.2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-9,028,794.73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5,587,446.57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13,375,147.0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5,174,079.96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240" w:lineRule="auto" w:before="66"/>
        <w:ind w:right="1057"/>
        <w:jc w:val="left"/>
      </w:pPr>
      <w:r>
        <w:rPr/>
        <w:t>依据收益法评估价值。</w:t>
      </w:r>
    </w:p>
    <w:p>
      <w:pPr>
        <w:spacing w:line="360" w:lineRule="auto" w:before="87"/>
        <w:ind w:left="152" w:right="8594"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其他说明：</w:t>
      </w:r>
    </w:p>
    <w:p>
      <w:pPr>
        <w:spacing w:line="240" w:lineRule="auto" w:before="12"/>
        <w:rPr>
          <w:rFonts w:ascii="宋体" w:hAnsi="宋体" w:cs="宋体" w:eastAsia="宋体" w:hint="default"/>
          <w:sz w:val="19"/>
          <w:szCs w:val="19"/>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4"/>
        <w:gridCol w:w="562"/>
        <w:gridCol w:w="564"/>
        <w:gridCol w:w="562"/>
        <w:gridCol w:w="565"/>
        <w:gridCol w:w="564"/>
        <w:gridCol w:w="562"/>
        <w:gridCol w:w="564"/>
        <w:gridCol w:w="562"/>
        <w:gridCol w:w="564"/>
        <w:gridCol w:w="562"/>
        <w:gridCol w:w="564"/>
        <w:gridCol w:w="565"/>
        <w:gridCol w:w="562"/>
        <w:gridCol w:w="564"/>
        <w:gridCol w:w="562"/>
        <w:gridCol w:w="564"/>
      </w:tblGrid>
      <w:tr>
        <w:trPr>
          <w:trHeight w:val="1026" w:hRule="exact"/>
        </w:trPr>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 w:right="105"/>
              <w:jc w:val="center"/>
              <w:rPr>
                <w:rFonts w:ascii="宋体" w:hAnsi="宋体" w:cs="宋体" w:eastAsia="宋体" w:hint="default"/>
                <w:sz w:val="18"/>
                <w:szCs w:val="18"/>
              </w:rPr>
            </w:pPr>
            <w:r>
              <w:rPr>
                <w:rFonts w:ascii="宋体" w:hAnsi="宋体" w:cs="宋体" w:eastAsia="宋体" w:hint="default"/>
                <w:sz w:val="18"/>
                <w:szCs w:val="18"/>
              </w:rPr>
              <w:t>广州市泺立 能源科技有 限公司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 w:right="106"/>
              <w:jc w:val="center"/>
              <w:rPr>
                <w:rFonts w:ascii="宋体" w:hAnsi="宋体" w:cs="宋体" w:eastAsia="宋体" w:hint="default"/>
                <w:sz w:val="18"/>
                <w:szCs w:val="18"/>
              </w:rPr>
            </w:pPr>
            <w:r>
              <w:rPr>
                <w:rFonts w:ascii="宋体" w:hAnsi="宋体" w:cs="宋体" w:eastAsia="宋体" w:hint="default"/>
                <w:sz w:val="18"/>
                <w:szCs w:val="18"/>
              </w:rPr>
              <w:t>广州鑫广源 电力设计有 限公司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 w:right="107"/>
              <w:jc w:val="center"/>
              <w:rPr>
                <w:rFonts w:ascii="宋体" w:hAnsi="宋体" w:cs="宋体" w:eastAsia="宋体" w:hint="default"/>
                <w:sz w:val="18"/>
                <w:szCs w:val="18"/>
              </w:rPr>
            </w:pPr>
            <w:r>
              <w:rPr>
                <w:rFonts w:ascii="宋体" w:hAnsi="宋体" w:cs="宋体" w:eastAsia="宋体" w:hint="default"/>
                <w:sz w:val="18"/>
                <w:szCs w:val="18"/>
              </w:rPr>
              <w:t>广州恒泰电 力工程有限 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7" w:right="106"/>
              <w:jc w:val="left"/>
              <w:rPr>
                <w:rFonts w:ascii="宋体" w:hAnsi="宋体" w:cs="宋体" w:eastAsia="宋体" w:hint="default"/>
                <w:sz w:val="18"/>
                <w:szCs w:val="18"/>
              </w:rPr>
            </w:pPr>
            <w:r>
              <w:rPr>
                <w:rFonts w:ascii="宋体" w:hAnsi="宋体" w:cs="宋体" w:eastAsia="宋体" w:hint="default"/>
                <w:sz w:val="18"/>
                <w:szCs w:val="18"/>
              </w:rPr>
              <w:t>广东博深咨 询有限公司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7" w:right="107"/>
              <w:jc w:val="both"/>
              <w:rPr>
                <w:rFonts w:ascii="宋体" w:hAnsi="宋体" w:cs="宋体" w:eastAsia="宋体" w:hint="default"/>
                <w:sz w:val="18"/>
                <w:szCs w:val="18"/>
              </w:rPr>
            </w:pPr>
            <w:r>
              <w:rPr>
                <w:rFonts w:ascii="宋体" w:hAnsi="宋体" w:cs="宋体" w:eastAsia="宋体" w:hint="default"/>
                <w:sz w:val="18"/>
                <w:szCs w:val="18"/>
              </w:rPr>
              <w:t>广州市赛皓 达智能科技 有限公司</w:t>
            </w:r>
          </w:p>
        </w:tc>
        <w:tc>
          <w:tcPr>
            <w:tcW w:w="1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6"/>
              <w:jc w:val="both"/>
              <w:rPr>
                <w:rFonts w:ascii="宋体" w:hAnsi="宋体" w:cs="宋体" w:eastAsia="宋体" w:hint="default"/>
                <w:sz w:val="18"/>
                <w:szCs w:val="18"/>
              </w:rPr>
            </w:pPr>
            <w:r>
              <w:rPr>
                <w:rFonts w:ascii="宋体" w:hAnsi="宋体" w:cs="宋体" w:eastAsia="宋体" w:hint="default"/>
                <w:sz w:val="18"/>
                <w:szCs w:val="18"/>
              </w:rPr>
              <w:t>广州纵诺电 力工程技术 有限公司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7" w:right="107"/>
              <w:jc w:val="center"/>
              <w:rPr>
                <w:rFonts w:ascii="宋体" w:hAnsi="宋体" w:cs="宋体" w:eastAsia="宋体" w:hint="default"/>
                <w:sz w:val="18"/>
                <w:szCs w:val="18"/>
              </w:rPr>
            </w:pPr>
            <w:r>
              <w:rPr>
                <w:rFonts w:ascii="宋体" w:hAnsi="宋体" w:cs="宋体" w:eastAsia="宋体" w:hint="default"/>
                <w:sz w:val="18"/>
                <w:szCs w:val="18"/>
              </w:rPr>
              <w:t>广州云谷创 智科技有限 公司</w:t>
            </w:r>
          </w:p>
        </w:tc>
        <w:tc>
          <w:tcPr>
            <w:tcW w:w="1126"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3"/>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6"/>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5"/>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6"/>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5"/>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6"/>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4"/>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6"/>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5"/>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5"/>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8"/>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5"/>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6"/>
              <w:jc w:val="both"/>
              <w:rPr>
                <w:rFonts w:ascii="宋体" w:hAnsi="宋体" w:cs="宋体" w:eastAsia="宋体" w:hint="default"/>
                <w:sz w:val="18"/>
                <w:szCs w:val="18"/>
              </w:rPr>
            </w:pPr>
            <w:r>
              <w:rPr>
                <w:rFonts w:ascii="宋体" w:hAnsi="宋体" w:cs="宋体" w:eastAsia="宋体" w:hint="default"/>
                <w:sz w:val="18"/>
                <w:szCs w:val="18"/>
              </w:rPr>
              <w:t>购买 日账 面价 值</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5" w:right="95"/>
              <w:jc w:val="both"/>
              <w:rPr>
                <w:rFonts w:ascii="宋体" w:hAnsi="宋体" w:cs="宋体" w:eastAsia="宋体" w:hint="default"/>
                <w:sz w:val="18"/>
                <w:szCs w:val="18"/>
              </w:rPr>
            </w:pPr>
            <w:r>
              <w:rPr>
                <w:rFonts w:ascii="宋体" w:hAnsi="宋体" w:cs="宋体" w:eastAsia="宋体" w:hint="default"/>
                <w:sz w:val="18"/>
                <w:szCs w:val="18"/>
              </w:rPr>
              <w:t>购买 日公 允价 值</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6"/>
              <w:jc w:val="both"/>
              <w:rPr>
                <w:rFonts w:ascii="宋体" w:hAnsi="宋体" w:cs="宋体" w:eastAsia="宋体" w:hint="default"/>
                <w:sz w:val="18"/>
                <w:szCs w:val="18"/>
              </w:rPr>
            </w:pPr>
            <w:r>
              <w:rPr>
                <w:rFonts w:ascii="宋体" w:hAnsi="宋体" w:cs="宋体" w:eastAsia="宋体" w:hint="default"/>
                <w:sz w:val="18"/>
                <w:szCs w:val="18"/>
              </w:rPr>
              <w:t>购买 日账 面价 值</w:t>
            </w:r>
          </w:p>
        </w:tc>
      </w:tr>
      <w:tr>
        <w:trPr>
          <w:trHeight w:val="716" w:hRule="exact"/>
        </w:trPr>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10"/>
              <w:jc w:val="left"/>
              <w:rPr>
                <w:rFonts w:ascii="宋体" w:hAnsi="宋体" w:cs="宋体" w:eastAsia="宋体" w:hint="default"/>
                <w:sz w:val="18"/>
                <w:szCs w:val="18"/>
              </w:rPr>
            </w:pPr>
            <w:r>
              <w:rPr>
                <w:rFonts w:ascii="宋体" w:hAnsi="宋体" w:cs="宋体" w:eastAsia="宋体" w:hint="default"/>
                <w:sz w:val="18"/>
                <w:szCs w:val="18"/>
              </w:rPr>
              <w:t>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14,258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3" w:right="0"/>
              <w:jc w:val="left"/>
              <w:rPr>
                <w:rFonts w:ascii="Times New Roman" w:hAnsi="Times New Roman" w:cs="Times New Roman" w:eastAsia="Times New Roman" w:hint="default"/>
                <w:sz w:val="18"/>
                <w:szCs w:val="18"/>
              </w:rPr>
            </w:pPr>
            <w:r>
              <w:rPr>
                <w:rFonts w:ascii="Times New Roman"/>
                <w:sz w:val="18"/>
              </w:rPr>
              <w:t>11,970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,011.4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 w:right="0"/>
              <w:jc w:val="left"/>
              <w:rPr>
                <w:rFonts w:ascii="Times New Roman" w:hAnsi="Times New Roman" w:cs="Times New Roman" w:eastAsia="Times New Roman" w:hint="default"/>
                <w:sz w:val="18"/>
                <w:szCs w:val="18"/>
              </w:rPr>
            </w:pPr>
            <w:r>
              <w:rPr>
                <w:rFonts w:ascii="Times New Roman"/>
                <w:sz w:val="18"/>
              </w:rPr>
              <w:t>47,891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,568.8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 w:right="0"/>
              <w:jc w:val="left"/>
              <w:rPr>
                <w:rFonts w:ascii="Times New Roman" w:hAnsi="Times New Roman" w:cs="Times New Roman" w:eastAsia="Times New Roman" w:hint="default"/>
                <w:sz w:val="18"/>
                <w:szCs w:val="18"/>
              </w:rPr>
            </w:pPr>
            <w:r>
              <w:rPr>
                <w:rFonts w:ascii="Times New Roman"/>
                <w:sz w:val="18"/>
              </w:rPr>
              <w:t>45,304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,508.8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 w:right="0"/>
              <w:jc w:val="left"/>
              <w:rPr>
                <w:rFonts w:ascii="Times New Roman" w:hAnsi="Times New Roman" w:cs="Times New Roman" w:eastAsia="Times New Roman" w:hint="default"/>
                <w:sz w:val="18"/>
                <w:szCs w:val="18"/>
              </w:rPr>
            </w:pPr>
            <w:r>
              <w:rPr>
                <w:rFonts w:ascii="Times New Roman"/>
                <w:sz w:val="18"/>
              </w:rPr>
              <w:t>145,82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7,131.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6" w:right="0"/>
              <w:jc w:val="left"/>
              <w:rPr>
                <w:rFonts w:ascii="Times New Roman" w:hAnsi="Times New Roman" w:cs="Times New Roman" w:eastAsia="Times New Roman" w:hint="default"/>
                <w:sz w:val="18"/>
                <w:szCs w:val="18"/>
              </w:rPr>
            </w:pPr>
            <w:r>
              <w:rPr>
                <w:rFonts w:ascii="Times New Roman"/>
                <w:sz w:val="18"/>
              </w:rPr>
              <w:t>145,82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7,131.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2,229,</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323.36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2,229,</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323.36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21,868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,819.8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19,657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,204.8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560,20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0.17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279,65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132,18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5.73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132,18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5.73</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3"/>
        <w:gridCol w:w="562"/>
        <w:gridCol w:w="564"/>
        <w:gridCol w:w="562"/>
        <w:gridCol w:w="565"/>
        <w:gridCol w:w="564"/>
        <w:gridCol w:w="562"/>
        <w:gridCol w:w="564"/>
        <w:gridCol w:w="562"/>
        <w:gridCol w:w="564"/>
        <w:gridCol w:w="562"/>
        <w:gridCol w:w="564"/>
        <w:gridCol w:w="565"/>
        <w:gridCol w:w="562"/>
        <w:gridCol w:w="564"/>
        <w:gridCol w:w="562"/>
        <w:gridCol w:w="564"/>
      </w:tblGrid>
      <w:tr>
        <w:trPr>
          <w:trHeight w:val="363"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5</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0" w:right="0"/>
              <w:jc w:val="left"/>
              <w:rPr>
                <w:rFonts w:ascii="Times New Roman" w:hAnsi="Times New Roman" w:cs="Times New Roman" w:eastAsia="Times New Roman" w:hint="default"/>
                <w:sz w:val="18"/>
                <w:szCs w:val="18"/>
              </w:rPr>
            </w:pPr>
            <w:r>
              <w:rPr>
                <w:rFonts w:ascii="Times New Roman"/>
                <w:sz w:val="18"/>
              </w:rPr>
              <w:t>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0" w:right="0"/>
              <w:jc w:val="left"/>
              <w:rPr>
                <w:rFonts w:ascii="Times New Roman" w:hAnsi="Times New Roman" w:cs="Times New Roman" w:eastAsia="Times New Roman" w:hint="default"/>
                <w:sz w:val="18"/>
                <w:szCs w:val="18"/>
              </w:rPr>
            </w:pPr>
            <w:r>
              <w:rPr>
                <w:rFonts w:ascii="Times New Roman"/>
                <w:sz w:val="18"/>
              </w:rPr>
              <w:t>25</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w:t>
            </w: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货币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667,36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6.27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667,36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027.04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2,591,</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027.04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609.34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609.34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337,16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8.26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337,16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8.26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8,729,</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745.59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2,874,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117.81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33,485</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.62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33,485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132,18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5.73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132,18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5.73</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应收 款项</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1,860,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043.93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1,860,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043.93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5,480,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107.24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5,480,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107.24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51,156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411,04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411,04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8.55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636,68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8,729,</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745.59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84,548</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.99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84,548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.99</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3,815,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640.91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3,626,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014.83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,288.1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44,954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441.92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441.92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3,633,</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802.30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141,13</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0.97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141,13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0.97</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固定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155,64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2.83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155,64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8.21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8.21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685,61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7.74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685,61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7.74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28,755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28,755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2,874,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117.81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2,114,</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631.46</w:t>
            </w: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无形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2,098,</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862.50</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2,723,</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927.18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136,86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7.18</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2,957,</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232.71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745,61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7.71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 w:right="0"/>
              <w:jc w:val="center"/>
              <w:rPr>
                <w:rFonts w:ascii="Times New Roman" w:hAnsi="Times New Roman" w:cs="Times New Roman" w:eastAsia="Times New Roman" w:hint="default"/>
                <w:sz w:val="18"/>
                <w:szCs w:val="18"/>
              </w:rPr>
            </w:pPr>
            <w:r>
              <w:rPr>
                <w:rFonts w:ascii="Times New Roman"/>
                <w:sz w:val="18"/>
              </w:rPr>
              <w:t>280,54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5.00</w:t>
            </w: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预付 款项</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3,467,</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412.92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3,467,</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412.92</w:t>
            </w:r>
          </w:p>
        </w:tc>
        <w:tc>
          <w:tcPr>
            <w:tcW w:w="56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813,96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636,68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0.54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其他 应收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412,08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1.40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412,08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1,066,</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591.28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1,066,</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591.28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145,40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145,40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1.55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3,633,</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802.30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813,96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其他 流动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140,06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3.03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140,06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3.03</w:t>
            </w:r>
          </w:p>
        </w:tc>
        <w:tc>
          <w:tcPr>
            <w:tcW w:w="56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2,114,</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631.46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18,489</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.59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18,489</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.59</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递延 所得 税资 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1,641,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386.23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1,641,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386.23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0.21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0.21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2,528,</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503.72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2,528,</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503.72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48,508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48,508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83,591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83,591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.50</w:t>
            </w: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交易 性金 融资 产</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应收 票据</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7,488,</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674.65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7,488,</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674.65</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长期 待摊 费用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23,919</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23,919</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.62</w:t>
            </w: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10"/>
              <w:jc w:val="left"/>
              <w:rPr>
                <w:rFonts w:ascii="宋体" w:hAnsi="宋体" w:cs="宋体" w:eastAsia="宋体" w:hint="default"/>
                <w:sz w:val="18"/>
                <w:szCs w:val="18"/>
              </w:rPr>
            </w:pPr>
            <w:r>
              <w:rPr>
                <w:rFonts w:ascii="宋体" w:hAnsi="宋体" w:cs="宋体" w:eastAsia="宋体" w:hint="default"/>
                <w:sz w:val="18"/>
                <w:szCs w:val="18"/>
              </w:rPr>
              <w:t>负债：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11,886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11,314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30,188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,423.0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98,123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3,185,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100.95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3,185,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100.95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7,843,</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966.88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7,512,</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224.63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734,28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0.13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664,14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91,455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91,455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.56</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应付 款项</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6,574,</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604.45</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6,574,</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604.45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6" w:right="0"/>
              <w:jc w:val="left"/>
              <w:rPr>
                <w:rFonts w:ascii="Times New Roman" w:hAnsi="Times New Roman" w:cs="Times New Roman" w:eastAsia="Times New Roman" w:hint="default"/>
                <w:sz w:val="18"/>
                <w:szCs w:val="18"/>
              </w:rPr>
            </w:pPr>
            <w:r>
              <w:rPr>
                <w:rFonts w:ascii="Times New Roman"/>
                <w:sz w:val="18"/>
              </w:rPr>
              <w:t>21,929</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,930.5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6" w:right="0"/>
              <w:jc w:val="left"/>
              <w:rPr>
                <w:rFonts w:ascii="Times New Roman" w:hAnsi="Times New Roman" w:cs="Times New Roman" w:eastAsia="Times New Roman" w:hint="default"/>
                <w:sz w:val="18"/>
                <w:szCs w:val="18"/>
              </w:rPr>
            </w:pPr>
            <w:r>
              <w:rPr>
                <w:rFonts w:ascii="Times New Roman"/>
                <w:sz w:val="18"/>
              </w:rPr>
              <w:t>21,929</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,930.5</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1,075,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579.01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1,075,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579.01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115,50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1.96</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115,50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53,315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53,315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63"/>
        <w:gridCol w:w="562"/>
        <w:gridCol w:w="564"/>
        <w:gridCol w:w="562"/>
        <w:gridCol w:w="565"/>
        <w:gridCol w:w="564"/>
        <w:gridCol w:w="562"/>
        <w:gridCol w:w="564"/>
        <w:gridCol w:w="562"/>
        <w:gridCol w:w="564"/>
        <w:gridCol w:w="562"/>
        <w:gridCol w:w="564"/>
        <w:gridCol w:w="565"/>
        <w:gridCol w:w="562"/>
        <w:gridCol w:w="564"/>
        <w:gridCol w:w="562"/>
        <w:gridCol w:w="564"/>
      </w:tblGrid>
      <w:tr>
        <w:trPr>
          <w:trHeight w:val="363"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6</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递延 所得 税负 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572,12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2.15</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418,16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5.44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30,106</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.44</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331,74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2.25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70,136</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.25</w:t>
            </w: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预收 款项</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4,615,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608.64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4,615,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608.64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21,759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,029.4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43,827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1,611,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057.34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1,611,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057.34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202.75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4,027,</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202.75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170,62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170,62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应付 职工 薪酬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189,85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9.55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189,85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420,61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2.71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420,61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2.71</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397,79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8.52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397,79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8.52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507,20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507,20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9.29</w:t>
            </w: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8,640.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8,640.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56</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应交 税费</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3,421.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3,421.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947,65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8.78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947,65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8.78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39,273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39,273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706,03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706,03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1.75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8,439.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8,439.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83</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其他 应付 款</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6,505,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360.00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6,505,</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360.00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68,411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.20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68,411</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.20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971.73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971.73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201.83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1,196,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201.83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369,58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2.09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369,58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29,500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29,500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其他 流动 负债</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000.00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000.00</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68"/>
              <w:jc w:val="left"/>
              <w:rPr>
                <w:rFonts w:ascii="宋体" w:hAnsi="宋体" w:cs="宋体" w:eastAsia="宋体" w:hint="default"/>
                <w:sz w:val="18"/>
                <w:szCs w:val="18"/>
              </w:rPr>
            </w:pPr>
            <w:r>
              <w:rPr>
                <w:rFonts w:ascii="宋体" w:hAnsi="宋体" w:cs="宋体" w:eastAsia="宋体" w:hint="default"/>
                <w:sz w:val="18"/>
                <w:szCs w:val="18"/>
              </w:rPr>
              <w:t>净资 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2,372,</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127.86</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655,76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17,703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47,703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47,703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-955,7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77.59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-955,7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77.59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14,024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12,144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79.96</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-384,4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88.71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40,730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40,730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.17</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 东权 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3,962,</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242.65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3,121,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223.10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5,310,</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926.05</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4,651,</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225.75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-468,3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31.02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-468,3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31.02</w:t>
            </w: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both"/>
              <w:rPr>
                <w:rFonts w:ascii="宋体" w:hAnsi="宋体" w:cs="宋体" w:eastAsia="宋体" w:hint="default"/>
                <w:sz w:val="18"/>
                <w:szCs w:val="18"/>
              </w:rPr>
            </w:pPr>
            <w:r>
              <w:rPr>
                <w:rFonts w:ascii="宋体" w:hAnsi="宋体" w:cs="宋体" w:eastAsia="宋体" w:hint="default"/>
                <w:sz w:val="18"/>
                <w:szCs w:val="18"/>
              </w:rPr>
              <w:t>取得 的净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,114.7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24,328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-487,4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46.57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-487,4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46.57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79.96</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-384,4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88.71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40,730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.17</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40,730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.17</w:t>
            </w:r>
          </w:p>
        </w:tc>
        <w:tc>
          <w:tcPr>
            <w:tcW w:w="56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spacing w:line="240" w:lineRule="auto" w:before="9"/>
        <w:rPr>
          <w:rFonts w:ascii="宋体" w:hAnsi="宋体" w:cs="宋体" w:eastAsia="宋体" w:hint="default"/>
          <w:sz w:val="13"/>
          <w:szCs w:val="13"/>
        </w:rPr>
      </w:pPr>
    </w:p>
    <w:p>
      <w:pPr>
        <w:pStyle w:val="BodyText"/>
        <w:spacing w:line="312" w:lineRule="exact"/>
        <w:ind w:right="1128" w:firstLine="482"/>
        <w:jc w:val="both"/>
      </w:pPr>
      <w:r>
        <w:rPr>
          <w:rFonts w:ascii="Times New Roman" w:hAnsi="Times New Roman" w:cs="Times New Roman" w:eastAsia="Times New Roman" w:hint="default"/>
          <w:spacing w:val="2"/>
        </w:rPr>
        <w:t>1.</w:t>
      </w:r>
      <w:r>
        <w:rPr>
          <w:spacing w:val="2"/>
        </w:rPr>
        <w:t>泺立能源于购买日的可辨认资产和负债公允价值根据中水致远资产评估有限公司对泺 </w:t>
      </w:r>
      <w:r>
        <w:rPr/>
        <w:t>立能源出具的</w:t>
      </w:r>
      <w:r>
        <w:rPr>
          <w:rFonts w:ascii="Times New Roman" w:hAnsi="Times New Roman" w:cs="Times New Roman" w:eastAsia="Times New Roman" w:hint="default"/>
        </w:rPr>
        <w:t>“</w:t>
      </w:r>
      <w:r>
        <w:rPr/>
        <w:t>中水致远评报字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020516</w:t>
      </w:r>
      <w:r>
        <w:rPr/>
        <w:t>号评估报告，以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7</w:t>
      </w:r>
      <w:r>
        <w:rPr/>
        <w:t>月 </w:t>
      </w:r>
      <w:r>
        <w:rPr>
          <w:rFonts w:ascii="Times New Roman" w:hAnsi="Times New Roman" w:cs="Times New Roman" w:eastAsia="Times New Roman" w:hint="default"/>
        </w:rPr>
        <w:t>31</w:t>
      </w:r>
      <w:r>
        <w:rPr/>
        <w:t>日为基准日股</w:t>
      </w:r>
      <w:r>
        <w:rPr>
          <w:spacing w:val="-119"/>
        </w:rPr>
        <w:t> </w:t>
      </w:r>
      <w:r>
        <w:rPr/>
        <w:t>东全部权益的评估结果作为基础，将可辨认资产和负债持续计算至购买日而确定；</w:t>
      </w:r>
    </w:p>
    <w:p>
      <w:pPr>
        <w:pStyle w:val="BodyText"/>
        <w:spacing w:line="312" w:lineRule="exact" w:before="120"/>
        <w:ind w:right="1128" w:firstLine="482"/>
        <w:jc w:val="both"/>
      </w:pPr>
      <w:r>
        <w:rPr>
          <w:rFonts w:ascii="Times New Roman" w:hAnsi="Times New Roman" w:cs="Times New Roman" w:eastAsia="Times New Roman" w:hint="default"/>
          <w:spacing w:val="2"/>
        </w:rPr>
        <w:t>2.</w:t>
      </w:r>
      <w:r>
        <w:rPr>
          <w:spacing w:val="2"/>
        </w:rPr>
        <w:t>鑫广源于购买日的可辨认资产和负债公允价值根据中水致远资产评估有限公司对泺立 </w:t>
      </w:r>
      <w:r>
        <w:rPr/>
        <w:t>能源出具的</w:t>
      </w:r>
      <w:r>
        <w:rPr>
          <w:rFonts w:ascii="Times New Roman" w:hAnsi="Times New Roman" w:cs="Times New Roman" w:eastAsia="Times New Roman" w:hint="default"/>
        </w:rPr>
        <w:t>“</w:t>
      </w:r>
      <w:r>
        <w:rPr/>
        <w:t>中水致远评报字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020518</w:t>
      </w:r>
      <w:r>
        <w:rPr/>
        <w:t>号</w:t>
      </w:r>
      <w:r>
        <w:rPr>
          <w:rFonts w:ascii="Times New Roman" w:hAnsi="Times New Roman" w:cs="Times New Roman" w:eastAsia="Times New Roman" w:hint="default"/>
        </w:rPr>
        <w:t>”</w:t>
      </w:r>
      <w:r>
        <w:rPr/>
        <w:t>评估报告，以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日为基准日股东</w:t>
      </w:r>
      <w:r>
        <w:rPr>
          <w:spacing w:val="-106"/>
        </w:rPr>
        <w:t> </w:t>
      </w:r>
      <w:r>
        <w:rPr>
          <w:spacing w:val="-106"/>
        </w:rPr>
      </w:r>
      <w:r>
        <w:rPr/>
        <w:t>全部权益的评估结果作为基础，将可辨认资产和负债持续计算至购买日而确定；</w:t>
      </w:r>
    </w:p>
    <w:p>
      <w:pPr>
        <w:pStyle w:val="BodyText"/>
        <w:spacing w:line="312" w:lineRule="exact" w:before="120"/>
        <w:ind w:right="1129" w:firstLine="482"/>
        <w:jc w:val="both"/>
      </w:pPr>
      <w:r>
        <w:rPr>
          <w:rFonts w:ascii="Times New Roman" w:hAnsi="Times New Roman" w:cs="Times New Roman" w:eastAsia="Times New Roman" w:hint="default"/>
          <w:spacing w:val="2"/>
        </w:rPr>
        <w:t>3.</w:t>
      </w:r>
      <w:r>
        <w:rPr>
          <w:spacing w:val="2"/>
        </w:rPr>
        <w:t>恒泰电力于购买日的可辨认资产和负债公允价值根据中水致远资产评估有限公司对恒 </w:t>
      </w:r>
      <w:r>
        <w:rPr/>
        <w:t>泰电力出具的</w:t>
      </w:r>
      <w:r>
        <w:rPr>
          <w:rFonts w:ascii="Times New Roman" w:hAnsi="Times New Roman" w:cs="Times New Roman" w:eastAsia="Times New Roman" w:hint="default"/>
        </w:rPr>
        <w:t>“</w:t>
      </w:r>
      <w:r>
        <w:rPr/>
        <w:t>中水致远评报字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020521</w:t>
      </w:r>
      <w:r>
        <w:rPr/>
        <w:t>号</w:t>
      </w:r>
      <w:r>
        <w:rPr>
          <w:rFonts w:ascii="Times New Roman" w:hAnsi="Times New Roman" w:cs="Times New Roman" w:eastAsia="Times New Roman" w:hint="default"/>
        </w:rPr>
        <w:t>”</w:t>
      </w:r>
      <w:r>
        <w:rPr/>
        <w:t>评估报告，以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日为基准日股</w:t>
      </w:r>
      <w:r>
        <w:rPr>
          <w:spacing w:val="-106"/>
        </w:rPr>
        <w:t> </w:t>
      </w:r>
      <w:r>
        <w:rPr>
          <w:spacing w:val="-106"/>
        </w:rPr>
      </w:r>
      <w:r>
        <w:rPr/>
        <w:t>东全部权益的评估结果作为基础，将可辨认资产和负债持续计算至购买日而确定；</w:t>
      </w:r>
    </w:p>
    <w:p>
      <w:pPr>
        <w:spacing w:after="0" w:line="312" w:lineRule="exact"/>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28" w:firstLine="482"/>
        <w:jc w:val="both"/>
      </w:pPr>
      <w:r>
        <w:rPr>
          <w:rFonts w:ascii="Times New Roman" w:hAnsi="Times New Roman" w:cs="Times New Roman" w:eastAsia="Times New Roman" w:hint="default"/>
          <w:spacing w:val="2"/>
        </w:rPr>
        <w:t>4.</w:t>
      </w:r>
      <w:r>
        <w:rPr>
          <w:spacing w:val="2"/>
        </w:rPr>
        <w:t>博深咨询于购买日的可辨认资产和负债公允价值根据中水致远资产评估有限公司对博 </w:t>
      </w:r>
      <w:r>
        <w:rPr/>
        <w:t>深咨询出具的</w:t>
      </w:r>
      <w:r>
        <w:rPr>
          <w:rFonts w:ascii="Times New Roman" w:hAnsi="Times New Roman" w:cs="Times New Roman" w:eastAsia="Times New Roman" w:hint="default"/>
        </w:rPr>
        <w:t>“</w:t>
      </w:r>
      <w:r>
        <w:rPr/>
        <w:t>中水致远评报字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020519</w:t>
      </w:r>
      <w:r>
        <w:rPr/>
        <w:t>号</w:t>
      </w:r>
      <w:r>
        <w:rPr>
          <w:rFonts w:ascii="Times New Roman" w:hAnsi="Times New Roman" w:cs="Times New Roman" w:eastAsia="Times New Roman" w:hint="default"/>
        </w:rPr>
        <w:t>”</w:t>
      </w:r>
      <w:r>
        <w:rPr/>
        <w:t>评估报告，以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日为基准日股</w:t>
      </w:r>
      <w:r>
        <w:rPr>
          <w:spacing w:val="-105"/>
        </w:rPr>
        <w:t> </w:t>
      </w:r>
      <w:r>
        <w:rPr>
          <w:spacing w:val="-105"/>
        </w:rPr>
      </w:r>
      <w:r>
        <w:rPr/>
        <w:t>东全部权益的评估结果作为基础，将可辨认资产和负债持续计算至购买日而确定；</w:t>
      </w:r>
    </w:p>
    <w:p>
      <w:pPr>
        <w:pStyle w:val="BodyText"/>
        <w:spacing w:line="312" w:lineRule="exact" w:before="120"/>
        <w:ind w:right="1131" w:firstLine="482"/>
        <w:jc w:val="both"/>
      </w:pPr>
      <w:r>
        <w:rPr>
          <w:rFonts w:ascii="Times New Roman" w:hAnsi="Times New Roman" w:cs="Times New Roman" w:eastAsia="Times New Roman" w:hint="default"/>
          <w:spacing w:val="2"/>
        </w:rPr>
        <w:t>5.</w:t>
      </w:r>
      <w:r>
        <w:rPr>
          <w:spacing w:val="2"/>
        </w:rPr>
        <w:t>赛皓达于购买日的可辨认资产和负债公允价值根据中水致远资产评估有限公司对赛皓 </w:t>
      </w:r>
      <w:r>
        <w:rPr/>
        <w:t>达出具的</w:t>
      </w:r>
      <w:r>
        <w:rPr>
          <w:rFonts w:ascii="Times New Roman" w:hAnsi="Times New Roman" w:cs="Times New Roman" w:eastAsia="Times New Roman" w:hint="default"/>
        </w:rPr>
        <w:t>“</w:t>
      </w:r>
      <w:r>
        <w:rPr/>
        <w:t>中水致远评报字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020520</w:t>
      </w:r>
      <w:r>
        <w:rPr/>
        <w:t>号</w:t>
      </w:r>
      <w:r>
        <w:rPr>
          <w:rFonts w:ascii="Times New Roman" w:hAnsi="Times New Roman" w:cs="Times New Roman" w:eastAsia="Times New Roman" w:hint="default"/>
        </w:rPr>
        <w:t>”</w:t>
      </w:r>
      <w:r>
        <w:rPr/>
        <w:t>评估报告，以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日为基准日股东全</w:t>
      </w:r>
      <w:r>
        <w:rPr>
          <w:spacing w:val="-107"/>
        </w:rPr>
        <w:t> </w:t>
      </w:r>
      <w:r>
        <w:rPr>
          <w:spacing w:val="-107"/>
        </w:rPr>
      </w:r>
      <w:r>
        <w:rPr/>
        <w:t>部权益的评估结果作为基础，将可辨认资产和负债持续计算至购买日而确定；</w:t>
      </w:r>
    </w:p>
    <w:p>
      <w:pPr>
        <w:pStyle w:val="BodyText"/>
        <w:spacing w:line="312" w:lineRule="exact" w:before="120"/>
        <w:ind w:right="1128" w:firstLine="482"/>
        <w:jc w:val="both"/>
      </w:pPr>
      <w:r>
        <w:rPr>
          <w:rFonts w:ascii="Times New Roman" w:hAnsi="Times New Roman" w:cs="Times New Roman" w:eastAsia="Times New Roman" w:hint="default"/>
          <w:spacing w:val="2"/>
        </w:rPr>
        <w:t>6.</w:t>
      </w:r>
      <w:r>
        <w:rPr>
          <w:spacing w:val="2"/>
        </w:rPr>
        <w:t>纵诺电力于购买日的可辨认资产和负债公允价值根据中水致远资产评估有限公司对纵 </w:t>
      </w:r>
      <w:r>
        <w:rPr/>
        <w:t>诺电力出具的</w:t>
      </w:r>
      <w:r>
        <w:rPr>
          <w:rFonts w:ascii="Times New Roman" w:hAnsi="Times New Roman" w:cs="Times New Roman" w:eastAsia="Times New Roman" w:hint="default"/>
        </w:rPr>
        <w:t>“</w:t>
      </w:r>
      <w:r>
        <w:rPr/>
        <w:t>中水致远评报字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020517</w:t>
      </w:r>
      <w:r>
        <w:rPr/>
        <w:t>号</w:t>
      </w:r>
      <w:r>
        <w:rPr>
          <w:rFonts w:ascii="Times New Roman" w:hAnsi="Times New Roman" w:cs="Times New Roman" w:eastAsia="Times New Roman" w:hint="default"/>
        </w:rPr>
        <w:t>”</w:t>
      </w:r>
      <w:r>
        <w:rPr/>
        <w:t>评估报告，以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日为基准日股</w:t>
      </w:r>
      <w:r>
        <w:rPr>
          <w:spacing w:val="-105"/>
        </w:rPr>
        <w:t> </w:t>
      </w:r>
      <w:r>
        <w:rPr>
          <w:spacing w:val="-105"/>
        </w:rPr>
      </w:r>
      <w:r>
        <w:rPr/>
        <w:t>东全部权益的评估结果作为基础，将可辨认资产和负债持续计算至购买日而确定；</w:t>
      </w:r>
    </w:p>
    <w:p>
      <w:pPr>
        <w:spacing w:line="357" w:lineRule="auto" w:before="58"/>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其他说明：</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148"/>
        <w:ind w:right="1057"/>
        <w:jc w:val="left"/>
      </w:pPr>
      <w:r>
        <w:rPr/>
        <w:t>本报告期内新增子公司：</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896"/>
        <w:gridCol w:w="3409"/>
        <w:gridCol w:w="1721"/>
        <w:gridCol w:w="1292"/>
        <w:gridCol w:w="1865"/>
      </w:tblGrid>
      <w:tr>
        <w:trPr>
          <w:trHeight w:val="350" w:hRule="exact"/>
        </w:trPr>
        <w:tc>
          <w:tcPr>
            <w:tcW w:w="896"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spacing w:val="65"/>
                <w:sz w:val="21"/>
                <w:szCs w:val="21"/>
              </w:rPr>
              <w:t> </w:t>
            </w:r>
            <w:r>
              <w:rPr>
                <w:rFonts w:ascii="宋体" w:hAnsi="宋体" w:cs="宋体" w:eastAsia="宋体" w:hint="default"/>
                <w:sz w:val="21"/>
                <w:szCs w:val="21"/>
              </w:rPr>
              <w:t>号</w:t>
            </w:r>
          </w:p>
        </w:tc>
        <w:tc>
          <w:tcPr>
            <w:tcW w:w="3409"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721"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子公司简称</w:t>
            </w:r>
          </w:p>
        </w:tc>
        <w:tc>
          <w:tcPr>
            <w:tcW w:w="1292" w:type="dxa"/>
            <w:tcBorders>
              <w:top w:val="single" w:sz="6" w:space="0" w:color="000000"/>
              <w:left w:val="single" w:sz="6" w:space="0" w:color="000000"/>
              <w:bottom w:val="single" w:sz="8"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报告期间</w:t>
            </w:r>
          </w:p>
        </w:tc>
        <w:tc>
          <w:tcPr>
            <w:tcW w:w="1865" w:type="dxa"/>
            <w:tcBorders>
              <w:top w:val="single" w:sz="6" w:space="0" w:color="000000"/>
              <w:left w:val="single" w:sz="6" w:space="0" w:color="000000"/>
              <w:bottom w:val="single" w:sz="8"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纳入合并范围原因</w:t>
            </w:r>
          </w:p>
        </w:tc>
      </w:tr>
      <w:tr>
        <w:trPr>
          <w:trHeight w:val="346"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五象云谷有限公司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五象云谷</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新设合并</w:t>
            </w:r>
          </w:p>
        </w:tc>
      </w:tr>
      <w:tr>
        <w:trPr>
          <w:trHeight w:val="348"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长嘉科技有限公司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长嘉科技</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新设合并</w:t>
            </w:r>
          </w:p>
        </w:tc>
      </w:tr>
      <w:tr>
        <w:trPr>
          <w:trHeight w:val="346"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润沃科技（山东）有限公司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润沃科技</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新设合并</w:t>
            </w:r>
          </w:p>
        </w:tc>
      </w:tr>
      <w:tr>
        <w:trPr>
          <w:trHeight w:val="348"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广州汇柠科技有限公司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汇拧科技</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新设合并</w:t>
            </w:r>
          </w:p>
        </w:tc>
      </w:tr>
      <w:tr>
        <w:trPr>
          <w:trHeight w:val="349"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left"/>
              <w:rPr>
                <w:rFonts w:ascii="宋体" w:hAnsi="宋体" w:cs="宋体" w:eastAsia="宋体" w:hint="default"/>
                <w:sz w:val="21"/>
                <w:szCs w:val="21"/>
              </w:rPr>
            </w:pPr>
            <w:r>
              <w:rPr>
                <w:rFonts w:ascii="宋体" w:hAnsi="宋体" w:cs="宋体" w:eastAsia="宋体" w:hint="default"/>
                <w:sz w:val="21"/>
                <w:szCs w:val="21"/>
              </w:rPr>
              <w:t>广东南粤云视科技有限公司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南粤云视</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4"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新设合并</w:t>
            </w:r>
          </w:p>
        </w:tc>
      </w:tr>
      <w:tr>
        <w:trPr>
          <w:trHeight w:val="346"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广西信安锐达科技有限公司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信安锐达</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7"/>
              <w:jc w:val="center"/>
              <w:rPr>
                <w:rFonts w:ascii="宋体" w:hAnsi="宋体" w:cs="宋体" w:eastAsia="宋体" w:hint="default"/>
                <w:sz w:val="20"/>
                <w:szCs w:val="20"/>
              </w:rPr>
            </w:pPr>
            <w:r>
              <w:rPr>
                <w:rFonts w:ascii="宋体" w:hAnsi="宋体" w:cs="宋体" w:eastAsia="宋体" w:hint="default"/>
                <w:sz w:val="20"/>
                <w:szCs w:val="20"/>
              </w:rPr>
              <w:t>并购合并</w:t>
            </w:r>
          </w:p>
        </w:tc>
      </w:tr>
      <w:tr>
        <w:trPr>
          <w:trHeight w:val="348"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7</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广州云谷创智科技有限公司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云谷创智</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
              <w:ind w:right="7"/>
              <w:jc w:val="center"/>
              <w:rPr>
                <w:rFonts w:ascii="宋体" w:hAnsi="宋体" w:cs="宋体" w:eastAsia="宋体" w:hint="default"/>
                <w:sz w:val="20"/>
                <w:szCs w:val="20"/>
              </w:rPr>
            </w:pPr>
            <w:r>
              <w:rPr>
                <w:rFonts w:ascii="宋体" w:hAnsi="宋体" w:cs="宋体" w:eastAsia="宋体" w:hint="default"/>
                <w:sz w:val="20"/>
                <w:szCs w:val="20"/>
              </w:rPr>
              <w:t>并购合并</w:t>
            </w:r>
          </w:p>
        </w:tc>
      </w:tr>
      <w:tr>
        <w:trPr>
          <w:trHeight w:val="346"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广州纵诺电力工程技术有限公司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纵诺电力</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7"/>
              <w:jc w:val="center"/>
              <w:rPr>
                <w:rFonts w:ascii="宋体" w:hAnsi="宋体" w:cs="宋体" w:eastAsia="宋体" w:hint="default"/>
                <w:sz w:val="20"/>
                <w:szCs w:val="20"/>
              </w:rPr>
            </w:pPr>
            <w:r>
              <w:rPr>
                <w:rFonts w:ascii="宋体" w:hAnsi="宋体" w:cs="宋体" w:eastAsia="宋体" w:hint="default"/>
                <w:sz w:val="20"/>
                <w:szCs w:val="20"/>
              </w:rPr>
              <w:t>并购合并</w:t>
            </w:r>
          </w:p>
        </w:tc>
      </w:tr>
      <w:tr>
        <w:trPr>
          <w:trHeight w:val="348"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9</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广州市赛皓达智能科技有限公司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6" w:right="0"/>
              <w:jc w:val="center"/>
              <w:rPr>
                <w:rFonts w:ascii="宋体" w:hAnsi="宋体" w:cs="宋体" w:eastAsia="宋体" w:hint="default"/>
                <w:sz w:val="21"/>
                <w:szCs w:val="21"/>
              </w:rPr>
            </w:pPr>
            <w:r>
              <w:rPr>
                <w:rFonts w:ascii="宋体" w:hAnsi="宋体" w:cs="宋体" w:eastAsia="宋体" w:hint="default"/>
                <w:sz w:val="21"/>
                <w:szCs w:val="21"/>
              </w:rPr>
              <w:t>赛皓达</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
              <w:ind w:right="7"/>
              <w:jc w:val="center"/>
              <w:rPr>
                <w:rFonts w:ascii="宋体" w:hAnsi="宋体" w:cs="宋体" w:eastAsia="宋体" w:hint="default"/>
                <w:sz w:val="20"/>
                <w:szCs w:val="20"/>
              </w:rPr>
            </w:pPr>
            <w:r>
              <w:rPr>
                <w:rFonts w:ascii="宋体" w:hAnsi="宋体" w:cs="宋体" w:eastAsia="宋体" w:hint="default"/>
                <w:sz w:val="20"/>
                <w:szCs w:val="20"/>
              </w:rPr>
              <w:t>并购合并</w:t>
            </w:r>
          </w:p>
        </w:tc>
      </w:tr>
      <w:tr>
        <w:trPr>
          <w:trHeight w:val="348"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10</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广州恒泰电力工程有限公司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恒泰电力</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7"/>
              <w:jc w:val="center"/>
              <w:rPr>
                <w:rFonts w:ascii="宋体" w:hAnsi="宋体" w:cs="宋体" w:eastAsia="宋体" w:hint="default"/>
                <w:sz w:val="20"/>
                <w:szCs w:val="20"/>
              </w:rPr>
            </w:pPr>
            <w:r>
              <w:rPr>
                <w:rFonts w:ascii="宋体" w:hAnsi="宋体" w:cs="宋体" w:eastAsia="宋体" w:hint="default"/>
                <w:sz w:val="20"/>
                <w:szCs w:val="20"/>
              </w:rPr>
              <w:t>并购合并</w:t>
            </w:r>
          </w:p>
        </w:tc>
      </w:tr>
      <w:tr>
        <w:trPr>
          <w:trHeight w:val="346"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11</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广州市泺立能源科技有限公司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泺立能源</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7"/>
              <w:jc w:val="center"/>
              <w:rPr>
                <w:rFonts w:ascii="宋体" w:hAnsi="宋体" w:cs="宋体" w:eastAsia="宋体" w:hint="default"/>
                <w:sz w:val="20"/>
                <w:szCs w:val="20"/>
              </w:rPr>
            </w:pPr>
            <w:r>
              <w:rPr>
                <w:rFonts w:ascii="宋体" w:hAnsi="宋体" w:cs="宋体" w:eastAsia="宋体" w:hint="default"/>
                <w:sz w:val="20"/>
                <w:szCs w:val="20"/>
              </w:rPr>
              <w:t>并购合并</w:t>
            </w:r>
          </w:p>
        </w:tc>
      </w:tr>
      <w:tr>
        <w:trPr>
          <w:trHeight w:val="348"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12</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广州鑫广源电力设计有限公司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6" w:right="0"/>
              <w:jc w:val="center"/>
              <w:rPr>
                <w:rFonts w:ascii="宋体" w:hAnsi="宋体" w:cs="宋体" w:eastAsia="宋体" w:hint="default"/>
                <w:sz w:val="21"/>
                <w:szCs w:val="21"/>
              </w:rPr>
            </w:pPr>
            <w:r>
              <w:rPr>
                <w:rFonts w:ascii="宋体" w:hAnsi="宋体" w:cs="宋体" w:eastAsia="宋体" w:hint="default"/>
                <w:sz w:val="21"/>
                <w:szCs w:val="21"/>
              </w:rPr>
              <w:t>鑫广源</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
              <w:ind w:right="7"/>
              <w:jc w:val="center"/>
              <w:rPr>
                <w:rFonts w:ascii="宋体" w:hAnsi="宋体" w:cs="宋体" w:eastAsia="宋体" w:hint="default"/>
                <w:sz w:val="20"/>
                <w:szCs w:val="20"/>
              </w:rPr>
            </w:pPr>
            <w:r>
              <w:rPr>
                <w:rFonts w:ascii="宋体" w:hAnsi="宋体" w:cs="宋体" w:eastAsia="宋体" w:hint="default"/>
                <w:sz w:val="20"/>
                <w:szCs w:val="20"/>
              </w:rPr>
              <w:t>并购合并</w:t>
            </w:r>
          </w:p>
        </w:tc>
      </w:tr>
      <w:tr>
        <w:trPr>
          <w:trHeight w:val="346"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13</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广东博深咨询有限公司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博深咨询</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7"/>
              <w:jc w:val="center"/>
              <w:rPr>
                <w:rFonts w:ascii="宋体" w:hAnsi="宋体" w:cs="宋体" w:eastAsia="宋体" w:hint="default"/>
                <w:sz w:val="20"/>
                <w:szCs w:val="20"/>
              </w:rPr>
            </w:pPr>
            <w:r>
              <w:rPr>
                <w:rFonts w:ascii="宋体" w:hAnsi="宋体" w:cs="宋体" w:eastAsia="宋体" w:hint="default"/>
                <w:sz w:val="20"/>
                <w:szCs w:val="20"/>
              </w:rPr>
              <w:t>并购合并</w:t>
            </w:r>
          </w:p>
        </w:tc>
      </w:tr>
      <w:tr>
        <w:trPr>
          <w:trHeight w:val="348"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14</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润建国际有限公司</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润建国际</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新设合并</w:t>
            </w:r>
          </w:p>
        </w:tc>
      </w:tr>
      <w:tr>
        <w:trPr>
          <w:trHeight w:val="348" w:hRule="exact"/>
        </w:trPr>
        <w:tc>
          <w:tcPr>
            <w:tcW w:w="89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sz w:val="21"/>
              </w:rPr>
              <w:t>15</w:t>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left="4" w:right="0"/>
              <w:jc w:val="left"/>
              <w:rPr>
                <w:rFonts w:ascii="Times New Roman" w:hAnsi="Times New Roman" w:cs="Times New Roman" w:eastAsia="Times New Roman" w:hint="default"/>
                <w:sz w:val="21"/>
                <w:szCs w:val="21"/>
              </w:rPr>
            </w:pPr>
            <w:r>
              <w:rPr>
                <w:rFonts w:ascii="Times New Roman"/>
                <w:sz w:val="21"/>
              </w:rPr>
              <w:t>R&amp;J</w:t>
            </w:r>
          </w:p>
        </w:tc>
        <w:tc>
          <w:tcPr>
            <w:tcW w:w="1721"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新加坡润建</w:t>
            </w:r>
          </w:p>
        </w:tc>
        <w:tc>
          <w:tcPr>
            <w:tcW w:w="1292" w:type="dxa"/>
            <w:tcBorders>
              <w:top w:val="single" w:sz="8" w:space="0" w:color="000000"/>
              <w:left w:val="single" w:sz="6" w:space="0" w:color="000000"/>
              <w:bottom w:val="single" w:sz="8" w:space="0" w:color="000000"/>
              <w:right w:val="single" w:sz="6" w:space="0" w:color="000000"/>
            </w:tcBorders>
          </w:tcPr>
          <w:p>
            <w:pPr>
              <w:pStyle w:val="TableParagraph"/>
              <w:spacing w:line="284"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865" w:type="dxa"/>
            <w:tcBorders>
              <w:top w:val="single" w:sz="8" w:space="0" w:color="000000"/>
              <w:left w:val="single" w:sz="6" w:space="0" w:color="000000"/>
              <w:bottom w:val="single" w:sz="8" w:space="0" w:color="000000"/>
              <w:right w:val="nil" w:sz="6" w:space="0" w:color="auto"/>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新设合并</w:t>
            </w:r>
          </w:p>
        </w:tc>
      </w:tr>
    </w:tbl>
    <w:p>
      <w:pPr>
        <w:spacing w:after="0" w:line="268" w:lineRule="exact"/>
        <w:jc w:val="center"/>
        <w:rPr>
          <w:rFonts w:ascii="宋体" w:hAnsi="宋体" w:cs="宋体" w:eastAsia="宋体" w:hint="default"/>
          <w:sz w:val="21"/>
          <w:szCs w:val="21"/>
        </w:rPr>
        <w:sectPr>
          <w:pgSz w:w="11910" w:h="16840"/>
          <w:pgMar w:header="748" w:footer="974" w:top="1060" w:bottom="1160" w:left="980" w:right="0"/>
        </w:sectPr>
      </w:pPr>
    </w:p>
    <w:p>
      <w:pPr>
        <w:spacing w:line="240" w:lineRule="auto" w:before="10"/>
        <w:rPr>
          <w:rFonts w:ascii="宋体" w:hAnsi="宋体" w:cs="宋体" w:eastAsia="宋体" w:hint="default"/>
          <w:sz w:val="27"/>
          <w:szCs w:val="27"/>
        </w:rPr>
      </w:pPr>
      <w:r>
        <w:rPr/>
        <w:pict>
          <v:shape style="position:absolute;margin-left:92.279999pt;margin-top:500.109985pt;width:101.1pt;height:35.2pt;mso-position-horizontal-relative:page;mso-position-vertical-relative:page;z-index:-12334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（山东）</w:t>
                  </w:r>
                </w:p>
              </w:txbxContent>
            </v:textbox>
            <w10:wrap type="none"/>
          </v:shape>
        </w:pict>
      </w:r>
    </w:p>
    <w:p>
      <w:pPr>
        <w:spacing w:line="686" w:lineRule="exact"/>
        <w:ind w:left="136"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60.45pt;height:34.35pt;mso-position-horizontal-relative:char;mso-position-vertical-relative:line" coordorigin="0,0" coordsize="9209,687">
            <v:group style="position:absolute;left:24;top:14;width:882;height:2" coordorigin="24,14" coordsize="882,2">
              <v:shape style="position:absolute;left:24;top:14;width:882;height:2" coordorigin="24,14" coordsize="882,0" path="m24,14l905,14e" filled="false" stroked="true" strokeweight=".72pt" strokecolor="#000000">
                <v:path arrowok="t"/>
              </v:shape>
            </v:group>
            <v:group style="position:absolute;left:920;top:14;width:3394;height:2" coordorigin="920,14" coordsize="3394,2">
              <v:shape style="position:absolute;left:920;top:14;width:3394;height:2" coordorigin="920,14" coordsize="3394,0" path="m920,14l4314,14e" filled="false" stroked="true" strokeweight=".72pt" strokecolor="#000000">
                <v:path arrowok="t"/>
              </v:shape>
            </v:group>
            <v:group style="position:absolute;left:4328;top:14;width:1707;height:2" coordorigin="4328,14" coordsize="1707,2">
              <v:shape style="position:absolute;left:4328;top:14;width:1707;height:2" coordorigin="4328,14" coordsize="1707,0" path="m4328,14l6035,14e" filled="false" stroked="true" strokeweight=".72pt" strokecolor="#000000">
                <v:path arrowok="t"/>
              </v:shape>
            </v:group>
            <v:group style="position:absolute;left:6049;top:14;width:1278;height:2" coordorigin="6049,14" coordsize="1278,2">
              <v:shape style="position:absolute;left:6049;top:14;width:1278;height:2" coordorigin="6049,14" coordsize="1278,0" path="m6049,14l7327,14e" filled="false" stroked="true" strokeweight=".72pt" strokecolor="#000000">
                <v:path arrowok="t"/>
              </v:shape>
            </v:group>
            <v:group style="position:absolute;left:7341;top:14;width:1858;height:2" coordorigin="7341,14" coordsize="1858,2">
              <v:shape style="position:absolute;left:7341;top:14;width:1858;height:2" coordorigin="7341,14" coordsize="1858,0" path="m7341,14l9199,14e" filled="false" stroked="true" strokeweight=".72pt" strokecolor="#000000">
                <v:path arrowok="t"/>
              </v:shape>
            </v:group>
            <v:group style="position:absolute;left:17;top:7;width:2;height:661" coordorigin="17,7" coordsize="2,661">
              <v:shape style="position:absolute;left:17;top:7;width:2;height:661" coordorigin="17,7" coordsize="0,661" path="m17,7l17,668e" filled="false" stroked="true" strokeweight=".72pt" strokecolor="#000000">
                <v:path arrowok="t"/>
              </v:shape>
            </v:group>
            <v:group style="position:absolute;left:10;top:677;width:896;height:2" coordorigin="10,677" coordsize="896,2">
              <v:shape style="position:absolute;left:10;top:677;width:896;height:2" coordorigin="10,677" coordsize="896,0" path="m10,677l905,677e" filled="false" stroked="true" strokeweight=".96pt" strokecolor="#000000">
                <v:path arrowok="t"/>
              </v:shape>
            </v:group>
            <v:group style="position:absolute;left:912;top:7;width:2;height:661" coordorigin="912,7" coordsize="2,661">
              <v:shape style="position:absolute;left:912;top:7;width:2;height:661" coordorigin="912,7" coordsize="0,661" path="m912,7l912,668e" filled="false" stroked="true" strokeweight=".72pt" strokecolor="#000000">
                <v:path arrowok="t"/>
              </v:shape>
            </v:group>
            <v:group style="position:absolute;left:905;top:677;width:20;height:2" coordorigin="905,677" coordsize="20,2">
              <v:shape style="position:absolute;left:905;top:677;width:20;height:2" coordorigin="905,677" coordsize="20,0" path="m905,677l924,677e" filled="false" stroked="true" strokeweight=".96pt" strokecolor="#000000">
                <v:path arrowok="t"/>
              </v:shape>
            </v:group>
            <v:group style="position:absolute;left:924;top:677;width:3390;height:2" coordorigin="924,677" coordsize="3390,2">
              <v:shape style="position:absolute;left:924;top:677;width:3390;height:2" coordorigin="924,677" coordsize="3390,0" path="m924,677l4314,677e" filled="false" stroked="true" strokeweight=".96pt" strokecolor="#000000">
                <v:path arrowok="t"/>
              </v:shape>
            </v:group>
            <v:group style="position:absolute;left:4321;top:7;width:2;height:661" coordorigin="4321,7" coordsize="2,661">
              <v:shape style="position:absolute;left:4321;top:7;width:2;height:661" coordorigin="4321,7" coordsize="0,661" path="m4321,7l4321,668e" filled="false" stroked="true" strokeweight=".72pt" strokecolor="#000000">
                <v:path arrowok="t"/>
              </v:shape>
            </v:group>
            <v:group style="position:absolute;left:4314;top:677;width:20;height:2" coordorigin="4314,677" coordsize="20,2">
              <v:shape style="position:absolute;left:4314;top:677;width:20;height:2" coordorigin="4314,677" coordsize="20,0" path="m4314,677l4333,677e" filled="false" stroked="true" strokeweight=".96pt" strokecolor="#000000">
                <v:path arrowok="t"/>
              </v:shape>
            </v:group>
            <v:group style="position:absolute;left:4333;top:677;width:1703;height:2" coordorigin="4333,677" coordsize="1703,2">
              <v:shape style="position:absolute;left:4333;top:677;width:1703;height:2" coordorigin="4333,677" coordsize="1703,0" path="m4333,677l6035,677e" filled="false" stroked="true" strokeweight=".96pt" strokecolor="#000000">
                <v:path arrowok="t"/>
              </v:shape>
            </v:group>
            <v:group style="position:absolute;left:6042;top:7;width:2;height:661" coordorigin="6042,7" coordsize="2,661">
              <v:shape style="position:absolute;left:6042;top:7;width:2;height:661" coordorigin="6042,7" coordsize="0,661" path="m6042,7l6042,668e" filled="false" stroked="true" strokeweight=".72pt" strokecolor="#000000">
                <v:path arrowok="t"/>
              </v:shape>
            </v:group>
            <v:group style="position:absolute;left:6035;top:677;width:20;height:2" coordorigin="6035,677" coordsize="20,2">
              <v:shape style="position:absolute;left:6035;top:677;width:20;height:2" coordorigin="6035,677" coordsize="20,0" path="m6035,677l6054,677e" filled="false" stroked="true" strokeweight=".96pt" strokecolor="#000000">
                <v:path arrowok="t"/>
              </v:shape>
            </v:group>
            <v:group style="position:absolute;left:6054;top:677;width:1273;height:2" coordorigin="6054,677" coordsize="1273,2">
              <v:shape style="position:absolute;left:6054;top:677;width:1273;height:2" coordorigin="6054,677" coordsize="1273,0" path="m6054,677l7327,677e" filled="false" stroked="true" strokeweight=".96pt" strokecolor="#000000">
                <v:path arrowok="t"/>
              </v:shape>
            </v:group>
            <v:group style="position:absolute;left:7334;top:7;width:2;height:661" coordorigin="7334,7" coordsize="2,661">
              <v:shape style="position:absolute;left:7334;top:7;width:2;height:661" coordorigin="7334,7" coordsize="0,661" path="m7334,7l7334,668e" filled="false" stroked="true" strokeweight=".72pt" strokecolor="#000000">
                <v:path arrowok="t"/>
              </v:shape>
            </v:group>
            <v:group style="position:absolute;left:7327;top:677;width:20;height:2" coordorigin="7327,677" coordsize="20,2">
              <v:shape style="position:absolute;left:7327;top:677;width:20;height:2" coordorigin="7327,677" coordsize="20,0" path="m7327,677l7346,677e" filled="false" stroked="true" strokeweight=".96pt" strokecolor="#000000">
                <v:path arrowok="t"/>
              </v:shape>
            </v:group>
            <v:group style="position:absolute;left:7346;top:677;width:1853;height:2" coordorigin="7346,677" coordsize="1853,2">
              <v:shape style="position:absolute;left:7346;top:677;width:1853;height:2" coordorigin="7346,677" coordsize="1853,0" path="m7346,677l9199,677e" filled="false" stroked="true" strokeweight=".96pt" strokecolor="#000000">
                <v:path arrowok="t"/>
              </v:shape>
              <v:shape style="position:absolute;left:912;top:14;width:3409;height:663" type="#_x0000_t202" filled="false" stroked="false">
                <v:textbox inset="0,0,0,0">
                  <w:txbxContent>
                    <w:p>
                      <w:pPr>
                        <w:spacing w:line="309" w:lineRule="auto" w:before="54"/>
                        <w:ind w:left="11" w:right="371" w:firstLine="0"/>
                        <w:jc w:val="left"/>
                        <w:rPr>
                          <w:rFonts w:ascii="Times New Roman" w:hAnsi="Times New Roman" w:cs="Times New Roman" w:eastAsia="Times New Roman" w:hint="default"/>
                          <w:sz w:val="21"/>
                          <w:szCs w:val="21"/>
                        </w:rPr>
                      </w:pPr>
                      <w:r>
                        <w:rPr>
                          <w:rFonts w:ascii="Times New Roman"/>
                          <w:spacing w:val="-1"/>
                          <w:sz w:val="21"/>
                        </w:rPr>
                        <w:t>INTERNATIONAL(SINGAPORE)</w:t>
                      </w:r>
                      <w:r>
                        <w:rPr>
                          <w:rFonts w:ascii="Times New Roman"/>
                          <w:spacing w:val="-36"/>
                          <w:sz w:val="21"/>
                        </w:rPr>
                        <w:t> </w:t>
                      </w:r>
                      <w:r>
                        <w:rPr>
                          <w:rFonts w:ascii="Times New Roman"/>
                          <w:spacing w:val="-36"/>
                          <w:sz w:val="21"/>
                        </w:rPr>
                      </w:r>
                      <w:r>
                        <w:rPr>
                          <w:rFonts w:ascii="Times New Roman"/>
                          <w:sz w:val="21"/>
                        </w:rPr>
                        <w:t>PTE.LTD.</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487" w:lineRule="auto" w:before="36"/>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4"/>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广西诚本规划设 计咨询有限公司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工程监理咨询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广西润联信息技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广州卓联科技有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五象云谷有限公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长嘉科技有限公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15"/>
              <w:jc w:val="left"/>
              <w:rPr>
                <w:rFonts w:ascii="宋体" w:hAnsi="宋体" w:cs="宋体" w:eastAsia="宋体" w:hint="default"/>
                <w:sz w:val="18"/>
                <w:szCs w:val="18"/>
              </w:rPr>
            </w:pPr>
            <w:r>
              <w:rPr>
                <w:rFonts w:ascii="宋体" w:hAnsi="宋体" w:cs="宋体" w:eastAsia="宋体" w:hint="default"/>
                <w:sz w:val="18"/>
                <w:szCs w:val="18"/>
              </w:rPr>
              <w:t>润沃科技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703" w:lineRule="exact"/>
              <w:ind w:left="2"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67.850pt;height:35.2pt;mso-position-horizontal-relative:char;mso-position-vertical-relative:line" coordorigin="0,0" coordsize="1357,704">
                  <v:group style="position:absolute;left:0;top:0;width:1357;height:704" coordorigin="0,0" coordsize="1357,704">
                    <v:shape style="position:absolute;left:0;top:0;width:1357;height:704" coordorigin="0,0" coordsize="1357,704" path="m0,703l1356,703,1356,0,0,0,0,703xe" filled="true" fillcolor="#ffffff" stroked="false">
                      <v:path arrowok="t"/>
                      <v:fill type="solid"/>
                    </v:shape>
                  </v:group>
                  <v:group style="position:absolute;left:22;top:156;width:1314;height:392" coordorigin="22,156" coordsize="1314,392">
                    <v:shape style="position:absolute;left:22;top:156;width:1314;height:392" coordorigin="22,156" coordsize="1314,392" path="m22,547l1335,547,1335,156,22,156,22,547xe" filled="true" fillcolor="#ffffff" stroked="false">
                      <v:path arrowok="t"/>
                      <v:fill type="solid"/>
                    </v:shape>
                  </v:group>
                </v:group>
              </w:pict>
            </w:r>
            <w:r>
              <w:rPr>
                <w:rFonts w:ascii="宋体" w:hAnsi="宋体" w:cs="宋体" w:eastAsia="宋体" w:hint="default"/>
                <w:position w:val="-13"/>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山东济南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广州汇柠科技有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广东南粤云视科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广西信安锐达科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广州云谷创智科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广州纵诺电力工 程技术有限公司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机电服务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广州市赛皓达智 能科技有限公司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机电服务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广州市恒泰电力 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机电工程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广州市泺立能源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机电设备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广州鑫广源电力 设计有限公司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机电设计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广东博深咨询有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机电咨询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润建国际有限公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设立取得</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27"/>
              <w:jc w:val="left"/>
              <w:rPr>
                <w:rFonts w:ascii="Times New Roman" w:hAnsi="Times New Roman" w:cs="Times New Roman" w:eastAsia="Times New Roman" w:hint="default"/>
                <w:sz w:val="18"/>
                <w:szCs w:val="18"/>
              </w:rPr>
            </w:pPr>
            <w:r>
              <w:rPr>
                <w:rFonts w:ascii="Times New Roman"/>
                <w:sz w:val="18"/>
              </w:rPr>
              <w:t>R&amp;J</w:t>
            </w:r>
            <w:r>
              <w:rPr>
                <w:rFonts w:ascii="Times New Roman"/>
                <w:w w:val="99"/>
                <w:sz w:val="18"/>
              </w:rPr>
              <w:t> </w:t>
            </w:r>
            <w:r>
              <w:rPr>
                <w:rFonts w:ascii="Times New Roman"/>
                <w:sz w:val="18"/>
              </w:rPr>
              <w:t>INTERNATION</w:t>
            </w:r>
            <w:r>
              <w:rPr>
                <w:rFonts w:ascii="Times New Roman"/>
                <w:w w:val="99"/>
                <w:sz w:val="18"/>
              </w:rPr>
              <w:t> </w:t>
            </w:r>
            <w:r>
              <w:rPr>
                <w:rFonts w:ascii="Times New Roman"/>
                <w:sz w:val="18"/>
              </w:rPr>
              <w:t>AL(SINGAPORE</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sz w:val="18"/>
              </w:rPr>
              <w:t>)</w:t>
            </w:r>
            <w:r>
              <w:rPr>
                <w:rFonts w:ascii="Times New Roman"/>
                <w:spacing w:val="3"/>
                <w:sz w:val="18"/>
              </w:rPr>
              <w:t> </w:t>
            </w:r>
            <w:r>
              <w:rPr>
                <w:rFonts w:ascii="Times New Roman"/>
                <w:spacing w:val="-3"/>
                <w:sz w:val="18"/>
              </w:rPr>
              <w:t>PTE.LTD.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设立取得</w:t>
            </w:r>
          </w:p>
        </w:tc>
      </w:tr>
    </w:tbl>
    <w:p>
      <w:pPr>
        <w:spacing w:line="357" w:lineRule="auto" w:before="51"/>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57"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4"/>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5"/>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60" w:lineRule="auto" w:before="51"/>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19"/>
          <w:szCs w:val="19"/>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4" w:right="92" w:hanging="181"/>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5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3"/>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d2d2d2"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d2d2d2"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7"/>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2" w:right="1057"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48,286,791.28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-1,126,489.77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line="610" w:lineRule="atLeast" w:before="2"/>
        <w:ind w:left="633" w:right="1057" w:hanging="481"/>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本公司与金融工具相关的风险源于本公司在经营过程中所确认的各类金融资产和金融负</w:t>
      </w:r>
    </w:p>
    <w:p>
      <w:pPr>
        <w:pStyle w:val="BodyText"/>
        <w:spacing w:line="331" w:lineRule="auto"/>
        <w:ind w:left="633" w:right="1057" w:hanging="481"/>
        <w:jc w:val="left"/>
      </w:pPr>
      <w:r>
        <w:rPr/>
        <w:t>债，包括：信用风险、流动性风险和市场风险。 本公司与金融工具相关的各类风险的管理目标和政策的制度由本公司管理层负责。经营</w:t>
      </w:r>
    </w:p>
    <w:p>
      <w:pPr>
        <w:pStyle w:val="BodyText"/>
        <w:spacing w:line="220" w:lineRule="exact"/>
        <w:ind w:right="1057"/>
        <w:jc w:val="left"/>
      </w:pPr>
      <w:r>
        <w:rPr/>
        <w:t>管理层通过职能部门负责日常的风险管理。本公司内部审计部门对公司风险管理的政策和程</w:t>
      </w:r>
    </w:p>
    <w:p>
      <w:pPr>
        <w:pStyle w:val="BodyText"/>
        <w:spacing w:line="331" w:lineRule="auto"/>
        <w:ind w:left="633" w:right="1057" w:hanging="481"/>
        <w:jc w:val="left"/>
      </w:pPr>
      <w:r>
        <w:rPr/>
        <w:t>序的执行情况进行日常监督，并且将有关发现及时报告给本公司审计委员会。 本公司风险管理的总体目标是在不过度影响公司竞争力和应变力的情况下，制定尽可能</w:t>
      </w:r>
    </w:p>
    <w:p>
      <w:pPr>
        <w:pStyle w:val="BodyText"/>
        <w:spacing w:line="221" w:lineRule="exact"/>
        <w:ind w:right="1057"/>
        <w:jc w:val="left"/>
      </w:pPr>
      <w:r>
        <w:rPr/>
        <w:t>降低各类与金融工具相关风险的风险管理政策。</w:t>
      </w:r>
    </w:p>
    <w:p>
      <w:pPr>
        <w:pStyle w:val="BodyText"/>
        <w:spacing w:line="312" w:lineRule="auto" w:before="118"/>
        <w:ind w:left="633" w:right="1057"/>
        <w:jc w:val="left"/>
      </w:pPr>
      <w:r>
        <w:rPr>
          <w:rFonts w:ascii="Times New Roman" w:hAnsi="Times New Roman" w:cs="Times New Roman" w:eastAsia="Times New Roman" w:hint="default"/>
        </w:rPr>
        <w:t>1.</w:t>
      </w:r>
      <w:r>
        <w:rPr/>
        <w:t>信用风险 信用风险，是指金融工具的一方未能履行义务从而导致另一方发生财务损失的风险。本</w:t>
      </w:r>
    </w:p>
    <w:p>
      <w:pPr>
        <w:pStyle w:val="BodyText"/>
        <w:spacing w:line="239" w:lineRule="exact"/>
        <w:ind w:right="1057"/>
        <w:jc w:val="left"/>
      </w:pPr>
      <w:r>
        <w:rPr/>
        <w:t>公司的信用风险主要产生于货币资金、应收票据、应收账款、其他应收款等，这些金融资产</w:t>
      </w:r>
    </w:p>
    <w:p>
      <w:pPr>
        <w:pStyle w:val="BodyText"/>
        <w:spacing w:line="313" w:lineRule="exact"/>
        <w:ind w:right="1057"/>
        <w:jc w:val="left"/>
      </w:pPr>
      <w:r>
        <w:rPr/>
        <w:t>的信用风险源自交易对手违约，最大的风险敞口等于这些工具的账面金额。</w:t>
      </w:r>
    </w:p>
    <w:p>
      <w:pPr>
        <w:spacing w:after="0" w:line="313"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40" w:firstLine="480"/>
        <w:jc w:val="both"/>
      </w:pPr>
      <w:r>
        <w:rPr/>
        <w:t>本公司货币资金主要存放于商业银行等金融机构，本公司认为这些商业银行具备较高信 誉和资产状况，存在较低的信用风险。</w:t>
      </w:r>
    </w:p>
    <w:p>
      <w:pPr>
        <w:pStyle w:val="BodyText"/>
        <w:spacing w:line="312" w:lineRule="exact" w:before="120"/>
        <w:ind w:right="1134" w:firstLine="480"/>
        <w:jc w:val="both"/>
      </w:pPr>
      <w:r>
        <w:rPr/>
        <w:t>对于应收票据、应收账款、其他应收款，本公司设定相关政策以控制信用风险敞口。本 公司基于对客户的财务状况、从第三方获取担保的可能性、信用记录及其他因素诸如目前市</w:t>
      </w:r>
      <w:r>
        <w:rPr>
          <w:spacing w:val="-86"/>
        </w:rPr>
        <w:t> </w:t>
      </w:r>
      <w:r>
        <w:rPr>
          <w:spacing w:val="-86"/>
        </w:rPr>
      </w:r>
      <w:r>
        <w:rPr/>
        <w:t>场状况等评估客户的信用资质并设置相应信用期。本公司会定期对客户信用记录进行监控，</w:t>
      </w:r>
      <w:r>
        <w:rPr>
          <w:spacing w:val="-88"/>
        </w:rPr>
        <w:t> </w:t>
      </w:r>
      <w:r>
        <w:rPr>
          <w:spacing w:val="-88"/>
        </w:rPr>
      </w:r>
      <w:r>
        <w:rPr/>
        <w:t>对于信用记录不良的客户，本公司会采用书面催款、缩短信用期或取消信用期等方式，以确</w:t>
      </w:r>
      <w:r>
        <w:rPr>
          <w:spacing w:val="-91"/>
        </w:rPr>
        <w:t> </w:t>
      </w:r>
      <w:r>
        <w:rPr>
          <w:spacing w:val="-91"/>
        </w:rPr>
      </w:r>
      <w:r>
        <w:rPr/>
        <w:t>保本公司的整体信用风险在可控的范围内。</w:t>
      </w:r>
    </w:p>
    <w:p>
      <w:pPr>
        <w:pStyle w:val="BodyText"/>
        <w:spacing w:line="312" w:lineRule="auto" w:before="89"/>
        <w:ind w:left="633" w:right="1057"/>
        <w:jc w:val="left"/>
      </w:pPr>
      <w:r>
        <w:rPr>
          <w:rFonts w:ascii="Times New Roman" w:hAnsi="Times New Roman" w:cs="Times New Roman" w:eastAsia="Times New Roman" w:hint="default"/>
        </w:rPr>
        <w:t>(1)</w:t>
      </w:r>
      <w:r>
        <w:rPr/>
        <w:t>信用风险显著增加判断标准</w:t>
      </w:r>
      <w:r>
        <w:rPr>
          <w:w w:val="99"/>
        </w:rPr>
        <w:t> </w:t>
      </w:r>
      <w:r>
        <w:rPr>
          <w:spacing w:val="6"/>
        </w:rPr>
        <w:t>本公司在每个资产负债表日评估相关金融工具的信用风险自初始确认后是否已显著增</w:t>
      </w:r>
    </w:p>
    <w:p>
      <w:pPr>
        <w:pStyle w:val="BodyText"/>
        <w:spacing w:line="239" w:lineRule="exact"/>
        <w:ind w:right="0"/>
        <w:jc w:val="both"/>
      </w:pPr>
      <w:r>
        <w:rPr/>
        <w:t>加。在确定信用风险自初始确认后是否显著增加时，本公司考虑在无须付出不必要的额外成</w:t>
      </w:r>
    </w:p>
    <w:p>
      <w:pPr>
        <w:pStyle w:val="BodyText"/>
        <w:spacing w:line="312" w:lineRule="exact" w:before="30"/>
        <w:ind w:right="1136"/>
        <w:jc w:val="both"/>
      </w:pPr>
      <w:r>
        <w:rPr/>
        <w:t>本或努力即可获得合理且有依据的信息，包括基于本公司历史数据的定性和定量分析、外部</w:t>
      </w:r>
      <w:r>
        <w:rPr>
          <w:spacing w:val="-91"/>
        </w:rPr>
        <w:t> </w:t>
      </w:r>
      <w:r>
        <w:rPr>
          <w:spacing w:val="-91"/>
        </w:rPr>
      </w:r>
      <w:r>
        <w:rPr/>
        <w:t>信用风险评级以及前瞻性信息。本公司以单项金融工具或者具有相似信用风险特征的金融工</w:t>
      </w:r>
      <w:r>
        <w:rPr>
          <w:spacing w:val="-89"/>
        </w:rPr>
        <w:t> </w:t>
      </w:r>
      <w:r>
        <w:rPr>
          <w:spacing w:val="-89"/>
        </w:rPr>
      </w:r>
      <w:r>
        <w:rPr/>
        <w:t>具组合为基础，通过比较金融工具在资产负债表日发生违约的风险与在初始确认日发生违约</w:t>
      </w:r>
      <w:r>
        <w:rPr>
          <w:spacing w:val="-91"/>
        </w:rPr>
        <w:t> </w:t>
      </w:r>
      <w:r>
        <w:rPr>
          <w:spacing w:val="-91"/>
        </w:rPr>
      </w:r>
      <w:r>
        <w:rPr/>
        <w:t>的风险，以确定金融工具预计存续期内发生违约风险的变化情况。</w:t>
      </w:r>
    </w:p>
    <w:p>
      <w:pPr>
        <w:pStyle w:val="BodyText"/>
        <w:spacing w:line="312" w:lineRule="exact" w:before="120"/>
        <w:ind w:right="1136" w:firstLine="480"/>
        <w:jc w:val="both"/>
      </w:pPr>
      <w:r>
        <w:rPr/>
        <w:t>当触发以下一个或多个定量、定性标准时，本公司认为金融工具的信用风险已发生显著 增加：定量标准主要为报告日剩余存续期违约概率较初始确认时上升超过一定比例；定性标</w:t>
      </w:r>
      <w:r>
        <w:rPr>
          <w:spacing w:val="-91"/>
        </w:rPr>
        <w:t> </w:t>
      </w:r>
      <w:r>
        <w:rPr>
          <w:spacing w:val="-91"/>
        </w:rPr>
      </w:r>
      <w:r>
        <w:rPr/>
        <w:t>准为主要债务人经营或财务情况出现重大不利变化、预警客户清单等。</w:t>
      </w:r>
    </w:p>
    <w:p>
      <w:pPr>
        <w:pStyle w:val="BodyText"/>
        <w:spacing w:line="312" w:lineRule="auto" w:before="89"/>
        <w:ind w:left="633" w:right="1057"/>
        <w:jc w:val="left"/>
      </w:pPr>
      <w:r>
        <w:rPr>
          <w:rFonts w:ascii="Times New Roman" w:hAnsi="Times New Roman" w:cs="Times New Roman" w:eastAsia="Times New Roman" w:hint="default"/>
        </w:rPr>
        <w:t>(2)</w:t>
      </w:r>
      <w:r>
        <w:rPr/>
        <w:t>已发生信用减值资产的定义</w:t>
      </w:r>
      <w:r>
        <w:rPr>
          <w:w w:val="99"/>
        </w:rPr>
        <w:t> </w:t>
      </w:r>
      <w:r>
        <w:rPr/>
        <w:t>为确定是否发生信用减值，本公司所采用的界定标准，与内部针对相关金融工具的信用</w:t>
      </w:r>
    </w:p>
    <w:p>
      <w:pPr>
        <w:pStyle w:val="BodyText"/>
        <w:spacing w:line="259" w:lineRule="exact"/>
        <w:ind w:right="0"/>
        <w:jc w:val="both"/>
      </w:pPr>
      <w:r>
        <w:rPr/>
        <w:t>风险管理目标保持一致</w:t>
      </w:r>
      <w:r>
        <w:rPr>
          <w:rFonts w:ascii="Times New Roman" w:hAnsi="Times New Roman" w:cs="Times New Roman" w:eastAsia="Times New Roman" w:hint="default"/>
        </w:rPr>
        <w:t>,</w:t>
      </w:r>
      <w:r>
        <w:rPr/>
        <w:t>同时考虑定量、定性指标。</w:t>
      </w:r>
    </w:p>
    <w:p>
      <w:pPr>
        <w:pStyle w:val="BodyText"/>
        <w:spacing w:line="312" w:lineRule="exact" w:before="130"/>
        <w:ind w:right="1135" w:firstLine="480"/>
        <w:jc w:val="both"/>
      </w:pPr>
      <w:r>
        <w:rPr/>
        <w:t>本公司评估债务人是否发生信用减值时，主要考虑以下因素：发行方或债务人发生重大 财务困难；债务人违反合同，如偿付利息或本金违约或逾期等；债权人出于与债务人财务困</w:t>
      </w:r>
      <w:r>
        <w:rPr>
          <w:spacing w:val="-91"/>
        </w:rPr>
        <w:t> </w:t>
      </w:r>
      <w:r>
        <w:rPr>
          <w:spacing w:val="-91"/>
        </w:rPr>
      </w:r>
      <w:r>
        <w:rPr/>
        <w:t>难有关的经济或合同考虑，给予债务人在任何其他情况下都不会做出的让步；债务人很可能</w:t>
      </w:r>
      <w:r>
        <w:rPr>
          <w:spacing w:val="-88"/>
        </w:rPr>
        <w:t> </w:t>
      </w:r>
      <w:r>
        <w:rPr>
          <w:spacing w:val="-88"/>
        </w:rPr>
      </w:r>
      <w:r>
        <w:rPr/>
        <w:t>破产或进行其他财务重组；发行方或债务人财务困难导致该金融资产的活跃市场消失；以大</w:t>
      </w:r>
      <w:r>
        <w:rPr>
          <w:spacing w:val="-91"/>
        </w:rPr>
        <w:t> </w:t>
      </w:r>
      <w:r>
        <w:rPr>
          <w:spacing w:val="-91"/>
        </w:rPr>
      </w:r>
      <w:r>
        <w:rPr/>
        <w:t>幅折扣购买或源生一项金融资产，该折扣反映了发生信用损失的事实。</w:t>
      </w:r>
    </w:p>
    <w:p>
      <w:pPr>
        <w:pStyle w:val="BodyText"/>
        <w:spacing w:line="312" w:lineRule="exact" w:before="120"/>
        <w:ind w:right="1140" w:firstLine="480"/>
        <w:jc w:val="both"/>
      </w:pPr>
      <w:r>
        <w:rPr/>
        <w:t>金融资产发生信用减值，有可能是多个事件的共同作用所致，未必是可单独识别的事件 所致。</w:t>
      </w:r>
    </w:p>
    <w:p>
      <w:pPr>
        <w:pStyle w:val="BodyText"/>
        <w:spacing w:line="312" w:lineRule="auto" w:before="89"/>
        <w:ind w:left="633" w:right="1057"/>
        <w:jc w:val="left"/>
      </w:pPr>
      <w:r>
        <w:rPr>
          <w:rFonts w:ascii="Times New Roman" w:hAnsi="Times New Roman" w:cs="Times New Roman" w:eastAsia="Times New Roman" w:hint="default"/>
        </w:rPr>
        <w:t>(3)</w:t>
      </w:r>
      <w:r>
        <w:rPr/>
        <w:t>预期信用损失计量的参数</w:t>
      </w:r>
      <w:r>
        <w:rPr>
          <w:w w:val="99"/>
        </w:rPr>
        <w:t> </w:t>
      </w:r>
      <w:r>
        <w:rPr/>
        <w:t>根据信用风险是否发生显著增加以及是否已发生信用减值，本公司对不同的资产分别以</w:t>
      </w:r>
    </w:p>
    <w:p>
      <w:pPr>
        <w:pStyle w:val="BodyText"/>
        <w:spacing w:line="248" w:lineRule="exact"/>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个月或整个存续期的预期信用损失计量减值准备。预期信用损失计量的关键参数包括违约</w:t>
      </w:r>
    </w:p>
    <w:p>
      <w:pPr>
        <w:pStyle w:val="BodyText"/>
        <w:spacing w:line="312" w:lineRule="exact" w:before="20"/>
        <w:ind w:right="1134"/>
        <w:jc w:val="both"/>
      </w:pPr>
      <w:r>
        <w:rPr>
          <w:spacing w:val="-2"/>
        </w:rPr>
        <w:t>概率、违约损失率和违约风险敞口。本公司考虑历史统计数据</w:t>
      </w:r>
      <w:r>
        <w:rPr>
          <w:rFonts w:ascii="Times New Roman" w:hAnsi="Times New Roman" w:cs="Times New Roman" w:eastAsia="Times New Roman" w:hint="default"/>
          <w:spacing w:val="-2"/>
        </w:rPr>
        <w:t>(</w:t>
      </w:r>
      <w:r>
        <w:rPr>
          <w:spacing w:val="-2"/>
        </w:rPr>
        <w:t>如交易对手评级、担保方式及</w:t>
      </w:r>
      <w:r>
        <w:rPr>
          <w:spacing w:val="-83"/>
        </w:rPr>
        <w:t> </w:t>
      </w:r>
      <w:r>
        <w:rPr>
          <w:spacing w:val="-83"/>
        </w:rPr>
      </w:r>
      <w:r>
        <w:rPr>
          <w:spacing w:val="-2"/>
        </w:rPr>
        <w:t>抵质押物类别、还款方式等</w:t>
      </w:r>
      <w:r>
        <w:rPr>
          <w:rFonts w:ascii="Times New Roman" w:hAnsi="Times New Roman" w:cs="Times New Roman" w:eastAsia="Times New Roman" w:hint="default"/>
          <w:spacing w:val="-2"/>
        </w:rPr>
        <w:t>)</w:t>
      </w:r>
      <w:r>
        <w:rPr>
          <w:spacing w:val="-2"/>
        </w:rPr>
        <w:t>的定量分析及前瞻性信息，建立违约概率、违约损失率及违约风</w:t>
      </w:r>
      <w:r>
        <w:rPr>
          <w:spacing w:val="-83"/>
        </w:rPr>
        <w:t> </w:t>
      </w:r>
      <w:r>
        <w:rPr>
          <w:spacing w:val="-83"/>
        </w:rPr>
      </w:r>
      <w:r>
        <w:rPr/>
        <w:t>险敞口模型。</w:t>
      </w:r>
    </w:p>
    <w:p>
      <w:pPr>
        <w:pStyle w:val="BodyText"/>
        <w:spacing w:line="240" w:lineRule="auto" w:before="89"/>
        <w:ind w:left="633" w:right="1057"/>
        <w:jc w:val="left"/>
      </w:pPr>
      <w:r>
        <w:rPr/>
        <w:t>相关定义如下：</w:t>
      </w:r>
    </w:p>
    <w:p>
      <w:pPr>
        <w:pStyle w:val="BodyText"/>
        <w:spacing w:line="240" w:lineRule="auto" w:before="118"/>
        <w:ind w:left="633" w:right="1057"/>
        <w:jc w:val="left"/>
      </w:pPr>
      <w:r>
        <w:rPr>
          <w:spacing w:val="3"/>
        </w:rPr>
        <w:t>违约概率是指债务人在未来</w:t>
      </w:r>
      <w:r>
        <w:rPr>
          <w:spacing w:val="17"/>
        </w:rPr>
        <w:t> </w:t>
      </w:r>
      <w:r>
        <w:rPr>
          <w:rFonts w:ascii="Times New Roman" w:hAnsi="Times New Roman" w:cs="Times New Roman" w:eastAsia="Times New Roman" w:hint="default"/>
          <w:spacing w:val="3"/>
        </w:rPr>
        <w:t>12</w:t>
      </w:r>
      <w:r>
        <w:rPr>
          <w:spacing w:val="3"/>
        </w:rPr>
        <w:t>个月或在整个剩余存续期，无法履行其偿付义务的可能</w:t>
      </w:r>
    </w:p>
    <w:p>
      <w:pPr>
        <w:pStyle w:val="BodyText"/>
        <w:spacing w:line="294" w:lineRule="exact"/>
        <w:ind w:right="1057"/>
        <w:jc w:val="left"/>
      </w:pPr>
      <w:r>
        <w:rPr/>
        <w:t>性。</w:t>
      </w:r>
    </w:p>
    <w:p>
      <w:pPr>
        <w:pStyle w:val="BodyText"/>
        <w:spacing w:line="240" w:lineRule="auto" w:before="118"/>
        <w:ind w:left="633" w:right="1000"/>
        <w:jc w:val="left"/>
      </w:pPr>
      <w:r>
        <w:rPr>
          <w:spacing w:val="-3"/>
        </w:rPr>
        <w:t>违约损失率是指本公司对违约风险暴露发生损失程度作出的预期。根据交易对手的类型、</w:t>
      </w:r>
    </w:p>
    <w:p>
      <w:pPr>
        <w:pStyle w:val="BodyText"/>
        <w:spacing w:line="312" w:lineRule="exact" w:before="28"/>
        <w:ind w:right="1057"/>
        <w:jc w:val="left"/>
      </w:pPr>
      <w:r>
        <w:rPr/>
        <w:t>追索的方式和优先级，以及担保品的不同，违约损失率也有所不同。违约损失率为违约发生</w:t>
      </w:r>
      <w:r>
        <w:rPr>
          <w:spacing w:val="-90"/>
        </w:rPr>
        <w:t> </w:t>
      </w:r>
      <w:r>
        <w:rPr>
          <w:spacing w:val="-90"/>
        </w:rPr>
      </w:r>
      <w:r>
        <w:rPr/>
        <w:t>时风险敞口损失的百分比，以未来</w:t>
      </w:r>
      <w:r>
        <w:rPr>
          <w:rFonts w:ascii="Times New Roman" w:hAnsi="Times New Roman" w:cs="Times New Roman" w:eastAsia="Times New Roman" w:hint="default"/>
        </w:rPr>
        <w:t>12</w:t>
      </w:r>
      <w:r>
        <w:rPr/>
        <w:t>个月内或整个存续期为基准进行计算；</w:t>
      </w:r>
    </w:p>
    <w:p>
      <w:pPr>
        <w:spacing w:after="0" w:line="312"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26" w:firstLine="480"/>
        <w:jc w:val="both"/>
      </w:pPr>
      <w:r>
        <w:rPr/>
        <w:t>违约风险敞口是指，在未来 </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spacing w:val="2"/>
        </w:rPr>
        <w:t>个月或在整个剩余存续期中，在违约发生时，本公司应 </w:t>
      </w:r>
      <w:r>
        <w:rPr/>
        <w:t>被偿付的金额。前瞻性信息信用风险显著增加的评估及预期信用损失的计算均涉及前瞻性信</w:t>
      </w:r>
      <w:r>
        <w:rPr>
          <w:spacing w:val="-91"/>
        </w:rPr>
        <w:t> </w:t>
      </w:r>
      <w:r>
        <w:rPr>
          <w:spacing w:val="-91"/>
        </w:rPr>
      </w:r>
      <w:r>
        <w:rPr/>
        <w:t>息。本公司通过进行历史数据分析，识别出影响各业务类型信用风险及预期信用损失的关键</w:t>
      </w:r>
      <w:r>
        <w:rPr>
          <w:spacing w:val="-91"/>
        </w:rPr>
        <w:t> </w:t>
      </w:r>
      <w:r>
        <w:rPr>
          <w:spacing w:val="-91"/>
        </w:rPr>
      </w:r>
      <w:r>
        <w:rPr/>
        <w:t>经济指标。</w:t>
      </w:r>
    </w:p>
    <w:p>
      <w:pPr>
        <w:pStyle w:val="BodyText"/>
        <w:spacing w:line="312" w:lineRule="exact" w:before="120"/>
        <w:ind w:right="1135" w:firstLine="480"/>
        <w:jc w:val="both"/>
      </w:pPr>
      <w:r>
        <w:rPr/>
        <w:t>本公司所承受的最大信用风险敞口为资产负债表中每项金融资产的账面金额。本公司所 承受的最大信用风险敞口为资产负债表中每项金融资产的账面金额。本公司还因提供财务担</w:t>
      </w:r>
      <w:r>
        <w:rPr>
          <w:spacing w:val="-87"/>
        </w:rPr>
        <w:t> </w:t>
      </w:r>
      <w:r>
        <w:rPr>
          <w:spacing w:val="-87"/>
        </w:rPr>
      </w:r>
      <w:r>
        <w:rPr/>
        <w:t>保而面临信用风险，详见附注十一、</w:t>
      </w:r>
      <w:r>
        <w:rPr>
          <w:rFonts w:ascii="Times New Roman" w:hAnsi="Times New Roman" w:cs="Times New Roman" w:eastAsia="Times New Roman" w:hint="default"/>
        </w:rPr>
        <w:t>1</w:t>
      </w:r>
      <w:r>
        <w:rPr/>
        <w:t>中披露。</w:t>
      </w:r>
    </w:p>
    <w:p>
      <w:pPr>
        <w:pStyle w:val="BodyText"/>
        <w:spacing w:line="312" w:lineRule="exact" w:before="120"/>
        <w:ind w:right="1135" w:firstLine="480"/>
        <w:jc w:val="both"/>
      </w:pPr>
      <w:r>
        <w:rPr/>
        <w:t>本公司应收账款中，前五大客户的应收账款占本公司应收账款总额的</w:t>
      </w:r>
      <w:r>
        <w:rPr>
          <w:rFonts w:ascii="Times New Roman" w:hAnsi="Times New Roman" w:cs="Times New Roman" w:eastAsia="Times New Roman" w:hint="default"/>
        </w:rPr>
        <w:t>46.17%</w:t>
      </w:r>
      <w:r>
        <w:rPr/>
        <w:t>（比较期： </w:t>
      </w:r>
      <w:r>
        <w:rPr>
          <w:rFonts w:ascii="Times New Roman" w:hAnsi="Times New Roman" w:cs="Times New Roman" w:eastAsia="Times New Roman" w:hint="default"/>
        </w:rPr>
        <w:t>48.77%</w:t>
      </w:r>
      <w:r>
        <w:rPr/>
        <w:t>）；本公司其他应收款中，欠款金额前五大公司的其他应收款占本公司其他应收款总</w:t>
      </w:r>
      <w:r>
        <w:rPr>
          <w:spacing w:val="-107"/>
        </w:rPr>
        <w:t> </w:t>
      </w:r>
      <w:r>
        <w:rPr>
          <w:spacing w:val="-107"/>
        </w:rPr>
      </w:r>
      <w:r>
        <w:rPr/>
        <w:t>额的</w:t>
      </w:r>
      <w:r>
        <w:rPr>
          <w:rFonts w:ascii="Times New Roman" w:hAnsi="Times New Roman" w:cs="Times New Roman" w:eastAsia="Times New Roman" w:hint="default"/>
        </w:rPr>
        <w:t>32.15%</w:t>
      </w:r>
      <w:r>
        <w:rPr/>
        <w:t>（比较：</w:t>
      </w:r>
      <w:r>
        <w:rPr>
          <w:rFonts w:ascii="Times New Roman" w:hAnsi="Times New Roman" w:cs="Times New Roman" w:eastAsia="Times New Roman" w:hint="default"/>
        </w:rPr>
        <w:t>39.83%</w:t>
      </w:r>
      <w:r>
        <w:rPr/>
        <w:t>）。</w:t>
      </w:r>
    </w:p>
    <w:p>
      <w:pPr>
        <w:pStyle w:val="BodyText"/>
        <w:spacing w:line="312" w:lineRule="auto" w:before="90"/>
        <w:ind w:left="633" w:right="1057"/>
        <w:jc w:val="left"/>
      </w:pPr>
      <w:r>
        <w:rPr>
          <w:rFonts w:ascii="Times New Roman" w:hAnsi="Times New Roman" w:cs="Times New Roman" w:eastAsia="Times New Roman" w:hint="default"/>
        </w:rPr>
        <w:t>2.</w:t>
      </w:r>
      <w:r>
        <w:rPr/>
        <w:t>流动性风险 流动性风险，是指企业在履行以交付现金或其他金融资产的方式结算的义务时发生资金</w:t>
      </w:r>
    </w:p>
    <w:p>
      <w:pPr>
        <w:pStyle w:val="BodyText"/>
        <w:spacing w:line="239" w:lineRule="exact"/>
        <w:ind w:right="1057"/>
        <w:jc w:val="left"/>
      </w:pPr>
      <w:r>
        <w:rPr/>
        <w:t>短缺的风险。本公司统筹负责公司内各子公司的现金管理工作，包括现金盈余的短期投资和</w:t>
      </w:r>
    </w:p>
    <w:p>
      <w:pPr>
        <w:pStyle w:val="BodyText"/>
        <w:spacing w:line="312" w:lineRule="exact" w:before="29"/>
        <w:ind w:right="1057"/>
        <w:jc w:val="left"/>
      </w:pPr>
      <w:r>
        <w:rPr/>
        <w:t>筹措贷款以应付预计现金需求。本公司的政策是定期监控短期和长期的流动资金需求，以及</w:t>
      </w:r>
      <w:r>
        <w:rPr>
          <w:spacing w:val="-87"/>
        </w:rPr>
        <w:t> </w:t>
      </w:r>
      <w:r>
        <w:rPr>
          <w:spacing w:val="-87"/>
        </w:rPr>
      </w:r>
      <w:r>
        <w:rPr/>
        <w:t>是否符合借款协议的规定，以确保维持充裕的现金储备和可供随时变现的有价证券。</w:t>
      </w:r>
    </w:p>
    <w:p>
      <w:pPr>
        <w:pStyle w:val="BodyText"/>
        <w:spacing w:line="240" w:lineRule="auto" w:before="89"/>
        <w:ind w:left="633" w:right="1057"/>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日，本公司金融负债到期期限如下：</w:t>
      </w:r>
    </w:p>
    <w:tbl>
      <w:tblPr>
        <w:tblW w:w="0" w:type="auto"/>
        <w:jc w:val="left"/>
        <w:tblInd w:w="145" w:type="dxa"/>
        <w:tblLayout w:type="fixed"/>
        <w:tblCellMar>
          <w:top w:w="0" w:type="dxa"/>
          <w:left w:w="0" w:type="dxa"/>
          <w:bottom w:w="0" w:type="dxa"/>
          <w:right w:w="0" w:type="dxa"/>
        </w:tblCellMar>
        <w:tblLook w:val="01E0"/>
      </w:tblPr>
      <w:tblGrid>
        <w:gridCol w:w="2408"/>
        <w:gridCol w:w="1673"/>
        <w:gridCol w:w="1805"/>
        <w:gridCol w:w="1525"/>
        <w:gridCol w:w="1661"/>
      </w:tblGrid>
      <w:tr>
        <w:trPr>
          <w:trHeight w:val="350" w:hRule="exact"/>
        </w:trPr>
        <w:tc>
          <w:tcPr>
            <w:tcW w:w="2408" w:type="dxa"/>
            <w:vMerge w:val="restart"/>
            <w:tcBorders>
              <w:top w:val="single" w:sz="6" w:space="0" w:color="000000"/>
              <w:left w:val="single" w:sz="6" w:space="0" w:color="000000"/>
              <w:right w:val="single" w:sz="6" w:space="0" w:color="000000"/>
            </w:tcBorders>
          </w:tcPr>
          <w:p>
            <w:pPr>
              <w:pStyle w:val="TableParagraph"/>
              <w:spacing w:line="272" w:lineRule="exact"/>
              <w:ind w:left="77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6664" w:type="dxa"/>
            <w:gridSpan w:val="4"/>
            <w:tcBorders>
              <w:top w:val="single" w:sz="6" w:space="0" w:color="000000"/>
              <w:left w:val="single" w:sz="6" w:space="0" w:color="000000"/>
              <w:bottom w:val="single" w:sz="8" w:space="0" w:color="000000"/>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6" w:hRule="exact"/>
        </w:trPr>
        <w:tc>
          <w:tcPr>
            <w:tcW w:w="2408" w:type="dxa"/>
            <w:vMerge/>
            <w:tcBorders>
              <w:left w:val="single" w:sz="6" w:space="0" w:color="000000"/>
              <w:bottom w:val="single" w:sz="8" w:space="0" w:color="000000"/>
              <w:right w:val="single" w:sz="6" w:space="0" w:color="000000"/>
            </w:tcBorders>
          </w:tcPr>
          <w:p>
            <w:pP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525" w:type="dxa"/>
            <w:tcBorders>
              <w:top w:val="single" w:sz="8" w:space="0" w:color="000000"/>
              <w:left w:val="single" w:sz="6" w:space="0" w:color="000000"/>
              <w:bottom w:val="single" w:sz="8" w:space="0" w:color="000000"/>
              <w:right w:val="single" w:sz="6" w:space="0" w:color="000000"/>
            </w:tcBorders>
          </w:tcPr>
          <w:p>
            <w:pPr>
              <w:pStyle w:val="TableParagraph"/>
              <w:spacing w:line="28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83" w:lineRule="exact"/>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8" w:hRule="exact"/>
        </w:trPr>
        <w:tc>
          <w:tcPr>
            <w:tcW w:w="240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465,720,000.00</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25"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2408"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1"/>
                <w:szCs w:val="21"/>
              </w:rPr>
            </w:pPr>
            <w:r>
              <w:rPr>
                <w:rFonts w:ascii="Times New Roman"/>
                <w:spacing w:val="-1"/>
                <w:sz w:val="21"/>
              </w:rPr>
              <w:t>986,693,584.71</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25"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40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82,312,044.63</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25"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40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1,534,725,629.34</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25"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bl>
    <w:p>
      <w:pPr>
        <w:pStyle w:val="BodyText"/>
        <w:spacing w:line="294" w:lineRule="exact"/>
        <w:ind w:left="633" w:right="1057"/>
        <w:jc w:val="left"/>
      </w:pPr>
      <w:r>
        <w:rPr/>
        <w:t>（续上表）</w:t>
      </w:r>
    </w:p>
    <w:p>
      <w:pPr>
        <w:spacing w:line="240" w:lineRule="auto" w:before="10"/>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408"/>
        <w:gridCol w:w="1673"/>
        <w:gridCol w:w="1805"/>
        <w:gridCol w:w="1525"/>
        <w:gridCol w:w="1661"/>
      </w:tblGrid>
      <w:tr>
        <w:trPr>
          <w:trHeight w:val="348" w:hRule="exact"/>
        </w:trPr>
        <w:tc>
          <w:tcPr>
            <w:tcW w:w="2408" w:type="dxa"/>
            <w:vMerge w:val="restart"/>
            <w:tcBorders>
              <w:top w:val="single" w:sz="6" w:space="0" w:color="000000"/>
              <w:left w:val="single" w:sz="6" w:space="0" w:color="000000"/>
              <w:right w:val="single" w:sz="6" w:space="0" w:color="000000"/>
            </w:tcBorders>
          </w:tcPr>
          <w:p>
            <w:pPr>
              <w:pStyle w:val="TableParagraph"/>
              <w:spacing w:line="272" w:lineRule="exact"/>
              <w:ind w:left="77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6664" w:type="dxa"/>
            <w:gridSpan w:val="4"/>
            <w:tcBorders>
              <w:top w:val="single" w:sz="6" w:space="0" w:color="000000"/>
              <w:left w:val="single" w:sz="6" w:space="0" w:color="000000"/>
              <w:bottom w:val="single" w:sz="8" w:space="0" w:color="000000"/>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8" w:hRule="exact"/>
        </w:trPr>
        <w:tc>
          <w:tcPr>
            <w:tcW w:w="2408" w:type="dxa"/>
            <w:vMerge/>
            <w:tcBorders>
              <w:left w:val="single" w:sz="6" w:space="0" w:color="000000"/>
              <w:bottom w:val="single" w:sz="8" w:space="0" w:color="000000"/>
              <w:right w:val="single" w:sz="6" w:space="0" w:color="000000"/>
            </w:tcBorders>
          </w:tcPr>
          <w:p>
            <w:pP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05"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525" w:type="dxa"/>
            <w:tcBorders>
              <w:top w:val="single" w:sz="8" w:space="0" w:color="000000"/>
              <w:left w:val="single" w:sz="6" w:space="0" w:color="000000"/>
              <w:bottom w:val="single" w:sz="8"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85" w:lineRule="exact"/>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8" w:hRule="exact"/>
        </w:trPr>
        <w:tc>
          <w:tcPr>
            <w:tcW w:w="240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230,000,000.00</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25"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240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593,392,685.27</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25"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40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20,847,536.84</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25"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40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844,240,222.11</w:t>
            </w:r>
          </w:p>
        </w:tc>
        <w:tc>
          <w:tcPr>
            <w:tcW w:w="1805" w:type="dxa"/>
            <w:tcBorders>
              <w:top w:val="single" w:sz="8" w:space="0" w:color="000000"/>
              <w:left w:val="single" w:sz="6" w:space="0" w:color="000000"/>
              <w:bottom w:val="single" w:sz="8" w:space="0" w:color="000000"/>
              <w:right w:val="single" w:sz="6" w:space="0" w:color="000000"/>
            </w:tcBorders>
          </w:tcPr>
          <w:p>
            <w:pPr/>
          </w:p>
        </w:tc>
        <w:tc>
          <w:tcPr>
            <w:tcW w:w="1525"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bl>
    <w:p>
      <w:pPr>
        <w:pStyle w:val="BodyText"/>
        <w:spacing w:line="240" w:lineRule="auto" w:before="82"/>
        <w:ind w:left="633" w:right="1057"/>
        <w:jc w:val="left"/>
      </w:pPr>
      <w:r>
        <w:rPr>
          <w:rFonts w:ascii="Times New Roman" w:hAnsi="Times New Roman" w:cs="Times New Roman" w:eastAsia="Times New Roman" w:hint="default"/>
        </w:rPr>
        <w:t>3.</w:t>
      </w:r>
      <w:r>
        <w:rPr/>
        <w:t>市场风险</w:t>
      </w:r>
    </w:p>
    <w:p>
      <w:pPr>
        <w:pStyle w:val="BodyText"/>
        <w:spacing w:line="312" w:lineRule="auto" w:before="99"/>
        <w:ind w:left="633" w:right="1000"/>
        <w:jc w:val="left"/>
      </w:pPr>
      <w:r>
        <w:rPr/>
        <w:t>（</w:t>
      </w:r>
      <w:r>
        <w:rPr>
          <w:rFonts w:ascii="Times New Roman" w:hAnsi="Times New Roman" w:cs="Times New Roman" w:eastAsia="Times New Roman" w:hint="default"/>
        </w:rPr>
        <w:t>1</w:t>
      </w:r>
      <w:r>
        <w:rPr/>
        <w:t>）利率风险 </w:t>
      </w:r>
      <w:r>
        <w:rPr>
          <w:spacing w:val="-3"/>
        </w:rPr>
        <w:t>利率风险，是指金融工具的公允价值或未来现金流量因市场利率变动而发生波动的风险。</w:t>
      </w:r>
    </w:p>
    <w:p>
      <w:pPr>
        <w:pStyle w:val="BodyText"/>
        <w:spacing w:line="239" w:lineRule="exact"/>
        <w:ind w:left="0" w:right="1139"/>
        <w:jc w:val="right"/>
      </w:pPr>
      <w:r>
        <w:rPr/>
        <w:t>浮动利率的金融负债使本公司面临现金流量利率风险，固定利率的金融负债使本公司面临公</w:t>
      </w:r>
    </w:p>
    <w:p>
      <w:pPr>
        <w:pStyle w:val="BodyText"/>
        <w:spacing w:line="313" w:lineRule="exact"/>
        <w:ind w:left="0" w:right="1137"/>
        <w:jc w:val="right"/>
      </w:pPr>
      <w:r>
        <w:rPr/>
        <w:t>允价值利率风险。本公司根据当时的市场环境来决定固定利率及浮动利率合同的相对比例。</w:t>
      </w:r>
    </w:p>
    <w:p>
      <w:pPr>
        <w:pStyle w:val="BodyText"/>
        <w:spacing w:line="312" w:lineRule="exact" w:before="148"/>
        <w:ind w:right="1137" w:firstLine="480"/>
        <w:jc w:val="both"/>
      </w:pPr>
      <w:r>
        <w:rPr/>
        <w:t>本公司总部财务部门持续监控集团利率水平。利率上升会增加新增带息债务的成本以及 本公司尚未付清的以浮动利率计息的带息债务的利息支出，并对本公司的财务业绩产生重大</w:t>
      </w:r>
      <w:r>
        <w:rPr>
          <w:spacing w:val="-91"/>
        </w:rPr>
        <w:t> </w:t>
      </w:r>
      <w:r>
        <w:rPr>
          <w:spacing w:val="-91"/>
        </w:rPr>
      </w:r>
      <w:r>
        <w:rPr/>
        <w:t>的不利影响，管理层会依据最新的市场状况及时做出调整。</w:t>
      </w:r>
    </w:p>
    <w:p>
      <w:pPr>
        <w:pStyle w:val="BodyText"/>
        <w:spacing w:line="312" w:lineRule="exact" w:before="120"/>
        <w:ind w:right="1139" w:firstLine="480"/>
        <w:jc w:val="both"/>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日为止期间，本公司尚未带息债务产生的利率风险，本公司密切关注 利率变动对本公司利率风险的影响。本公司目前并未采取利率对冲政策。</w:t>
      </w:r>
    </w:p>
    <w:p>
      <w:pPr>
        <w:spacing w:after="0" w:line="312" w:lineRule="exact"/>
        <w:jc w:val="both"/>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2"/>
        <w:ind w:right="1057"/>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9" w:right="0"/>
              <w:jc w:val="left"/>
              <w:rPr>
                <w:rFonts w:ascii="Times New Roman" w:hAnsi="Times New Roman" w:cs="Times New Roman" w:eastAsia="Times New Roman" w:hint="default"/>
                <w:sz w:val="18"/>
                <w:szCs w:val="18"/>
              </w:rPr>
            </w:pPr>
            <w:r>
              <w:rPr>
                <w:rFonts w:ascii="Times New Roman"/>
                <w:sz w:val="18"/>
              </w:rPr>
              <w:t>1,445,203.80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1,445,203.80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9" w:right="0"/>
              <w:jc w:val="left"/>
              <w:rPr>
                <w:rFonts w:ascii="Times New Roman" w:hAnsi="Times New Roman" w:cs="Times New Roman" w:eastAsia="Times New Roman" w:hint="default"/>
                <w:sz w:val="18"/>
                <w:szCs w:val="18"/>
              </w:rPr>
            </w:pPr>
            <w:r>
              <w:rPr>
                <w:rFonts w:ascii="Times New Roman"/>
                <w:sz w:val="18"/>
              </w:rPr>
              <w:t>1,445,203.80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54"/>
        <w:jc w:val="left"/>
      </w:pPr>
      <w:r>
        <w:rPr/>
        <w:t>本公司所持有的以公允价值计量且变动计入当期损益的金融资产，其公允价值以资产管理人 出具的预期年化收益率计算而确定。</w:t>
      </w:r>
    </w:p>
    <w:p>
      <w:pPr>
        <w:spacing w:line="240" w:lineRule="auto" w:before="7"/>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before="107"/>
        <w:ind w:left="152" w:right="1057"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本企业子公司的情况详见附注七、在其他主体中的权益。</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广西农村投资集团润建智慧农业有限公司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不重要的联营企业</w:t>
            </w:r>
          </w:p>
        </w:tc>
      </w:tr>
    </w:tbl>
    <w:p>
      <w:pPr>
        <w:spacing w:before="70"/>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董事、副总经理、董事会秘书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方培豪</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胡永乐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李胜兰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马英华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万海斌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陶秋鸿</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欧宇菲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杨兆云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59"/>
        <w:gridCol w:w="2655"/>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338" w:lineRule="auto" w:before="52"/>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28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珠海弘泽熙元投资管理 中心（有限合伙）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蒋鹂北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杨兆云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沈湘平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胡永乐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许文杰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2" w:right="0" w:firstLine="0"/>
        <w:jc w:val="both"/>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30" w:lineRule="auto" w:before="156"/>
        <w:ind w:right="1129" w:firstLine="480"/>
        <w:jc w:val="both"/>
      </w:pPr>
      <w:r>
        <w:rPr/>
        <w:t>注</w:t>
      </w:r>
      <w:r>
        <w:rPr>
          <w:rFonts w:ascii="Times New Roman" w:hAnsi="Times New Roman" w:cs="Times New Roman" w:eastAsia="Times New Roman" w:hint="default"/>
        </w:rPr>
        <w:t>1</w:t>
      </w:r>
      <w:r>
        <w:rPr/>
        <w:t>：公司与桂林银行股份有公司南宁分行签订合同编号为【</w:t>
      </w:r>
      <w:r>
        <w:rPr>
          <w:rFonts w:ascii="Times New Roman" w:hAnsi="Times New Roman" w:cs="Times New Roman" w:eastAsia="Times New Roman" w:hint="default"/>
        </w:rPr>
        <w:t>020010201700122</w:t>
      </w:r>
      <w:r>
        <w:rPr/>
        <w:t>】的综合 授信合同，银行提供授信额度</w:t>
      </w:r>
      <w:r>
        <w:rPr>
          <w:rFonts w:ascii="Times New Roman" w:hAnsi="Times New Roman" w:cs="Times New Roman" w:eastAsia="Times New Roman" w:hint="default"/>
        </w:rPr>
        <w:t>67,069</w:t>
      </w:r>
      <w:r>
        <w:rPr/>
        <w:t>万元，授信期限自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日，该</w:t>
      </w:r>
      <w:r>
        <w:rPr>
          <w:spacing w:val="-37"/>
        </w:rPr>
        <w:t> </w:t>
      </w:r>
      <w:r>
        <w:rPr>
          <w:spacing w:val="-37"/>
        </w:rPr>
      </w:r>
      <w:r>
        <w:rPr/>
        <w:t>授信由珠海弘泽熙元投资管理中心（有限合伙）提供保证担保，自然人李建国、蒋鹂北、梁</w:t>
      </w:r>
      <w:r>
        <w:rPr>
          <w:spacing w:val="-91"/>
        </w:rPr>
        <w:t> </w:t>
      </w:r>
      <w:r>
        <w:rPr>
          <w:spacing w:val="-91"/>
        </w:rPr>
      </w:r>
      <w:r>
        <w:rPr/>
        <w:t>姬、杨兆云、沈湘平、胡永乐、许文杰提供保证担保，担保额度各为</w:t>
      </w:r>
      <w:r>
        <w:rPr>
          <w:rFonts w:ascii="Times New Roman" w:hAnsi="Times New Roman" w:cs="Times New Roman" w:eastAsia="Times New Roman" w:hint="default"/>
        </w:rPr>
        <w:t>58,000</w:t>
      </w:r>
      <w:r>
        <w:rPr/>
        <w:t>万元。</w:t>
      </w:r>
    </w:p>
    <w:p>
      <w:pPr>
        <w:pStyle w:val="BodyText"/>
        <w:spacing w:line="304" w:lineRule="exact"/>
        <w:ind w:left="0" w:right="1131"/>
        <w:jc w:val="right"/>
      </w:pPr>
      <w:r>
        <w:rPr/>
        <w:t>注</w:t>
      </w:r>
      <w:r>
        <w:rPr>
          <w:rFonts w:ascii="Times New Roman" w:hAnsi="Times New Roman" w:cs="Times New Roman" w:eastAsia="Times New Roman" w:hint="default"/>
        </w:rPr>
        <w:t>2</w:t>
      </w:r>
      <w:r>
        <w:rPr/>
        <w:t>：公司与中国光大银行股份有限公司南宁分行签订合同编号为【</w:t>
      </w:r>
      <w:r>
        <w:rPr>
          <w:rFonts w:ascii="Times New Roman" w:hAnsi="Times New Roman" w:cs="Times New Roman" w:eastAsia="Times New Roman" w:hint="default"/>
        </w:rPr>
        <w:t>50351905000001</w:t>
      </w:r>
      <w:r>
        <w:rPr/>
        <w:t>】的</w:t>
      </w:r>
    </w:p>
    <w:p>
      <w:pPr>
        <w:pStyle w:val="BodyText"/>
        <w:spacing w:line="230" w:lineRule="auto" w:before="1"/>
        <w:ind w:right="1131"/>
        <w:jc w:val="both"/>
      </w:pPr>
      <w:r>
        <w:rPr>
          <w:spacing w:val="-2"/>
        </w:rPr>
        <w:t>《综合授信协议》，提供最高授信额度</w:t>
      </w:r>
      <w:r>
        <w:rPr>
          <w:rFonts w:ascii="Times New Roman" w:hAnsi="Times New Roman" w:cs="Times New Roman" w:eastAsia="Times New Roman" w:hint="default"/>
          <w:spacing w:val="-2"/>
        </w:rPr>
        <w:t>20000</w:t>
      </w:r>
      <w:r>
        <w:rPr>
          <w:spacing w:val="-2"/>
        </w:rPr>
        <w:t>万元，授信期限从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21</w:t>
      </w:r>
      <w:r>
        <w:rPr>
          <w:rFonts w:ascii="Times New Roman" w:hAnsi="Times New Roman" w:cs="Times New Roman" w:eastAsia="Times New Roman" w:hint="default"/>
          <w:spacing w:val="-43"/>
        </w:rPr>
        <w:t> </w:t>
      </w:r>
      <w:r>
        <w:rPr/>
        <w:t>日止，该授信由自然人李建国提供连带责任保证。自然人李建国与中国光大银行股份有限公</w:t>
      </w:r>
      <w:r>
        <w:rPr>
          <w:spacing w:val="-88"/>
        </w:rPr>
        <w:t> </w:t>
      </w:r>
      <w:r>
        <w:rPr>
          <w:spacing w:val="-88"/>
        </w:rPr>
      </w:r>
      <w:r>
        <w:rPr>
          <w:spacing w:val="-1"/>
        </w:rPr>
        <w:t>司南宁分行签订合同编号为【</w:t>
      </w:r>
      <w:r>
        <w:rPr>
          <w:rFonts w:ascii="Times New Roman" w:hAnsi="Times New Roman" w:cs="Times New Roman" w:eastAsia="Times New Roman" w:hint="default"/>
          <w:spacing w:val="-1"/>
        </w:rPr>
        <w:t>503519ZB000001</w:t>
      </w:r>
      <w:r>
        <w:rPr>
          <w:spacing w:val="-1"/>
        </w:rPr>
        <w:t>】的《最高额保证合同》，保证期间为自具体</w:t>
      </w:r>
      <w:r>
        <w:rPr>
          <w:spacing w:val="-105"/>
        </w:rPr>
        <w:t> </w:t>
      </w:r>
      <w:r>
        <w:rPr>
          <w:spacing w:val="-105"/>
        </w:rPr>
      </w:r>
      <w:r>
        <w:rPr/>
        <w:t>授信业务合同或协议约定的授信人履行债务期限届满之日（如因法律规定或约定的事件发生</w:t>
      </w:r>
      <w:r>
        <w:rPr>
          <w:spacing w:val="-91"/>
        </w:rPr>
        <w:t> </w:t>
      </w:r>
      <w:r>
        <w:rPr>
          <w:spacing w:val="-91"/>
        </w:rPr>
      </w:r>
      <w:r>
        <w:rPr>
          <w:spacing w:val="2"/>
        </w:rPr>
        <w:t>而导致具体授信业务合同或协议提前到期，则为提前到期之日）起两年，最高额度为</w:t>
      </w:r>
      <w:r>
        <w:rPr>
          <w:rFonts w:ascii="Times New Roman" w:hAnsi="Times New Roman" w:cs="Times New Roman" w:eastAsia="Times New Roman" w:hint="default"/>
          <w:spacing w:val="2"/>
        </w:rPr>
        <w:t>20,000</w:t>
      </w:r>
      <w:r>
        <w:rPr>
          <w:rFonts w:ascii="Times New Roman" w:hAnsi="Times New Roman" w:cs="Times New Roman" w:eastAsia="Times New Roman" w:hint="default"/>
        </w:rPr>
        <w:t> </w:t>
      </w:r>
      <w:r>
        <w:rPr/>
        <w:t>万元。</w:t>
      </w:r>
    </w:p>
    <w:p>
      <w:pPr>
        <w:spacing w:line="240" w:lineRule="auto" w:before="11"/>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2,825,070.85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3,577,560.36</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40" w:lineRule="auto"/>
        <w:ind w:right="1057"/>
        <w:jc w:val="left"/>
      </w:pPr>
      <w:r>
        <w:rPr/>
        <w:t>截至资产负债表日，本公司无需要披露的重要承诺事项。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3"/>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2" w:right="1057"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9"/>
        <w:rPr>
          <w:rFonts w:ascii="宋体" w:hAnsi="宋体" w:cs="宋体" w:eastAsia="宋体" w:hint="default"/>
          <w:sz w:val="13"/>
          <w:szCs w:val="13"/>
        </w:rPr>
      </w:pPr>
    </w:p>
    <w:p>
      <w:pPr>
        <w:pStyle w:val="BodyText"/>
        <w:spacing w:line="312" w:lineRule="exact"/>
        <w:ind w:right="1132"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日，本公司孙公司恒泰电力与中国建设银行股份有限公司潮州分行签订保证</w:t>
      </w:r>
      <w:r>
        <w:rPr/>
        <w:t> 合同，合同规定，恒泰电力为确保被担保方潮州市紫莲生态农业有限公司与中国建设银行股</w:t>
      </w:r>
      <w:r>
        <w:rPr>
          <w:spacing w:val="-88"/>
        </w:rPr>
        <w:t> </w:t>
      </w:r>
      <w:r>
        <w:rPr>
          <w:spacing w:val="-88"/>
        </w:rPr>
      </w:r>
      <w:r>
        <w:rPr/>
        <w:t>份有限公司潮州分行签订的编号为</w:t>
      </w:r>
      <w:r>
        <w:rPr>
          <w:rFonts w:ascii="Times New Roman" w:hAnsi="Times New Roman" w:cs="Times New Roman" w:eastAsia="Times New Roman" w:hint="default"/>
        </w:rPr>
        <w:t>CZZX2019013</w:t>
      </w:r>
      <w:r>
        <w:rPr/>
        <w:t>号《人民币流动资产贷款合同》的履行提供</w:t>
      </w:r>
    </w:p>
    <w:p>
      <w:pPr>
        <w:spacing w:after="0" w:line="312" w:lineRule="exact"/>
        <w:jc w:val="both"/>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057"/>
        <w:jc w:val="left"/>
      </w:pPr>
      <w:r>
        <w:rPr/>
        <w:t>连带责任担保，</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日担保已解除。</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2"/>
          <w:szCs w:val="32"/>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008" w:firstLine="480"/>
        <w:jc w:val="left"/>
      </w:pPr>
      <w:r>
        <w:rPr>
          <w:spacing w:val="-14"/>
        </w:rPr>
        <w:t>截至审计报告批准日，公司收到天津市宝坻区应急管理局出具的《行政处罚告知书》（（宝）</w:t>
      </w:r>
      <w:r>
        <w:rPr/>
        <w:t> </w:t>
      </w:r>
      <w:r>
        <w:rPr>
          <w:spacing w:val="2"/>
        </w:rPr>
        <w:t>应急罚告</w:t>
      </w:r>
      <w:r>
        <w:rPr>
          <w:rFonts w:ascii="Times New Roman" w:hAnsi="Times New Roman" w:cs="Times New Roman" w:eastAsia="Times New Roman" w:hint="default"/>
          <w:spacing w:val="2"/>
        </w:rPr>
        <w:t>[2020]6007</w:t>
      </w:r>
      <w:r>
        <w:rPr>
          <w:spacing w:val="2"/>
        </w:rPr>
        <w:t>号），拟就</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w:t>
      </w:r>
      <w:r>
        <w:rPr>
          <w:spacing w:val="2"/>
        </w:rPr>
        <w:t>日在天津市宝坻区家客宽带安装过程中发生一起</w:t>
      </w:r>
      <w:r>
        <w:rPr/>
        <w:t> 高处坠落事故事项对公司进行处罚，公司已就《行政处罚告知书》的相关事项申请了听证程</w:t>
      </w:r>
      <w:r>
        <w:rPr>
          <w:spacing w:val="-90"/>
        </w:rPr>
        <w:t> </w:t>
      </w:r>
      <w:r>
        <w:rPr>
          <w:spacing w:val="-90"/>
        </w:rPr>
      </w:r>
      <w:r>
        <w:rPr/>
        <w:t>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日召开了听证会，目前尚无最终结果。</w:t>
      </w:r>
    </w:p>
    <w:p>
      <w:pPr>
        <w:spacing w:line="240" w:lineRule="auto" w:before="7"/>
        <w:rPr>
          <w:rFonts w:ascii="宋体" w:hAnsi="宋体" w:cs="宋体" w:eastAsia="宋体" w:hint="default"/>
          <w:sz w:val="22"/>
          <w:szCs w:val="22"/>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1057"/>
        <w:jc w:val="left"/>
        <w:rPr>
          <w:b w:val="0"/>
          <w:bCs w:val="0"/>
        </w:rPr>
      </w:pPr>
      <w:r>
        <w:rPr/>
        <w:t>十五、资产负债表日后事项</w:t>
      </w:r>
      <w:r>
        <w:rPr>
          <w:b w:val="0"/>
          <w:bCs w:val="0"/>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26,489,561.64</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26,489,561.64</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331" w:lineRule="auto" w:before="0"/>
        <w:ind w:left="993" w:right="1057" w:hanging="841"/>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4"/>
          <w:sz w:val="24"/>
          <w:szCs w:val="24"/>
        </w:rPr>
        <w:t> </w:t>
      </w:r>
      <w:r>
        <w:rPr>
          <w:rFonts w:ascii="宋体" w:hAnsi="宋体" w:cs="宋体" w:eastAsia="宋体" w:hint="default"/>
          <w:b/>
          <w:bCs/>
          <w:sz w:val="24"/>
          <w:szCs w:val="24"/>
        </w:rPr>
        <w:t>对新型冠状病毒肺炎疫情的影响评估</w:t>
      </w:r>
      <w:r>
        <w:rPr>
          <w:rFonts w:ascii="宋体" w:hAnsi="宋体" w:cs="宋体" w:eastAsia="宋体" w:hint="default"/>
          <w:b/>
          <w:bCs/>
          <w:w w:val="99"/>
          <w:sz w:val="24"/>
          <w:szCs w:val="24"/>
        </w:rPr>
        <w:t> </w:t>
      </w:r>
      <w:r>
        <w:rPr>
          <w:rFonts w:ascii="宋体" w:hAnsi="宋体" w:cs="宋体" w:eastAsia="宋体" w:hint="default"/>
          <w:spacing w:val="-3"/>
          <w:sz w:val="24"/>
          <w:szCs w:val="24"/>
        </w:rPr>
        <w:t>新型冠状病毒疫情造成的风险：新型冠状病毒疫情给中国乃至全世界的生产经营均产</w:t>
      </w:r>
    </w:p>
    <w:p>
      <w:pPr>
        <w:pStyle w:val="BodyText"/>
        <w:spacing w:line="221" w:lineRule="exact"/>
        <w:ind w:left="513" w:right="1057"/>
        <w:jc w:val="left"/>
      </w:pPr>
      <w:r>
        <w:rPr>
          <w:spacing w:val="-3"/>
        </w:rPr>
        <w:t>生了严重影响，由于部分地区交通管制、生产经营停滞，公司员工复工、业务开展均受到</w:t>
      </w:r>
    </w:p>
    <w:p>
      <w:pPr>
        <w:spacing w:after="0" w:line="221" w:lineRule="exact"/>
        <w:jc w:val="left"/>
        <w:sectPr>
          <w:pgSz w:w="11910" w:h="16840"/>
          <w:pgMar w:header="748" w:footer="974" w:top="1060" w:bottom="1160" w:left="980" w:right="0"/>
        </w:sectPr>
      </w:pPr>
    </w:p>
    <w:p>
      <w:pPr>
        <w:spacing w:line="240" w:lineRule="auto" w:before="6"/>
        <w:rPr>
          <w:rFonts w:ascii="宋体" w:hAnsi="宋体" w:cs="宋体" w:eastAsia="宋体" w:hint="default"/>
          <w:sz w:val="23"/>
          <w:szCs w:val="23"/>
        </w:rPr>
      </w:pPr>
    </w:p>
    <w:p>
      <w:pPr>
        <w:pStyle w:val="BodyText"/>
        <w:spacing w:line="331" w:lineRule="auto" w:before="26"/>
        <w:ind w:left="993" w:right="1057" w:hanging="480"/>
        <w:jc w:val="left"/>
      </w:pPr>
      <w:r>
        <w:rPr/>
        <w:t>影响，可能对公司经营业绩造成不良影响。 </w:t>
      </w:r>
      <w:r>
        <w:rPr>
          <w:spacing w:val="-3"/>
        </w:rPr>
        <w:t>解决措施：为支持抗击新型冠状病毒疫情，公司积极响应政府号召和要求，在包括湖</w:t>
      </w:r>
    </w:p>
    <w:p>
      <w:pPr>
        <w:pStyle w:val="BodyText"/>
        <w:spacing w:line="229" w:lineRule="exact"/>
        <w:ind w:left="513" w:right="0"/>
        <w:jc w:val="both"/>
      </w:pPr>
      <w:r>
        <w:rPr>
          <w:spacing w:val="2"/>
        </w:rPr>
        <w:t>北武汉火神山等疫情严重地区在内的全国二十余个省份（自治区</w:t>
      </w:r>
      <w:r>
        <w:rPr>
          <w:rFonts w:ascii="Times New Roman" w:hAnsi="Times New Roman" w:cs="Times New Roman" w:eastAsia="Times New Roman" w:hint="default"/>
          <w:spacing w:val="2"/>
        </w:rPr>
        <w:t>/</w:t>
      </w:r>
      <w:r>
        <w:rPr>
          <w:spacing w:val="2"/>
        </w:rPr>
        <w:t>市），加强通信建设与</w:t>
      </w:r>
      <w:r>
        <w:rPr/>
      </w:r>
    </w:p>
    <w:p>
      <w:pPr>
        <w:pStyle w:val="BodyText"/>
        <w:spacing w:line="312" w:lineRule="exact" w:before="20"/>
        <w:ind w:left="513" w:right="1130"/>
        <w:jc w:val="both"/>
      </w:pPr>
      <w:r>
        <w:rPr>
          <w:spacing w:val="-3"/>
        </w:rPr>
        <w:t>抢修、网络维护、重大抗击疫情单位保障等工作，全力以赴保障通信和电力畅通，维护通</w:t>
      </w:r>
      <w:r>
        <w:rPr>
          <w:spacing w:val="-87"/>
        </w:rPr>
        <w:t> </w:t>
      </w:r>
      <w:r>
        <w:rPr>
          <w:spacing w:val="-87"/>
        </w:rPr>
      </w:r>
      <w:r>
        <w:rPr>
          <w:spacing w:val="-3"/>
        </w:rPr>
        <w:t>信和电力安全。后续公司将紧跟国家政策，持续加强市场营销和业务拓展，提升市场份额</w:t>
      </w:r>
      <w:r>
        <w:rPr>
          <w:spacing w:val="-85"/>
        </w:rPr>
        <w:t> </w:t>
      </w:r>
      <w:r>
        <w:rPr>
          <w:spacing w:val="-85"/>
        </w:rPr>
      </w:r>
      <w:r>
        <w:rPr/>
        <w:t>与经营业绩，减少疫情对公司造成的不良影响。</w:t>
      </w:r>
    </w:p>
    <w:p>
      <w:pPr>
        <w:pStyle w:val="Heading3"/>
        <w:spacing w:line="240" w:lineRule="auto" w:before="89"/>
        <w:ind w:right="1057"/>
        <w:jc w:val="left"/>
        <w:rPr>
          <w:b w:val="0"/>
          <w:bCs w:val="0"/>
        </w:rPr>
      </w:pPr>
      <w:r>
        <w:rPr>
          <w:rFonts w:ascii="宋体" w:hAnsi="宋体" w:cs="宋体" w:eastAsia="宋体" w:hint="default"/>
        </w:rPr>
        <w:t>1.</w:t>
      </w:r>
      <w:r>
        <w:rPr>
          <w:rFonts w:ascii="宋体" w:hAnsi="宋体" w:cs="宋体" w:eastAsia="宋体" w:hint="default"/>
          <w:spacing w:val="-5"/>
        </w:rPr>
        <w:t> </w:t>
      </w:r>
      <w:r>
        <w:rPr/>
        <w:t>公司对外投资</w:t>
      </w:r>
      <w:r>
        <w:rPr>
          <w:b w:val="0"/>
          <w:bCs w:val="0"/>
        </w:rPr>
      </w:r>
    </w:p>
    <w:p>
      <w:pPr>
        <w:pStyle w:val="BodyText"/>
        <w:spacing w:line="225" w:lineRule="auto" w:before="134"/>
        <w:ind w:right="1129" w:firstLine="48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日，经山东旋几工业自动化有限公司股东会决议，同意公司注册资本由</w:t>
      </w:r>
      <w:r>
        <w:rPr>
          <w:rFonts w:ascii="Times New Roman" w:hAnsi="Times New Roman" w:cs="Times New Roman" w:eastAsia="Times New Roman" w:hint="default"/>
          <w:spacing w:val="-2"/>
        </w:rPr>
        <w:t>1000</w:t>
      </w:r>
      <w:r>
        <w:rPr>
          <w:rFonts w:ascii="Times New Roman" w:hAnsi="Times New Roman" w:cs="Times New Roman" w:eastAsia="Times New Roman" w:hint="default"/>
        </w:rPr>
        <w:t> </w:t>
      </w:r>
      <w:r>
        <w:rPr/>
        <w:t>万元变更为</w:t>
      </w:r>
      <w:r>
        <w:rPr>
          <w:rFonts w:ascii="Times New Roman" w:hAnsi="Times New Roman" w:cs="Times New Roman" w:eastAsia="Times New Roman" w:hint="default"/>
        </w:rPr>
        <w:t>1382.65</w:t>
      </w:r>
      <w:r>
        <w:rPr/>
        <w:t>万元，新增注册资本由本公司以货币出资</w:t>
      </w:r>
      <w:r>
        <w:rPr>
          <w:rFonts w:ascii="Times New Roman" w:hAnsi="Times New Roman" w:cs="Times New Roman" w:eastAsia="Times New Roman" w:hint="default"/>
        </w:rPr>
        <w:t>382.65</w:t>
      </w:r>
      <w:r>
        <w:rPr/>
        <w:t>万元，并同意股东济南瑞</w:t>
      </w:r>
      <w:r>
        <w:rPr>
          <w:spacing w:val="-85"/>
        </w:rPr>
        <w:t> </w:t>
      </w:r>
      <w:r>
        <w:rPr>
          <w:spacing w:val="-85"/>
        </w:rPr>
      </w:r>
      <w:r>
        <w:rPr>
          <w:spacing w:val="-1"/>
        </w:rPr>
        <w:t>斯乐企业管理咨询合伙企业（有限合伙）将其持有的山东旋几工业自动化有限公司</w:t>
      </w:r>
      <w:r>
        <w:rPr>
          <w:rFonts w:ascii="Times New Roman" w:hAnsi="Times New Roman" w:cs="Times New Roman" w:eastAsia="Times New Roman" w:hint="default"/>
          <w:spacing w:val="-1"/>
        </w:rPr>
        <w:t>122.5</w:t>
      </w:r>
      <w:r>
        <w:rPr>
          <w:spacing w:val="-1"/>
        </w:rPr>
        <w:t>万元</w:t>
      </w:r>
      <w:r>
        <w:rPr>
          <w:spacing w:val="-97"/>
        </w:rPr>
        <w:t> </w:t>
      </w:r>
      <w:r>
        <w:rPr/>
        <w:t>占注册资本</w:t>
      </w:r>
      <w:r>
        <w:rPr>
          <w:rFonts w:ascii="Times New Roman" w:hAnsi="Times New Roman" w:cs="Times New Roman" w:eastAsia="Times New Roman" w:hint="default"/>
        </w:rPr>
        <w:t>8.86%</w:t>
      </w:r>
      <w:r>
        <w:rPr/>
        <w:t>的股权，作价</w:t>
      </w:r>
      <w:r>
        <w:rPr>
          <w:rFonts w:ascii="Times New Roman" w:hAnsi="Times New Roman" w:cs="Times New Roman" w:eastAsia="Times New Roman" w:hint="default"/>
        </w:rPr>
        <w:t>708.78</w:t>
      </w:r>
      <w:r>
        <w:rPr/>
        <w:t>万元转让给本公司。</w:t>
      </w:r>
    </w:p>
    <w:p>
      <w:pPr>
        <w:pStyle w:val="BodyText"/>
        <w:spacing w:line="470" w:lineRule="auto" w:before="103"/>
        <w:ind w:right="1394" w:firstLine="480"/>
        <w:jc w:val="left"/>
        <w:rPr>
          <w:rFonts w:ascii="宋体" w:hAnsi="宋体" w:cs="宋体" w:eastAsia="宋体" w:hint="default"/>
        </w:rPr>
      </w:pPr>
      <w:r>
        <w:rPr/>
        <w:t>同日，济南瑞斯乐企业管理咨询合伙企业（有限合伙）与本公司签订股权转让协议。 </w:t>
      </w:r>
      <w:r>
        <w:rPr>
          <w:rFonts w:ascii="宋体" w:hAnsi="宋体" w:cs="宋体" w:eastAsia="宋体" w:hint="default"/>
          <w:b/>
          <w:bCs/>
        </w:rPr>
        <w:t>十六、其他重要事项</w:t>
      </w:r>
      <w:r>
        <w:rPr>
          <w:rFonts w:ascii="宋体" w:hAnsi="宋体" w:cs="宋体" w:eastAsia="宋体" w:hint="default"/>
        </w:rPr>
      </w:r>
    </w:p>
    <w:p>
      <w:pPr>
        <w:spacing w:before="93"/>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716"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line="357" w:lineRule="auto" w:before="52"/>
        <w:ind w:left="152" w:right="10034"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37" w:lineRule="auto"/>
        <w:ind w:right="1135" w:firstLine="480"/>
        <w:jc w:val="both"/>
      </w:pPr>
      <w:r>
        <w:rPr/>
        <w:t>经营分部是本公司可赚取收入及产生费用的商业活动的组成部分，本公司的经营分部是 </w:t>
      </w:r>
      <w:r>
        <w:rPr>
          <w:spacing w:val="6"/>
        </w:rPr>
        <w:t>以主要经营决策者定期审阅的以进行资源分配及业绩评估为目的内部财务报告为基础而确</w:t>
      </w:r>
      <w:r>
        <w:rPr>
          <w:spacing w:val="-101"/>
        </w:rPr>
        <w:t> </w:t>
      </w:r>
      <w:r>
        <w:rPr>
          <w:spacing w:val="-101"/>
        </w:rPr>
      </w:r>
      <w:r>
        <w:rPr/>
        <w:t>定。本公司是一家专注于提供通信技术服务的综合供应商，本公司的管理要求和内部报告制</w:t>
      </w:r>
      <w:r>
        <w:rPr>
          <w:spacing w:val="-91"/>
        </w:rPr>
        <w:t> </w:t>
      </w:r>
      <w:r>
        <w:rPr>
          <w:spacing w:val="-91"/>
        </w:rPr>
      </w:r>
      <w:r>
        <w:rPr/>
        <w:t>度未涉及经营分部，因此，本公司整体作为一个营业分部进行披露。</w:t>
      </w:r>
    </w:p>
    <w:p>
      <w:pPr>
        <w:spacing w:line="240" w:lineRule="auto" w:before="10"/>
        <w:rPr>
          <w:rFonts w:ascii="宋体" w:hAnsi="宋体" w:cs="宋体" w:eastAsia="宋体" w:hint="default"/>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516" w:lineRule="auto" w:before="0"/>
        <w:ind w:left="152" w:right="6434"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、其他对投资者决策有影响的重要交易和事项</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sz w:val="18"/>
          <w:szCs w:val="18"/>
        </w:rPr>
        <w:t>无</w:t>
      </w:r>
    </w:p>
    <w:p>
      <w:pPr>
        <w:spacing w:line="487" w:lineRule="auto" w:before="146"/>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1"/>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4"/>
        <w:gridCol w:w="789"/>
        <w:gridCol w:w="775"/>
        <w:gridCol w:w="797"/>
        <w:gridCol w:w="800"/>
        <w:gridCol w:w="790"/>
        <w:gridCol w:w="931"/>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按单项计提坏账准</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1"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85"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1,876,33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9,478.42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144,979,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584.87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1,731,359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,893.55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1,582,268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,798.66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113,418,2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1,468,850,5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17.11</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应收合并范围 内关联方客户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8,822,00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8,822,000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应收中央企业 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1,775,32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7,844.42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128,224,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516.98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1,647,103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,327.44</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应收国企、政</w:t>
            </w:r>
            <w:r>
              <w:rPr>
                <w:rFonts w:ascii="宋体" w:hAnsi="宋体" w:cs="宋体" w:eastAsia="宋体" w:hint="default"/>
                <w:sz w:val="18"/>
                <w:szCs w:val="18"/>
              </w:rPr>
              <w:t> 府及事业单位客户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76,194,3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42.85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12,044,8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64,149,50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8.80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应收其他客户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15,995,2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91.15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4,710,23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11,285,05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7.31</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1,582,268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,798.66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113,418,2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1,468,850,5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17.11</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1,876,33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9,478.42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144,979,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584.87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1,731,359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,893.55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1,582,268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,798.66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113,418,2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81.55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1,468,850,5</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17.11</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2"/>
        <w:ind w:left="152" w:right="105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1"/>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38" w:lineRule="auto" w:before="29"/>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1,582,794,472.77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172,988,630.58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73,495,733.29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47,060,641.78</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39,188,665.84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2,664,653.38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5,207,322.56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1,876,339,478.42</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30"/>
        <w:gridCol w:w="113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应收中央 企业客户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101,949,854.40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26,274,662.58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128,224,516.98</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政府及事业单位 客户</w:t>
            </w:r>
          </w:p>
        </w:tc>
        <w:tc>
          <w:tcPr>
            <w:tcW w:w="230" w:type="dxa"/>
            <w:tcBorders>
              <w:top w:val="single" w:sz="4" w:space="0" w:color="000000"/>
              <w:left w:val="single" w:sz="4" w:space="0" w:color="000000"/>
              <w:bottom w:val="single" w:sz="4" w:space="0" w:color="000000"/>
              <w:right w:val="nil" w:sz="6" w:space="0" w:color="auto"/>
            </w:tcBorders>
          </w:tcPr>
          <w:p>
            <w:pP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7,357,018.50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4,687,815.55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12,044,834.05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应收其他 客户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4,111,408.65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598,825.19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4,710,233.84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113,418,281.55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31,561,303.32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144,979,584.87</w:t>
            </w:r>
          </w:p>
        </w:tc>
      </w:tr>
    </w:tbl>
    <w:p>
      <w:pPr>
        <w:spacing w:before="51"/>
        <w:ind w:left="152" w:right="1057" w:firstLine="0"/>
        <w:jc w:val="left"/>
        <w:rPr>
          <w:rFonts w:ascii="宋体" w:hAnsi="宋体" w:cs="宋体" w:eastAsia="宋体" w:hint="default"/>
          <w:sz w:val="18"/>
          <w:szCs w:val="18"/>
        </w:rPr>
      </w:pPr>
      <w:r>
        <w:rPr/>
        <w:pict>
          <v:shape style="position:absolute;margin-left:83.304001pt;margin-top:-107.178284pt;width:109.95pt;height:50.9pt;mso-position-horizontal-relative:page;mso-position-vertical-relative:paragraph;z-index:-123344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应收国企、</w:t>
                  </w:r>
                </w:p>
              </w:txbxContent>
            </v:textbox>
            <w10:wrap type="none"/>
          </v:shape>
        </w:pict>
      </w:r>
      <w:r>
        <w:rPr/>
        <w:pict>
          <v:group style="position:absolute;margin-left:125.419998pt;margin-top:-107.178284pt;width:67.850pt;height:50.9pt;mso-position-horizontal-relative:page;mso-position-vertical-relative:paragraph;z-index:-1233424" coordorigin="2508,-2144" coordsize="1357,1018">
            <v:group style="position:absolute;left:2508;top:-2144;width:1357;height:1018" coordorigin="2508,-2144" coordsize="1357,1018">
              <v:shape style="position:absolute;left:2508;top:-2144;width:1357;height:1018" coordorigin="2508,-2144" coordsize="1357,1018" path="m2508,-1126l3865,-1126,3865,-2144,2508,-2144,2508,-1126xe" filled="true" fillcolor="#ffffff" stroked="false">
                <v:path arrowok="t"/>
                <v:fill type="solid"/>
              </v:shape>
            </v:group>
            <v:group style="position:absolute;left:2532;top:-1832;width:1311;height:394" coordorigin="2532,-1832" coordsize="1311,394">
              <v:shape style="position:absolute;left:2532;top:-1832;width:1311;height:394" coordorigin="2532,-1832" coordsize="1311,394" path="m2532,-1438l3843,-1438,3843,-1832,2532,-1832,2532,-1438xe" filled="true" fillcolor="#ffffff" stroked="false">
                <v:path arrowok="t"/>
                <v:fill type="solid"/>
              </v:shape>
            </v:group>
            <w10:wrap type="none"/>
          </v:group>
        </w:pict>
      </w: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57" w:lineRule="auto" w:before="51"/>
        <w:ind w:left="152" w:right="9134"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1" w:right="110"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中国移动通信集团广东有限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347,562,168.32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19,264,527.03</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中国移动通信集团广西有限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215,682,544.53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13,325,740.04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中国电信股份有限公司广西 分公司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140,632,622.82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8,663,519.45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中国移动通信集团贵州有限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118,215,748.41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10,015,225.27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中国铁塔股份有限公司广东 省分公司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96,352,997.38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7,204,741.33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918,446,081.46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48.95%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9854"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2"/>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140,454,303.93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101,149,828.45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140,454,303.93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101,149,828.45</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3"/>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91,858,777.03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109,579,121.47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52,527,504.78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823,102.43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23,783,319.23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13,787,531.26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1,724,660.71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1,251,004.16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1,025,763.92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58,942.42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170,920,025.67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125,499,701.74</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before="52"/>
        <w:ind w:left="152" w:right="-19"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4" w:space="489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106,341,054.64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17,196,409.80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spacing w:val="-1"/>
                <w:sz w:val="18"/>
              </w:rPr>
              <w:t>17,562,936.61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29,819,624.62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20,607,567.35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7,098,957.27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2,113,100.00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170,920,025.67</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05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应收押金和 保证金</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23,323,384.1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3,928,988.35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27,252,372.51</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应收备用金</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710,661.84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964,263.60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1,674,925.44</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应收代垫款</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309,933.05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1,121,207.24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1,431,140.29</w:t>
            </w: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应收其他款 项</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5,894.24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101,389.26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107,283.50</w:t>
            </w: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24,349,873.2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6,115,848.45</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30,465,721.74</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1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9" w:type="dxa"/>
            <w:tcBorders>
              <w:top w:val="single" w:sz="4" w:space="0" w:color="000000"/>
              <w:left w:val="single" w:sz="4" w:space="0" w:color="000000"/>
              <w:bottom w:val="single" w:sz="4" w:space="0" w:color="000000"/>
              <w:right w:val="single" w:sz="4" w:space="0" w:color="000000"/>
            </w:tcBorders>
          </w:tcPr>
          <w:p>
            <w:pP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57" w:lineRule="auto" w:before="51"/>
        <w:ind w:left="152" w:right="8954" w:firstLine="0"/>
        <w:jc w:val="left"/>
        <w:rPr>
          <w:rFonts w:ascii="宋体" w:hAnsi="宋体" w:cs="宋体" w:eastAsia="宋体" w:hint="default"/>
          <w:sz w:val="18"/>
          <w:szCs w:val="18"/>
        </w:rPr>
      </w:pPr>
      <w:r>
        <w:rPr>
          <w:rFonts w:ascii="宋体" w:hAnsi="宋体" w:cs="宋体" w:eastAsia="宋体" w:hint="default"/>
          <w:sz w:val="18"/>
          <w:szCs w:val="18"/>
        </w:rPr>
        <w:t>其他应收款核销说明：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广州市泺立能源科技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89"/>
              <w:jc w:val="left"/>
              <w:rPr>
                <w:rFonts w:ascii="宋体" w:hAnsi="宋体" w:cs="宋体" w:eastAsia="宋体" w:hint="default"/>
                <w:sz w:val="18"/>
                <w:szCs w:val="18"/>
              </w:rPr>
            </w:pPr>
            <w:r>
              <w:rPr>
                <w:rFonts w:ascii="宋体" w:hAnsi="宋体" w:cs="宋体" w:eastAsia="宋体" w:hint="default"/>
                <w:sz w:val="18"/>
                <w:szCs w:val="18"/>
              </w:rPr>
              <w:t>润沃科技</w:t>
            </w:r>
            <w:r>
              <w:rPr>
                <w:rFonts w:ascii="Times New Roman" w:hAnsi="Times New Roman" w:cs="Times New Roman" w:eastAsia="Times New Roman" w:hint="default"/>
                <w:sz w:val="18"/>
                <w:szCs w:val="18"/>
              </w:rPr>
              <w:t>(</w:t>
            </w:r>
            <w:r>
              <w:rPr>
                <w:rFonts w:ascii="宋体" w:hAnsi="宋体" w:cs="宋体" w:eastAsia="宋体" w:hint="default"/>
                <w:sz w:val="18"/>
                <w:szCs w:val="18"/>
              </w:rPr>
              <w:t>山东</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9"/>
              <w:jc w:val="left"/>
              <w:rPr>
                <w:rFonts w:ascii="宋体" w:hAnsi="宋体" w:cs="宋体" w:eastAsia="宋体" w:hint="default"/>
                <w:sz w:val="18"/>
                <w:szCs w:val="18"/>
              </w:rPr>
            </w:pPr>
            <w:r>
              <w:rPr>
                <w:rFonts w:ascii="宋体" w:hAnsi="宋体" w:cs="宋体" w:eastAsia="宋体" w:hint="default"/>
                <w:sz w:val="18"/>
                <w:szCs w:val="18"/>
              </w:rPr>
              <w:t>中国移动通信集团贵 州有限公司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14,463,629.43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3-4</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5,356,142.39</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中国移动通信集团北 京有限公司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11,831,500.00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7,296,575.00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中国移动通信集团广 西有限公司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2,664,000.00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81,425,129.43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15,316,717.39</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4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1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57" w:lineRule="auto" w:before="0"/>
        <w:ind w:left="152" w:right="9854"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3"/>
        <w:rPr>
          <w:rFonts w:ascii="宋体" w:hAnsi="宋体" w:cs="宋体" w:eastAsia="宋体" w:hint="default"/>
          <w:sz w:val="20"/>
          <w:szCs w:val="20"/>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183,453,149.17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183,453,149.17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39,883,149.17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39,883,149.17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48,286,791.28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48,286,791.28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1,410,103.86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1,410,103.86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231,739,940.45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231,739,940.45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41,293,253.03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41,293,253.03</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1" w:right="29"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广西润联信息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广西诚本规划 设计咨询有限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9,883,149.17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9,883,149.17</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广州卓联科技 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五象云谷有限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润沃科技（山 东）有限公司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广州汇柠科技 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广东南粤云视 科技有限公司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广西信安锐达 科技有限公司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广州云谷创智</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36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广州纵诺电力 工程技术有限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广州市泺立能 源科技有限公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34,710,000.00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34,710,000.00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广州鑫广源电 力设计有限公 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53"/>
              <w:jc w:val="left"/>
              <w:rPr>
                <w:rFonts w:ascii="宋体" w:hAnsi="宋体" w:cs="宋体" w:eastAsia="宋体" w:hint="default"/>
                <w:sz w:val="18"/>
                <w:szCs w:val="18"/>
              </w:rPr>
            </w:pPr>
            <w:r>
              <w:rPr>
                <w:rFonts w:ascii="宋体" w:hAnsi="宋体" w:cs="宋体" w:eastAsia="宋体" w:hint="default"/>
                <w:sz w:val="18"/>
                <w:szCs w:val="18"/>
              </w:rPr>
              <w:t>广东博深咨询 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39,883,149.17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143,570,000.0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183,453,149.17</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广西农村 投资集团 润建智慧 农业有限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-713,208.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48,286,79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1"/>
              <w:jc w:val="both"/>
              <w:rPr>
                <w:rFonts w:ascii="宋体" w:hAnsi="宋体" w:cs="宋体" w:eastAsia="宋体" w:hint="default"/>
                <w:sz w:val="18"/>
                <w:szCs w:val="18"/>
              </w:rPr>
            </w:pPr>
            <w:r>
              <w:rPr>
                <w:rFonts w:ascii="宋体" w:hAnsi="宋体" w:cs="宋体" w:eastAsia="宋体" w:hint="default"/>
                <w:sz w:val="18"/>
                <w:szCs w:val="18"/>
              </w:rPr>
              <w:t>云南安润 盛达科技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1,410,103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966,821.5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-443,282.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966,821.5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-1,156,49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48,286,79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1,410,103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966,821.5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-1,156,49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48,286,79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3,598,718,475.63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2,988,129,614.04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3,222,666,057.89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2,578,222,492.31</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2,745,295.49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3,467,006.46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3,601,463,771.12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2,991,596,620.50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3,222,666,057.89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2,578,222,492.31</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7"/>
        <w:ind w:left="152" w:right="9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1"/>
          <w:szCs w:val="21"/>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-1,126,489.77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-89,896.14</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-30,001.31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16,660,568.58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-6,280.56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14,735,225.37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15,497,796.94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14,645,329.23</w:t>
            </w:r>
          </w:p>
        </w:tc>
      </w:tr>
    </w:tbl>
    <w:p>
      <w:pPr>
        <w:spacing w:line="240" w:lineRule="auto" w:before="3"/>
        <w:rPr>
          <w:rFonts w:ascii="宋体" w:hAnsi="宋体" w:cs="宋体" w:eastAsia="宋体" w:hint="default"/>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Heading3"/>
        <w:spacing w:line="240" w:lineRule="auto"/>
        <w:ind w:right="1057"/>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-104,025.58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系固定资产变卖收益所致</w:t>
            </w: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12,403,787.80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上市补贴奖励款较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元；第三产业发展的奖励较</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年减少</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 </w:t>
            </w:r>
            <w:r>
              <w:rPr>
                <w:rFonts w:ascii="宋体" w:hAnsi="宋体" w:cs="宋体" w:eastAsia="宋体" w:hint="default"/>
                <w:sz w:val="18"/>
                <w:szCs w:val="18"/>
              </w:rPr>
              <w:t>万元</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9,028,794.73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取得子公司的投资成本小于取得投资时</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67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49"/>
              <w:jc w:val="left"/>
              <w:rPr>
                <w:rFonts w:ascii="宋体" w:hAnsi="宋体" w:cs="宋体" w:eastAsia="宋体" w:hint="default"/>
                <w:sz w:val="18"/>
                <w:szCs w:val="18"/>
              </w:rPr>
            </w:pPr>
            <w:r>
              <w:rPr>
                <w:rFonts w:ascii="宋体" w:hAnsi="宋体" w:cs="宋体" w:eastAsia="宋体" w:hint="default"/>
                <w:sz w:val="18"/>
                <w:szCs w:val="18"/>
              </w:rPr>
              <w:t>投资成本小于取得投资时应享有被投资单 位可辨认净资产公允价值产生的收益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9"/>
              <w:jc w:val="left"/>
              <w:rPr>
                <w:rFonts w:ascii="宋体" w:hAnsi="宋体" w:cs="宋体" w:eastAsia="宋体" w:hint="default"/>
                <w:sz w:val="18"/>
                <w:szCs w:val="18"/>
              </w:rPr>
            </w:pPr>
            <w:r>
              <w:rPr>
                <w:rFonts w:ascii="宋体" w:hAnsi="宋体" w:cs="宋体" w:eastAsia="宋体" w:hint="default"/>
                <w:sz w:val="18"/>
                <w:szCs w:val="18"/>
              </w:rPr>
              <w:t>应享有被投资单位可辨认资产公允价值 产生的收益</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系银行结构性存款及理财收益，执行新 金融工具准则，列报为交易性金融资产</w:t>
            </w:r>
          </w:p>
        </w:tc>
      </w:tr>
      <w:tr>
        <w:trPr>
          <w:trHeight w:val="227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18,451,627.09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系银行结构性存款及理财收益</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-2,657,691.32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39,619.78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4,447,790.48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52,620.40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32,661,701.62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1057"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0.89</w:t>
            </w:r>
          </w:p>
        </w:tc>
      </w:tr>
    </w:tbl>
    <w:p>
      <w:pPr>
        <w:spacing w:line="240" w:lineRule="auto" w:before="3"/>
        <w:rPr>
          <w:rFonts w:ascii="宋体" w:hAnsi="宋体" w:cs="宋体" w:eastAsia="宋体" w:hint="default"/>
          <w:b/>
          <w:bCs/>
          <w:sz w:val="19"/>
          <w:szCs w:val="19"/>
        </w:rPr>
      </w:pPr>
    </w:p>
    <w:p>
      <w:pPr>
        <w:spacing w:before="36"/>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230,046,221.21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205,877,713.64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Times New Roman" w:hAnsi="Times New Roman" w:cs="Times New Roman" w:eastAsia="Times New Roman" w:hint="default"/>
                <w:sz w:val="18"/>
                <w:szCs w:val="18"/>
              </w:rPr>
            </w:pPr>
            <w:r>
              <w:rPr>
                <w:rFonts w:ascii="Times New Roman"/>
                <w:sz w:val="18"/>
              </w:rPr>
              <w:t>2,846,581,521.81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3" w:right="0"/>
              <w:jc w:val="left"/>
              <w:rPr>
                <w:rFonts w:ascii="Times New Roman" w:hAnsi="Times New Roman" w:cs="Times New Roman" w:eastAsia="Times New Roman" w:hint="default"/>
                <w:sz w:val="18"/>
                <w:szCs w:val="18"/>
              </w:rPr>
            </w:pPr>
            <w:r>
              <w:rPr>
                <w:rFonts w:ascii="Times New Roman"/>
                <w:sz w:val="18"/>
              </w:rPr>
              <w:t>2,630,309,970.50</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before="36"/>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2" w:right="10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259" w:lineRule="auto" w:before="0"/>
        <w:ind w:left="152" w:right="10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2" w:right="10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8" w:footer="974"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057"/>
        <w:jc w:val="left"/>
        <w:rPr>
          <w:b w:val="0"/>
          <w:bCs w:val="0"/>
        </w:rPr>
      </w:pPr>
      <w:bookmarkStart w:name="_bookmark12" w:id="13"/>
      <w:bookmarkEnd w:id="13"/>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spacing w:line="316" w:lineRule="auto" w:before="0"/>
        <w:ind w:left="152" w:right="1057" w:firstLine="0"/>
        <w:jc w:val="left"/>
        <w:rPr>
          <w:rFonts w:ascii="宋体" w:hAnsi="宋体" w:cs="宋体" w:eastAsia="宋体" w:hint="default"/>
          <w:sz w:val="18"/>
          <w:szCs w:val="18"/>
        </w:rPr>
      </w:pPr>
      <w:r>
        <w:rPr>
          <w:rFonts w:ascii="宋体" w:hAnsi="宋体" w:cs="宋体" w:eastAsia="宋体" w:hint="default"/>
          <w:spacing w:val="-2"/>
          <w:sz w:val="18"/>
          <w:szCs w:val="18"/>
        </w:rPr>
        <w:t>（一）载有公司负责人许文杰先生、主管会计工作负责人梁姬女士、会计机构负责人（会计主管人员）黄宇签名并盖章的财</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务报告文本原件。</w:t>
      </w:r>
    </w:p>
    <w:p>
      <w:pPr>
        <w:spacing w:before="19"/>
        <w:ind w:left="152" w:right="1057" w:firstLine="0"/>
        <w:jc w:val="left"/>
        <w:rPr>
          <w:rFonts w:ascii="宋体" w:hAnsi="宋体" w:cs="宋体" w:eastAsia="宋体" w:hint="default"/>
          <w:sz w:val="18"/>
          <w:szCs w:val="18"/>
        </w:rPr>
      </w:pPr>
      <w:r>
        <w:rPr>
          <w:rFonts w:ascii="宋体" w:hAnsi="宋体" w:cs="宋体" w:eastAsia="宋体" w:hint="default"/>
          <w:sz w:val="18"/>
          <w:szCs w:val="18"/>
        </w:rPr>
        <w:t>（二）载有容诚会计师事务所（特殊普通合伙）盖章、注册会计师签名并盖章的审计报告原件。</w:t>
      </w:r>
    </w:p>
    <w:p>
      <w:pPr>
        <w:spacing w:before="76"/>
        <w:ind w:left="152" w:right="1057" w:firstLine="0"/>
        <w:jc w:val="left"/>
        <w:rPr>
          <w:rFonts w:ascii="宋体" w:hAnsi="宋体" w:cs="宋体" w:eastAsia="宋体" w:hint="default"/>
          <w:sz w:val="18"/>
          <w:szCs w:val="18"/>
        </w:rPr>
      </w:pPr>
      <w:r>
        <w:rPr>
          <w:rFonts w:ascii="宋体" w:hAnsi="宋体" w:cs="宋体" w:eastAsia="宋体" w:hint="default"/>
          <w:sz w:val="18"/>
          <w:szCs w:val="18"/>
        </w:rPr>
        <w:t>（三）报告期内在中国证监会指定网站上公开披露过的所有公司文件的正本及公告的原稿。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spacing w:line="319" w:lineRule="auto" w:before="0"/>
        <w:ind w:left="8173" w:right="1131" w:firstLine="180"/>
        <w:jc w:val="right"/>
        <w:rPr>
          <w:rFonts w:ascii="宋体" w:hAnsi="宋体" w:cs="宋体" w:eastAsia="宋体" w:hint="default"/>
          <w:sz w:val="18"/>
          <w:szCs w:val="18"/>
        </w:rPr>
      </w:pPr>
      <w:r>
        <w:rPr>
          <w:rFonts w:ascii="宋体" w:hAnsi="宋体" w:cs="宋体" w:eastAsia="宋体" w:hint="default"/>
          <w:sz w:val="18"/>
          <w:szCs w:val="18"/>
        </w:rPr>
        <w:t>润建股份有限公司 法定代表人：许文杰</w:t>
      </w:r>
    </w:p>
    <w:p>
      <w:pPr>
        <w:spacing w:before="58"/>
        <w:ind w:left="0" w:right="1229"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sectPr>
      <w:pgSz w:w="11910" w:h="16840"/>
      <w:pgMar w:header="748" w:footer="974"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4864" type="#_x0000_t75" stroked="false">
          <v:imagedata r:id="rId1" o:title=""/>
        </v:shape>
      </w:pict>
    </w:r>
    <w:r>
      <w:rPr/>
      <w:pict>
        <v:shape style="position:absolute;margin-left:533.099976pt;margin-top:795.87793pt;width:6.5pt;height:11pt;mso-position-horizontal-relative:page;mso-position-vertical-relative:page;z-index:-1234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4816" type="#_x0000_t75" stroked="false">
          <v:imagedata r:id="rId1" o:title=""/>
        </v:shape>
      </w:pict>
    </w:r>
    <w:r>
      <w:rPr/>
      <w:pict>
        <v:shape style="position:absolute;margin-left:527.659973pt;margin-top:782.197937pt;width:13.15pt;height:11pt;mso-position-horizontal-relative:page;mso-position-vertical-relative:page;z-index:-1234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4768" type="#_x0000_t75" stroked="false">
          <v:imagedata r:id="rId1" o:title=""/>
        </v:shape>
      </w:pict>
    </w:r>
    <w:r>
      <w:rPr/>
      <w:pict>
        <v:shape style="position:absolute;margin-left:524.099976pt;margin-top:782.197937pt;width:15.7pt;height:11pt;mso-position-horizontal-relative:page;mso-position-vertical-relative:page;z-index:-1234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4720" type="#_x0000_t75" stroked="false">
          <v:imagedata r:id="rId1" o:title=""/>
        </v:shape>
      </w:pict>
    </w:r>
    <w:r>
      <w:rPr/>
      <w:pict>
        <v:shape style="position:absolute;margin-left:523.099976pt;margin-top:782.197937pt;width:17.7pt;height:11pt;mso-position-horizontal-relative:page;mso-position-vertical-relative:page;z-index:-1234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4672" type="#_x0000_t75" stroked="false">
          <v:imagedata r:id="rId1" o:title=""/>
        </v:shape>
      </w:pict>
    </w:r>
    <w:r>
      <w:rPr/>
      <w:pict>
        <v:shape style="position:absolute;margin-left:523.460022pt;margin-top:782.197937pt;width:17.3pt;height:11pt;mso-position-horizontal-relative:page;mso-position-vertical-relative:page;z-index:-1234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4624" type="#_x0000_t75" stroked="false">
          <v:imagedata r:id="rId1" o:title=""/>
        </v:shape>
      </w:pict>
    </w:r>
    <w:r>
      <w:rPr/>
      <w:pict>
        <v:shape style="position:absolute;margin-left:523.099976pt;margin-top:782.197937pt;width:17.7pt;height:11pt;mso-position-horizontal-relative:page;mso-position-vertical-relative:page;z-index:-1234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4576" type="#_x0000_t75" stroked="false">
          <v:imagedata r:id="rId1" o:title=""/>
        </v:shape>
      </w:pict>
    </w:r>
    <w:r>
      <w:rPr/>
      <w:pict>
        <v:shape style="position:absolute;margin-left:524.099976pt;margin-top:782.197937pt;width:15.7pt;height:11pt;mso-position-horizontal-relative:page;mso-position-vertical-relative:page;z-index:-12345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34528" type="#_x0000_t75" stroked="false">
          <v:imagedata r:id="rId1" o:title=""/>
        </v:shape>
      </w:pict>
    </w:r>
    <w:r>
      <w:rPr/>
      <w:pict>
        <v:shape style="position:absolute;margin-left:523.099976pt;margin-top:782.197937pt;width:17.7pt;height:11pt;mso-position-horizontal-relative:page;mso-position-vertical-relative:page;z-index:-1234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070007pt;margin-top:36.385609pt;width:159.6pt;height:11.5pt;mso-position-horizontal-relative:page;mso-position-vertical-relative:page;z-index:-1234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润建股份有限公司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ind w:left="89"/>
      <w:outlineLvl w:val="1"/>
    </w:pPr>
    <w:rPr>
      <w:rFonts w:ascii="宋体" w:hAnsi="宋体" w:eastAsia="宋体"/>
      <w:b/>
      <w:bCs/>
      <w:sz w:val="32"/>
      <w:szCs w:val="32"/>
    </w:rPr>
  </w:style>
  <w:style w:styleId="Heading2" w:type="paragraph">
    <w:name w:val="Heading 2"/>
    <w:basedOn w:val="Normal"/>
    <w:uiPriority w:val="1"/>
    <w:qFormat/>
    <w:pPr>
      <w:spacing w:before="34"/>
      <w:ind w:left="152"/>
      <w:outlineLvl w:val="2"/>
    </w:pPr>
    <w:rPr>
      <w:rFonts w:ascii="宋体" w:hAnsi="宋体" w:eastAsia="宋体"/>
      <w:i/>
      <w:sz w:val="25"/>
      <w:szCs w:val="25"/>
    </w:rPr>
  </w:style>
  <w:style w:styleId="Heading3" w:type="paragraph">
    <w:name w:val="Heading 3"/>
    <w:basedOn w:val="Normal"/>
    <w:uiPriority w:val="1"/>
    <w:qFormat/>
    <w:pPr>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rjtx.net/" TargetMode="External"/><Relationship Id="rId10" Type="http://schemas.openxmlformats.org/officeDocument/2006/relationships/hyperlink" Target="mailto:rjtxdsh@163.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润建股份有限公司</dc:creator>
  <dc:title>润建股份有限公司2019年年度报告全文</dc:title>
  <dcterms:created xsi:type="dcterms:W3CDTF">2020-05-19T22:20:22Z</dcterms:created>
  <dcterms:modified xsi:type="dcterms:W3CDTF">2020-05-19T22:20:22Z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2016</vt:lpwstr>
  </property>
  <property fmtid="{D5CDD505-2E9C-101B-9397-08002B2CF9AE}" pid="4" name="LastSaved">
    <vt:filetime>2020-05-19T00:00:00Z</vt:filetime>
  </property>
</Properties>
</file>